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24" w:rsidRDefault="00015D4F" w:rsidP="00F73113">
      <w:pPr>
        <w:pStyle w:val="Title"/>
      </w:pPr>
      <w:r>
        <w:t>Erlotinib and Gefitinib</w:t>
      </w:r>
      <w:r w:rsidR="001C4016">
        <w:t xml:space="preserve">: </w:t>
      </w:r>
      <w:r w:rsidR="00B22D2E">
        <w:t xml:space="preserve">24 month </w:t>
      </w:r>
      <w:bookmarkStart w:id="0" w:name="_GoBack"/>
      <w:bookmarkEnd w:id="0"/>
      <w:r w:rsidR="001A3A56">
        <w:t xml:space="preserve">predicted versus actual </w:t>
      </w:r>
      <w:r w:rsidR="00B22D2E">
        <w:t>analysis</w:t>
      </w:r>
      <w:r w:rsidR="001A3A56">
        <w:t xml:space="preserve"> </w:t>
      </w:r>
    </w:p>
    <w:p w:rsidR="00736041" w:rsidRDefault="009053D3" w:rsidP="00F73113">
      <w:pPr>
        <w:pStyle w:val="Title2"/>
      </w:pPr>
      <w:r>
        <w:t>D</w:t>
      </w:r>
      <w:r w:rsidR="00832324" w:rsidRPr="0063631C">
        <w:t xml:space="preserve">rug utilisation sub-committee </w:t>
      </w:r>
      <w:r w:rsidR="00832324">
        <w:t>(DUSC)</w:t>
      </w:r>
    </w:p>
    <w:p w:rsidR="009053D3" w:rsidRPr="00D1150D" w:rsidRDefault="00015D4F" w:rsidP="00F73113">
      <w:pPr>
        <w:pStyle w:val="Meetingdate"/>
        <w:rPr>
          <w:i w:val="0"/>
        </w:rPr>
      </w:pPr>
      <w:r w:rsidRPr="00D1150D">
        <w:rPr>
          <w:i w:val="0"/>
        </w:rPr>
        <w:t>February 2017</w:t>
      </w:r>
    </w:p>
    <w:p w:rsidR="005C6661" w:rsidRPr="00CF5E22" w:rsidRDefault="005C6661" w:rsidP="00CF5E22">
      <w:pPr>
        <w:pStyle w:val="Heading2"/>
      </w:pPr>
      <w:r w:rsidRPr="00CF5E22">
        <w:t>Abstract</w:t>
      </w:r>
    </w:p>
    <w:p w:rsidR="005C6661" w:rsidRPr="00CF5E22" w:rsidRDefault="005C6661" w:rsidP="00CF5E22">
      <w:pPr>
        <w:pStyle w:val="Heading3"/>
      </w:pPr>
      <w:r w:rsidRPr="00CF5E22">
        <w:t>Purpose</w:t>
      </w:r>
    </w:p>
    <w:p w:rsidR="005C6661" w:rsidRDefault="00C62CA4" w:rsidP="00C62CA4">
      <w:r w:rsidRPr="00C62CA4">
        <w:t xml:space="preserve">To </w:t>
      </w:r>
      <w:r w:rsidR="00015D4F">
        <w:t xml:space="preserve">compare the predicted and actual </w:t>
      </w:r>
      <w:r w:rsidRPr="00C62CA4">
        <w:t xml:space="preserve">utilisation of </w:t>
      </w:r>
      <w:r w:rsidR="00015D4F">
        <w:t>the tyrosine kinase inhibitors</w:t>
      </w:r>
      <w:r w:rsidR="00B84313">
        <w:t xml:space="preserve"> (TKIs)</w:t>
      </w:r>
      <w:r w:rsidR="00015D4F">
        <w:t>, erlotinib and gefitinib,</w:t>
      </w:r>
      <w:r w:rsidRPr="00C62CA4">
        <w:t xml:space="preserve"> </w:t>
      </w:r>
      <w:r w:rsidR="00015D4F">
        <w:t xml:space="preserve">for the treatment of </w:t>
      </w:r>
      <w:r w:rsidR="00015D4F" w:rsidRPr="00015D4F">
        <w:t>Stage IIIB (locally advanced) or Stage IV (metastatic) non</w:t>
      </w:r>
      <w:r w:rsidR="00CF7565">
        <w:noBreakHyphen/>
      </w:r>
      <w:r w:rsidR="00015D4F" w:rsidRPr="00015D4F">
        <w:t>small cell lung cancer (NSCLC)</w:t>
      </w:r>
      <w:r w:rsidRPr="00C62CA4">
        <w:t xml:space="preserve">.  </w:t>
      </w:r>
    </w:p>
    <w:p w:rsidR="002D144A" w:rsidRDefault="00CF7565" w:rsidP="00CF5E22">
      <w:pPr>
        <w:pStyle w:val="Heading3"/>
      </w:pPr>
      <w:r>
        <w:t>L</w:t>
      </w:r>
      <w:r w:rsidR="002D144A">
        <w:t>isting on the P</w:t>
      </w:r>
      <w:r w:rsidR="00A95FA5">
        <w:t xml:space="preserve">harmaceutical </w:t>
      </w:r>
      <w:r w:rsidR="002D144A">
        <w:t>B</w:t>
      </w:r>
      <w:r w:rsidR="00A95FA5">
        <w:t xml:space="preserve">enefits </w:t>
      </w:r>
      <w:r w:rsidR="002D144A">
        <w:t>S</w:t>
      </w:r>
      <w:r w:rsidR="00A95FA5">
        <w:t>cheme (PBS)</w:t>
      </w:r>
    </w:p>
    <w:p w:rsidR="00D956CC" w:rsidRDefault="00FB405D" w:rsidP="00D956CC">
      <w:r>
        <w:t>The PBS listings for e</w:t>
      </w:r>
      <w:r w:rsidR="00015D4F">
        <w:t xml:space="preserve">rlotinib and gefitinib were </w:t>
      </w:r>
      <w:r>
        <w:t xml:space="preserve">extended from </w:t>
      </w:r>
      <w:r w:rsidR="00435BC9">
        <w:t>1 January 2014</w:t>
      </w:r>
      <w:r w:rsidR="00CF7565">
        <w:t xml:space="preserve"> </w:t>
      </w:r>
      <w:r>
        <w:t xml:space="preserve">to include </w:t>
      </w:r>
      <w:r w:rsidR="00CF7565">
        <w:t xml:space="preserve">first-line monotherapy </w:t>
      </w:r>
      <w:r w:rsidR="00015D4F">
        <w:t xml:space="preserve">for </w:t>
      </w:r>
      <w:r w:rsidR="00435BC9">
        <w:t xml:space="preserve">patients with </w:t>
      </w:r>
      <w:r w:rsidR="00CF7565" w:rsidRPr="00CF7565">
        <w:t xml:space="preserve">Stage IIIB (locally advanced) or Stage IV (metastatic) </w:t>
      </w:r>
      <w:r w:rsidR="00435BC9">
        <w:t xml:space="preserve">NSCLC cancer </w:t>
      </w:r>
      <w:r w:rsidR="006234D9">
        <w:t xml:space="preserve">and </w:t>
      </w:r>
      <w:r w:rsidR="00435BC9">
        <w:t xml:space="preserve">who have evidence of </w:t>
      </w:r>
      <w:r w:rsidR="009E4E2E" w:rsidRPr="00F52AA8">
        <w:t>epidermal growth factor receptor</w:t>
      </w:r>
      <w:r w:rsidR="009E4E2E">
        <w:t xml:space="preserve"> (</w:t>
      </w:r>
      <w:r w:rsidR="00435BC9">
        <w:t>EGFR</w:t>
      </w:r>
      <w:r w:rsidR="009E4E2E">
        <w:t>)</w:t>
      </w:r>
      <w:r w:rsidR="00435BC9">
        <w:t xml:space="preserve"> gene mutations</w:t>
      </w:r>
      <w:r w:rsidR="00B1105F">
        <w:t xml:space="preserve"> known to c</w:t>
      </w:r>
      <w:r w:rsidR="00D750BB">
        <w:t>o</w:t>
      </w:r>
      <w:r w:rsidR="00B1105F">
        <w:t>nfer sensitivity to treatment with EGFR tyrosine kinase inhibitors in tumour material</w:t>
      </w:r>
      <w:r>
        <w:t xml:space="preserve"> (EGFR+)</w:t>
      </w:r>
      <w:r w:rsidR="00435BC9">
        <w:t xml:space="preserve">. </w:t>
      </w:r>
      <w:r w:rsidR="00832985">
        <w:t xml:space="preserve">The listing includes patients with non-squamous type NSCLC or not </w:t>
      </w:r>
      <w:r w:rsidR="009E4E2E">
        <w:t>otherwise specified type NSCLC.</w:t>
      </w:r>
    </w:p>
    <w:p w:rsidR="00D956CC" w:rsidRPr="00D956CC" w:rsidRDefault="00D956CC" w:rsidP="00D956CC">
      <w:r w:rsidRPr="00D956CC">
        <w:t>The current listings for erlotinib and gefitinib do not specify line of therapy because the Pharmaceutical Benefits Advisory Committee (PBAC) considered that the data indicated no difference in progression-free survival or overall survival whether a TKI is given as first-line or second-line therapy to patients with EGFR mutation positive NSCLC.</w:t>
      </w:r>
    </w:p>
    <w:p w:rsidR="00FB405D" w:rsidRPr="006234D9" w:rsidRDefault="00CF7565" w:rsidP="00A9198D">
      <w:r w:rsidRPr="00CF7565">
        <w:t xml:space="preserve">Prior to </w:t>
      </w:r>
      <w:r>
        <w:t>this</w:t>
      </w:r>
      <w:r w:rsidR="00FC62C6">
        <w:t>,</w:t>
      </w:r>
      <w:r>
        <w:t xml:space="preserve"> </w:t>
      </w:r>
      <w:r w:rsidRPr="00CF7565">
        <w:t xml:space="preserve">gefitinib </w:t>
      </w:r>
      <w:r w:rsidR="00FB405D">
        <w:t xml:space="preserve">and erlotinib had been PBS subsidised only </w:t>
      </w:r>
      <w:r>
        <w:t>for locally advanced or metastatic NSCLC where disease progression had</w:t>
      </w:r>
      <w:r w:rsidRPr="00CF7565">
        <w:t xml:space="preserve"> occurred following </w:t>
      </w:r>
      <w:r w:rsidR="00FB405D">
        <w:t xml:space="preserve">chemotherapy and/or </w:t>
      </w:r>
      <w:r w:rsidR="00453815">
        <w:t xml:space="preserve">further </w:t>
      </w:r>
      <w:r w:rsidR="00FB405D">
        <w:t>chemotherapy was not an option</w:t>
      </w:r>
      <w:r>
        <w:t xml:space="preserve">. </w:t>
      </w:r>
      <w:r w:rsidR="00A31C04">
        <w:t xml:space="preserve">Gefitinib </w:t>
      </w:r>
      <w:r>
        <w:t xml:space="preserve">was </w:t>
      </w:r>
      <w:r w:rsidR="00FB405D">
        <w:t xml:space="preserve">available only for patients </w:t>
      </w:r>
      <w:r w:rsidR="00FB405D" w:rsidRPr="00FB405D">
        <w:t xml:space="preserve">with activating mutation(s) of the EGFR gene in tumour material </w:t>
      </w:r>
      <w:r w:rsidR="00FB405D">
        <w:t xml:space="preserve">whereas the erlotinib listing did not specify EGFR status. From 1 January 2014 erlotinib was restricted to EGFR+ patients because </w:t>
      </w:r>
      <w:r w:rsidR="006234D9">
        <w:t xml:space="preserve">the PBAC considered that use of this targeted therapy in the group of patients in which the target is absent was not appropriate. The PBAC did not consider that the net </w:t>
      </w:r>
      <w:r w:rsidR="006234D9" w:rsidRPr="006234D9">
        <w:t xml:space="preserve">benefits would exceed its net harms in last-line </w:t>
      </w:r>
      <w:r w:rsidR="00A9198D" w:rsidRPr="006234D9">
        <w:t>EGFR mutation negative patients</w:t>
      </w:r>
      <w:r w:rsidR="009337F3">
        <w:t>.</w:t>
      </w:r>
      <w:r w:rsidR="00A9198D" w:rsidRPr="009337F3">
        <w:rPr>
          <w:rStyle w:val="FootnoteReference"/>
        </w:rPr>
        <w:footnoteReference w:id="1"/>
      </w:r>
      <w:r w:rsidR="00850FC7">
        <w:rPr>
          <w:vertAlign w:val="superscript"/>
        </w:rPr>
        <w:t>,</w:t>
      </w:r>
      <w:r w:rsidR="009337F3">
        <w:rPr>
          <w:rStyle w:val="FootnoteReference"/>
        </w:rPr>
        <w:footnoteReference w:id="2"/>
      </w:r>
    </w:p>
    <w:p w:rsidR="009337F3" w:rsidRDefault="009337F3">
      <w:pPr>
        <w:spacing w:line="276" w:lineRule="auto"/>
        <w:rPr>
          <w:b/>
          <w:i/>
          <w:szCs w:val="28"/>
        </w:rPr>
      </w:pPr>
      <w:r>
        <w:br w:type="page"/>
      </w:r>
    </w:p>
    <w:p w:rsidR="005C6661" w:rsidRDefault="005C6661" w:rsidP="00CF5E22">
      <w:pPr>
        <w:pStyle w:val="Heading3"/>
      </w:pPr>
      <w:r>
        <w:lastRenderedPageBreak/>
        <w:t>Data Source / methodology</w:t>
      </w:r>
    </w:p>
    <w:p w:rsidR="005C6661" w:rsidRDefault="00C62CA4" w:rsidP="005C6661">
      <w:pPr>
        <w:pStyle w:val="NoSpacing"/>
      </w:pPr>
      <w:r w:rsidRPr="003A6766">
        <w:t xml:space="preserve">The analyses used data </w:t>
      </w:r>
      <w:r w:rsidR="003A6766" w:rsidRPr="003A6766">
        <w:t xml:space="preserve">from </w:t>
      </w:r>
      <w:r w:rsidRPr="003A6766">
        <w:t>the Department of Human Services (DHS) prescriptions database.</w:t>
      </w:r>
    </w:p>
    <w:p w:rsidR="005C6661" w:rsidRDefault="005C6661" w:rsidP="00CF5E22">
      <w:pPr>
        <w:pStyle w:val="Heading3"/>
      </w:pPr>
      <w:r>
        <w:t>Key Findings</w:t>
      </w:r>
    </w:p>
    <w:p w:rsidR="00000EB0" w:rsidRPr="00000EB0" w:rsidRDefault="00000EB0" w:rsidP="00D1150D">
      <w:pPr>
        <w:rPr>
          <w:i/>
        </w:rPr>
      </w:pPr>
      <w:r w:rsidRPr="00000EB0">
        <w:rPr>
          <w:i/>
        </w:rPr>
        <w:t>First line TKI use</w:t>
      </w:r>
    </w:p>
    <w:p w:rsidR="00607701" w:rsidRDefault="00C61A08" w:rsidP="00850FC7">
      <w:pPr>
        <w:pStyle w:val="ListParagraph"/>
        <w:numPr>
          <w:ilvl w:val="0"/>
          <w:numId w:val="7"/>
        </w:numPr>
        <w:spacing w:after="0"/>
        <w:ind w:left="425" w:hanging="425"/>
        <w:contextualSpacing w:val="0"/>
      </w:pPr>
      <w:r>
        <w:t>In 2014, 598 patients</w:t>
      </w:r>
      <w:r w:rsidR="00176A41" w:rsidRPr="00176A41">
        <w:t xml:space="preserve"> </w:t>
      </w:r>
      <w:r>
        <w:t>commenced erlotinib or gefitinib for first-line treatment of NSCLC</w:t>
      </w:r>
      <w:r w:rsidR="004E5C76" w:rsidRPr="004E5C76">
        <w:t xml:space="preserve"> </w:t>
      </w:r>
      <w:r w:rsidR="00776399">
        <w:t>harbouring</w:t>
      </w:r>
      <w:r w:rsidR="004E5C76" w:rsidRPr="004E5C76">
        <w:t xml:space="preserve"> EGFR mutations</w:t>
      </w:r>
      <w:r w:rsidR="00176A41">
        <w:t xml:space="preserve">. </w:t>
      </w:r>
      <w:r w:rsidR="0090060C">
        <w:t>O</w:t>
      </w:r>
      <w:r w:rsidR="00176A41">
        <w:t>f these patients</w:t>
      </w:r>
      <w:r w:rsidR="0090060C">
        <w:t>,</w:t>
      </w:r>
      <w:r w:rsidR="00176A41">
        <w:t xml:space="preserve"> </w:t>
      </w:r>
      <w:r w:rsidR="0090060C">
        <w:t xml:space="preserve">45% </w:t>
      </w:r>
      <w:r w:rsidR="00176A41">
        <w:t xml:space="preserve">commenced PBS subsidised treatment </w:t>
      </w:r>
      <w:r w:rsidR="0024668B">
        <w:t>within</w:t>
      </w:r>
      <w:r w:rsidR="00176A41">
        <w:t xml:space="preserve"> the first </w:t>
      </w:r>
      <w:r w:rsidR="00B84313">
        <w:t xml:space="preserve">two </w:t>
      </w:r>
      <w:r w:rsidR="00176A41">
        <w:t xml:space="preserve">months </w:t>
      </w:r>
      <w:r w:rsidR="00607701">
        <w:t>of</w:t>
      </w:r>
      <w:r w:rsidR="004E5C76">
        <w:t xml:space="preserve"> </w:t>
      </w:r>
      <w:r w:rsidR="00176A41">
        <w:t>the extension to listing</w:t>
      </w:r>
      <w:r w:rsidR="00776399">
        <w:t>.</w:t>
      </w:r>
      <w:r w:rsidR="004E5C76">
        <w:t xml:space="preserve"> In 2015, </w:t>
      </w:r>
      <w:r w:rsidR="00735430">
        <w:t xml:space="preserve">only </w:t>
      </w:r>
      <w:r w:rsidR="00776399">
        <w:t>347</w:t>
      </w:r>
      <w:r w:rsidR="00735430">
        <w:t xml:space="preserve"> patients</w:t>
      </w:r>
      <w:r w:rsidR="004E5C76">
        <w:t xml:space="preserve"> c</w:t>
      </w:r>
      <w:r w:rsidR="00776399">
        <w:t>ommenced first</w:t>
      </w:r>
      <w:r w:rsidR="00850FC7">
        <w:t>-</w:t>
      </w:r>
      <w:r w:rsidR="00776399">
        <w:t>line erlotinib or</w:t>
      </w:r>
      <w:r w:rsidR="004E5C76">
        <w:t xml:space="preserve"> gefitinib therapy</w:t>
      </w:r>
      <w:r w:rsidR="0024668B">
        <w:t xml:space="preserve">. </w:t>
      </w:r>
    </w:p>
    <w:p w:rsidR="0024668B" w:rsidRDefault="0024668B" w:rsidP="00850FC7">
      <w:pPr>
        <w:pStyle w:val="ListParagraph"/>
        <w:numPr>
          <w:ilvl w:val="0"/>
          <w:numId w:val="7"/>
        </w:numPr>
        <w:spacing w:after="0"/>
        <w:ind w:left="425" w:hanging="425"/>
        <w:contextualSpacing w:val="0"/>
      </w:pPr>
      <w:r>
        <w:t xml:space="preserve">The number of people receiving first line TKIs was </w:t>
      </w:r>
      <w:r w:rsidR="00C61A08">
        <w:t xml:space="preserve">similar to expected in </w:t>
      </w:r>
      <w:r>
        <w:t>2014</w:t>
      </w:r>
      <w:r w:rsidR="00C61A08">
        <w:t xml:space="preserve"> and lower than expected in </w:t>
      </w:r>
      <w:r>
        <w:t>2015</w:t>
      </w:r>
      <w:r w:rsidR="00C61A08">
        <w:t>.</w:t>
      </w:r>
    </w:p>
    <w:p w:rsidR="00000EB0" w:rsidRDefault="00776399" w:rsidP="00850FC7">
      <w:pPr>
        <w:pStyle w:val="ListParagraph"/>
        <w:numPr>
          <w:ilvl w:val="0"/>
          <w:numId w:val="7"/>
        </w:numPr>
        <w:spacing w:after="0"/>
        <w:ind w:left="425" w:hanging="425"/>
        <w:contextualSpacing w:val="0"/>
      </w:pPr>
      <w:r>
        <w:t>D</w:t>
      </w:r>
      <w:r w:rsidR="00000EB0">
        <w:t>ata available to date</w:t>
      </w:r>
      <w:r w:rsidR="00735430">
        <w:t xml:space="preserve"> indicate</w:t>
      </w:r>
      <w:r>
        <w:t xml:space="preserve"> that</w:t>
      </w:r>
      <w:r w:rsidR="00000EB0">
        <w:t xml:space="preserve"> the median duration of </w:t>
      </w:r>
      <w:r w:rsidR="00260BA3">
        <w:t>TKIs</w:t>
      </w:r>
      <w:r w:rsidR="00850FC7">
        <w:t xml:space="preserve"> for first-</w:t>
      </w:r>
      <w:r w:rsidR="00000EB0">
        <w:t xml:space="preserve">line </w:t>
      </w:r>
      <w:r w:rsidR="00607701">
        <w:t>treatment</w:t>
      </w:r>
      <w:r w:rsidR="00000EB0">
        <w:t xml:space="preserve"> of </w:t>
      </w:r>
      <w:r w:rsidR="00607701">
        <w:t xml:space="preserve">NSCLC </w:t>
      </w:r>
      <w:r w:rsidR="00607701" w:rsidRPr="004E5C76">
        <w:t>harbouring EGFR mutations</w:t>
      </w:r>
      <w:r w:rsidR="00607701">
        <w:t xml:space="preserve"> </w:t>
      </w:r>
      <w:r w:rsidR="00260BA3">
        <w:t>is approximately 11 months. This is</w:t>
      </w:r>
      <w:r w:rsidR="00000EB0">
        <w:t xml:space="preserve"> similar to </w:t>
      </w:r>
      <w:r>
        <w:t xml:space="preserve">the duration of treatment in </w:t>
      </w:r>
      <w:r w:rsidR="00000EB0">
        <w:t>the key clinical trials.</w:t>
      </w:r>
    </w:p>
    <w:p w:rsidR="00526A66" w:rsidRDefault="00776399" w:rsidP="00850FC7">
      <w:pPr>
        <w:pStyle w:val="ListParagraph"/>
        <w:numPr>
          <w:ilvl w:val="0"/>
          <w:numId w:val="7"/>
        </w:numPr>
        <w:spacing w:after="0"/>
        <w:ind w:left="425" w:hanging="425"/>
        <w:contextualSpacing w:val="0"/>
      </w:pPr>
      <w:r>
        <w:t>A s</w:t>
      </w:r>
      <w:r w:rsidR="00526A66">
        <w:t xml:space="preserve">mall </w:t>
      </w:r>
      <w:r>
        <w:t>proportion</w:t>
      </w:r>
      <w:r w:rsidR="00D03DBE">
        <w:t xml:space="preserve"> of patients</w:t>
      </w:r>
      <w:r>
        <w:t xml:space="preserve"> have switched </w:t>
      </w:r>
      <w:r w:rsidR="00D03DBE">
        <w:t>between</w:t>
      </w:r>
      <w:r>
        <w:t xml:space="preserve"> TKIs</w:t>
      </w:r>
      <w:r w:rsidR="00D03DBE">
        <w:t xml:space="preserve"> </w:t>
      </w:r>
      <w:r>
        <w:t>(</w:t>
      </w:r>
      <w:r w:rsidR="00850FC7">
        <w:t xml:space="preserve">approximately </w:t>
      </w:r>
      <w:r>
        <w:t xml:space="preserve">5%). </w:t>
      </w:r>
      <w:r w:rsidR="00D03DBE">
        <w:t>The PBS restrictions allow</w:t>
      </w:r>
      <w:r>
        <w:t xml:space="preserve"> switching </w:t>
      </w:r>
      <w:r w:rsidR="00735430">
        <w:t>if patients</w:t>
      </w:r>
      <w:r>
        <w:t xml:space="preserve"> de</w:t>
      </w:r>
      <w:r w:rsidRPr="00776399">
        <w:t xml:space="preserve">velop intolerance to </w:t>
      </w:r>
      <w:r>
        <w:t>one</w:t>
      </w:r>
      <w:r w:rsidRPr="00776399">
        <w:t xml:space="preserve"> EGFR TKI of a severity necessitating permanent treatment withdrawal</w:t>
      </w:r>
      <w:r w:rsidR="00735430">
        <w:t>, and the disease has not progressed.</w:t>
      </w:r>
    </w:p>
    <w:p w:rsidR="001F390E" w:rsidRPr="00FA72AF" w:rsidRDefault="00000EB0" w:rsidP="00850FC7">
      <w:pPr>
        <w:pStyle w:val="ListParagraph"/>
        <w:numPr>
          <w:ilvl w:val="0"/>
          <w:numId w:val="7"/>
        </w:numPr>
        <w:spacing w:after="0"/>
        <w:ind w:left="425" w:hanging="425"/>
        <w:contextualSpacing w:val="0"/>
      </w:pPr>
      <w:r>
        <w:t xml:space="preserve">A </w:t>
      </w:r>
      <w:r w:rsidR="00260BA3">
        <w:t>concern of DUSC and the PBAC was that the TKIs would continue to be used beyond disease progression.</w:t>
      </w:r>
      <w:r w:rsidR="00526A66">
        <w:t xml:space="preserve"> A limited analysis</w:t>
      </w:r>
      <w:r w:rsidR="00776399">
        <w:t xml:space="preserve"> </w:t>
      </w:r>
      <w:r w:rsidR="001F390E">
        <w:t>that examined</w:t>
      </w:r>
      <w:r w:rsidR="00776399">
        <w:t xml:space="preserve"> patterns of treatment </w:t>
      </w:r>
      <w:r w:rsidR="001F390E">
        <w:t>with a</w:t>
      </w:r>
      <w:r w:rsidR="00D13822">
        <w:t xml:space="preserve"> </w:t>
      </w:r>
      <w:r w:rsidR="00776399">
        <w:t xml:space="preserve">first-line TKI followed by </w:t>
      </w:r>
      <w:r w:rsidR="00D13822">
        <w:t>chemotherapy (indicating progression)</w:t>
      </w:r>
      <w:r w:rsidR="00776399">
        <w:t xml:space="preserve"> and </w:t>
      </w:r>
      <w:r w:rsidR="00D13822">
        <w:t xml:space="preserve">then </w:t>
      </w:r>
      <w:r w:rsidR="00776399">
        <w:t xml:space="preserve">subsequent </w:t>
      </w:r>
      <w:r w:rsidR="00776399" w:rsidRPr="00FA72AF">
        <w:t>TKI</w:t>
      </w:r>
      <w:r w:rsidR="001F390E" w:rsidRPr="00FA72AF">
        <w:t xml:space="preserve"> use, suggests that at least </w:t>
      </w:r>
      <w:r w:rsidR="00D53207" w:rsidRPr="00FA72AF">
        <w:t>7</w:t>
      </w:r>
      <w:r w:rsidR="001F390E" w:rsidRPr="00FA72AF">
        <w:t>.4% of patients</w:t>
      </w:r>
      <w:r w:rsidR="00D13822" w:rsidRPr="00FA72AF">
        <w:t xml:space="preserve"> </w:t>
      </w:r>
      <w:r w:rsidR="001F390E" w:rsidRPr="00FA72AF">
        <w:t xml:space="preserve">may be using TKIs beyond progression. </w:t>
      </w:r>
    </w:p>
    <w:p w:rsidR="00850FC7" w:rsidRDefault="00850FC7" w:rsidP="00850FC7">
      <w:pPr>
        <w:spacing w:after="0" w:line="276" w:lineRule="auto"/>
        <w:ind w:left="-66"/>
        <w:rPr>
          <w:i/>
        </w:rPr>
      </w:pPr>
    </w:p>
    <w:p w:rsidR="005028BE" w:rsidRDefault="005028BE" w:rsidP="00D1150D">
      <w:pPr>
        <w:ind w:left="-68"/>
        <w:rPr>
          <w:i/>
        </w:rPr>
      </w:pPr>
      <w:r w:rsidRPr="001F390E">
        <w:rPr>
          <w:i/>
        </w:rPr>
        <w:t>Second or subsequent line TKI use</w:t>
      </w:r>
    </w:p>
    <w:p w:rsidR="000A4E85" w:rsidRDefault="00756C49" w:rsidP="00850FC7">
      <w:pPr>
        <w:pStyle w:val="ListParagraph"/>
        <w:numPr>
          <w:ilvl w:val="0"/>
          <w:numId w:val="7"/>
        </w:numPr>
        <w:ind w:left="426" w:hanging="426"/>
      </w:pPr>
      <w:r>
        <w:t xml:space="preserve">Use of </w:t>
      </w:r>
      <w:r w:rsidR="0024668B">
        <w:t xml:space="preserve">erlotinib as a second or subsequent line of </w:t>
      </w:r>
      <w:r w:rsidR="00735430">
        <w:t>treatment</w:t>
      </w:r>
      <w:r w:rsidR="0024668B">
        <w:t xml:space="preserve"> </w:t>
      </w:r>
      <w:r>
        <w:t xml:space="preserve">in the unselected population (EGFR </w:t>
      </w:r>
      <w:r w:rsidR="00DD195B">
        <w:t xml:space="preserve">gene </w:t>
      </w:r>
      <w:r>
        <w:t xml:space="preserve">mutation positive, </w:t>
      </w:r>
      <w:r w:rsidR="00DD195B" w:rsidRPr="00DD195B">
        <w:t>wild-type EGFR gene</w:t>
      </w:r>
      <w:r w:rsidR="00DD195B">
        <w:t>, or unknown) peaked in 2011 with</w:t>
      </w:r>
      <w:r w:rsidR="00265A6C">
        <w:t xml:space="preserve"> 1,175 patients initiating therapy. Use </w:t>
      </w:r>
      <w:r w:rsidR="00DD195B">
        <w:t>has been declin</w:t>
      </w:r>
      <w:r w:rsidR="00FF1887">
        <w:t>ing</w:t>
      </w:r>
      <w:r w:rsidR="00265A6C">
        <w:t xml:space="preserve"> since</w:t>
      </w:r>
      <w:r w:rsidR="00850FC7">
        <w:t xml:space="preserve">. </w:t>
      </w:r>
      <w:r w:rsidR="00DD195B">
        <w:t xml:space="preserve">The key factor driving the </w:t>
      </w:r>
      <w:r w:rsidR="000A4E85">
        <w:t xml:space="preserve">reduction </w:t>
      </w:r>
      <w:r w:rsidR="00DD195B">
        <w:t xml:space="preserve">in use </w:t>
      </w:r>
      <w:r w:rsidR="00FF1887">
        <w:t>was</w:t>
      </w:r>
      <w:r w:rsidR="000A4E85">
        <w:t xml:space="preserve"> </w:t>
      </w:r>
      <w:r w:rsidR="00FF1887">
        <w:t xml:space="preserve">the PBS requirement for any new patients treated </w:t>
      </w:r>
      <w:r w:rsidR="000A4E85">
        <w:t xml:space="preserve">with </w:t>
      </w:r>
      <w:r w:rsidR="00FF1887">
        <w:t>erlotinib to be EGFR mutation positive (from 1 August 2014)</w:t>
      </w:r>
      <w:r w:rsidR="000A4E85">
        <w:t xml:space="preserve">. The decline in use in 2012 and 2013 suggests that clinical practice was changing ahead of the PBS restriction. </w:t>
      </w:r>
    </w:p>
    <w:p w:rsidR="00756C49" w:rsidRDefault="00756C49" w:rsidP="00850FC7">
      <w:pPr>
        <w:pStyle w:val="ListParagraph"/>
        <w:numPr>
          <w:ilvl w:val="0"/>
          <w:numId w:val="7"/>
        </w:numPr>
        <w:ind w:left="426" w:hanging="426"/>
      </w:pPr>
      <w:r>
        <w:t xml:space="preserve">EGFR status for </w:t>
      </w:r>
      <w:r w:rsidR="00DD195B">
        <w:t xml:space="preserve">patients using </w:t>
      </w:r>
      <w:r>
        <w:t>erlotinib prior to 2014 cann</w:t>
      </w:r>
      <w:r w:rsidR="00FF1887">
        <w:t>ot be ascertained from PBS data.</w:t>
      </w:r>
    </w:p>
    <w:p w:rsidR="000A4E85" w:rsidRDefault="000A4E85" w:rsidP="00850FC7">
      <w:pPr>
        <w:pStyle w:val="ListParagraph"/>
        <w:numPr>
          <w:ilvl w:val="0"/>
          <w:numId w:val="7"/>
        </w:numPr>
        <w:ind w:left="426" w:hanging="426"/>
      </w:pPr>
      <w:r>
        <w:t>Use of gefitinib following chemotherapy in patients with EGFR mutatio</w:t>
      </w:r>
      <w:r w:rsidR="00850FC7">
        <w:t xml:space="preserve">ns had been low prior to 2014 (less than </w:t>
      </w:r>
      <w:r>
        <w:t>50 patien</w:t>
      </w:r>
      <w:r w:rsidR="00850FC7">
        <w:t xml:space="preserve">ts per </w:t>
      </w:r>
      <w:r>
        <w:t xml:space="preserve">year). </w:t>
      </w:r>
    </w:p>
    <w:p w:rsidR="009231EB" w:rsidRDefault="009231EB">
      <w:pPr>
        <w:spacing w:line="276" w:lineRule="auto"/>
        <w:rPr>
          <w:i/>
        </w:rPr>
      </w:pPr>
      <w:r>
        <w:rPr>
          <w:i/>
        </w:rPr>
        <w:br w:type="page"/>
      </w:r>
    </w:p>
    <w:p w:rsidR="00850FC7" w:rsidRDefault="001F390E" w:rsidP="00850FC7">
      <w:pPr>
        <w:spacing w:line="276" w:lineRule="auto"/>
        <w:rPr>
          <w:i/>
        </w:rPr>
      </w:pPr>
      <w:r w:rsidRPr="001F390E">
        <w:rPr>
          <w:i/>
        </w:rPr>
        <w:lastRenderedPageBreak/>
        <w:t>Prevalence of EGFR</w:t>
      </w:r>
    </w:p>
    <w:p w:rsidR="001F390E" w:rsidRPr="00850FC7" w:rsidRDefault="000A4E85" w:rsidP="00850FC7">
      <w:pPr>
        <w:pStyle w:val="ListParagraph"/>
        <w:numPr>
          <w:ilvl w:val="0"/>
          <w:numId w:val="26"/>
        </w:numPr>
        <w:rPr>
          <w:i/>
        </w:rPr>
      </w:pPr>
      <w:r>
        <w:t>In 20</w:t>
      </w:r>
      <w:r w:rsidR="00A14DD2">
        <w:t>15-16</w:t>
      </w:r>
      <w:r w:rsidR="00850FC7">
        <w:t>,</w:t>
      </w:r>
      <w:r>
        <w:t xml:space="preserve"> there were </w:t>
      </w:r>
      <w:r w:rsidR="00A14DD2">
        <w:t>2,959 services for MBS item 73337</w:t>
      </w:r>
      <w:r w:rsidR="00A14DD2">
        <w:rPr>
          <w:rStyle w:val="FootnoteReference"/>
        </w:rPr>
        <w:footnoteReference w:id="3"/>
      </w:r>
      <w:r w:rsidR="00A14DD2">
        <w:t xml:space="preserve"> and 530 new patients initiat</w:t>
      </w:r>
      <w:r w:rsidR="00741289">
        <w:t>ed</w:t>
      </w:r>
      <w:r w:rsidR="00A14DD2">
        <w:t xml:space="preserve"> erlotinib or gefitinib through the PBS. Th</w:t>
      </w:r>
      <w:r w:rsidR="00E30061">
        <w:t xml:space="preserve">is indicates the prevalence of activating </w:t>
      </w:r>
      <w:r w:rsidR="00A14DD2">
        <w:t>EGFR</w:t>
      </w:r>
      <w:r w:rsidR="00E30061">
        <w:t xml:space="preserve"> mutations </w:t>
      </w:r>
      <w:r w:rsidR="00A14DD2">
        <w:t xml:space="preserve">in the tested and treated </w:t>
      </w:r>
      <w:r w:rsidR="00D51CE8">
        <w:t xml:space="preserve">NSCLC </w:t>
      </w:r>
      <w:r w:rsidR="00A14DD2">
        <w:t>population is 17.9%</w:t>
      </w:r>
      <w:r w:rsidR="00E30061">
        <w:t>, which is similar to the predicted estimate of 15%.</w:t>
      </w:r>
      <w:r w:rsidR="00A14DD2">
        <w:t xml:space="preserve"> </w:t>
      </w:r>
    </w:p>
    <w:p w:rsidR="009231EB" w:rsidRDefault="009231EB">
      <w:pPr>
        <w:spacing w:line="276" w:lineRule="auto"/>
        <w:rPr>
          <w:rFonts w:eastAsiaTheme="majorEastAsia" w:cstheme="majorBidi"/>
          <w:b/>
          <w:bCs/>
          <w:sz w:val="32"/>
          <w:szCs w:val="32"/>
        </w:rPr>
      </w:pPr>
      <w:r>
        <w:br w:type="page"/>
      </w:r>
    </w:p>
    <w:p w:rsidR="00E677DD" w:rsidRPr="00CF5E22" w:rsidRDefault="00E677DD" w:rsidP="00CF5E22">
      <w:pPr>
        <w:pStyle w:val="Heading1"/>
      </w:pPr>
      <w:r w:rsidRPr="00CF5E22">
        <w:lastRenderedPageBreak/>
        <w:t xml:space="preserve">Purpose of </w:t>
      </w:r>
      <w:r w:rsidR="00D151EB" w:rsidRPr="00CF5E22">
        <w:t>analysis</w:t>
      </w:r>
    </w:p>
    <w:p w:rsidR="009101B7" w:rsidRDefault="009101B7" w:rsidP="00A32B90">
      <w:r w:rsidRPr="009101B7">
        <w:t>To compare the predicted and actual utilisation of the tyrosine kinase inhibitors, erlotinib and gefitinib, for the treatment of Stage IIIB (locally advanced) or Stage IV (metastatic) non-small cell lung cancer (NSCLC).</w:t>
      </w:r>
    </w:p>
    <w:p w:rsidR="006537D9" w:rsidRPr="005E22C2" w:rsidRDefault="00736041" w:rsidP="00CF5E22">
      <w:pPr>
        <w:pStyle w:val="Heading1"/>
      </w:pPr>
      <w:r w:rsidRPr="005E22C2">
        <w:t>Background</w:t>
      </w:r>
    </w:p>
    <w:p w:rsidR="007247B9" w:rsidRDefault="007247B9" w:rsidP="00CF5E22">
      <w:pPr>
        <w:pStyle w:val="Heading2"/>
      </w:pPr>
      <w:r>
        <w:t>Pharmacology</w:t>
      </w:r>
    </w:p>
    <w:p w:rsidR="00E9288F" w:rsidRDefault="009101B7" w:rsidP="00AE4BAC">
      <w:r>
        <w:t xml:space="preserve">Erlotinib and gefitinib </w:t>
      </w:r>
      <w:r w:rsidR="00F52AA8">
        <w:t>are tyrosine kinase inhibitors</w:t>
      </w:r>
      <w:r w:rsidR="009E4E2E">
        <w:t xml:space="preserve"> (TKIs). </w:t>
      </w:r>
      <w:r w:rsidR="00F52AA8">
        <w:t>They bind to</w:t>
      </w:r>
      <w:r w:rsidR="00211D1F">
        <w:t xml:space="preserve"> </w:t>
      </w:r>
      <w:r w:rsidR="00F52AA8" w:rsidRPr="00F52AA8">
        <w:t xml:space="preserve">the epidermal growth factor receptor </w:t>
      </w:r>
      <w:r w:rsidR="00F52AA8">
        <w:t xml:space="preserve">(EGFR) </w:t>
      </w:r>
      <w:r w:rsidR="00F52AA8" w:rsidRPr="00F52AA8">
        <w:t>and prevent activation of tyrosine kinase</w:t>
      </w:r>
      <w:r w:rsidR="00850FC7">
        <w:t>,</w:t>
      </w:r>
      <w:r w:rsidR="00F52AA8" w:rsidRPr="00F52AA8">
        <w:t xml:space="preserve"> which inhibits cell replication and growth</w:t>
      </w:r>
      <w:r w:rsidR="00F52AA8">
        <w:t>.</w:t>
      </w:r>
    </w:p>
    <w:p w:rsidR="00E9288F" w:rsidRPr="005E22C2" w:rsidRDefault="00E9288F" w:rsidP="00CF5E22">
      <w:pPr>
        <w:pStyle w:val="Heading2"/>
      </w:pPr>
      <w:r w:rsidRPr="00A52918">
        <w:t xml:space="preserve">Therapeutic Goods Administration </w:t>
      </w:r>
      <w:r>
        <w:t>(</w:t>
      </w:r>
      <w:r w:rsidRPr="005E22C2">
        <w:t>TGA</w:t>
      </w:r>
      <w:r>
        <w:t>)</w:t>
      </w:r>
      <w:r w:rsidRPr="005E22C2">
        <w:t xml:space="preserve"> approved </w:t>
      </w:r>
      <w:r>
        <w:t>i</w:t>
      </w:r>
      <w:r w:rsidRPr="005E22C2">
        <w:t>ndications</w:t>
      </w:r>
    </w:p>
    <w:p w:rsidR="00832636" w:rsidRDefault="009101B7" w:rsidP="00832636">
      <w:r w:rsidRPr="00EE6489">
        <w:rPr>
          <w:b/>
        </w:rPr>
        <w:t>Erlotinib</w:t>
      </w:r>
      <w:r w:rsidR="00832636">
        <w:t xml:space="preserve"> (Tarceva</w:t>
      </w:r>
      <w:r w:rsidR="00832636" w:rsidRPr="00850FC7">
        <w:rPr>
          <w:vertAlign w:val="superscript"/>
        </w:rPr>
        <w:sym w:font="Symbol" w:char="F0E2"/>
      </w:r>
      <w:r w:rsidR="00832636">
        <w:t xml:space="preserve">) </w:t>
      </w:r>
      <w:r w:rsidR="00E9288F">
        <w:t xml:space="preserve">is </w:t>
      </w:r>
      <w:r w:rsidR="00EE6489">
        <w:t xml:space="preserve">currently </w:t>
      </w:r>
      <w:r w:rsidR="00E9288F">
        <w:t>TGA registered for</w:t>
      </w:r>
      <w:r w:rsidR="00832636">
        <w:t>:</w:t>
      </w:r>
    </w:p>
    <w:p w:rsidR="00832636" w:rsidRDefault="00832636" w:rsidP="00F02089">
      <w:pPr>
        <w:pStyle w:val="ListParagraph"/>
        <w:numPr>
          <w:ilvl w:val="0"/>
          <w:numId w:val="12"/>
        </w:numPr>
        <w:spacing w:after="120"/>
        <w:ind w:left="284" w:hanging="284"/>
        <w:contextualSpacing w:val="0"/>
      </w:pPr>
      <w:r>
        <w:t>first-line treatment of patients with advanced (Stage IIIB) or metastatic (Stage IV) NSCLC</w:t>
      </w:r>
      <w:r w:rsidR="00FD1EA3">
        <w:t xml:space="preserve"> </w:t>
      </w:r>
      <w:r>
        <w:t>with activating EGFR mutations</w:t>
      </w:r>
      <w:r w:rsidR="00AC57A2">
        <w:t xml:space="preserve"> </w:t>
      </w:r>
    </w:p>
    <w:p w:rsidR="00832636" w:rsidRDefault="00832636" w:rsidP="00F02089">
      <w:pPr>
        <w:pStyle w:val="ListParagraph"/>
        <w:numPr>
          <w:ilvl w:val="0"/>
          <w:numId w:val="12"/>
        </w:numPr>
        <w:spacing w:after="120"/>
        <w:ind w:left="284" w:hanging="284"/>
        <w:contextualSpacing w:val="0"/>
      </w:pPr>
      <w:r>
        <w:t>maintenance therapy</w:t>
      </w:r>
      <w:r w:rsidR="00F02089">
        <w:t>*</w:t>
      </w:r>
      <w:r>
        <w:t xml:space="preserve"> in patients with locally advanced or metasta</w:t>
      </w:r>
      <w:r w:rsidR="00850FC7">
        <w:t xml:space="preserve">tic </w:t>
      </w:r>
      <w:r>
        <w:t>NSCLC with activating EGFR mutations who have not progressed on first-line chemotherapy</w:t>
      </w:r>
      <w:r w:rsidR="00AC57A2">
        <w:t xml:space="preserve"> </w:t>
      </w:r>
    </w:p>
    <w:p w:rsidR="00832636" w:rsidRDefault="00832636" w:rsidP="00F02089">
      <w:pPr>
        <w:pStyle w:val="ListParagraph"/>
        <w:numPr>
          <w:ilvl w:val="0"/>
          <w:numId w:val="12"/>
        </w:numPr>
        <w:spacing w:after="120"/>
        <w:ind w:left="284" w:hanging="284"/>
        <w:contextualSpacing w:val="0"/>
      </w:pPr>
      <w:r>
        <w:t xml:space="preserve">locally advanced or metastatic </w:t>
      </w:r>
      <w:r w:rsidR="00EA0467">
        <w:t>NSCLC</w:t>
      </w:r>
      <w:r>
        <w:t xml:space="preserve"> after failure of prior chemotherapy </w:t>
      </w:r>
    </w:p>
    <w:p w:rsidR="00832636" w:rsidRDefault="00832636" w:rsidP="00F02089">
      <w:pPr>
        <w:pStyle w:val="ListParagraph"/>
        <w:numPr>
          <w:ilvl w:val="0"/>
          <w:numId w:val="12"/>
        </w:numPr>
        <w:spacing w:after="120"/>
        <w:ind w:left="284" w:hanging="284"/>
        <w:contextualSpacing w:val="0"/>
      </w:pPr>
      <w:r>
        <w:t>locally advanced, unresectable or metastatic pancreatic cancer in combination with ge</w:t>
      </w:r>
      <w:r w:rsidR="003C148E">
        <w:t>m</w:t>
      </w:r>
      <w:r>
        <w:t>citabine.</w:t>
      </w:r>
    </w:p>
    <w:p w:rsidR="00832636" w:rsidRPr="005A13C5" w:rsidRDefault="00F02089" w:rsidP="00A35800">
      <w:pPr>
        <w:rPr>
          <w:i/>
        </w:rPr>
      </w:pPr>
      <w:r>
        <w:rPr>
          <w:i/>
        </w:rPr>
        <w:t>*</w:t>
      </w:r>
      <w:r w:rsidR="005A13C5" w:rsidRPr="005A13C5">
        <w:rPr>
          <w:i/>
        </w:rPr>
        <w:t xml:space="preserve">The </w:t>
      </w:r>
      <w:r w:rsidR="005A13C5">
        <w:rPr>
          <w:i/>
        </w:rPr>
        <w:t xml:space="preserve">original </w:t>
      </w:r>
      <w:r w:rsidR="005A13C5" w:rsidRPr="005A13C5">
        <w:rPr>
          <w:i/>
        </w:rPr>
        <w:t>maintenance indication</w:t>
      </w:r>
      <w:r w:rsidR="005A13C5">
        <w:rPr>
          <w:i/>
        </w:rPr>
        <w:t xml:space="preserve"> </w:t>
      </w:r>
      <w:r w:rsidR="00FB7C99">
        <w:rPr>
          <w:i/>
        </w:rPr>
        <w:t xml:space="preserve">for </w:t>
      </w:r>
      <w:r w:rsidR="005A13C5" w:rsidRPr="005A13C5">
        <w:rPr>
          <w:i/>
        </w:rPr>
        <w:t>locally advanced or metastatic NSCLC</w:t>
      </w:r>
      <w:r w:rsidR="005A13C5">
        <w:rPr>
          <w:i/>
        </w:rPr>
        <w:t xml:space="preserve"> did not specify </w:t>
      </w:r>
      <w:r w:rsidR="00AC57A2">
        <w:rPr>
          <w:i/>
        </w:rPr>
        <w:t>a</w:t>
      </w:r>
      <w:r w:rsidR="005A13C5">
        <w:rPr>
          <w:i/>
        </w:rPr>
        <w:t xml:space="preserve"> requirement for patients to harbour an EGFR-activating mutation. The IUNO study found no demonstrable benefit of first-line maintenance treatment versus second-line treatment with erlotinib for patients whose tumours do not harbour an EGFR-activating mutation. As a result of this finding</w:t>
      </w:r>
      <w:r w:rsidR="00850FC7">
        <w:rPr>
          <w:i/>
        </w:rPr>
        <w:t>,</w:t>
      </w:r>
      <w:r w:rsidR="005A13C5">
        <w:rPr>
          <w:i/>
        </w:rPr>
        <w:t xml:space="preserve"> </w:t>
      </w:r>
      <w:r w:rsidR="00AC57A2">
        <w:rPr>
          <w:i/>
        </w:rPr>
        <w:t xml:space="preserve">the maintenance </w:t>
      </w:r>
      <w:r w:rsidR="007256E1">
        <w:rPr>
          <w:i/>
        </w:rPr>
        <w:t>indication was restricted to patients with EGFR mutations only</w:t>
      </w:r>
      <w:r w:rsidR="00AC57A2">
        <w:rPr>
          <w:i/>
        </w:rPr>
        <w:t xml:space="preserve"> from</w:t>
      </w:r>
      <w:r w:rsidR="006F15F7">
        <w:rPr>
          <w:i/>
        </w:rPr>
        <w:t xml:space="preserve"> </w:t>
      </w:r>
      <w:r w:rsidR="00746996">
        <w:rPr>
          <w:i/>
        </w:rPr>
        <w:t xml:space="preserve">16 December 2015 </w:t>
      </w:r>
      <w:r>
        <w:rPr>
          <w:i/>
        </w:rPr>
        <w:t>and a safety u</w:t>
      </w:r>
      <w:r w:rsidR="00EE6489">
        <w:rPr>
          <w:i/>
        </w:rPr>
        <w:t xml:space="preserve">pdate was published in </w:t>
      </w:r>
      <w:r w:rsidR="00AC57A2">
        <w:rPr>
          <w:i/>
        </w:rPr>
        <w:t>April 2016</w:t>
      </w:r>
      <w:r w:rsidR="007256E1">
        <w:rPr>
          <w:i/>
        </w:rPr>
        <w:t>.</w:t>
      </w:r>
      <w:r w:rsidR="007256E1">
        <w:rPr>
          <w:rStyle w:val="FootnoteReference"/>
          <w:i/>
        </w:rPr>
        <w:footnoteReference w:id="4"/>
      </w:r>
    </w:p>
    <w:p w:rsidR="00EE6489" w:rsidRDefault="00EE6489" w:rsidP="00850FC7">
      <w:r w:rsidRPr="00F02089">
        <w:rPr>
          <w:b/>
        </w:rPr>
        <w:t>Gefitinib</w:t>
      </w:r>
      <w:r>
        <w:t xml:space="preserve"> (Iressa</w:t>
      </w:r>
      <w:r w:rsidRPr="00D81A50">
        <w:rPr>
          <w:vertAlign w:val="superscript"/>
        </w:rPr>
        <w:sym w:font="Symbol" w:char="F0E2"/>
      </w:r>
      <w:r>
        <w:t>) is currently TGA registered for</w:t>
      </w:r>
      <w:r w:rsidR="00850FC7">
        <w:t xml:space="preserve"> t</w:t>
      </w:r>
      <w:r w:rsidRPr="004776D2">
        <w:t xml:space="preserve">reatment of patients with locally advanced or </w:t>
      </w:r>
      <w:r w:rsidR="00A3380E">
        <w:t xml:space="preserve">metastatic </w:t>
      </w:r>
      <w:r w:rsidRPr="004776D2">
        <w:t>NSCLC whose tumours express activating mutations of the EGFR tyrosine kinase</w:t>
      </w:r>
      <w:r w:rsidR="009337F3">
        <w:t>.</w:t>
      </w:r>
      <w:r>
        <w:t xml:space="preserve"> </w:t>
      </w:r>
    </w:p>
    <w:p w:rsidR="004776D2" w:rsidRDefault="004776D2" w:rsidP="00A35800">
      <w:pPr>
        <w:rPr>
          <w:i/>
        </w:rPr>
      </w:pPr>
      <w:r w:rsidRPr="004776D2">
        <w:rPr>
          <w:i/>
        </w:rPr>
        <w:t>The original indication for gefitinib</w:t>
      </w:r>
      <w:r w:rsidR="002845F0">
        <w:rPr>
          <w:i/>
        </w:rPr>
        <w:t xml:space="preserve">, </w:t>
      </w:r>
      <w:r w:rsidR="00F41D78" w:rsidRPr="00F41D78">
        <w:rPr>
          <w:i/>
        </w:rPr>
        <w:t xml:space="preserve">approved by the TGA on 22 April 2003, </w:t>
      </w:r>
      <w:r w:rsidR="002845F0">
        <w:rPr>
          <w:i/>
        </w:rPr>
        <w:t xml:space="preserve">was </w:t>
      </w:r>
      <w:r w:rsidR="00F41D78" w:rsidRPr="00F41D78">
        <w:rPr>
          <w:i/>
        </w:rPr>
        <w:t xml:space="preserve">for the treatment of patients with </w:t>
      </w:r>
      <w:r w:rsidR="00850FC7">
        <w:rPr>
          <w:i/>
        </w:rPr>
        <w:t xml:space="preserve">locally advanced or metastatic </w:t>
      </w:r>
      <w:r w:rsidR="00F41D78" w:rsidRPr="00F41D78">
        <w:rPr>
          <w:i/>
        </w:rPr>
        <w:t>NSCLC who have previously received chemotherapy.</w:t>
      </w:r>
    </w:p>
    <w:p w:rsidR="009337F3" w:rsidRPr="009337F3" w:rsidRDefault="009337F3" w:rsidP="00A35800"/>
    <w:p w:rsidR="00E9288F" w:rsidRDefault="00E9288F" w:rsidP="00CF5E22">
      <w:pPr>
        <w:pStyle w:val="Heading2"/>
      </w:pPr>
      <w:r>
        <w:lastRenderedPageBreak/>
        <w:t>Dosage and administration</w:t>
      </w:r>
    </w:p>
    <w:p w:rsidR="00725EFC" w:rsidRDefault="009101B7" w:rsidP="007C78C6">
      <w:r w:rsidRPr="007C78C6">
        <w:rPr>
          <w:b/>
        </w:rPr>
        <w:t>Gefitinib</w:t>
      </w:r>
      <w:r w:rsidR="00725EFC">
        <w:t xml:space="preserve">: usual dose is 250 mg once a day, taken with or without food. </w:t>
      </w:r>
      <w:r w:rsidR="007C78C6">
        <w:t>Gefitinib needs to be swallowed whole or dispersed in water (without crushing – see Product Information for further details).</w:t>
      </w:r>
    </w:p>
    <w:p w:rsidR="009101B7" w:rsidRDefault="00725EFC" w:rsidP="00725EFC">
      <w:r>
        <w:t>Patients with poorly tolerate</w:t>
      </w:r>
      <w:r w:rsidR="00302675">
        <w:t xml:space="preserve">d diarrhoea or skin-related </w:t>
      </w:r>
      <w:r>
        <w:t>adverse drug reactions may be successfully managed by providing a brief (up to 14 days) therapy interruption followed by reinstatement of the 250 mg dose</w:t>
      </w:r>
      <w:r w:rsidR="007C78C6">
        <w:t xml:space="preserve">. </w:t>
      </w:r>
    </w:p>
    <w:p w:rsidR="007C78C6" w:rsidRDefault="007C78C6" w:rsidP="007C78C6">
      <w:r w:rsidRPr="007C78C6">
        <w:rPr>
          <w:b/>
        </w:rPr>
        <w:t>Erlotinib</w:t>
      </w:r>
      <w:r>
        <w:t>: usual dose for NSCLC is 150 mg taken at least one hour before or two hours after food. Treatment should be continued until disease progression or unacceptable toxicity occurs. There is no evidence that treatment beyond disease progression is beneficial.</w:t>
      </w:r>
    </w:p>
    <w:p w:rsidR="007C78C6" w:rsidRDefault="007C78C6" w:rsidP="007C78C6">
      <w:r>
        <w:t>When dose adjustment is necessary, reduce in 50 mg steps.</w:t>
      </w:r>
    </w:p>
    <w:p w:rsidR="00E9288F" w:rsidRPr="002F61CA" w:rsidRDefault="00E9288F" w:rsidP="00F17D4B">
      <w:r w:rsidRPr="002F61CA">
        <w:t xml:space="preserve">The current Product Information (PI) and Consumer Medicine Information (CMI) are available from </w:t>
      </w:r>
      <w:r w:rsidRPr="000E0503">
        <w:t>the TGA (Product Information)</w:t>
      </w:r>
      <w:r>
        <w:t xml:space="preserve"> and </w:t>
      </w:r>
      <w:r w:rsidRPr="000E0503">
        <w:t>the TGA (Consumer Medicines Information)</w:t>
      </w:r>
      <w:r>
        <w:t>.</w:t>
      </w:r>
      <w:r w:rsidR="00742C26">
        <w:t xml:space="preserve"> Refer to the PI for full details. </w:t>
      </w:r>
    </w:p>
    <w:p w:rsidR="00E9288F" w:rsidRPr="007247B9" w:rsidRDefault="00E9288F" w:rsidP="00CF5E22">
      <w:pPr>
        <w:pStyle w:val="Heading2"/>
      </w:pPr>
      <w:r w:rsidRPr="006B7104">
        <w:t>Clinical situation</w:t>
      </w:r>
    </w:p>
    <w:p w:rsidR="006B7104" w:rsidRPr="000A0226" w:rsidRDefault="009337F3" w:rsidP="00B06030">
      <w:pPr>
        <w:pStyle w:val="Heading3"/>
        <w:rPr>
          <w:b w:val="0"/>
          <w:i w:val="0"/>
        </w:rPr>
      </w:pPr>
      <w:r>
        <w:rPr>
          <w:b w:val="0"/>
          <w:i w:val="0"/>
        </w:rPr>
        <w:t>Lung cancer is the fifth most common cancer in Australia.</w:t>
      </w:r>
      <w:r w:rsidR="00E63121">
        <w:rPr>
          <w:rStyle w:val="FootnoteReference"/>
          <w:b w:val="0"/>
          <w:i w:val="0"/>
        </w:rPr>
        <w:footnoteReference w:id="5"/>
      </w:r>
      <w:r>
        <w:rPr>
          <w:b w:val="0"/>
          <w:i w:val="0"/>
        </w:rPr>
        <w:t xml:space="preserve"> </w:t>
      </w:r>
      <w:r w:rsidR="00B8000B">
        <w:rPr>
          <w:b w:val="0"/>
          <w:i w:val="0"/>
        </w:rPr>
        <w:t>In 2015, l</w:t>
      </w:r>
      <w:r w:rsidR="00B8000B" w:rsidRPr="00B8000B">
        <w:rPr>
          <w:b w:val="0"/>
          <w:i w:val="0"/>
        </w:rPr>
        <w:t>ung cancer was the fourth leading cause of death overall</w:t>
      </w:r>
      <w:r w:rsidR="000A0226">
        <w:rPr>
          <w:b w:val="0"/>
          <w:i w:val="0"/>
        </w:rPr>
        <w:t xml:space="preserve"> in Australia</w:t>
      </w:r>
      <w:r w:rsidR="00B8000B" w:rsidRPr="00B8000B">
        <w:rPr>
          <w:b w:val="0"/>
          <w:i w:val="0"/>
        </w:rPr>
        <w:t xml:space="preserve"> and accounted for the most cancer deaths (8,466)</w:t>
      </w:r>
      <w:r w:rsidR="00302675">
        <w:rPr>
          <w:b w:val="0"/>
          <w:i w:val="0"/>
        </w:rPr>
        <w:t>.</w:t>
      </w:r>
      <w:r w:rsidR="00B8000B" w:rsidRPr="007A5C5B">
        <w:rPr>
          <w:b w:val="0"/>
          <w:i w:val="0"/>
          <w:vertAlign w:val="superscript"/>
        </w:rPr>
        <w:footnoteReference w:id="6"/>
      </w:r>
      <w:r w:rsidR="006B7104" w:rsidRPr="007A5C5B">
        <w:rPr>
          <w:b w:val="0"/>
          <w:i w:val="0"/>
          <w:vertAlign w:val="superscript"/>
        </w:rPr>
        <w:t xml:space="preserve"> </w:t>
      </w:r>
      <w:r w:rsidR="006B7104" w:rsidRPr="006B7104">
        <w:rPr>
          <w:b w:val="0"/>
          <w:i w:val="0"/>
        </w:rPr>
        <w:t xml:space="preserve">Most lung cancers are </w:t>
      </w:r>
      <w:r w:rsidR="006B7104">
        <w:rPr>
          <w:b w:val="0"/>
          <w:i w:val="0"/>
        </w:rPr>
        <w:t>advanced at diagnosis and prognosis is generally poor</w:t>
      </w:r>
      <w:r w:rsidR="006B7104" w:rsidRPr="006B7104">
        <w:rPr>
          <w:b w:val="0"/>
          <w:i w:val="0"/>
        </w:rPr>
        <w:t>.</w:t>
      </w:r>
      <w:r w:rsidR="00B06030">
        <w:rPr>
          <w:b w:val="0"/>
          <w:i w:val="0"/>
        </w:rPr>
        <w:t xml:space="preserve"> </w:t>
      </w:r>
      <w:r w:rsidR="006B7104" w:rsidRPr="00B06030">
        <w:rPr>
          <w:b w:val="0"/>
          <w:i w:val="0"/>
        </w:rPr>
        <w:t>Lung cancers are classified into two main groups, small cell lung cancer (SCLC) and non-s</w:t>
      </w:r>
      <w:r w:rsidR="00302675">
        <w:rPr>
          <w:b w:val="0"/>
          <w:i w:val="0"/>
        </w:rPr>
        <w:t xml:space="preserve">mall cell lung cancer (NSCLC). </w:t>
      </w:r>
      <w:r w:rsidR="00B06030">
        <w:rPr>
          <w:b w:val="0"/>
          <w:i w:val="0"/>
        </w:rPr>
        <w:t xml:space="preserve">NSCLC, the most </w:t>
      </w:r>
      <w:r w:rsidR="000A0226">
        <w:rPr>
          <w:b w:val="0"/>
          <w:i w:val="0"/>
        </w:rPr>
        <w:t>prevalent</w:t>
      </w:r>
      <w:r w:rsidR="00B06030">
        <w:rPr>
          <w:b w:val="0"/>
          <w:i w:val="0"/>
        </w:rPr>
        <w:t xml:space="preserve"> lung cancer, has three </w:t>
      </w:r>
      <w:r w:rsidR="000A0226">
        <w:rPr>
          <w:b w:val="0"/>
          <w:i w:val="0"/>
        </w:rPr>
        <w:t>common forms</w:t>
      </w:r>
      <w:r w:rsidR="00302675">
        <w:rPr>
          <w:b w:val="0"/>
          <w:i w:val="0"/>
        </w:rPr>
        <w:t xml:space="preserve"> - adenocarcinomas</w:t>
      </w:r>
      <w:r w:rsidR="000A0226">
        <w:rPr>
          <w:b w:val="0"/>
          <w:i w:val="0"/>
        </w:rPr>
        <w:t xml:space="preserve">, </w:t>
      </w:r>
      <w:r w:rsidR="000A0226" w:rsidRPr="000A0226">
        <w:rPr>
          <w:b w:val="0"/>
          <w:i w:val="0"/>
        </w:rPr>
        <w:t>squamous cell carcinomas and large cell carcinoma</w:t>
      </w:r>
      <w:r w:rsidR="000A0226">
        <w:rPr>
          <w:b w:val="0"/>
          <w:i w:val="0"/>
        </w:rPr>
        <w:t xml:space="preserve">s. Some </w:t>
      </w:r>
      <w:r w:rsidR="009655F0" w:rsidRPr="009655F0">
        <w:rPr>
          <w:b w:val="0"/>
          <w:i w:val="0"/>
          <w:lang w:val="en"/>
        </w:rPr>
        <w:t xml:space="preserve">NSCLCs have certain mutations in the </w:t>
      </w:r>
      <w:r w:rsidR="009655F0" w:rsidRPr="009655F0">
        <w:rPr>
          <w:b w:val="0"/>
          <w:i w:val="0"/>
          <w:iCs/>
          <w:lang w:val="en"/>
        </w:rPr>
        <w:t>EGFR</w:t>
      </w:r>
      <w:r w:rsidR="009655F0" w:rsidRPr="009655F0">
        <w:rPr>
          <w:b w:val="0"/>
          <w:i w:val="0"/>
          <w:lang w:val="en"/>
        </w:rPr>
        <w:t xml:space="preserve"> gene. These are more common in </w:t>
      </w:r>
      <w:r w:rsidR="009655F0">
        <w:rPr>
          <w:b w:val="0"/>
          <w:i w:val="0"/>
          <w:lang w:val="en"/>
        </w:rPr>
        <w:t xml:space="preserve">females, </w:t>
      </w:r>
      <w:r w:rsidR="009655F0" w:rsidRPr="009655F0">
        <w:rPr>
          <w:b w:val="0"/>
          <w:i w:val="0"/>
          <w:lang w:val="en"/>
        </w:rPr>
        <w:t xml:space="preserve">people </w:t>
      </w:r>
      <w:r w:rsidR="009655F0">
        <w:rPr>
          <w:b w:val="0"/>
          <w:i w:val="0"/>
          <w:lang w:val="en"/>
        </w:rPr>
        <w:t>with</w:t>
      </w:r>
      <w:r w:rsidR="000A0226" w:rsidRPr="000A0226">
        <w:rPr>
          <w:b w:val="0"/>
          <w:i w:val="0"/>
        </w:rPr>
        <w:t xml:space="preserve"> no prior history of smoking, and those of Asian descent. </w:t>
      </w:r>
      <w:r w:rsidR="009655F0">
        <w:rPr>
          <w:b w:val="0"/>
          <w:i w:val="0"/>
        </w:rPr>
        <w:t xml:space="preserve">The EGFR TKI medicines are targeted therapies used for treatment for NSCLC in patients with </w:t>
      </w:r>
      <w:r w:rsidR="000B2A9E" w:rsidRPr="000B2A9E">
        <w:rPr>
          <w:b w:val="0"/>
          <w:i w:val="0"/>
        </w:rPr>
        <w:t xml:space="preserve">evidence of </w:t>
      </w:r>
      <w:r w:rsidR="00FD1EA3">
        <w:rPr>
          <w:b w:val="0"/>
          <w:i w:val="0"/>
        </w:rPr>
        <w:t xml:space="preserve">activating </w:t>
      </w:r>
      <w:r w:rsidR="000B2A9E" w:rsidRPr="000B2A9E">
        <w:rPr>
          <w:b w:val="0"/>
          <w:i w:val="0"/>
        </w:rPr>
        <w:t>EGFR gene mutations</w:t>
      </w:r>
      <w:r w:rsidR="000B2A9E">
        <w:rPr>
          <w:b w:val="0"/>
          <w:i w:val="0"/>
        </w:rPr>
        <w:t>.</w:t>
      </w:r>
    </w:p>
    <w:p w:rsidR="00E9288F" w:rsidRDefault="00E9288F" w:rsidP="00CF5E22">
      <w:pPr>
        <w:pStyle w:val="Heading2"/>
      </w:pPr>
      <w:r w:rsidRPr="007247B9">
        <w:t>PBS listing details</w:t>
      </w:r>
      <w:r>
        <w:t xml:space="preserve"> </w:t>
      </w:r>
      <w:r w:rsidR="00302675">
        <w:t>(as at December 2016)</w:t>
      </w:r>
    </w:p>
    <w:p w:rsidR="00BE4EDE" w:rsidRDefault="00BE4EDE" w:rsidP="00BE4EDE">
      <w:r>
        <w:t>There have been a number of PBS items and changes to the restrictions for erlotinib and gefitinib over time. An overview is provided</w:t>
      </w:r>
      <w:r w:rsidR="00302675">
        <w:t xml:space="preserve"> in Appendix A. The current PBS </w:t>
      </w:r>
      <w:r>
        <w:t xml:space="preserve">listings are provided in Table 1 and a summary of the PBS restriction criteria are below. </w:t>
      </w:r>
    </w:p>
    <w:p w:rsidR="00BE4EDE" w:rsidRPr="00BE4EDE" w:rsidRDefault="00BE4EDE" w:rsidP="00BE4EDE">
      <w:r w:rsidRPr="00BE4EDE">
        <w:t xml:space="preserve">For full details of the current PBS-listing refer to the </w:t>
      </w:r>
      <w:r w:rsidRPr="000E0503">
        <w:t>PBS website</w:t>
      </w:r>
      <w:r w:rsidRPr="00BE4EDE">
        <w:t>.</w:t>
      </w:r>
    </w:p>
    <w:p w:rsidR="00302675" w:rsidRDefault="00302675">
      <w:pPr>
        <w:spacing w:line="276" w:lineRule="auto"/>
        <w:rPr>
          <w:b/>
        </w:rPr>
      </w:pPr>
      <w:r>
        <w:br w:type="page"/>
      </w:r>
    </w:p>
    <w:p w:rsidR="00E9288F" w:rsidRPr="001420B3" w:rsidRDefault="00E9288F" w:rsidP="00CF5E22">
      <w:pPr>
        <w:pStyle w:val="Tabletitle"/>
      </w:pPr>
      <w:r w:rsidRPr="001420B3">
        <w:lastRenderedPageBreak/>
        <w:t xml:space="preserve">Table </w:t>
      </w:r>
      <w:r>
        <w:t>1</w:t>
      </w:r>
      <w:r w:rsidRPr="001420B3">
        <w:t xml:space="preserve">: </w:t>
      </w:r>
      <w:r>
        <w:t xml:space="preserve">PBS listing of </w:t>
      </w:r>
      <w:r w:rsidR="001848EE">
        <w:t>erlotinib and gefitinib</w:t>
      </w:r>
    </w:p>
    <w:tbl>
      <w:tblPr>
        <w:tblStyle w:val="TableGrid"/>
        <w:tblW w:w="9453" w:type="dxa"/>
        <w:tblLayout w:type="fixed"/>
        <w:tblLook w:val="04A0" w:firstRow="1" w:lastRow="0" w:firstColumn="1" w:lastColumn="0" w:noHBand="0" w:noVBand="1"/>
        <w:tblCaption w:val="Table 1: PBS listing of erlotinib and gefitinib"/>
      </w:tblPr>
      <w:tblGrid>
        <w:gridCol w:w="1101"/>
        <w:gridCol w:w="2494"/>
        <w:gridCol w:w="737"/>
        <w:gridCol w:w="737"/>
        <w:gridCol w:w="850"/>
        <w:gridCol w:w="1040"/>
        <w:gridCol w:w="2494"/>
      </w:tblGrid>
      <w:tr w:rsidR="00C54275" w:rsidRPr="00C54275" w:rsidTr="001C487D">
        <w:trPr>
          <w:trHeight w:val="694"/>
          <w:tblHeader/>
        </w:trPr>
        <w:tc>
          <w:tcPr>
            <w:tcW w:w="1101" w:type="dxa"/>
            <w:shd w:val="clear" w:color="auto" w:fill="BFBFBF" w:themeFill="background1" w:themeFillShade="BF"/>
          </w:tcPr>
          <w:p w:rsidR="00C54275" w:rsidRPr="00C54275" w:rsidRDefault="00C54275" w:rsidP="00A35800">
            <w:pPr>
              <w:pStyle w:val="Tableheading"/>
              <w:rPr>
                <w:sz w:val="20"/>
                <w:szCs w:val="20"/>
              </w:rPr>
            </w:pPr>
            <w:r w:rsidRPr="00C54275">
              <w:rPr>
                <w:sz w:val="20"/>
                <w:szCs w:val="20"/>
              </w:rPr>
              <w:t>Item</w:t>
            </w:r>
          </w:p>
        </w:tc>
        <w:tc>
          <w:tcPr>
            <w:tcW w:w="2494" w:type="dxa"/>
            <w:shd w:val="clear" w:color="auto" w:fill="BFBFBF" w:themeFill="background1" w:themeFillShade="BF"/>
          </w:tcPr>
          <w:p w:rsidR="00C54275" w:rsidRPr="00C54275" w:rsidRDefault="00C54275" w:rsidP="00A35800">
            <w:pPr>
              <w:pStyle w:val="Tableheading"/>
              <w:rPr>
                <w:sz w:val="20"/>
                <w:szCs w:val="20"/>
              </w:rPr>
            </w:pPr>
            <w:r w:rsidRPr="00C54275">
              <w:rPr>
                <w:sz w:val="20"/>
                <w:szCs w:val="20"/>
              </w:rPr>
              <w:t>Name, form &amp; strength, pack size</w:t>
            </w:r>
          </w:p>
        </w:tc>
        <w:tc>
          <w:tcPr>
            <w:tcW w:w="737" w:type="dxa"/>
            <w:shd w:val="clear" w:color="auto" w:fill="BFBFBF" w:themeFill="background1" w:themeFillShade="BF"/>
          </w:tcPr>
          <w:p w:rsidR="00C54275" w:rsidRPr="00C54275" w:rsidRDefault="00C54275" w:rsidP="00C54275">
            <w:pPr>
              <w:pStyle w:val="Tableheading"/>
              <w:rPr>
                <w:sz w:val="20"/>
                <w:szCs w:val="20"/>
              </w:rPr>
            </w:pPr>
            <w:r w:rsidRPr="00C54275">
              <w:rPr>
                <w:sz w:val="20"/>
                <w:szCs w:val="20"/>
              </w:rPr>
              <w:t>Max qty packs</w:t>
            </w:r>
          </w:p>
        </w:tc>
        <w:tc>
          <w:tcPr>
            <w:tcW w:w="737" w:type="dxa"/>
            <w:shd w:val="clear" w:color="auto" w:fill="BFBFBF" w:themeFill="background1" w:themeFillShade="BF"/>
          </w:tcPr>
          <w:p w:rsidR="00C54275" w:rsidRPr="00C54275" w:rsidRDefault="00C54275" w:rsidP="00C54275">
            <w:pPr>
              <w:pStyle w:val="Tableheading"/>
              <w:rPr>
                <w:sz w:val="20"/>
                <w:szCs w:val="20"/>
              </w:rPr>
            </w:pPr>
            <w:r w:rsidRPr="00C54275">
              <w:rPr>
                <w:sz w:val="20"/>
                <w:szCs w:val="20"/>
              </w:rPr>
              <w:t>Max qty units</w:t>
            </w:r>
          </w:p>
        </w:tc>
        <w:tc>
          <w:tcPr>
            <w:tcW w:w="850" w:type="dxa"/>
            <w:shd w:val="clear" w:color="auto" w:fill="BFBFBF" w:themeFill="background1" w:themeFillShade="BF"/>
          </w:tcPr>
          <w:p w:rsidR="00C54275" w:rsidRPr="00C54275" w:rsidRDefault="00C54275" w:rsidP="00C54275">
            <w:pPr>
              <w:pStyle w:val="Tableheading"/>
              <w:rPr>
                <w:sz w:val="20"/>
                <w:szCs w:val="20"/>
              </w:rPr>
            </w:pPr>
            <w:r w:rsidRPr="00C54275">
              <w:rPr>
                <w:sz w:val="20"/>
                <w:szCs w:val="20"/>
              </w:rPr>
              <w:t>Rpts</w:t>
            </w:r>
          </w:p>
        </w:tc>
        <w:tc>
          <w:tcPr>
            <w:tcW w:w="1040" w:type="dxa"/>
            <w:shd w:val="clear" w:color="auto" w:fill="BFBFBF" w:themeFill="background1" w:themeFillShade="BF"/>
          </w:tcPr>
          <w:p w:rsidR="00C54275" w:rsidRPr="00C54275" w:rsidRDefault="00C54275" w:rsidP="00C54275">
            <w:pPr>
              <w:pStyle w:val="Tableheading"/>
              <w:rPr>
                <w:sz w:val="20"/>
                <w:szCs w:val="20"/>
              </w:rPr>
            </w:pPr>
            <w:r w:rsidRPr="00C54275">
              <w:rPr>
                <w:sz w:val="20"/>
                <w:szCs w:val="20"/>
              </w:rPr>
              <w:t>DPMQ</w:t>
            </w:r>
          </w:p>
        </w:tc>
        <w:tc>
          <w:tcPr>
            <w:tcW w:w="2494" w:type="dxa"/>
            <w:shd w:val="clear" w:color="auto" w:fill="BFBFBF" w:themeFill="background1" w:themeFillShade="BF"/>
          </w:tcPr>
          <w:p w:rsidR="00C54275" w:rsidRPr="00C54275" w:rsidRDefault="00C54275" w:rsidP="00C54275">
            <w:pPr>
              <w:pStyle w:val="Tableheading"/>
              <w:rPr>
                <w:sz w:val="20"/>
                <w:szCs w:val="20"/>
              </w:rPr>
            </w:pPr>
            <w:r w:rsidRPr="00C54275">
              <w:rPr>
                <w:sz w:val="20"/>
                <w:szCs w:val="20"/>
              </w:rPr>
              <w:t>Brand name and manufacturer</w:t>
            </w:r>
          </w:p>
        </w:tc>
      </w:tr>
      <w:tr w:rsidR="00C54275" w:rsidRPr="00A35800" w:rsidTr="001C487D">
        <w:trPr>
          <w:trHeight w:val="552"/>
          <w:tblHeader/>
        </w:trPr>
        <w:tc>
          <w:tcPr>
            <w:tcW w:w="1101" w:type="dxa"/>
            <w:shd w:val="clear" w:color="auto" w:fill="auto"/>
          </w:tcPr>
          <w:p w:rsidR="00C54275" w:rsidRPr="00C54275" w:rsidRDefault="00C54275" w:rsidP="00C54275">
            <w:pPr>
              <w:pStyle w:val="Tablewriting"/>
            </w:pPr>
            <w:r w:rsidRPr="00C54275">
              <w:t>8769M</w:t>
            </w:r>
          </w:p>
        </w:tc>
        <w:tc>
          <w:tcPr>
            <w:tcW w:w="2494" w:type="dxa"/>
            <w:shd w:val="clear" w:color="auto" w:fill="auto"/>
          </w:tcPr>
          <w:p w:rsidR="00C54275" w:rsidRPr="00C54275" w:rsidRDefault="00C54275" w:rsidP="00C54275">
            <w:pPr>
              <w:pStyle w:val="Tablewriting"/>
            </w:pPr>
            <w:r>
              <w:t>G</w:t>
            </w:r>
            <w:r w:rsidRPr="00C54275">
              <w:t>efitinib 250 mg tablet, 30</w:t>
            </w:r>
          </w:p>
        </w:tc>
        <w:tc>
          <w:tcPr>
            <w:tcW w:w="737" w:type="dxa"/>
            <w:shd w:val="clear" w:color="auto" w:fill="auto"/>
          </w:tcPr>
          <w:p w:rsidR="00C54275" w:rsidRPr="00C54275" w:rsidRDefault="00C54275" w:rsidP="00C54275">
            <w:pPr>
              <w:pStyle w:val="Tablewriting"/>
              <w:jc w:val="center"/>
            </w:pPr>
            <w:r w:rsidRPr="00C54275">
              <w:t>1</w:t>
            </w:r>
          </w:p>
        </w:tc>
        <w:tc>
          <w:tcPr>
            <w:tcW w:w="737" w:type="dxa"/>
          </w:tcPr>
          <w:p w:rsidR="00C54275" w:rsidRPr="00C54275" w:rsidRDefault="00C54275" w:rsidP="00C54275">
            <w:pPr>
              <w:pStyle w:val="Tablewriting"/>
              <w:jc w:val="center"/>
            </w:pPr>
            <w:r w:rsidRPr="00C54275">
              <w:t>30</w:t>
            </w:r>
          </w:p>
        </w:tc>
        <w:tc>
          <w:tcPr>
            <w:tcW w:w="850" w:type="dxa"/>
            <w:shd w:val="clear" w:color="auto" w:fill="auto"/>
          </w:tcPr>
          <w:p w:rsidR="00C54275" w:rsidRPr="00C54275" w:rsidRDefault="00C54275" w:rsidP="00C54275">
            <w:pPr>
              <w:pStyle w:val="Tablewriting"/>
              <w:jc w:val="center"/>
            </w:pPr>
            <w:r w:rsidRPr="00C54275">
              <w:t>3</w:t>
            </w:r>
          </w:p>
        </w:tc>
        <w:tc>
          <w:tcPr>
            <w:tcW w:w="1040" w:type="dxa"/>
            <w:shd w:val="clear" w:color="auto" w:fill="auto"/>
          </w:tcPr>
          <w:p w:rsidR="00C54275" w:rsidRPr="00C54275" w:rsidRDefault="00C54275" w:rsidP="00C54275">
            <w:pPr>
              <w:pStyle w:val="Tablewriting"/>
              <w:jc w:val="center"/>
            </w:pPr>
            <w:r w:rsidRPr="00C54275">
              <w:t>$1432.97</w:t>
            </w:r>
          </w:p>
        </w:tc>
        <w:tc>
          <w:tcPr>
            <w:tcW w:w="2494" w:type="dxa"/>
            <w:shd w:val="clear" w:color="auto" w:fill="auto"/>
          </w:tcPr>
          <w:p w:rsidR="00C54275" w:rsidRPr="00C54275" w:rsidRDefault="00C54275" w:rsidP="00C54275">
            <w:pPr>
              <w:pStyle w:val="Tablewriting"/>
              <w:jc w:val="center"/>
            </w:pPr>
            <w:r w:rsidRPr="00C54275">
              <w:t>Iressa</w:t>
            </w:r>
            <w:r w:rsidRPr="00C54275">
              <w:rPr>
                <w:rFonts w:ascii="Calibri" w:hAnsi="Calibri"/>
              </w:rPr>
              <w:t>®</w:t>
            </w:r>
            <w:r>
              <w:rPr>
                <w:rFonts w:ascii="Calibri" w:hAnsi="Calibri"/>
              </w:rPr>
              <w:t xml:space="preserve"> </w:t>
            </w:r>
            <w:r w:rsidRPr="00C54275">
              <w:rPr>
                <w:rFonts w:ascii="Calibri" w:hAnsi="Calibri"/>
              </w:rPr>
              <w:t>AstraZeneca Pty Ltd</w:t>
            </w:r>
          </w:p>
        </w:tc>
      </w:tr>
      <w:tr w:rsidR="001C487D" w:rsidRPr="001C487D" w:rsidTr="001C487D">
        <w:trPr>
          <w:trHeight w:val="552"/>
          <w:tblHeader/>
        </w:trPr>
        <w:tc>
          <w:tcPr>
            <w:tcW w:w="1101" w:type="dxa"/>
            <w:shd w:val="clear" w:color="auto" w:fill="auto"/>
          </w:tcPr>
          <w:p w:rsidR="001C487D" w:rsidRPr="001C487D" w:rsidRDefault="001C487D" w:rsidP="001C487D">
            <w:pPr>
              <w:pStyle w:val="Tablewriting"/>
            </w:pPr>
            <w:r w:rsidRPr="001C487D">
              <w:t>10022L</w:t>
            </w:r>
            <w:r>
              <w:t>,</w:t>
            </w:r>
            <w:r>
              <w:br/>
            </w:r>
            <w:r w:rsidRPr="001C487D">
              <w:t>10028T</w:t>
            </w:r>
          </w:p>
        </w:tc>
        <w:tc>
          <w:tcPr>
            <w:tcW w:w="2494" w:type="dxa"/>
            <w:shd w:val="clear" w:color="auto" w:fill="auto"/>
          </w:tcPr>
          <w:p w:rsidR="001C487D" w:rsidRPr="001C487D" w:rsidRDefault="001C487D" w:rsidP="001C487D">
            <w:pPr>
              <w:pStyle w:val="Tablewriting"/>
            </w:pPr>
            <w:r>
              <w:t>E</w:t>
            </w:r>
            <w:r w:rsidRPr="001C487D">
              <w:t>rlotinib 25 mg tablet, 30</w:t>
            </w:r>
          </w:p>
        </w:tc>
        <w:tc>
          <w:tcPr>
            <w:tcW w:w="737" w:type="dxa"/>
            <w:shd w:val="clear" w:color="auto" w:fill="auto"/>
          </w:tcPr>
          <w:p w:rsidR="001C487D" w:rsidRPr="001C487D" w:rsidRDefault="001C487D" w:rsidP="001C487D">
            <w:pPr>
              <w:pStyle w:val="Tablewriting"/>
              <w:jc w:val="center"/>
            </w:pPr>
            <w:r w:rsidRPr="001C487D">
              <w:t>1</w:t>
            </w:r>
          </w:p>
        </w:tc>
        <w:tc>
          <w:tcPr>
            <w:tcW w:w="737" w:type="dxa"/>
          </w:tcPr>
          <w:p w:rsidR="001C487D" w:rsidRPr="001C487D" w:rsidRDefault="001C487D" w:rsidP="001C487D">
            <w:pPr>
              <w:pStyle w:val="Tablewriting"/>
              <w:jc w:val="center"/>
            </w:pPr>
            <w:r w:rsidRPr="001C487D">
              <w:t>30</w:t>
            </w:r>
          </w:p>
        </w:tc>
        <w:tc>
          <w:tcPr>
            <w:tcW w:w="850" w:type="dxa"/>
            <w:shd w:val="clear" w:color="auto" w:fill="auto"/>
          </w:tcPr>
          <w:p w:rsidR="001C487D" w:rsidRPr="001C487D" w:rsidRDefault="001C487D" w:rsidP="001C487D">
            <w:pPr>
              <w:pStyle w:val="Tablewriting"/>
              <w:jc w:val="center"/>
            </w:pPr>
            <w:r w:rsidRPr="001C487D">
              <w:t>3</w:t>
            </w:r>
          </w:p>
        </w:tc>
        <w:tc>
          <w:tcPr>
            <w:tcW w:w="1040" w:type="dxa"/>
            <w:shd w:val="clear" w:color="auto" w:fill="auto"/>
          </w:tcPr>
          <w:p w:rsidR="001C487D" w:rsidRPr="001C487D" w:rsidRDefault="001C487D" w:rsidP="001C487D">
            <w:pPr>
              <w:pStyle w:val="Tablewriting"/>
              <w:jc w:val="center"/>
            </w:pPr>
            <w:r w:rsidRPr="001C487D">
              <w:t>$329.04</w:t>
            </w:r>
          </w:p>
        </w:tc>
        <w:tc>
          <w:tcPr>
            <w:tcW w:w="2494" w:type="dxa"/>
            <w:shd w:val="clear" w:color="auto" w:fill="auto"/>
          </w:tcPr>
          <w:p w:rsidR="001C487D" w:rsidRPr="001C487D" w:rsidRDefault="001C487D" w:rsidP="00A35800">
            <w:pPr>
              <w:pStyle w:val="Tablewriting"/>
            </w:pPr>
            <w:r w:rsidRPr="001C487D">
              <w:t>Tarceva® Roche Products Pty Ltd</w:t>
            </w:r>
          </w:p>
        </w:tc>
      </w:tr>
      <w:tr w:rsidR="001C487D" w:rsidRPr="00A35800" w:rsidTr="001C487D">
        <w:trPr>
          <w:trHeight w:val="456"/>
          <w:tblHeader/>
        </w:trPr>
        <w:tc>
          <w:tcPr>
            <w:tcW w:w="1101" w:type="dxa"/>
            <w:shd w:val="clear" w:color="auto" w:fill="auto"/>
          </w:tcPr>
          <w:p w:rsidR="001C487D" w:rsidRPr="001C487D" w:rsidRDefault="001C487D" w:rsidP="001C487D">
            <w:pPr>
              <w:pStyle w:val="Tablewriting"/>
            </w:pPr>
            <w:r w:rsidRPr="001C487D">
              <w:t>10019H</w:t>
            </w:r>
            <w:r>
              <w:t>,</w:t>
            </w:r>
            <w:r>
              <w:br/>
              <w:t>10020J</w:t>
            </w:r>
          </w:p>
        </w:tc>
        <w:tc>
          <w:tcPr>
            <w:tcW w:w="2494" w:type="dxa"/>
            <w:shd w:val="clear" w:color="auto" w:fill="auto"/>
          </w:tcPr>
          <w:p w:rsidR="001C487D" w:rsidRPr="001C487D" w:rsidRDefault="001C487D" w:rsidP="001C487D">
            <w:pPr>
              <w:pStyle w:val="Tablewriting"/>
            </w:pPr>
            <w:r>
              <w:t>E</w:t>
            </w:r>
            <w:r w:rsidRPr="001C487D">
              <w:t>rlotinib 100 mg tablet, 30</w:t>
            </w:r>
          </w:p>
        </w:tc>
        <w:tc>
          <w:tcPr>
            <w:tcW w:w="737" w:type="dxa"/>
            <w:shd w:val="clear" w:color="auto" w:fill="auto"/>
          </w:tcPr>
          <w:p w:rsidR="001C487D" w:rsidRPr="001C487D" w:rsidRDefault="001C487D" w:rsidP="001C487D">
            <w:pPr>
              <w:pStyle w:val="Tablewriting"/>
              <w:jc w:val="center"/>
            </w:pPr>
            <w:r w:rsidRPr="001C487D">
              <w:t>1</w:t>
            </w:r>
          </w:p>
        </w:tc>
        <w:tc>
          <w:tcPr>
            <w:tcW w:w="737" w:type="dxa"/>
          </w:tcPr>
          <w:p w:rsidR="001C487D" w:rsidRPr="001C487D" w:rsidRDefault="001C487D" w:rsidP="001C487D">
            <w:pPr>
              <w:pStyle w:val="Tablewriting"/>
              <w:jc w:val="center"/>
            </w:pPr>
            <w:r w:rsidRPr="001C487D">
              <w:t>30</w:t>
            </w:r>
          </w:p>
        </w:tc>
        <w:tc>
          <w:tcPr>
            <w:tcW w:w="850" w:type="dxa"/>
            <w:shd w:val="clear" w:color="auto" w:fill="auto"/>
          </w:tcPr>
          <w:p w:rsidR="001C487D" w:rsidRPr="001C487D" w:rsidRDefault="001C487D" w:rsidP="001C487D">
            <w:pPr>
              <w:pStyle w:val="Tablewriting"/>
              <w:jc w:val="center"/>
            </w:pPr>
            <w:r w:rsidRPr="001C487D">
              <w:t>3</w:t>
            </w:r>
          </w:p>
        </w:tc>
        <w:tc>
          <w:tcPr>
            <w:tcW w:w="1040" w:type="dxa"/>
            <w:shd w:val="clear" w:color="auto" w:fill="auto"/>
          </w:tcPr>
          <w:p w:rsidR="001C487D" w:rsidRPr="001C487D" w:rsidRDefault="001C487D" w:rsidP="00A35800">
            <w:pPr>
              <w:pStyle w:val="Tablewriting"/>
            </w:pPr>
            <w:r w:rsidRPr="001C487D">
              <w:t>$1173.00</w:t>
            </w:r>
          </w:p>
        </w:tc>
        <w:tc>
          <w:tcPr>
            <w:tcW w:w="2494" w:type="dxa"/>
            <w:shd w:val="clear" w:color="auto" w:fill="auto"/>
          </w:tcPr>
          <w:p w:rsidR="001C487D" w:rsidRPr="001C487D" w:rsidRDefault="001C487D" w:rsidP="00A35800">
            <w:pPr>
              <w:pStyle w:val="Tablewriting"/>
            </w:pPr>
            <w:r w:rsidRPr="001C487D">
              <w:t>Tarceva® Roche Products Pty Ltd</w:t>
            </w:r>
          </w:p>
        </w:tc>
      </w:tr>
      <w:tr w:rsidR="00E468C2" w:rsidRPr="00A35800" w:rsidTr="00641C53">
        <w:trPr>
          <w:trHeight w:val="456"/>
          <w:tblHeader/>
        </w:trPr>
        <w:tc>
          <w:tcPr>
            <w:tcW w:w="1101" w:type="dxa"/>
            <w:shd w:val="clear" w:color="auto" w:fill="auto"/>
          </w:tcPr>
          <w:p w:rsidR="00E468C2" w:rsidRPr="001C487D" w:rsidRDefault="00E468C2" w:rsidP="00E468C2">
            <w:pPr>
              <w:pStyle w:val="Tablewriting"/>
            </w:pPr>
            <w:r w:rsidRPr="001C487D">
              <w:t>1001</w:t>
            </w:r>
            <w:r>
              <w:t>4C,</w:t>
            </w:r>
            <w:r>
              <w:br/>
              <w:t>10025P</w:t>
            </w:r>
          </w:p>
        </w:tc>
        <w:tc>
          <w:tcPr>
            <w:tcW w:w="2494" w:type="dxa"/>
            <w:shd w:val="clear" w:color="auto" w:fill="auto"/>
          </w:tcPr>
          <w:p w:rsidR="00E468C2" w:rsidRPr="001C487D" w:rsidRDefault="00E468C2" w:rsidP="00641C53">
            <w:pPr>
              <w:pStyle w:val="Tablewriting"/>
            </w:pPr>
            <w:r>
              <w:t>Erlotinib 150</w:t>
            </w:r>
            <w:r w:rsidRPr="001C487D">
              <w:t xml:space="preserve"> mg tablet, 30</w:t>
            </w:r>
          </w:p>
        </w:tc>
        <w:tc>
          <w:tcPr>
            <w:tcW w:w="737" w:type="dxa"/>
            <w:shd w:val="clear" w:color="auto" w:fill="auto"/>
          </w:tcPr>
          <w:p w:rsidR="00E468C2" w:rsidRPr="001C487D" w:rsidRDefault="00E468C2" w:rsidP="00641C53">
            <w:pPr>
              <w:pStyle w:val="Tablewriting"/>
              <w:jc w:val="center"/>
            </w:pPr>
            <w:r w:rsidRPr="001C487D">
              <w:t>1</w:t>
            </w:r>
          </w:p>
        </w:tc>
        <w:tc>
          <w:tcPr>
            <w:tcW w:w="737" w:type="dxa"/>
          </w:tcPr>
          <w:p w:rsidR="00E468C2" w:rsidRPr="001C487D" w:rsidRDefault="00E468C2" w:rsidP="00641C53">
            <w:pPr>
              <w:pStyle w:val="Tablewriting"/>
              <w:jc w:val="center"/>
            </w:pPr>
            <w:r w:rsidRPr="001C487D">
              <w:t>30</w:t>
            </w:r>
          </w:p>
        </w:tc>
        <w:tc>
          <w:tcPr>
            <w:tcW w:w="850" w:type="dxa"/>
            <w:shd w:val="clear" w:color="auto" w:fill="auto"/>
          </w:tcPr>
          <w:p w:rsidR="00E468C2" w:rsidRPr="001C487D" w:rsidRDefault="00E468C2" w:rsidP="00641C53">
            <w:pPr>
              <w:pStyle w:val="Tablewriting"/>
              <w:jc w:val="center"/>
            </w:pPr>
            <w:r w:rsidRPr="001C487D">
              <w:t>3</w:t>
            </w:r>
          </w:p>
        </w:tc>
        <w:tc>
          <w:tcPr>
            <w:tcW w:w="1040" w:type="dxa"/>
            <w:shd w:val="clear" w:color="auto" w:fill="auto"/>
          </w:tcPr>
          <w:p w:rsidR="00E468C2" w:rsidRPr="001C487D" w:rsidRDefault="00E468C2" w:rsidP="00E468C2">
            <w:pPr>
              <w:pStyle w:val="Tablewriting"/>
            </w:pPr>
            <w:r w:rsidRPr="001C487D">
              <w:t>$1</w:t>
            </w:r>
            <w:r>
              <w:t>432.97</w:t>
            </w:r>
          </w:p>
        </w:tc>
        <w:tc>
          <w:tcPr>
            <w:tcW w:w="2494" w:type="dxa"/>
            <w:shd w:val="clear" w:color="auto" w:fill="auto"/>
          </w:tcPr>
          <w:p w:rsidR="00E468C2" w:rsidRPr="001C487D" w:rsidRDefault="00E468C2" w:rsidP="00641C53">
            <w:pPr>
              <w:pStyle w:val="Tablewriting"/>
            </w:pPr>
            <w:r w:rsidRPr="001C487D">
              <w:t>Tarceva® Roche Products Pty Ltd</w:t>
            </w:r>
          </w:p>
        </w:tc>
      </w:tr>
    </w:tbl>
    <w:p w:rsidR="00E9288F" w:rsidRDefault="00E9288F" w:rsidP="00BB1D3B">
      <w:pPr>
        <w:pStyle w:val="Notes"/>
      </w:pPr>
      <w:r w:rsidRPr="00A35800">
        <w:t xml:space="preserve">Source: </w:t>
      </w:r>
      <w:r>
        <w:t xml:space="preserve">the </w:t>
      </w:r>
      <w:r w:rsidRPr="000E0503">
        <w:t>PBS website</w:t>
      </w:r>
      <w:r>
        <w:t xml:space="preserve">.  </w:t>
      </w:r>
    </w:p>
    <w:p w:rsidR="00E9288F" w:rsidRDefault="00E9288F" w:rsidP="00CF5E22">
      <w:pPr>
        <w:pStyle w:val="Heading3"/>
      </w:pPr>
      <w:r>
        <w:t>Restriction</w:t>
      </w:r>
      <w:r w:rsidR="00485F6C">
        <w:t xml:space="preserve"> (abridged)</w:t>
      </w:r>
    </w:p>
    <w:p w:rsidR="00485F6C" w:rsidRDefault="00097DC9" w:rsidP="00A35800">
      <w:r>
        <w:t>Erlotin</w:t>
      </w:r>
      <w:r w:rsidR="00485F6C">
        <w:t>ib and gefitinib are Authority R</w:t>
      </w:r>
      <w:r>
        <w:t>equired</w:t>
      </w:r>
      <w:r w:rsidR="00A04256">
        <w:t xml:space="preserve"> (telephone)</w:t>
      </w:r>
      <w:r>
        <w:t xml:space="preserve"> </w:t>
      </w:r>
      <w:r w:rsidR="00E9288F">
        <w:t>PBS</w:t>
      </w:r>
      <w:r>
        <w:t xml:space="preserve"> medicines</w:t>
      </w:r>
      <w:r w:rsidR="00485F6C">
        <w:t xml:space="preserve">. </w:t>
      </w:r>
    </w:p>
    <w:p w:rsidR="00E9288F" w:rsidRDefault="00485F6C" w:rsidP="00A35800">
      <w:r>
        <w:t>The initial treatment restrictions</w:t>
      </w:r>
      <w:r w:rsidR="00E664BE">
        <w:t xml:space="preserve"> (1014C, 10020J, 10022L</w:t>
      </w:r>
      <w:r w:rsidR="00A04256">
        <w:t>)</w:t>
      </w:r>
      <w:r>
        <w:t xml:space="preserve"> are:</w:t>
      </w:r>
    </w:p>
    <w:p w:rsidR="00485F6C" w:rsidRDefault="00B6016F" w:rsidP="00485F6C">
      <w:pPr>
        <w:pStyle w:val="ListParagraph"/>
        <w:numPr>
          <w:ilvl w:val="0"/>
          <w:numId w:val="17"/>
        </w:numPr>
      </w:pPr>
      <w:r>
        <w:t>s</w:t>
      </w:r>
      <w:r w:rsidR="00485F6C">
        <w:t>tage IIIB (locally advanced) or Stage IV (metastatic) NSCLC; and</w:t>
      </w:r>
    </w:p>
    <w:p w:rsidR="00485F6C" w:rsidRDefault="00B6016F" w:rsidP="00485F6C">
      <w:pPr>
        <w:pStyle w:val="ListParagraph"/>
        <w:numPr>
          <w:ilvl w:val="0"/>
          <w:numId w:val="17"/>
        </w:numPr>
      </w:pPr>
      <w:r>
        <w:t>n</w:t>
      </w:r>
      <w:r w:rsidR="00485F6C">
        <w:t>on-squamous type NSCLC or not otherwise specified NSCLC; and</w:t>
      </w:r>
    </w:p>
    <w:p w:rsidR="006C31AF" w:rsidRPr="006C31AF" w:rsidRDefault="00B6016F" w:rsidP="006C31AF">
      <w:pPr>
        <w:pStyle w:val="ListParagraph"/>
        <w:numPr>
          <w:ilvl w:val="0"/>
          <w:numId w:val="17"/>
        </w:numPr>
      </w:pPr>
      <w:r>
        <w:t>m</w:t>
      </w:r>
      <w:r w:rsidR="006C31AF" w:rsidRPr="006C31AF">
        <w:t xml:space="preserve">ust have </w:t>
      </w:r>
      <w:r w:rsidR="006C31AF">
        <w:t xml:space="preserve">evidence of an activating EGFR gene mutation known to confer sensitivity to treatment with an EGFR TKI </w:t>
      </w:r>
      <w:r w:rsidR="003227D2">
        <w:t xml:space="preserve">material; and </w:t>
      </w:r>
    </w:p>
    <w:p w:rsidR="00485F6C" w:rsidRDefault="00B6016F" w:rsidP="00485F6C">
      <w:pPr>
        <w:pStyle w:val="ListParagraph"/>
        <w:numPr>
          <w:ilvl w:val="0"/>
          <w:numId w:val="17"/>
        </w:numPr>
      </w:pPr>
      <w:r>
        <w:t>m</w:t>
      </w:r>
      <w:r w:rsidR="006C31AF">
        <w:t>ust</w:t>
      </w:r>
      <w:r w:rsidR="00485F6C">
        <w:t xml:space="preserve"> not</w:t>
      </w:r>
      <w:r w:rsidR="006C31AF">
        <w:t xml:space="preserve"> have</w:t>
      </w:r>
      <w:r w:rsidR="00302675">
        <w:t xml:space="preserve"> received previous PBS-</w:t>
      </w:r>
      <w:r w:rsidR="00485F6C">
        <w:t xml:space="preserve">subsidised </w:t>
      </w:r>
      <w:r w:rsidR="006C31AF">
        <w:t>treatment</w:t>
      </w:r>
      <w:r w:rsidR="00485F6C">
        <w:t xml:space="preserve"> with another EGFR TKI; or must have developed intolerance to another EGFR TKI of a </w:t>
      </w:r>
      <w:r w:rsidR="006C31AF">
        <w:t>severity</w:t>
      </w:r>
      <w:r w:rsidR="00485F6C">
        <w:t xml:space="preserve"> necessitating </w:t>
      </w:r>
      <w:r w:rsidR="006C31AF">
        <w:t>permanent</w:t>
      </w:r>
      <w:r w:rsidR="00485F6C">
        <w:t xml:space="preserve"> treatment withdrawal</w:t>
      </w:r>
      <w:r w:rsidR="006C31AF">
        <w:t xml:space="preserve">; and </w:t>
      </w:r>
    </w:p>
    <w:p w:rsidR="006C31AF" w:rsidRDefault="00B6016F" w:rsidP="00485F6C">
      <w:pPr>
        <w:pStyle w:val="ListParagraph"/>
        <w:numPr>
          <w:ilvl w:val="0"/>
          <w:numId w:val="17"/>
        </w:numPr>
      </w:pPr>
      <w:r>
        <w:t>m</w:t>
      </w:r>
      <w:r w:rsidR="006C31AF">
        <w:t>ust have WHO performance status of 2 or less</w:t>
      </w:r>
      <w:r w:rsidR="003227D2">
        <w:t>; and</w:t>
      </w:r>
    </w:p>
    <w:p w:rsidR="00485F6C" w:rsidRDefault="00B6016F" w:rsidP="00485F6C">
      <w:pPr>
        <w:pStyle w:val="ListParagraph"/>
        <w:numPr>
          <w:ilvl w:val="0"/>
          <w:numId w:val="17"/>
        </w:numPr>
      </w:pPr>
      <w:r>
        <w:t>t</w:t>
      </w:r>
      <w:r w:rsidR="006C31AF">
        <w:t xml:space="preserve">reatment must be as </w:t>
      </w:r>
      <w:r w:rsidR="00485F6C">
        <w:t>monotherapy</w:t>
      </w:r>
      <w:r w:rsidR="00CA4DF6">
        <w:t>.</w:t>
      </w:r>
    </w:p>
    <w:p w:rsidR="003227D2" w:rsidRDefault="003227D2" w:rsidP="006C31AF">
      <w:r>
        <w:t>The continuing treatment restrictions</w:t>
      </w:r>
      <w:r w:rsidR="00E664BE">
        <w:t xml:space="preserve"> (1014C, 10020J,</w:t>
      </w:r>
      <w:r w:rsidR="00A04256">
        <w:t xml:space="preserve"> </w:t>
      </w:r>
      <w:r w:rsidR="00E664BE">
        <w:t>10022L)</w:t>
      </w:r>
      <w:r>
        <w:t xml:space="preserve"> are:</w:t>
      </w:r>
    </w:p>
    <w:p w:rsidR="003227D2" w:rsidRDefault="00B6016F" w:rsidP="003227D2">
      <w:pPr>
        <w:pStyle w:val="ListParagraph"/>
        <w:numPr>
          <w:ilvl w:val="0"/>
          <w:numId w:val="17"/>
        </w:numPr>
      </w:pPr>
      <w:r>
        <w:t>p</w:t>
      </w:r>
      <w:r w:rsidR="003227D2">
        <w:t>atients must have been previously issue</w:t>
      </w:r>
      <w:r w:rsidR="00302675">
        <w:t>d</w:t>
      </w:r>
      <w:r w:rsidR="003227D2">
        <w:t xml:space="preserve"> with a </w:t>
      </w:r>
      <w:r w:rsidR="00302675">
        <w:t>pre</w:t>
      </w:r>
      <w:r w:rsidR="003227D2">
        <w:t>script</w:t>
      </w:r>
      <w:r w:rsidR="00302675">
        <w:t>ion</w:t>
      </w:r>
      <w:r w:rsidR="003227D2">
        <w:t xml:space="preserve"> for this drug; and</w:t>
      </w:r>
    </w:p>
    <w:p w:rsidR="003227D2" w:rsidRDefault="00B6016F" w:rsidP="003227D2">
      <w:pPr>
        <w:pStyle w:val="ListParagraph"/>
        <w:numPr>
          <w:ilvl w:val="0"/>
          <w:numId w:val="17"/>
        </w:numPr>
      </w:pPr>
      <w:r>
        <w:t>m</w:t>
      </w:r>
      <w:r w:rsidR="003227D2">
        <w:t>ust have evidence of an activating EGFR gene mutation known to confer sensitivity to treatment with EGFR TKI in tumour material; and</w:t>
      </w:r>
    </w:p>
    <w:p w:rsidR="003227D2" w:rsidRDefault="00B6016F" w:rsidP="003227D2">
      <w:pPr>
        <w:pStyle w:val="ListParagraph"/>
        <w:numPr>
          <w:ilvl w:val="0"/>
          <w:numId w:val="17"/>
        </w:numPr>
      </w:pPr>
      <w:r>
        <w:t>m</w:t>
      </w:r>
      <w:r w:rsidR="003227D2">
        <w:t>ust not have progressive disease; and</w:t>
      </w:r>
    </w:p>
    <w:p w:rsidR="003227D2" w:rsidRDefault="00B6016F" w:rsidP="003227D2">
      <w:pPr>
        <w:pStyle w:val="ListParagraph"/>
        <w:numPr>
          <w:ilvl w:val="0"/>
          <w:numId w:val="17"/>
        </w:numPr>
      </w:pPr>
      <w:r>
        <w:t>t</w:t>
      </w:r>
      <w:r w:rsidR="003227D2">
        <w:t>reatment must be as monotherapy.</w:t>
      </w:r>
    </w:p>
    <w:p w:rsidR="00F23C57" w:rsidRDefault="00CA4DF6" w:rsidP="006C31AF">
      <w:r>
        <w:t>There is also a continuing erlotinib treatment restriction</w:t>
      </w:r>
      <w:r w:rsidR="00F23C57">
        <w:t xml:space="preserve"> (10019H</w:t>
      </w:r>
      <w:r w:rsidR="00E664BE">
        <w:t>, 10025P, 10028T</w:t>
      </w:r>
      <w:r w:rsidR="00F23C57">
        <w:t>)</w:t>
      </w:r>
      <w:r>
        <w:t xml:space="preserve"> for patients who had commenced treatment </w:t>
      </w:r>
      <w:r w:rsidR="00F23C57">
        <w:t xml:space="preserve">with erlotinib </w:t>
      </w:r>
      <w:r>
        <w:t>prior to 1 August 2014</w:t>
      </w:r>
      <w:r w:rsidR="00F23C57">
        <w:t>:</w:t>
      </w:r>
    </w:p>
    <w:p w:rsidR="00F23C57" w:rsidRDefault="00B6016F" w:rsidP="00E664BE">
      <w:pPr>
        <w:pStyle w:val="ListParagraph"/>
        <w:numPr>
          <w:ilvl w:val="0"/>
          <w:numId w:val="17"/>
        </w:numPr>
      </w:pPr>
      <w:r>
        <w:t>s</w:t>
      </w:r>
      <w:r w:rsidR="00F23C57" w:rsidRPr="00F23C57">
        <w:t>tage IIIB (locally advanced) or Stage IV (metastatic) NSCLC; and</w:t>
      </w:r>
    </w:p>
    <w:p w:rsidR="00F23C57" w:rsidRDefault="00B6016F" w:rsidP="00E664BE">
      <w:pPr>
        <w:pStyle w:val="ListParagraph"/>
        <w:numPr>
          <w:ilvl w:val="0"/>
          <w:numId w:val="17"/>
        </w:numPr>
      </w:pPr>
      <w:r>
        <w:t>p</w:t>
      </w:r>
      <w:r w:rsidR="00F23C57">
        <w:t>atient must have a w</w:t>
      </w:r>
      <w:r w:rsidR="00E664BE">
        <w:t>ild-type EGFR gene; OR p</w:t>
      </w:r>
      <w:r w:rsidR="00F23C57">
        <w:t>atient must have a</w:t>
      </w:r>
      <w:r w:rsidR="00E664BE">
        <w:t>n EGFR gene of unknown type; and</w:t>
      </w:r>
    </w:p>
    <w:p w:rsidR="00E664BE" w:rsidRPr="00E664BE" w:rsidRDefault="00B6016F" w:rsidP="00E664BE">
      <w:pPr>
        <w:pStyle w:val="ListParagraph"/>
        <w:numPr>
          <w:ilvl w:val="0"/>
          <w:numId w:val="17"/>
        </w:numPr>
      </w:pPr>
      <w:r>
        <w:t>m</w:t>
      </w:r>
      <w:r w:rsidR="00E664BE" w:rsidRPr="00E664BE">
        <w:t>ust not have progressive disease; and</w:t>
      </w:r>
    </w:p>
    <w:p w:rsidR="00F23C57" w:rsidRPr="00F23C57" w:rsidRDefault="00B6016F" w:rsidP="00E664BE">
      <w:pPr>
        <w:pStyle w:val="ListParagraph"/>
        <w:numPr>
          <w:ilvl w:val="0"/>
          <w:numId w:val="17"/>
        </w:numPr>
      </w:pPr>
      <w:r>
        <w:t>t</w:t>
      </w:r>
      <w:r w:rsidR="00F23C57" w:rsidRPr="00F23C57">
        <w:t>reatment must be as monotherapy.</w:t>
      </w:r>
    </w:p>
    <w:p w:rsidR="00E9288F" w:rsidRPr="005E22C2" w:rsidRDefault="00E9288F" w:rsidP="00CF5E22">
      <w:pPr>
        <w:pStyle w:val="Heading2"/>
      </w:pPr>
      <w:r>
        <w:lastRenderedPageBreak/>
        <w:t>Relevant aspects of</w:t>
      </w:r>
      <w:r w:rsidRPr="005E22C2">
        <w:t xml:space="preserve"> consideration</w:t>
      </w:r>
      <w:r>
        <w:t xml:space="preserve"> by the Pharmaceutical Benefits Advisory Committee (</w:t>
      </w:r>
      <w:r w:rsidR="00EE3A57">
        <w:t>abridged</w:t>
      </w:r>
      <w:r>
        <w:t>)</w:t>
      </w:r>
    </w:p>
    <w:p w:rsidR="00486A9A" w:rsidRPr="00486A9A" w:rsidRDefault="00486A9A" w:rsidP="00486A9A">
      <w:r>
        <w:t>The PBAC (</w:t>
      </w:r>
      <w:r w:rsidR="00B6016F">
        <w:t xml:space="preserve">in </w:t>
      </w:r>
      <w:r>
        <w:t xml:space="preserve">July 2004) recommended the listing of </w:t>
      </w:r>
      <w:r w:rsidRPr="005A0CF4">
        <w:rPr>
          <w:b/>
        </w:rPr>
        <w:t>gefitinib</w:t>
      </w:r>
      <w:r w:rsidR="00B6016F">
        <w:t xml:space="preserve"> for treatment, as monotherapy, </w:t>
      </w:r>
      <w:r>
        <w:t xml:space="preserve">of locally advanced or metastatic </w:t>
      </w:r>
      <w:r w:rsidR="00B6016F">
        <w:t xml:space="preserve">NSCLC </w:t>
      </w:r>
      <w:r>
        <w:t>in patients wi</w:t>
      </w:r>
      <w:r w:rsidR="00B6016F">
        <w:t>th a WHO performance status of two</w:t>
      </w:r>
      <w:r>
        <w:t xml:space="preserve"> or less, where disease progression has occurred following treatment with at least one chemotherapy agent and there is evidence that the patient has an activating mutation(s) of the EGFR</w:t>
      </w:r>
      <w:r w:rsidR="002D3472">
        <w:t xml:space="preserve"> gene in tumour material. The recommendation was made</w:t>
      </w:r>
      <w:r>
        <w:t xml:space="preserve"> o</w:t>
      </w:r>
      <w:r w:rsidRPr="00486A9A">
        <w:t>n the basis of acceptable cost-effectiveness compared with docetaxel and best supportive</w:t>
      </w:r>
      <w:r w:rsidR="002D3472">
        <w:t xml:space="preserve"> care</w:t>
      </w:r>
      <w:r>
        <w:t xml:space="preserve">. </w:t>
      </w:r>
      <w:r w:rsidRPr="00486A9A">
        <w:t>Listing was effective from 1</w:t>
      </w:r>
      <w:r w:rsidR="002D3472">
        <w:t> </w:t>
      </w:r>
      <w:r w:rsidRPr="00486A9A">
        <w:t>December</w:t>
      </w:r>
      <w:r w:rsidR="002D3472">
        <w:t> </w:t>
      </w:r>
      <w:r w:rsidRPr="00486A9A">
        <w:t>2004.</w:t>
      </w:r>
    </w:p>
    <w:p w:rsidR="00486A9A" w:rsidRDefault="00486A9A" w:rsidP="00486A9A">
      <w:r>
        <w:t xml:space="preserve">At the March 2008 meeting, the PBAC considered a sponsor request to amend </w:t>
      </w:r>
      <w:r w:rsidR="006A1948">
        <w:t xml:space="preserve">the </w:t>
      </w:r>
      <w:r w:rsidR="006A1948" w:rsidRPr="006A1948">
        <w:rPr>
          <w:b/>
        </w:rPr>
        <w:t>gefitinib</w:t>
      </w:r>
      <w:r w:rsidR="006A1948">
        <w:t xml:space="preserve"> </w:t>
      </w:r>
      <w:r>
        <w:t>PBS restriction by remov</w:t>
      </w:r>
      <w:r w:rsidR="00B6016F">
        <w:t>ing</w:t>
      </w:r>
      <w:r>
        <w:t xml:space="preserve"> the requirement for the activating EGFR mutation</w:t>
      </w:r>
      <w:r w:rsidR="00B6016F">
        <w:t>,</w:t>
      </w:r>
      <w:r>
        <w:t xml:space="preserve"> and alignment with the TGA indication at that time, which specified two patient subgroups eligible for gefitinib: those who have never smoked and those taking gefitinib who have demonstrated some benefit. The PBAC considered that inadequate evidence was provided to allow an assessment to be made on the cost-effectiveness of gefitinib in the population that would be covered under the requested listing and that more detailed information from a recent clinical trial was required. PBAC therefore recommended no changes be made to the PBS listing for gefitinib pending a further submission from the sponsor.</w:t>
      </w:r>
    </w:p>
    <w:p w:rsidR="00486A9A" w:rsidRDefault="00486A9A" w:rsidP="00486A9A">
      <w:r>
        <w:t xml:space="preserve">At its November 2009 meeting, the PBAC recommended an amendment to the PBS restriction </w:t>
      </w:r>
      <w:r w:rsidR="006A1948">
        <w:t xml:space="preserve">for </w:t>
      </w:r>
      <w:r w:rsidR="006A1948" w:rsidRPr="006A1948">
        <w:rPr>
          <w:b/>
        </w:rPr>
        <w:t>gefitinib</w:t>
      </w:r>
      <w:r w:rsidR="006A1948">
        <w:t xml:space="preserve"> </w:t>
      </w:r>
      <w:r>
        <w:t>by removing the requirement that analysis of the DNA sequence of the EGFR gene must be used to detect a mutation in the EGFR gene. The PBAC noted that the analysis by DNA sequencing methodology was not MBS reimbursed and it was therefore considered reasonable to use other methodologies to detect the specific activating mutations in the EGFR gene.</w:t>
      </w:r>
    </w:p>
    <w:p w:rsidR="006A1948" w:rsidRPr="006A1948" w:rsidRDefault="006A1948" w:rsidP="006A1948">
      <w:r w:rsidRPr="006A1948">
        <w:t>After rejections in March 2006, November 2006 and a deferral in November 2007, at the March 2008 meeting, the PBAC recommended the Authority Required</w:t>
      </w:r>
      <w:r w:rsidR="00C43622">
        <w:t xml:space="preserve"> PBS</w:t>
      </w:r>
      <w:r w:rsidR="00B6016F">
        <w:t>-</w:t>
      </w:r>
      <w:r w:rsidRPr="006A1948">
        <w:t xml:space="preserve">listing of </w:t>
      </w:r>
      <w:r w:rsidRPr="006A1948">
        <w:rPr>
          <w:b/>
        </w:rPr>
        <w:t>erlotinib</w:t>
      </w:r>
      <w:r w:rsidRPr="006A1948">
        <w:t xml:space="preserve"> as monotherapy for patients with stage IIIB or IV </w:t>
      </w:r>
      <w:r w:rsidR="00B6016F">
        <w:t>NSCLC</w:t>
      </w:r>
      <w:r w:rsidRPr="006A1948">
        <w:t xml:space="preserve"> wi</w:t>
      </w:r>
      <w:r w:rsidR="00B6016F">
        <w:t>th a WHO performance status of three</w:t>
      </w:r>
      <w:r w:rsidRPr="006A1948">
        <w:t xml:space="preserve"> or less, after prior platinum-based chemotherapy, where disease progression has occurred following treatment with docetaxel or pemetrexed; or </w:t>
      </w:r>
      <w:r w:rsidR="00C43622">
        <w:t xml:space="preserve">where </w:t>
      </w:r>
      <w:r w:rsidRPr="006A1948">
        <w:t>treatment with docetaxel and pemetrexed is contraindicated or cannot be tolerated. The recommendation was made on the basis of acceptable cost-effectiveness compared with best supportive care. Continuation of treatment was recommended for patients who have not developed progressive disease.</w:t>
      </w:r>
      <w:r>
        <w:t xml:space="preserve"> </w:t>
      </w:r>
      <w:r w:rsidR="00B6016F">
        <w:t>Erlotinib was PBS-</w:t>
      </w:r>
      <w:r w:rsidRPr="006A1948">
        <w:t>listed on 1 August 2008 for this indication.</w:t>
      </w:r>
    </w:p>
    <w:p w:rsidR="00211B8F" w:rsidRDefault="006A1948" w:rsidP="00D92A60">
      <w:r>
        <w:t xml:space="preserve">At the July 2013 meeting, the PBAC considered three </w:t>
      </w:r>
      <w:r w:rsidR="00211B8F">
        <w:t>submissions</w:t>
      </w:r>
      <w:r>
        <w:t xml:space="preserve"> for use of TKIs for first</w:t>
      </w:r>
      <w:r w:rsidR="00B13816">
        <w:noBreakHyphen/>
      </w:r>
      <w:r>
        <w:t>line locally adv</w:t>
      </w:r>
      <w:r w:rsidR="00C43622">
        <w:t>anced or metastatic NSCLC. The submissions</w:t>
      </w:r>
      <w:r>
        <w:t xml:space="preserve"> included resubmissions for </w:t>
      </w:r>
      <w:r w:rsidRPr="008572E0">
        <w:rPr>
          <w:b/>
        </w:rPr>
        <w:t>gefitinib</w:t>
      </w:r>
      <w:r>
        <w:t xml:space="preserve"> (rejected at the </w:t>
      </w:r>
      <w:r w:rsidR="00211B8F">
        <w:t xml:space="preserve">November 2010, </w:t>
      </w:r>
      <w:r w:rsidR="00D92A60">
        <w:t>July 2012 and November 2012 meetings</w:t>
      </w:r>
      <w:r>
        <w:t>)</w:t>
      </w:r>
      <w:r w:rsidR="00211B8F">
        <w:t xml:space="preserve"> and </w:t>
      </w:r>
      <w:r w:rsidR="00211B8F" w:rsidRPr="008572E0">
        <w:rPr>
          <w:b/>
        </w:rPr>
        <w:t>erlotinib</w:t>
      </w:r>
      <w:r w:rsidR="00211B8F">
        <w:t xml:space="preserve"> (rejected at the </w:t>
      </w:r>
      <w:r w:rsidR="004E5D89">
        <w:t xml:space="preserve">July </w:t>
      </w:r>
      <w:r w:rsidR="00474803">
        <w:t>201</w:t>
      </w:r>
      <w:r w:rsidR="00211B8F">
        <w:t>2 meeting</w:t>
      </w:r>
      <w:r w:rsidR="00D92A60">
        <w:t>)</w:t>
      </w:r>
      <w:r w:rsidR="00211B8F">
        <w:t xml:space="preserve"> and a first submission for </w:t>
      </w:r>
      <w:r w:rsidR="00211B8F" w:rsidRPr="008572E0">
        <w:rPr>
          <w:b/>
        </w:rPr>
        <w:t>afatinib</w:t>
      </w:r>
      <w:r w:rsidR="00211B8F">
        <w:t>.</w:t>
      </w:r>
      <w:r w:rsidR="00B13816">
        <w:t xml:space="preserve"> </w:t>
      </w:r>
    </w:p>
    <w:p w:rsidR="00754697" w:rsidRDefault="00211B8F" w:rsidP="00D92A60">
      <w:r>
        <w:t xml:space="preserve">The PBAC deferred </w:t>
      </w:r>
      <w:r w:rsidR="00754697">
        <w:t>recommending listing</w:t>
      </w:r>
      <w:r>
        <w:t xml:space="preserve"> for all three medicines. </w:t>
      </w:r>
    </w:p>
    <w:p w:rsidR="00D92A60" w:rsidRPr="00D92A60" w:rsidRDefault="00D92A60" w:rsidP="00D92A60">
      <w:r w:rsidRPr="00D92A60">
        <w:t xml:space="preserve">The PBAC accepted that </w:t>
      </w:r>
      <w:r w:rsidR="00E8776D">
        <w:t xml:space="preserve">each of </w:t>
      </w:r>
      <w:r w:rsidR="00211B8F">
        <w:t>the three</w:t>
      </w:r>
      <w:r w:rsidRPr="00D92A60">
        <w:t xml:space="preserve"> TKIs </w:t>
      </w:r>
      <w:r w:rsidR="0075639F">
        <w:t>(</w:t>
      </w:r>
      <w:r w:rsidR="0075639F" w:rsidRPr="0075639F">
        <w:t xml:space="preserve">gefitinib, erlotinib and afatinib) </w:t>
      </w:r>
      <w:r w:rsidR="00B6016F">
        <w:t>were</w:t>
      </w:r>
      <w:r w:rsidRPr="00D92A60">
        <w:t xml:space="preserve"> more effective than platinum-based doublet chemotherapy in patients with EGFR mutation </w:t>
      </w:r>
      <w:r w:rsidRPr="00D92A60">
        <w:lastRenderedPageBreak/>
        <w:t>positive NSCLC in terms of improving</w:t>
      </w:r>
      <w:r w:rsidR="00E8776D">
        <w:t xml:space="preserve"> progression free survival (</w:t>
      </w:r>
      <w:r w:rsidRPr="00D92A60">
        <w:t>PFS</w:t>
      </w:r>
      <w:r w:rsidR="00E8776D">
        <w:t>)</w:t>
      </w:r>
      <w:r w:rsidRPr="00D92A60">
        <w:t xml:space="preserve">, with the additional gain in median PFS varying between 1.7 and 5.4 months across the key randomised trials presented. </w:t>
      </w:r>
    </w:p>
    <w:p w:rsidR="00D92A60" w:rsidRPr="00D92A60" w:rsidRDefault="00D92A60" w:rsidP="00D92A60">
      <w:r w:rsidRPr="00D92A60">
        <w:t xml:space="preserve">The PBAC </w:t>
      </w:r>
      <w:r w:rsidR="0075639F">
        <w:t>considered</w:t>
      </w:r>
      <w:r w:rsidRPr="00D92A60">
        <w:t xml:space="preserve"> that there</w:t>
      </w:r>
      <w:r w:rsidR="0075639F">
        <w:t xml:space="preserve"> </w:t>
      </w:r>
      <w:r w:rsidR="00B6016F">
        <w:t>was</w:t>
      </w:r>
      <w:r w:rsidR="00E8776D">
        <w:t xml:space="preserve"> no difference to</w:t>
      </w:r>
      <w:r w:rsidRPr="00D92A60">
        <w:t xml:space="preserve"> progression-free survival or overall survival whether a TKI is given as first-line or second-line therapy to patients with EGFR </w:t>
      </w:r>
      <w:r w:rsidR="00154197">
        <w:t>mutation</w:t>
      </w:r>
      <w:r w:rsidRPr="00D92A60">
        <w:t xml:space="preserve"> positive NSCLC. </w:t>
      </w:r>
    </w:p>
    <w:p w:rsidR="00D92A60" w:rsidRPr="00D92A60" w:rsidRDefault="00D92A60" w:rsidP="00D92A60">
      <w:r w:rsidRPr="00D92A60">
        <w:t>The PBAC noted that the three TKIs have slightly different toxicity profiles. Although the side effects are manageable overall, t</w:t>
      </w:r>
      <w:r w:rsidR="00B6016F">
        <w:t>he PBAC considered that the PBS-</w:t>
      </w:r>
      <w:r w:rsidRPr="00D92A60">
        <w:t xml:space="preserve">listing of more than one TKI would allow greater choice for patients. </w:t>
      </w:r>
    </w:p>
    <w:p w:rsidR="005A0CF4" w:rsidRDefault="00EE3A57" w:rsidP="00D92A60">
      <w:r>
        <w:t>O</w:t>
      </w:r>
      <w:r w:rsidR="00D92A60" w:rsidRPr="00D92A60">
        <w:t>n balance, the</w:t>
      </w:r>
      <w:r>
        <w:t xml:space="preserve"> PBAC considered that the</w:t>
      </w:r>
      <w:r w:rsidR="00D92A60" w:rsidRPr="00D92A60">
        <w:t xml:space="preserve"> three TKIs </w:t>
      </w:r>
      <w:r w:rsidR="00B6016F">
        <w:t>(</w:t>
      </w:r>
      <w:r w:rsidR="00D92A60" w:rsidRPr="00D92A60">
        <w:t>afatinib, erlotinib and gefitinib</w:t>
      </w:r>
      <w:r w:rsidR="00B6016F">
        <w:t>)</w:t>
      </w:r>
      <w:r w:rsidR="00D92A60" w:rsidRPr="00D92A60">
        <w:t xml:space="preserve"> </w:t>
      </w:r>
      <w:r w:rsidR="00B6016F">
        <w:t>were</w:t>
      </w:r>
      <w:r w:rsidR="00D92A60" w:rsidRPr="00D92A60">
        <w:t xml:space="preserve"> clinically non-inferior to each other, and so should be cost-minimised against each other with the equi-effective doses being afatinib 40 mg daily, erlotinib 150 mg daily and gefitinib 250 mg daily (as per the key trials).  In these circumstances, the PBAC determined the equi</w:t>
      </w:r>
      <w:r w:rsidR="00842E6D">
        <w:noBreakHyphen/>
      </w:r>
      <w:r w:rsidR="00D92A60" w:rsidRPr="00D92A60">
        <w:t>effective doses of afatinib, erlotinib and gefitinib on the basis of the doses determined for their respective key trials without adjusting for any variations in dose intensity or treatment duration.</w:t>
      </w:r>
    </w:p>
    <w:p w:rsidR="00D92A60" w:rsidRPr="00D92A60" w:rsidRDefault="005A0CF4" w:rsidP="00D92A60">
      <w:r>
        <w:t>The PBAC noted a range of concerns with the economic models in each submission. For erlotinib and afatinib</w:t>
      </w:r>
      <w:r w:rsidR="00B6016F">
        <w:t>,</w:t>
      </w:r>
      <w:r>
        <w:t xml:space="preserve"> the PBAC con</w:t>
      </w:r>
      <w:r w:rsidR="00C43622">
        <w:t>sidered the base case ICERs o</w:t>
      </w:r>
      <w:r>
        <w:t xml:space="preserve">f $45,000-75,000 to be unacceptably high and uncertain. For gefitinib, the PBAC </w:t>
      </w:r>
      <w:r w:rsidR="0075639F">
        <w:t>considered the cost-effectiveness uncertain and more likely to be in the upper range of $45,000-$</w:t>
      </w:r>
      <w:r w:rsidR="00B6016F">
        <w:t xml:space="preserve">75,000 per </w:t>
      </w:r>
      <w:r w:rsidR="0075639F">
        <w:t xml:space="preserve">QALY rather than dominant as proposed.  </w:t>
      </w:r>
      <w:r>
        <w:t xml:space="preserve"> </w:t>
      </w:r>
    </w:p>
    <w:p w:rsidR="00D92A60" w:rsidRDefault="00D92A60" w:rsidP="00D92A60">
      <w:r w:rsidRPr="00D92A60">
        <w:t>The PBAC noted th</w:t>
      </w:r>
      <w:r w:rsidR="00B6016F">
        <w:t>at the biggest financial risk was</w:t>
      </w:r>
      <w:r w:rsidRPr="00D92A60">
        <w:t xml:space="preserve"> the duration of therapy, particularly due to use beyond disease progression, which could double the estimate of net costs, and advised that a risk-share arrangement should be negotiated to manage this risk in particular. The negotiated risk-share arrangement should also satisfactorily address the uncertain effectiveness of </w:t>
      </w:r>
      <w:r w:rsidR="00A21772">
        <w:t>TKIs</w:t>
      </w:r>
      <w:r w:rsidRPr="00D92A60">
        <w:t xml:space="preserve"> in the </w:t>
      </w:r>
      <w:r w:rsidR="000E0503">
        <w:rPr>
          <w:noProof/>
          <w:color w:val="000000"/>
          <w:highlight w:val="black"/>
        </w:rPr>
        <w:t>''''''''</w:t>
      </w:r>
      <w:r w:rsidRPr="00D92A60">
        <w:t xml:space="preserve"> of patients expected to have rare EGFR activating mutations, whilst accepting its effectiveness in the </w:t>
      </w:r>
      <w:r w:rsidR="000E0503">
        <w:rPr>
          <w:noProof/>
          <w:color w:val="000000"/>
          <w:highlight w:val="black"/>
        </w:rPr>
        <w:t>''''''''</w:t>
      </w:r>
      <w:r w:rsidRPr="00D92A60">
        <w:t xml:space="preserve"> of patients expected to have common EGFR activating mutations. </w:t>
      </w:r>
    </w:p>
    <w:p w:rsidR="00860626" w:rsidRPr="00860626" w:rsidRDefault="00754697" w:rsidP="00860626">
      <w:r w:rsidRPr="00754697">
        <w:t xml:space="preserve">Subsequent to the </w:t>
      </w:r>
      <w:r w:rsidR="0075639F">
        <w:t xml:space="preserve">July 2013 </w:t>
      </w:r>
      <w:r w:rsidR="00B6016F">
        <w:t xml:space="preserve">PBAC </w:t>
      </w:r>
      <w:r w:rsidRPr="00754697">
        <w:t>meeting, the sponsor</w:t>
      </w:r>
      <w:r w:rsidR="0075639F">
        <w:t xml:space="preserve"> of erlotinib </w:t>
      </w:r>
      <w:r w:rsidRPr="00754697">
        <w:t xml:space="preserve">offered to reduce its price for all use of erlotinib under the proposed restriction to patients with NSCLC who are EGFR mutation positive. </w:t>
      </w:r>
      <w:r w:rsidR="006C1889">
        <w:t>T</w:t>
      </w:r>
      <w:r w:rsidR="00860626" w:rsidRPr="00860626">
        <w:t>he PBAC therefore recommended out</w:t>
      </w:r>
      <w:r w:rsidR="00B6016F">
        <w:t>-of-</w:t>
      </w:r>
      <w:r w:rsidR="00860626" w:rsidRPr="00860626">
        <w:t>session the listing of erloti</w:t>
      </w:r>
      <w:r w:rsidR="00B6016F">
        <w:t>nib on the PBS as an Authority R</w:t>
      </w:r>
      <w:r w:rsidR="00860626" w:rsidRPr="00860626">
        <w:t xml:space="preserve">equired listing, as monotherapy, for the treatment of locally advanced (stage IIIB) or metastatic (stage IV) non-squamous or not otherwise specified </w:t>
      </w:r>
      <w:r w:rsidR="00B6016F">
        <w:t>NSCLC</w:t>
      </w:r>
      <w:r w:rsidR="00860626" w:rsidRPr="00860626">
        <w:t xml:space="preserve"> in patients with evidence of activating mutation(s) of the EGFR</w:t>
      </w:r>
      <w:r w:rsidR="00B6016F">
        <w:t xml:space="preserve"> gene in tumour material. </w:t>
      </w:r>
      <w:r w:rsidR="00860626" w:rsidRPr="00860626">
        <w:t xml:space="preserve">Erlotinib is to cease on progression. </w:t>
      </w:r>
    </w:p>
    <w:p w:rsidR="00860626" w:rsidRPr="00860626" w:rsidRDefault="00860626" w:rsidP="00860626">
      <w:r w:rsidRPr="00860626">
        <w:t>The PBAC considered that, at the reduced price, erlotinib</w:t>
      </w:r>
      <w:r w:rsidR="00D55CBB">
        <w:t xml:space="preserve"> could be considered to be cost</w:t>
      </w:r>
      <w:r w:rsidR="00D55CBB">
        <w:noBreakHyphen/>
      </w:r>
      <w:r w:rsidRPr="00860626">
        <w:t>effective in comparison with platinum-based doublet chemotherapy</w:t>
      </w:r>
      <w:r w:rsidR="00B6016F">
        <w:t>. This was</w:t>
      </w:r>
      <w:r w:rsidRPr="00860626">
        <w:t xml:space="preserve"> based on erlotinib’s superiority in terms of progression free survival and quality of life and different toxicity profile</w:t>
      </w:r>
      <w:r w:rsidR="00B6016F">
        <w:t>. This was</w:t>
      </w:r>
      <w:r w:rsidRPr="00860626">
        <w:t xml:space="preserve"> despite the evidence showing no additional overall survival benefit for first</w:t>
      </w:r>
      <w:r w:rsidR="001B3FF9">
        <w:noBreakHyphen/>
      </w:r>
      <w:r w:rsidRPr="00860626">
        <w:t xml:space="preserve">line erlotinib over chemotherapy in patients with NSCLC who are EGFR mutation positive.  </w:t>
      </w:r>
    </w:p>
    <w:p w:rsidR="00F36A75" w:rsidRDefault="00705D25" w:rsidP="00705D25">
      <w:r>
        <w:lastRenderedPageBreak/>
        <w:t xml:space="preserve">The sponsor of gefitinib also </w:t>
      </w:r>
      <w:r w:rsidR="00D55CBB">
        <w:t>offered a price reduction</w:t>
      </w:r>
      <w:r w:rsidR="00B6016F">
        <w:t xml:space="preserve">. </w:t>
      </w:r>
      <w:r>
        <w:t>The PBAC advised that in light</w:t>
      </w:r>
      <w:r w:rsidR="00B6016F">
        <w:t xml:space="preserve"> of it</w:t>
      </w:r>
      <w:r>
        <w:t>s out-of-session recommendation for the listing of erlotinib at an effective price lower than that of gefitinib, and the PBAC’s previous conclusion that erlotinib and gefitinib are likely to be clinically non-inferior to each another, the PBAC considered that gefitinib would not be cost-ef</w:t>
      </w:r>
      <w:r w:rsidR="00860626">
        <w:t>f</w:t>
      </w:r>
      <w:r>
        <w:t xml:space="preserve">ective under the sponsor’s pricing proposal. </w:t>
      </w:r>
      <w:r w:rsidRPr="00705D25">
        <w:t>The PBAC considered that the cost-effectiveness of gefitinib would be acceptable if gefitinib</w:t>
      </w:r>
      <w:r w:rsidR="00F36A75">
        <w:t xml:space="preserve"> </w:t>
      </w:r>
      <w:r w:rsidRPr="00705D25">
        <w:t>was c</w:t>
      </w:r>
      <w:r w:rsidR="00F36A75">
        <w:t>ost-minimised against erlotinib.</w:t>
      </w:r>
      <w:r w:rsidR="001B3FF9">
        <w:t xml:space="preserve"> </w:t>
      </w:r>
    </w:p>
    <w:p w:rsidR="00705D25" w:rsidRPr="00754697" w:rsidRDefault="00F36A75" w:rsidP="00705D25">
      <w:r>
        <w:t>The PBAC recommended a r</w:t>
      </w:r>
      <w:r w:rsidR="00B6016F">
        <w:t xml:space="preserve">isk </w:t>
      </w:r>
      <w:r w:rsidR="00705D25" w:rsidRPr="00705D25">
        <w:t xml:space="preserve">share arrangement </w:t>
      </w:r>
      <w:r>
        <w:t xml:space="preserve">be </w:t>
      </w:r>
      <w:r w:rsidR="00705D25" w:rsidRPr="00705D25">
        <w:t xml:space="preserve">negotiated </w:t>
      </w:r>
      <w:r>
        <w:t xml:space="preserve">to satisfactorily address </w:t>
      </w:r>
      <w:r w:rsidR="00705D25" w:rsidRPr="00705D25">
        <w:t xml:space="preserve">risks of excessive utilisation and </w:t>
      </w:r>
      <w:r w:rsidR="00B6016F">
        <w:t xml:space="preserve">the </w:t>
      </w:r>
      <w:r w:rsidR="00705D25" w:rsidRPr="00705D25">
        <w:t>use in</w:t>
      </w:r>
      <w:r>
        <w:t xml:space="preserve"> </w:t>
      </w:r>
      <w:r w:rsidR="00705D25" w:rsidRPr="00705D25">
        <w:t>patients with rare EGFR activating mutations.</w:t>
      </w:r>
    </w:p>
    <w:p w:rsidR="00F36A75" w:rsidRDefault="00F36A75" w:rsidP="00486A9A">
      <w:r>
        <w:t xml:space="preserve">The listings for erlotinib and gefitinib were extended to allow first-line use in patients with </w:t>
      </w:r>
      <w:r w:rsidRPr="00F36A75">
        <w:t>EGFR mutation positive NSCLC</w:t>
      </w:r>
      <w:r>
        <w:t xml:space="preserve"> from 1 January 2014</w:t>
      </w:r>
      <w:r w:rsidRPr="00F36A75">
        <w:t>.</w:t>
      </w:r>
      <w:r>
        <w:t xml:space="preserve"> As </w:t>
      </w:r>
      <w:r w:rsidR="001B3FF9">
        <w:t xml:space="preserve">at </w:t>
      </w:r>
      <w:r>
        <w:t xml:space="preserve">December 2016, afatinib has not been listed on the PBS for NSCLC. A subsequent submission for </w:t>
      </w:r>
      <w:r w:rsidRPr="00E823AA">
        <w:rPr>
          <w:b/>
        </w:rPr>
        <w:t>afatinib</w:t>
      </w:r>
      <w:r>
        <w:t xml:space="preserve"> seeking listing</w:t>
      </w:r>
      <w:r w:rsidRPr="00F36A75">
        <w:t xml:space="preserve"> under a special pricing arrangement </w:t>
      </w:r>
      <w:r>
        <w:t>for</w:t>
      </w:r>
      <w:r w:rsidRPr="00F36A75">
        <w:t xml:space="preserve"> locally advanced or metasta</w:t>
      </w:r>
      <w:r w:rsidR="00B6016F">
        <w:t xml:space="preserve">tic </w:t>
      </w:r>
      <w:r w:rsidRPr="00F36A75">
        <w:t>NSCLC characterised by exon</w:t>
      </w:r>
      <w:r w:rsidR="00B6016F">
        <w:t xml:space="preserve"> 19 deletion mutations of the </w:t>
      </w:r>
      <w:r w:rsidRPr="00F36A75">
        <w:t>EGFR gene</w:t>
      </w:r>
      <w:r>
        <w:t xml:space="preserve"> was not recommended by the PBAC</w:t>
      </w:r>
      <w:r w:rsidR="002E2576">
        <w:t>.</w:t>
      </w:r>
      <w:r>
        <w:t xml:space="preserve"> </w:t>
      </w:r>
      <w:r w:rsidR="002E2576">
        <w:t xml:space="preserve">For further details, refer to the </w:t>
      </w:r>
      <w:r w:rsidR="002E2576" w:rsidRPr="000E0503">
        <w:t>Public Summary Document</w:t>
      </w:r>
      <w:r w:rsidR="002E2576">
        <w:t xml:space="preserve"> from the July 2015 PBAC meeting.</w:t>
      </w:r>
    </w:p>
    <w:p w:rsidR="00400F0B" w:rsidRPr="00400F0B" w:rsidRDefault="00E823AA" w:rsidP="00400F0B">
      <w:r>
        <w:t xml:space="preserve">In March 2014, the PBAC considered a submission for </w:t>
      </w:r>
      <w:r w:rsidRPr="00CB446B">
        <w:rPr>
          <w:b/>
        </w:rPr>
        <w:t>erlotinib</w:t>
      </w:r>
      <w:r>
        <w:t xml:space="preserve"> </w:t>
      </w:r>
      <w:r w:rsidR="00CB446B" w:rsidRPr="00400F0B">
        <w:t>to estab</w:t>
      </w:r>
      <w:r w:rsidR="002E2576">
        <w:t>lish the effectiveness and cost-</w:t>
      </w:r>
      <w:r w:rsidR="00CB446B" w:rsidRPr="00400F0B">
        <w:t xml:space="preserve">effectiveness of erlotinib in </w:t>
      </w:r>
      <w:r w:rsidR="00CB446B" w:rsidRPr="00CB446B">
        <w:t xml:space="preserve">last-line </w:t>
      </w:r>
      <w:r w:rsidR="00CB446B">
        <w:t xml:space="preserve">use for the population of patients </w:t>
      </w:r>
      <w:r w:rsidR="00CB446B" w:rsidRPr="00CB446B">
        <w:t xml:space="preserve">who are not selected on the basis of </w:t>
      </w:r>
      <w:r w:rsidR="00CB446B">
        <w:t>EGFR</w:t>
      </w:r>
      <w:r w:rsidR="00CB446B" w:rsidRPr="00CB446B">
        <w:t xml:space="preserve"> mutation testing. </w:t>
      </w:r>
      <w:r w:rsidR="00400F0B" w:rsidRPr="00400F0B">
        <w:t xml:space="preserve">The PBAC </w:t>
      </w:r>
      <w:r w:rsidR="00A21772">
        <w:t xml:space="preserve">had </w:t>
      </w:r>
      <w:r w:rsidR="00400F0B" w:rsidRPr="00400F0B">
        <w:t>requested that the sponsor make a submission to estab</w:t>
      </w:r>
      <w:r w:rsidR="002E2576">
        <w:t>lish the effectiveness and cost-</w:t>
      </w:r>
      <w:r w:rsidR="00400F0B" w:rsidRPr="00400F0B">
        <w:t xml:space="preserve">effectiveness of erlotinib in the population defined by this restriction. </w:t>
      </w:r>
    </w:p>
    <w:p w:rsidR="00CB446B" w:rsidRDefault="00CB446B" w:rsidP="00400F0B">
      <w:r>
        <w:t xml:space="preserve">When recommending </w:t>
      </w:r>
      <w:r w:rsidRPr="00CB446B">
        <w:t xml:space="preserve">the first-line use of erlotinib in EGFR-positive patients, </w:t>
      </w:r>
      <w:r>
        <w:t>the PBAC had</w:t>
      </w:r>
      <w:r w:rsidRPr="00CB446B">
        <w:t xml:space="preserve"> foreshadowed its intention to replace the existing erlotinib restriction with one which limits eligibility to erlotinib to those patients with an EGFR mutation, but which makes no reference to any line of therapy.</w:t>
      </w:r>
      <w:r>
        <w:t xml:space="preserve"> </w:t>
      </w:r>
    </w:p>
    <w:p w:rsidR="00400F0B" w:rsidRDefault="00400F0B" w:rsidP="00400F0B">
      <w:r>
        <w:t>The PBAC rejected the submission and recommended the deletion of the current last-line PBS restriction of erlotinib because of uncertain net clinical benefit and unacceptable cost-effectiveness.</w:t>
      </w:r>
      <w:r w:rsidR="00CB446B">
        <w:t xml:space="preserve"> </w:t>
      </w:r>
      <w:r>
        <w:t>The PBAC did not consider that it was appropriate to retain a listing on the PBS of a targeted therapy for a population in which the target is absent. In reaching this conclusion, the PBAC noted that it was difficult to conclude with confidence that erlotinib’s net benefits over best supportive care would exceed its net harms in the population identified by the current last-line restriction.</w:t>
      </w:r>
    </w:p>
    <w:p w:rsidR="00E9288F" w:rsidRDefault="00E9288F" w:rsidP="00D94863">
      <w:r>
        <w:t xml:space="preserve">For further details refer to </w:t>
      </w:r>
      <w:r w:rsidRPr="00F65F0D">
        <w:t xml:space="preserve">the </w:t>
      </w:r>
      <w:r w:rsidRPr="000E0503">
        <w:t xml:space="preserve">Public Summary Document </w:t>
      </w:r>
      <w:r w:rsidR="00F36A75" w:rsidRPr="000E0503">
        <w:t>by product</w:t>
      </w:r>
      <w:r w:rsidR="00F36A75">
        <w:t xml:space="preserve"> or </w:t>
      </w:r>
      <w:r w:rsidR="00F36A75" w:rsidRPr="000E0503">
        <w:t>meeting</w:t>
      </w:r>
      <w:r>
        <w:t>.</w:t>
      </w:r>
    </w:p>
    <w:p w:rsidR="00274F46" w:rsidRDefault="00274F46" w:rsidP="00274F46">
      <w:pPr>
        <w:spacing w:before="240"/>
        <w:outlineLvl w:val="1"/>
        <w:rPr>
          <w:rFonts w:ascii="Calibri" w:eastAsia="MS Mincho" w:hAnsi="Calibri"/>
          <w:b/>
          <w:sz w:val="28"/>
        </w:rPr>
      </w:pPr>
      <w:r w:rsidRPr="008864BC">
        <w:rPr>
          <w:rFonts w:ascii="Calibri" w:eastAsia="MS Mincho" w:hAnsi="Calibri"/>
          <w:b/>
          <w:sz w:val="28"/>
        </w:rPr>
        <w:t>Approach taken to estimate utilisation</w:t>
      </w:r>
    </w:p>
    <w:p w:rsidR="00274F46" w:rsidRDefault="00274F46" w:rsidP="00274F46">
      <w:pPr>
        <w:widowControl w:val="0"/>
        <w:rPr>
          <w:rFonts w:ascii="Calibri" w:hAnsi="Calibri"/>
          <w:bCs/>
          <w:snapToGrid w:val="0"/>
        </w:rPr>
      </w:pPr>
      <w:r w:rsidRPr="009D58FE">
        <w:rPr>
          <w:rFonts w:ascii="Calibri" w:hAnsi="Calibri"/>
          <w:bCs/>
          <w:snapToGrid w:val="0"/>
        </w:rPr>
        <w:t xml:space="preserve">DUSC </w:t>
      </w:r>
      <w:r>
        <w:rPr>
          <w:rFonts w:ascii="Calibri" w:hAnsi="Calibri"/>
          <w:bCs/>
          <w:snapToGrid w:val="0"/>
        </w:rPr>
        <w:t xml:space="preserve">provided advice to the PBAC </w:t>
      </w:r>
      <w:r w:rsidR="002E2576">
        <w:rPr>
          <w:rFonts w:ascii="Calibri" w:hAnsi="Calibri"/>
          <w:bCs/>
          <w:snapToGrid w:val="0"/>
        </w:rPr>
        <w:t xml:space="preserve">at its July 2013 </w:t>
      </w:r>
      <w:r>
        <w:rPr>
          <w:rFonts w:ascii="Calibri" w:hAnsi="Calibri"/>
          <w:bCs/>
          <w:snapToGrid w:val="0"/>
        </w:rPr>
        <w:t>meeting for</w:t>
      </w:r>
      <w:r w:rsidRPr="009D58FE">
        <w:rPr>
          <w:rFonts w:ascii="Calibri" w:hAnsi="Calibri"/>
          <w:bCs/>
          <w:snapToGrid w:val="0"/>
        </w:rPr>
        <w:t xml:space="preserve"> the resubmission</w:t>
      </w:r>
      <w:r>
        <w:rPr>
          <w:rFonts w:ascii="Calibri" w:hAnsi="Calibri"/>
          <w:bCs/>
          <w:snapToGrid w:val="0"/>
        </w:rPr>
        <w:t>s</w:t>
      </w:r>
      <w:r w:rsidRPr="009D58FE">
        <w:rPr>
          <w:rFonts w:ascii="Calibri" w:hAnsi="Calibri"/>
          <w:bCs/>
          <w:snapToGrid w:val="0"/>
        </w:rPr>
        <w:t xml:space="preserve"> for</w:t>
      </w:r>
      <w:r>
        <w:rPr>
          <w:rFonts w:ascii="Calibri" w:hAnsi="Calibri"/>
          <w:bCs/>
          <w:snapToGrid w:val="0"/>
        </w:rPr>
        <w:t xml:space="preserve"> erlotinib and gefitinib (and the first submission for afatinib).</w:t>
      </w:r>
    </w:p>
    <w:p w:rsidR="00274F46" w:rsidRDefault="00274F46" w:rsidP="00274F46">
      <w:pPr>
        <w:widowControl w:val="0"/>
        <w:rPr>
          <w:rFonts w:ascii="Calibri" w:hAnsi="Calibri"/>
          <w:bCs/>
          <w:snapToGrid w:val="0"/>
        </w:rPr>
      </w:pPr>
      <w:r>
        <w:rPr>
          <w:rFonts w:ascii="Calibri" w:hAnsi="Calibri"/>
          <w:bCs/>
          <w:snapToGrid w:val="0"/>
        </w:rPr>
        <w:t>There were some differences in the approaches and assumptions across the three submissions as outlined below. The common main issues raised by DUSC for estimating use of TKIs for first-line use of stage IIIb and IV NSCLC were:</w:t>
      </w:r>
    </w:p>
    <w:p w:rsidR="00274F46" w:rsidRPr="0069136C" w:rsidRDefault="002E2576" w:rsidP="00274F46">
      <w:pPr>
        <w:pStyle w:val="ListParagraph"/>
        <w:widowControl w:val="0"/>
        <w:numPr>
          <w:ilvl w:val="0"/>
          <w:numId w:val="21"/>
        </w:numPr>
        <w:spacing w:after="0"/>
        <w:ind w:left="426" w:hanging="426"/>
        <w:rPr>
          <w:rFonts w:ascii="Calibri" w:hAnsi="Calibri"/>
          <w:bCs/>
          <w:snapToGrid w:val="0"/>
        </w:rPr>
      </w:pPr>
      <w:r>
        <w:rPr>
          <w:rFonts w:ascii="Calibri" w:hAnsi="Calibri"/>
          <w:bCs/>
          <w:snapToGrid w:val="0"/>
        </w:rPr>
        <w:t>C</w:t>
      </w:r>
      <w:r w:rsidR="00274F46" w:rsidRPr="0069136C">
        <w:rPr>
          <w:rFonts w:ascii="Calibri" w:hAnsi="Calibri"/>
          <w:bCs/>
          <w:snapToGrid w:val="0"/>
        </w:rPr>
        <w:t>onsiderable risk of use outside the restriction, particularly in earlier stage dise</w:t>
      </w:r>
      <w:r w:rsidR="00274F46">
        <w:rPr>
          <w:rFonts w:ascii="Calibri" w:hAnsi="Calibri"/>
          <w:bCs/>
          <w:snapToGrid w:val="0"/>
        </w:rPr>
        <w:t xml:space="preserve">ase, </w:t>
      </w:r>
      <w:r w:rsidR="00274F46">
        <w:rPr>
          <w:rFonts w:ascii="Calibri" w:hAnsi="Calibri"/>
          <w:bCs/>
          <w:snapToGrid w:val="0"/>
        </w:rPr>
        <w:lastRenderedPageBreak/>
        <w:t>given that EGFR status would</w:t>
      </w:r>
      <w:r w:rsidR="00274F46" w:rsidRPr="0069136C">
        <w:rPr>
          <w:rFonts w:ascii="Calibri" w:hAnsi="Calibri"/>
          <w:bCs/>
          <w:snapToGrid w:val="0"/>
        </w:rPr>
        <w:t xml:space="preserve"> be known at diagnosis. </w:t>
      </w:r>
      <w:r w:rsidR="00274F46">
        <w:rPr>
          <w:rFonts w:ascii="Calibri" w:hAnsi="Calibri"/>
          <w:bCs/>
          <w:snapToGrid w:val="0"/>
        </w:rPr>
        <w:t>Use in combination with chemotherapy was also identified as a potential use outside of the restriction.</w:t>
      </w:r>
    </w:p>
    <w:p w:rsidR="00274F46" w:rsidRPr="0069136C" w:rsidRDefault="00274F46" w:rsidP="00274F46">
      <w:pPr>
        <w:pStyle w:val="ListParagraph"/>
        <w:widowControl w:val="0"/>
        <w:numPr>
          <w:ilvl w:val="0"/>
          <w:numId w:val="21"/>
        </w:numPr>
        <w:spacing w:after="0"/>
        <w:ind w:left="426" w:hanging="426"/>
        <w:rPr>
          <w:rFonts w:ascii="Calibri" w:hAnsi="Calibri"/>
          <w:bCs/>
          <w:snapToGrid w:val="0"/>
        </w:rPr>
      </w:pPr>
      <w:r w:rsidRPr="0069136C">
        <w:rPr>
          <w:rFonts w:ascii="Calibri" w:hAnsi="Calibri"/>
          <w:bCs/>
          <w:snapToGrid w:val="0"/>
        </w:rPr>
        <w:t xml:space="preserve">Uncertain prevalence of patients </w:t>
      </w:r>
      <w:r w:rsidR="002E2576">
        <w:rPr>
          <w:rFonts w:ascii="Calibri" w:hAnsi="Calibri"/>
          <w:bCs/>
          <w:snapToGrid w:val="0"/>
        </w:rPr>
        <w:t xml:space="preserve">with activating EGFR mutation. </w:t>
      </w:r>
      <w:r w:rsidRPr="0069136C">
        <w:rPr>
          <w:rFonts w:ascii="Calibri" w:hAnsi="Calibri"/>
          <w:bCs/>
          <w:snapToGrid w:val="0"/>
        </w:rPr>
        <w:t xml:space="preserve">15% was considered the </w:t>
      </w:r>
      <w:r w:rsidR="002E2576" w:rsidRPr="0069136C">
        <w:rPr>
          <w:rFonts w:ascii="Calibri" w:hAnsi="Calibri"/>
          <w:bCs/>
          <w:snapToGrid w:val="0"/>
        </w:rPr>
        <w:t>appropriate base</w:t>
      </w:r>
      <w:r w:rsidRPr="0069136C">
        <w:rPr>
          <w:rFonts w:ascii="Calibri" w:hAnsi="Calibri"/>
          <w:bCs/>
          <w:snapToGrid w:val="0"/>
        </w:rPr>
        <w:t xml:space="preserve"> case based on M</w:t>
      </w:r>
      <w:r w:rsidR="002E2576">
        <w:rPr>
          <w:rFonts w:ascii="Calibri" w:hAnsi="Calibri"/>
          <w:bCs/>
          <w:snapToGrid w:val="0"/>
        </w:rPr>
        <w:t xml:space="preserve">edical </w:t>
      </w:r>
      <w:r w:rsidRPr="0069136C">
        <w:rPr>
          <w:rFonts w:ascii="Calibri" w:hAnsi="Calibri"/>
          <w:bCs/>
          <w:snapToGrid w:val="0"/>
        </w:rPr>
        <w:t>S</w:t>
      </w:r>
      <w:r w:rsidR="002E2576">
        <w:rPr>
          <w:rFonts w:ascii="Calibri" w:hAnsi="Calibri"/>
          <w:bCs/>
          <w:snapToGrid w:val="0"/>
        </w:rPr>
        <w:t xml:space="preserve">ervices </w:t>
      </w:r>
      <w:r w:rsidRPr="0069136C">
        <w:rPr>
          <w:rFonts w:ascii="Calibri" w:hAnsi="Calibri"/>
          <w:bCs/>
          <w:snapToGrid w:val="0"/>
        </w:rPr>
        <w:t>A</w:t>
      </w:r>
      <w:r w:rsidR="002E2576">
        <w:rPr>
          <w:rFonts w:ascii="Calibri" w:hAnsi="Calibri"/>
          <w:bCs/>
          <w:snapToGrid w:val="0"/>
        </w:rPr>
        <w:t xml:space="preserve">dvisory </w:t>
      </w:r>
      <w:r w:rsidRPr="0069136C">
        <w:rPr>
          <w:rFonts w:ascii="Calibri" w:hAnsi="Calibri"/>
          <w:bCs/>
          <w:snapToGrid w:val="0"/>
        </w:rPr>
        <w:t>C</w:t>
      </w:r>
      <w:r w:rsidR="002E2576">
        <w:rPr>
          <w:rFonts w:ascii="Calibri" w:hAnsi="Calibri"/>
          <w:bCs/>
          <w:snapToGrid w:val="0"/>
        </w:rPr>
        <w:t>ommittee (MSAC) advice.</w:t>
      </w:r>
    </w:p>
    <w:p w:rsidR="00274F46" w:rsidRPr="0069136C" w:rsidRDefault="00274F46" w:rsidP="002E2576">
      <w:pPr>
        <w:pStyle w:val="ListParagraph"/>
        <w:widowControl w:val="0"/>
        <w:numPr>
          <w:ilvl w:val="0"/>
          <w:numId w:val="21"/>
        </w:numPr>
        <w:spacing w:after="0"/>
        <w:ind w:left="426" w:hanging="426"/>
        <w:rPr>
          <w:rFonts w:ascii="Calibri" w:hAnsi="Calibri"/>
          <w:bCs/>
          <w:snapToGrid w:val="0"/>
        </w:rPr>
      </w:pPr>
      <w:r w:rsidRPr="0069136C">
        <w:rPr>
          <w:rFonts w:ascii="Calibri" w:hAnsi="Calibri"/>
          <w:bCs/>
          <w:snapToGrid w:val="0"/>
        </w:rPr>
        <w:t>Ris</w:t>
      </w:r>
      <w:r>
        <w:rPr>
          <w:rFonts w:ascii="Calibri" w:hAnsi="Calibri"/>
          <w:bCs/>
          <w:snapToGrid w:val="0"/>
        </w:rPr>
        <w:t>k of use following progression, despite the PBS restriction precluding this.</w:t>
      </w:r>
    </w:p>
    <w:p w:rsidR="00274F46" w:rsidRPr="008864BC" w:rsidRDefault="002E2576" w:rsidP="002E2576">
      <w:pPr>
        <w:widowControl w:val="0"/>
        <w:tabs>
          <w:tab w:val="left" w:pos="1273"/>
        </w:tabs>
        <w:spacing w:after="0"/>
        <w:rPr>
          <w:rFonts w:ascii="Calibri" w:hAnsi="Calibri"/>
          <w:bCs/>
          <w:snapToGrid w:val="0"/>
        </w:rPr>
      </w:pPr>
      <w:r>
        <w:rPr>
          <w:rFonts w:ascii="Calibri" w:hAnsi="Calibri"/>
          <w:bCs/>
          <w:snapToGrid w:val="0"/>
        </w:rPr>
        <w:tab/>
      </w:r>
    </w:p>
    <w:p w:rsidR="00274F46" w:rsidRPr="008864BC" w:rsidRDefault="00274F46" w:rsidP="00274F46">
      <w:pPr>
        <w:widowControl w:val="0"/>
        <w:rPr>
          <w:rFonts w:ascii="Calibri" w:hAnsi="Calibri"/>
          <w:b/>
          <w:bCs/>
          <w:snapToGrid w:val="0"/>
        </w:rPr>
      </w:pPr>
      <w:r w:rsidRPr="008864BC">
        <w:rPr>
          <w:rFonts w:ascii="Calibri" w:hAnsi="Calibri"/>
          <w:b/>
          <w:bCs/>
          <w:snapToGrid w:val="0"/>
        </w:rPr>
        <w:t>Erlotinib</w:t>
      </w:r>
      <w:r w:rsidRPr="008B08B1">
        <w:rPr>
          <w:rFonts w:ascii="Calibri" w:hAnsi="Calibri"/>
          <w:b/>
          <w:bCs/>
          <w:snapToGrid w:val="0"/>
        </w:rPr>
        <w:t xml:space="preserve"> </w:t>
      </w:r>
      <w:r>
        <w:rPr>
          <w:rFonts w:ascii="Calibri" w:hAnsi="Calibri"/>
          <w:b/>
          <w:bCs/>
          <w:snapToGrid w:val="0"/>
        </w:rPr>
        <w:t>re</w:t>
      </w:r>
      <w:r w:rsidRPr="008B08B1">
        <w:rPr>
          <w:rFonts w:ascii="Calibri" w:hAnsi="Calibri"/>
          <w:b/>
          <w:bCs/>
          <w:snapToGrid w:val="0"/>
        </w:rPr>
        <w:t>submission</w:t>
      </w:r>
      <w:r w:rsidR="00AA6B07">
        <w:rPr>
          <w:rFonts w:ascii="Calibri" w:hAnsi="Calibri"/>
          <w:b/>
          <w:bCs/>
          <w:snapToGrid w:val="0"/>
        </w:rPr>
        <w:t xml:space="preserve"> (July 2013 PBAC)</w:t>
      </w:r>
      <w:r w:rsidRPr="008B08B1">
        <w:rPr>
          <w:rFonts w:ascii="Calibri" w:hAnsi="Calibri"/>
          <w:b/>
          <w:bCs/>
          <w:snapToGrid w:val="0"/>
        </w:rPr>
        <w:t xml:space="preserve"> </w:t>
      </w:r>
    </w:p>
    <w:p w:rsidR="00274F46" w:rsidRPr="000E0503" w:rsidRDefault="000E0503" w:rsidP="00274F46">
      <w:pPr>
        <w:widowControl w:val="0"/>
        <w:rPr>
          <w:rFonts w:ascii="Calibri" w:hAnsi="Calibri"/>
          <w:bCs/>
          <w:i/>
          <w:snapToGrid w:val="0"/>
          <w:highlight w:val="black"/>
        </w:rPr>
      </w:pPr>
      <w:r>
        <w:rPr>
          <w:rFonts w:ascii="Calibri" w:hAnsi="Calibri"/>
          <w:bCs/>
          <w:i/>
          <w:noProof/>
          <w:snapToGrid w:val="0"/>
          <w:color w:val="000000"/>
          <w:highlight w:val="black"/>
        </w:rPr>
        <w:t>''''''''''''''' '''''''''''''''</w:t>
      </w:r>
    </w:p>
    <w:p w:rsidR="00274F46" w:rsidRPr="000E0503" w:rsidRDefault="000E0503" w:rsidP="00274F46">
      <w:pPr>
        <w:widowControl w:val="0"/>
        <w:contextualSpacing/>
        <w:rPr>
          <w:rFonts w:ascii="Calibri" w:hAnsi="Calibri"/>
          <w:bCs/>
          <w:i/>
          <w:snapToGrid w:val="0"/>
        </w:rPr>
      </w:pPr>
      <w:r>
        <w:rPr>
          <w:rFonts w:ascii="Calibri" w:hAnsi="Calibri"/>
          <w:bCs/>
          <w:noProof/>
          <w:snapToGrid w:val="0"/>
          <w:color w:val="000000"/>
          <w:highlight w:val="black"/>
        </w:rPr>
        <w:t xml:space="preserve">'''''''''''''''''''''''''''''' ''''''''''''''''''' '''''''''''' ''''' '''''''''''''''''' ''''''''''''''''' ''''' '''''''''''''' '''''''' '''''''''''''' '''''''''''''' '''''''''''''''' '''''' ''''''''''''''''''' '''' ''''''''' ''''''''''' '''' '''''''''''''''''' ''''''' ''''''''''''''''' '''' ''''''''''''''' '''''''' '''''''''''' ''''''''''''''''' ''''' ''''''''''''''''''''' '''''''' '''''''''''''''' ''''''''' '''''''''''''''' ''''''''''' '''''' '''''''''''''''''' ''''' '''''''''''''' '''''' '''''''''' ''''''''''''' </w:t>
      </w:r>
      <w:r>
        <w:rPr>
          <w:rFonts w:ascii="Calibri" w:hAnsi="Calibri"/>
          <w:bCs/>
          <w:i/>
          <w:noProof/>
          <w:snapToGrid w:val="0"/>
          <w:color w:val="000000"/>
          <w:highlight w:val="black"/>
        </w:rPr>
        <w:t>''''''''''' ''''''''''''''''''' '''''''' ''''''' ''''''' ''''' ''''''''''''''''''' ''''''''''' '''''''' '''''''''''''''''' ''''' ''''''' '''''''' ''''''''''''''' '''' '''''' '''''''''''''''''''''''''''''' ''''''''' '''''''' ''''''''''''''''''''''''''''' ''''''' '''''''''' ''''''''''''''' '''''''''</w:t>
      </w:r>
    </w:p>
    <w:p w:rsidR="00274F46" w:rsidRPr="000E0503" w:rsidRDefault="00274F46" w:rsidP="00274F46">
      <w:pPr>
        <w:widowControl w:val="0"/>
        <w:contextualSpacing/>
        <w:rPr>
          <w:rFonts w:ascii="Calibri" w:hAnsi="Calibri"/>
          <w:bCs/>
          <w:i/>
          <w:snapToGrid w:val="0"/>
        </w:rPr>
      </w:pPr>
    </w:p>
    <w:p w:rsidR="00274F46" w:rsidRPr="000E0503" w:rsidRDefault="000E0503" w:rsidP="002E2576">
      <w:pPr>
        <w:widowControl w:val="0"/>
        <w:spacing w:after="0"/>
        <w:rPr>
          <w:rFonts w:ascii="Calibri" w:hAnsi="Calibri"/>
          <w:bCs/>
          <w:i/>
          <w:snapToGrid w:val="0"/>
        </w:rPr>
      </w:pPr>
      <w:r>
        <w:rPr>
          <w:rFonts w:ascii="Calibri" w:hAnsi="Calibri"/>
          <w:bCs/>
          <w:noProof/>
          <w:snapToGrid w:val="0"/>
          <w:color w:val="000000"/>
          <w:highlight w:val="black"/>
        </w:rPr>
        <w:t xml:space="preserve">''''''''' ''' '''''''''''' ''''' '''''' ''''''''''''''''''' ''' '''''''' '''''''''''''''' '''''''' ''''''''' '''' ''''''''' ''''''''''''''' ''''''' '''''''''''' '''''' ''''''''' '''' '''''''''''' ''''''''''' '''''' '''''''''''''''''''''''''''''' ''''' '''''' ''''''''''''''''''' '''''''''''''''' '''''''''''' </w:t>
      </w:r>
      <w:r>
        <w:rPr>
          <w:rFonts w:ascii="Calibri" w:hAnsi="Calibri"/>
          <w:bCs/>
          <w:i/>
          <w:noProof/>
          <w:snapToGrid w:val="0"/>
          <w:color w:val="000000"/>
          <w:highlight w:val="black"/>
        </w:rPr>
        <w:t xml:space="preserve">'''''''' ''''''''''''''''''''''''' ''''''''''''''' ''' ''''''''''''''' ''''''''''''''''' '''''''''' '''''''''' '''''''''' ''''''''' ''''''''''' ''''' ''''''''' '''' ''''''''''''''' ''''''''''' '''''''''' '''''''''''' ''''''''''''''''''''''''''''' '''' '''''''''' </w:t>
      </w:r>
    </w:p>
    <w:p w:rsidR="002E2576" w:rsidRPr="000E0503" w:rsidRDefault="002E2576" w:rsidP="002E2576">
      <w:pPr>
        <w:widowControl w:val="0"/>
        <w:spacing w:after="0"/>
        <w:rPr>
          <w:rFonts w:ascii="Calibri" w:hAnsi="Calibri"/>
          <w:bCs/>
          <w:i/>
          <w:snapToGrid w:val="0"/>
        </w:rPr>
      </w:pPr>
    </w:p>
    <w:p w:rsidR="00274F46" w:rsidRPr="000E0503" w:rsidRDefault="000E0503" w:rsidP="00274F46">
      <w:pPr>
        <w:widowControl w:val="0"/>
        <w:spacing w:after="0"/>
        <w:rPr>
          <w:rFonts w:ascii="Calibri" w:hAnsi="Calibri"/>
          <w:bCs/>
          <w:snapToGrid w:val="0"/>
          <w:highlight w:val="black"/>
        </w:rPr>
      </w:pPr>
      <w:r>
        <w:rPr>
          <w:rFonts w:ascii="Calibri" w:hAnsi="Calibri"/>
          <w:bCs/>
          <w:noProof/>
          <w:snapToGrid w:val="0"/>
          <w:color w:val="000000"/>
          <w:highlight w:val="black"/>
        </w:rPr>
        <w:t>'''''''''''' ''''''''''''''''''''''''''</w:t>
      </w:r>
    </w:p>
    <w:p w:rsidR="00274F46" w:rsidRPr="000E0503" w:rsidRDefault="000E0503" w:rsidP="000E0503">
      <w:pPr>
        <w:widowControl w:val="0"/>
        <w:spacing w:after="0"/>
        <w:ind w:left="720" w:hanging="360"/>
        <w:rPr>
          <w:rFonts w:ascii="Calibri" w:hAnsi="Calibri"/>
          <w:bCs/>
          <w:snapToGrid w:val="0"/>
          <w:highlight w:val="black"/>
        </w:rPr>
      </w:pP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r>
        <w:rPr>
          <w:rFonts w:ascii="Symbol" w:hAnsi="Symbol"/>
          <w:bCs/>
          <w:noProof/>
          <w:snapToGrid w:val="0"/>
          <w:color w:val="000000"/>
          <w:highlight w:val="black"/>
        </w:rPr>
        <w:t></w:t>
      </w:r>
    </w:p>
    <w:p w:rsidR="00274F46" w:rsidRPr="000E0503" w:rsidRDefault="000E0503" w:rsidP="00274F46">
      <w:pPr>
        <w:pStyle w:val="ListParagraph"/>
        <w:widowControl w:val="0"/>
        <w:numPr>
          <w:ilvl w:val="0"/>
          <w:numId w:val="23"/>
        </w:numPr>
        <w:rPr>
          <w:rFonts w:ascii="Calibri" w:hAnsi="Calibri"/>
          <w:bCs/>
          <w:i/>
          <w:snapToGrid w:val="0"/>
        </w:rPr>
      </w:pPr>
      <w:r>
        <w:rPr>
          <w:rFonts w:ascii="Calibri" w:hAnsi="Calibri"/>
          <w:bCs/>
          <w:noProof/>
          <w:snapToGrid w:val="0"/>
          <w:color w:val="000000"/>
          <w:highlight w:val="black"/>
        </w:rPr>
        <w:t xml:space="preserve">''''''''' ''''''''''''''''' ''''''''' '''''''''''''''' ''''' '''''''''' '''''''''''''''''''' '''''' '''''' '''''''''''''' '''''''' '''' ''''''''' ''''''''' ''''''''''' ''''' '''''''''''''' '''''''' '''''''''''''''''' </w:t>
      </w:r>
      <w:r>
        <w:rPr>
          <w:rFonts w:ascii="Calibri" w:hAnsi="Calibri"/>
          <w:bCs/>
          <w:i/>
          <w:noProof/>
          <w:snapToGrid w:val="0"/>
          <w:color w:val="000000"/>
          <w:highlight w:val="black"/>
        </w:rPr>
        <w:t>'''''''''' ''''''''''' '''''''' '''''''''''''''''''''' ''''''''''''' '''''''' '''''' '''''''''''''''' ''''' ''' '''''''''''''''''' ''''''''' ''''''' '''''''''''''''''''''' ''''''' ''''''''''''' ''''''''''''''' ''''' ''''''''''''' '''''''''''''''''''' '''''''' ''''' '''''''''''''''''''''</w:t>
      </w:r>
    </w:p>
    <w:p w:rsidR="00274F46" w:rsidRPr="000E0503" w:rsidRDefault="000E0503" w:rsidP="00274F46">
      <w:pPr>
        <w:widowControl w:val="0"/>
        <w:contextualSpacing/>
        <w:rPr>
          <w:rFonts w:ascii="Calibri" w:hAnsi="Calibri"/>
          <w:bCs/>
          <w:snapToGrid w:val="0"/>
          <w:highlight w:val="black"/>
        </w:rPr>
      </w:pPr>
      <w:r>
        <w:rPr>
          <w:rFonts w:ascii="Calibri" w:hAnsi="Calibri"/>
          <w:bCs/>
          <w:noProof/>
          <w:snapToGrid w:val="0"/>
          <w:color w:val="000000"/>
          <w:highlight w:val="black"/>
        </w:rPr>
        <w:t xml:space="preserve">''''''''''' ''''' '''''''''' '''''''''''' '''''''' '''' '''''''''''''''' '''''' ''''''''''' ''''''''''''''''''' ''''''''''''''' </w:t>
      </w:r>
    </w:p>
    <w:p w:rsidR="00274F46" w:rsidRPr="000E0503" w:rsidRDefault="00274F46" w:rsidP="00274F46">
      <w:pPr>
        <w:widowControl w:val="0"/>
        <w:contextualSpacing/>
        <w:rPr>
          <w:rFonts w:ascii="Calibri" w:hAnsi="Calibri"/>
          <w:bCs/>
          <w:snapToGrid w:val="0"/>
        </w:rPr>
      </w:pPr>
    </w:p>
    <w:p w:rsidR="00274F46" w:rsidRPr="000E0503" w:rsidRDefault="000E0503" w:rsidP="00274F46">
      <w:pPr>
        <w:widowControl w:val="0"/>
        <w:contextualSpacing/>
        <w:rPr>
          <w:rFonts w:ascii="Calibri" w:hAnsi="Calibri"/>
          <w:bCs/>
          <w:snapToGrid w:val="0"/>
          <w:highlight w:val="black"/>
        </w:rPr>
      </w:pPr>
      <w:r>
        <w:rPr>
          <w:rFonts w:ascii="Calibri" w:hAnsi="Calibri"/>
          <w:bCs/>
          <w:noProof/>
          <w:snapToGrid w:val="0"/>
          <w:color w:val="000000"/>
          <w:highlight w:val="black"/>
        </w:rPr>
        <w:t>''''''''''' '''''' ''''''''''' '''''''''''' ''''''' '''''''''''''''''''' ''''''''' '''''''''' '''''' '''''''''' ''''''''''''''''''''' ''''''''''''' '''''''''''''''' '''''' ''''''''' '''' '''''''''''''''''''''''''' ''''''''''''''''''''' ''' '''''''''''' '''''''''''''''''' ''''''' ''''''''''' ''''''''''' ''''''''''''''</w:t>
      </w:r>
    </w:p>
    <w:p w:rsidR="00274F46" w:rsidRPr="000E0503" w:rsidRDefault="00274F46" w:rsidP="00274F46">
      <w:pPr>
        <w:widowControl w:val="0"/>
        <w:contextualSpacing/>
        <w:rPr>
          <w:rFonts w:ascii="Calibri" w:hAnsi="Calibri"/>
          <w:bCs/>
          <w:snapToGrid w:val="0"/>
        </w:rPr>
      </w:pPr>
    </w:p>
    <w:p w:rsidR="00274F46" w:rsidRPr="000E0503" w:rsidRDefault="000E0503" w:rsidP="00274F46">
      <w:pPr>
        <w:widowControl w:val="0"/>
        <w:contextualSpacing/>
        <w:rPr>
          <w:rFonts w:ascii="Calibri" w:hAnsi="Calibri"/>
          <w:bCs/>
          <w:snapToGrid w:val="0"/>
          <w:highlight w:val="black"/>
        </w:rPr>
      </w:pPr>
      <w:r>
        <w:rPr>
          <w:rFonts w:ascii="Calibri" w:hAnsi="Calibri"/>
          <w:bCs/>
          <w:noProof/>
          <w:snapToGrid w:val="0"/>
          <w:color w:val="000000"/>
          <w:highlight w:val="black"/>
        </w:rPr>
        <w:t>'''''''''''''''' ''''''''''''''''''''''''' ''''''' '''''''' '''''''' '''''''''''''' '''''''' '''''''''''''''' '''''''' ''''''''' ''''''' '''''''''''''''''''' '''''''''''''</w:t>
      </w:r>
    </w:p>
    <w:p w:rsidR="00A22EF7" w:rsidRPr="000E0503" w:rsidRDefault="00A22EF7" w:rsidP="00274F46">
      <w:pPr>
        <w:widowControl w:val="0"/>
        <w:contextualSpacing/>
        <w:rPr>
          <w:rFonts w:ascii="Calibri" w:hAnsi="Calibri"/>
          <w:bCs/>
          <w:snapToGrid w:val="0"/>
        </w:rPr>
      </w:pPr>
    </w:p>
    <w:p w:rsidR="00A22EF7" w:rsidRPr="000E0503" w:rsidRDefault="000E0503" w:rsidP="00274F46">
      <w:pPr>
        <w:widowControl w:val="0"/>
        <w:contextualSpacing/>
        <w:rPr>
          <w:rFonts w:ascii="Calibri" w:hAnsi="Calibri"/>
          <w:bCs/>
          <w:snapToGrid w:val="0"/>
        </w:rPr>
      </w:pPr>
      <w:r>
        <w:rPr>
          <w:rFonts w:ascii="Calibri" w:hAnsi="Calibri"/>
          <w:bCs/>
          <w:noProof/>
          <w:snapToGrid w:val="0"/>
          <w:color w:val="000000"/>
          <w:highlight w:val="black"/>
        </w:rPr>
        <w:t xml:space="preserve">'''''''''''''''''''''' ''''''''' '''''''''''''''' ''''''''''''' ''''''''''' ''''''''' '''''''' '''' ''''''''''''''' </w:t>
      </w:r>
      <w:r>
        <w:rPr>
          <w:rFonts w:ascii="Calibri" w:hAnsi="Calibri"/>
          <w:bCs/>
          <w:i/>
          <w:noProof/>
          <w:snapToGrid w:val="0"/>
          <w:color w:val="000000"/>
          <w:highlight w:val="black"/>
        </w:rPr>
        <w:t xml:space="preserve">'''''''''''' ''''''''''''''''''' ''''''''' ''''''''''''''''' '''''''''''' '''''' ''''''''' '''''''''''''''''''''''''''' ''''' ''''''''''''''''' ''''' ''''''''''''' ''''''' '''''''''''''''' ''''''''''''''' ''''''''''''''''''' ''''''''' ''''''' '''''''''''' ''''''''''' ''''''''''''''''' '''' ''''''''''''''' '''' '''''''''' '''''''''''''' '''''''' ''''' ''''''''' ''''''''''''''''''' ''''''' ''''''''''' '''''''''''' ''''' ''''''''''''''''' '''' '''''''' '''''''' '''' ''''''''''''''''   </w:t>
      </w:r>
      <w:r>
        <w:rPr>
          <w:rFonts w:ascii="Calibri" w:hAnsi="Calibri"/>
          <w:bCs/>
          <w:noProof/>
          <w:snapToGrid w:val="0"/>
          <w:color w:val="000000"/>
          <w:highlight w:val="black"/>
        </w:rPr>
        <w:t xml:space="preserve"> </w:t>
      </w:r>
    </w:p>
    <w:p w:rsidR="009C3640" w:rsidRPr="000E0503" w:rsidRDefault="009C3640" w:rsidP="00274F46">
      <w:pPr>
        <w:widowControl w:val="0"/>
        <w:contextualSpacing/>
        <w:rPr>
          <w:rFonts w:ascii="Calibri" w:hAnsi="Calibri"/>
          <w:bCs/>
          <w:snapToGrid w:val="0"/>
        </w:rPr>
      </w:pPr>
    </w:p>
    <w:p w:rsidR="009231EB" w:rsidRPr="000E0503" w:rsidRDefault="009231EB" w:rsidP="009C3640">
      <w:pPr>
        <w:widowControl w:val="0"/>
        <w:spacing w:after="0"/>
        <w:jc w:val="both"/>
        <w:rPr>
          <w:rFonts w:eastAsia="Times New Roman" w:cs="Times New Roman"/>
          <w:b/>
          <w:snapToGrid w:val="0"/>
          <w:szCs w:val="20"/>
          <w:lang w:eastAsia="en-US"/>
        </w:rPr>
      </w:pPr>
    </w:p>
    <w:p w:rsidR="000F1DE8" w:rsidRPr="000E0503" w:rsidRDefault="000E0503">
      <w:pPr>
        <w:spacing w:line="276" w:lineRule="auto"/>
        <w:rPr>
          <w:rFonts w:eastAsia="Times New Roman" w:cs="Times New Roman"/>
          <w:b/>
          <w:snapToGrid w:val="0"/>
          <w:szCs w:val="20"/>
          <w:highlight w:val="black"/>
          <w:lang w:eastAsia="en-US"/>
        </w:rPr>
      </w:pPr>
      <w:r>
        <w:rPr>
          <w:rFonts w:eastAsia="Times New Roman" w:cs="Times New Roman"/>
          <w:b/>
          <w:noProof/>
          <w:snapToGrid w:val="0"/>
          <w:color w:val="000000"/>
          <w:szCs w:val="20"/>
          <w:highlight w:val="black"/>
          <w:lang w:eastAsia="en-US"/>
        </w:rPr>
        <w:br w:type="page"/>
      </w:r>
    </w:p>
    <w:p w:rsidR="009C3640" w:rsidRPr="000E0503" w:rsidRDefault="000E0503" w:rsidP="00C7107F">
      <w:pPr>
        <w:widowControl w:val="0"/>
        <w:spacing w:after="0"/>
        <w:rPr>
          <w:rFonts w:eastAsia="Times New Roman" w:cs="Times New Roman"/>
          <w:snapToGrid w:val="0"/>
          <w:szCs w:val="20"/>
          <w:highlight w:val="black"/>
          <w:lang w:eastAsia="en-US"/>
        </w:rPr>
      </w:pPr>
      <w:r>
        <w:rPr>
          <w:rFonts w:eastAsia="Times New Roman" w:cs="Times New Roman"/>
          <w:b/>
          <w:noProof/>
          <w:snapToGrid w:val="0"/>
          <w:color w:val="000000"/>
          <w:szCs w:val="20"/>
          <w:highlight w:val="black"/>
          <w:lang w:eastAsia="en-US"/>
        </w:rPr>
        <w:lastRenderedPageBreak/>
        <w:t>'''''''''' '''' '''''''''''''''''''''''''' '''''''''''''''' '''' ''''''''''''' '''''''' '''''''''''''''' ''''''''''''''' '''''''''''''' '''''' '''''''' '''''' '''''''''''''''</w:t>
      </w:r>
      <w:r w:rsidRPr="000E0503">
        <w:rPr>
          <w:rFonts w:eastAsia="Times New Roman" w:cs="Times New Roman"/>
          <w:noProof/>
          <w:snapToGrid w:val="0"/>
          <w:color w:val="000000"/>
          <w:szCs w:val="20"/>
          <w:highlight w:val="black"/>
          <w:lang w:eastAsia="en-US"/>
        </w:rPr>
        <w:t xml:space="preserve"> </w:t>
      </w:r>
    </w:p>
    <w:tbl>
      <w:tblPr>
        <w:tblW w:w="5000" w:type="pct"/>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3526"/>
        <w:gridCol w:w="1121"/>
        <w:gridCol w:w="1123"/>
        <w:gridCol w:w="1121"/>
        <w:gridCol w:w="1121"/>
        <w:gridCol w:w="1115"/>
      </w:tblGrid>
      <w:tr w:rsidR="009C3640" w:rsidRPr="00665CFB" w:rsidTr="00C7107F">
        <w:trPr>
          <w:cantSplit/>
        </w:trPr>
        <w:tc>
          <w:tcPr>
            <w:tcW w:w="1932" w:type="pct"/>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rsidR="009C3640" w:rsidRPr="000E0503" w:rsidRDefault="009C3640" w:rsidP="009C3640">
            <w:pPr>
              <w:keepNext/>
              <w:keepLines/>
              <w:spacing w:after="0"/>
              <w:ind w:left="275" w:hanging="275"/>
              <w:rPr>
                <w:rFonts w:eastAsia="Times New Roman" w:cs="Arial"/>
                <w:b/>
                <w:sz w:val="20"/>
                <w:szCs w:val="20"/>
                <w:lang w:eastAsia="en-US"/>
              </w:rPr>
            </w:pPr>
          </w:p>
        </w:tc>
        <w:tc>
          <w:tcPr>
            <w:tcW w:w="61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9C3640" w:rsidRPr="000E0503" w:rsidRDefault="000E0503" w:rsidP="009C3640">
            <w:pPr>
              <w:keepNext/>
              <w:keepLines/>
              <w:spacing w:after="0"/>
              <w:jc w:val="center"/>
              <w:rPr>
                <w:rFonts w:eastAsia="Times New Roman" w:cs="Arial"/>
                <w:b/>
                <w:sz w:val="20"/>
                <w:szCs w:val="20"/>
                <w:highlight w:val="black"/>
                <w:lang w:eastAsia="en-US"/>
              </w:rPr>
            </w:pPr>
            <w:r>
              <w:rPr>
                <w:rFonts w:eastAsia="Times New Roman" w:cs="Arial"/>
                <w:b/>
                <w:noProof/>
                <w:color w:val="000000"/>
                <w:sz w:val="20"/>
                <w:szCs w:val="20"/>
                <w:highlight w:val="black"/>
                <w:lang w:eastAsia="en-US"/>
              </w:rPr>
              <w:t>'''''''' '''</w:t>
            </w:r>
          </w:p>
        </w:tc>
        <w:tc>
          <w:tcPr>
            <w:tcW w:w="615"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9C3640" w:rsidRPr="000E0503" w:rsidRDefault="000E0503" w:rsidP="009C3640">
            <w:pPr>
              <w:keepNext/>
              <w:keepLines/>
              <w:spacing w:after="0"/>
              <w:jc w:val="center"/>
              <w:rPr>
                <w:rFonts w:eastAsia="Times New Roman" w:cs="Arial"/>
                <w:b/>
                <w:sz w:val="20"/>
                <w:szCs w:val="20"/>
                <w:highlight w:val="black"/>
                <w:lang w:eastAsia="en-US"/>
              </w:rPr>
            </w:pPr>
            <w:r>
              <w:rPr>
                <w:rFonts w:eastAsia="Times New Roman" w:cs="Arial"/>
                <w:b/>
                <w:noProof/>
                <w:color w:val="000000"/>
                <w:sz w:val="20"/>
                <w:szCs w:val="20"/>
                <w:highlight w:val="black"/>
                <w:lang w:eastAsia="en-US"/>
              </w:rPr>
              <w:t>''''''''' '''</w:t>
            </w:r>
          </w:p>
        </w:tc>
        <w:tc>
          <w:tcPr>
            <w:tcW w:w="61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9C3640" w:rsidRPr="000E0503" w:rsidRDefault="000E0503" w:rsidP="009C3640">
            <w:pPr>
              <w:keepNext/>
              <w:keepLines/>
              <w:spacing w:after="0"/>
              <w:jc w:val="center"/>
              <w:rPr>
                <w:rFonts w:eastAsia="Times New Roman" w:cs="Arial"/>
                <w:b/>
                <w:sz w:val="20"/>
                <w:szCs w:val="20"/>
                <w:highlight w:val="black"/>
                <w:lang w:eastAsia="en-US"/>
              </w:rPr>
            </w:pPr>
            <w:r>
              <w:rPr>
                <w:rFonts w:eastAsia="Times New Roman" w:cs="Arial"/>
                <w:b/>
                <w:noProof/>
                <w:color w:val="000000"/>
                <w:sz w:val="20"/>
                <w:szCs w:val="20"/>
                <w:highlight w:val="black"/>
                <w:lang w:eastAsia="en-US"/>
              </w:rPr>
              <w:t>''''''''' '''</w:t>
            </w:r>
          </w:p>
        </w:tc>
        <w:tc>
          <w:tcPr>
            <w:tcW w:w="61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9C3640" w:rsidRPr="000E0503" w:rsidRDefault="000E0503" w:rsidP="009C3640">
            <w:pPr>
              <w:keepNext/>
              <w:keepLines/>
              <w:spacing w:after="0"/>
              <w:jc w:val="center"/>
              <w:rPr>
                <w:rFonts w:eastAsia="Times New Roman" w:cs="Arial"/>
                <w:b/>
                <w:sz w:val="20"/>
                <w:szCs w:val="20"/>
                <w:highlight w:val="black"/>
                <w:lang w:eastAsia="en-US"/>
              </w:rPr>
            </w:pPr>
            <w:r>
              <w:rPr>
                <w:rFonts w:eastAsia="Times New Roman" w:cs="Arial"/>
                <w:b/>
                <w:noProof/>
                <w:color w:val="000000"/>
                <w:sz w:val="20"/>
                <w:szCs w:val="20"/>
                <w:highlight w:val="black"/>
                <w:lang w:eastAsia="en-US"/>
              </w:rPr>
              <w:t>'''''''' '''</w:t>
            </w:r>
          </w:p>
        </w:tc>
        <w:tc>
          <w:tcPr>
            <w:tcW w:w="611"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9C3640" w:rsidRPr="000E0503" w:rsidRDefault="000E0503" w:rsidP="009C3640">
            <w:pPr>
              <w:keepNext/>
              <w:keepLines/>
              <w:spacing w:after="0"/>
              <w:jc w:val="center"/>
              <w:rPr>
                <w:rFonts w:eastAsia="Times New Roman" w:cs="Arial"/>
                <w:b/>
                <w:sz w:val="20"/>
                <w:szCs w:val="20"/>
                <w:highlight w:val="black"/>
                <w:lang w:eastAsia="en-US"/>
              </w:rPr>
            </w:pPr>
            <w:r>
              <w:rPr>
                <w:rFonts w:eastAsia="Times New Roman" w:cs="Arial"/>
                <w:b/>
                <w:noProof/>
                <w:color w:val="000000"/>
                <w:sz w:val="20"/>
                <w:szCs w:val="20"/>
                <w:highlight w:val="black"/>
                <w:lang w:eastAsia="en-US"/>
              </w:rPr>
              <w:t>'''''''' '''</w:t>
            </w:r>
          </w:p>
        </w:tc>
      </w:tr>
      <w:tr w:rsidR="009C3640" w:rsidRPr="00665CFB" w:rsidTr="00C541F5">
        <w:tc>
          <w:tcPr>
            <w:tcW w:w="5000" w:type="pct"/>
            <w:gridSpan w:val="6"/>
            <w:tcBorders>
              <w:top w:val="single" w:sz="6" w:space="0" w:color="auto"/>
              <w:left w:val="single" w:sz="4" w:space="0" w:color="auto"/>
              <w:bottom w:val="single" w:sz="6" w:space="0" w:color="auto"/>
            </w:tcBorders>
            <w:vAlign w:val="center"/>
          </w:tcPr>
          <w:p w:rsidR="009C3640" w:rsidRPr="000E0503" w:rsidRDefault="000E0503" w:rsidP="009C3640">
            <w:pPr>
              <w:keepNext/>
              <w:keepLines/>
              <w:widowControl w:val="0"/>
              <w:spacing w:after="0"/>
              <w:rPr>
                <w:rFonts w:eastAsia="Times New Roman" w:cs="Arial"/>
                <w:snapToGrid w:val="0"/>
                <w:sz w:val="20"/>
                <w:szCs w:val="20"/>
                <w:highlight w:val="black"/>
                <w:lang w:eastAsia="en-US"/>
              </w:rPr>
            </w:pPr>
            <w:r>
              <w:rPr>
                <w:rFonts w:eastAsia="Times New Roman" w:cs="Arial"/>
                <w:b/>
                <w:noProof/>
                <w:snapToGrid w:val="0"/>
                <w:color w:val="000000"/>
                <w:sz w:val="20"/>
                <w:szCs w:val="20"/>
                <w:highlight w:val="black"/>
                <w:lang w:eastAsia="en-US"/>
              </w:rPr>
              <w:t>''''''''''''''' ''' ''''''''''''' ''' '''''' ''''''''''' ''''' ''''''' '''''' ''''' ''''''''''''''''''</w:t>
            </w:r>
          </w:p>
        </w:tc>
      </w:tr>
      <w:tr w:rsidR="009C3640" w:rsidRPr="00665CFB" w:rsidTr="00C541F5">
        <w:tc>
          <w:tcPr>
            <w:tcW w:w="1932" w:type="pct"/>
            <w:tcBorders>
              <w:top w:val="single" w:sz="6" w:space="0" w:color="auto"/>
              <w:left w:val="single" w:sz="4" w:space="0" w:color="auto"/>
              <w:bottom w:val="single" w:sz="6" w:space="0" w:color="auto"/>
            </w:tcBorders>
            <w:vAlign w:val="center"/>
          </w:tcPr>
          <w:p w:rsidR="009C3640" w:rsidRPr="000E0503" w:rsidRDefault="000E0503" w:rsidP="00C7107F">
            <w:pPr>
              <w:keepNext/>
              <w:keepLines/>
              <w:spacing w:after="0"/>
              <w:rPr>
                <w:rFonts w:eastAsia="Times New Roman" w:cs="Arial"/>
                <w:b/>
                <w:sz w:val="20"/>
                <w:szCs w:val="20"/>
                <w:highlight w:val="black"/>
                <w:lang w:val="en-GB" w:eastAsia="en-US"/>
              </w:rPr>
            </w:pPr>
            <w:r>
              <w:rPr>
                <w:rFonts w:eastAsia="Times New Roman" w:cs="Arial"/>
                <w:noProof/>
                <w:color w:val="000000"/>
                <w:sz w:val="20"/>
                <w:szCs w:val="20"/>
                <w:highlight w:val="black"/>
                <w:lang w:eastAsia="en-US"/>
              </w:rPr>
              <w:t>''''''''''''''''' '''' ''''''''''' ''''''' ''''''''''''''''' ''''''''''' '''' '''''''''''''' ''''''''''''''' '''''''''''''''</w:t>
            </w:r>
          </w:p>
        </w:tc>
        <w:tc>
          <w:tcPr>
            <w:tcW w:w="614" w:type="pct"/>
            <w:tcBorders>
              <w:top w:val="single" w:sz="6" w:space="0" w:color="auto"/>
              <w:bottom w:val="single" w:sz="6" w:space="0" w:color="auto"/>
            </w:tcBorders>
            <w:vAlign w:val="center"/>
          </w:tcPr>
          <w:p w:rsidR="009C3640" w:rsidRPr="000E0503" w:rsidRDefault="000E0503" w:rsidP="009C3640">
            <w:pPr>
              <w:keepNext/>
              <w:keepLines/>
              <w:spacing w:after="0"/>
              <w:jc w:val="center"/>
              <w:rPr>
                <w:rFonts w:eastAsia="Times New Roman" w:cs="Arial"/>
                <w:sz w:val="20"/>
                <w:szCs w:val="20"/>
                <w:highlight w:val="black"/>
                <w:lang w:eastAsia="en-US"/>
              </w:rPr>
            </w:pPr>
            <w:r>
              <w:rPr>
                <w:rFonts w:eastAsia="Times New Roman" w:cs="Arial"/>
                <w:noProof/>
                <w:color w:val="000000"/>
                <w:sz w:val="20"/>
                <w:szCs w:val="20"/>
                <w:highlight w:val="black"/>
                <w:lang w:eastAsia="en-US"/>
              </w:rPr>
              <w:t>''''''''</w:t>
            </w:r>
          </w:p>
        </w:tc>
        <w:tc>
          <w:tcPr>
            <w:tcW w:w="615" w:type="pct"/>
            <w:tcBorders>
              <w:top w:val="single" w:sz="6" w:space="0" w:color="auto"/>
              <w:bottom w:val="single" w:sz="6" w:space="0" w:color="auto"/>
            </w:tcBorders>
            <w:vAlign w:val="center"/>
          </w:tcPr>
          <w:p w:rsidR="009C3640" w:rsidRPr="000E0503" w:rsidRDefault="000E0503" w:rsidP="009C3640">
            <w:pPr>
              <w:keepNext/>
              <w:keepLines/>
              <w:spacing w:after="0"/>
              <w:jc w:val="center"/>
              <w:rPr>
                <w:rFonts w:eastAsia="Times New Roman" w:cs="Arial"/>
                <w:sz w:val="20"/>
                <w:szCs w:val="20"/>
                <w:highlight w:val="black"/>
                <w:lang w:eastAsia="en-US"/>
              </w:rPr>
            </w:pPr>
            <w:r>
              <w:rPr>
                <w:rFonts w:eastAsia="Times New Roman" w:cs="Arial"/>
                <w:noProof/>
                <w:color w:val="000000"/>
                <w:sz w:val="20"/>
                <w:szCs w:val="20"/>
                <w:highlight w:val="black"/>
                <w:lang w:eastAsia="en-US"/>
              </w:rPr>
              <w:t>'''''''</w:t>
            </w:r>
          </w:p>
        </w:tc>
        <w:tc>
          <w:tcPr>
            <w:tcW w:w="614" w:type="pct"/>
            <w:tcBorders>
              <w:top w:val="single" w:sz="6" w:space="0" w:color="auto"/>
              <w:bottom w:val="single" w:sz="6" w:space="0" w:color="auto"/>
            </w:tcBorders>
            <w:vAlign w:val="center"/>
          </w:tcPr>
          <w:p w:rsidR="009C3640" w:rsidRPr="000E0503" w:rsidRDefault="000E0503" w:rsidP="009C3640">
            <w:pPr>
              <w:keepNext/>
              <w:keepLines/>
              <w:widowControl w:val="0"/>
              <w:spacing w:after="0"/>
              <w:jc w:val="center"/>
              <w:rPr>
                <w:rFonts w:eastAsia="Times New Roman" w:cs="Arial"/>
                <w:snapToGrid w:val="0"/>
                <w:sz w:val="20"/>
                <w:szCs w:val="20"/>
                <w:highlight w:val="black"/>
                <w:lang w:eastAsia="en-US"/>
              </w:rPr>
            </w:pPr>
            <w:r>
              <w:rPr>
                <w:rFonts w:eastAsia="Times New Roman" w:cs="Arial"/>
                <w:noProof/>
                <w:snapToGrid w:val="0"/>
                <w:color w:val="000000"/>
                <w:sz w:val="20"/>
                <w:szCs w:val="20"/>
                <w:highlight w:val="black"/>
                <w:lang w:eastAsia="en-US"/>
              </w:rPr>
              <w:t>''''''''</w:t>
            </w:r>
          </w:p>
        </w:tc>
        <w:tc>
          <w:tcPr>
            <w:tcW w:w="614" w:type="pct"/>
            <w:tcBorders>
              <w:top w:val="single" w:sz="6" w:space="0" w:color="auto"/>
              <w:bottom w:val="single" w:sz="6" w:space="0" w:color="auto"/>
            </w:tcBorders>
            <w:vAlign w:val="center"/>
          </w:tcPr>
          <w:p w:rsidR="009C3640" w:rsidRPr="000E0503" w:rsidRDefault="000E0503" w:rsidP="009C3640">
            <w:pPr>
              <w:keepNext/>
              <w:keepLines/>
              <w:widowControl w:val="0"/>
              <w:spacing w:after="0"/>
              <w:jc w:val="center"/>
              <w:rPr>
                <w:rFonts w:eastAsia="Times New Roman" w:cs="Arial"/>
                <w:snapToGrid w:val="0"/>
                <w:sz w:val="20"/>
                <w:szCs w:val="20"/>
                <w:highlight w:val="black"/>
                <w:lang w:eastAsia="en-US"/>
              </w:rPr>
            </w:pPr>
            <w:r>
              <w:rPr>
                <w:rFonts w:eastAsia="Times New Roman" w:cs="Arial"/>
                <w:noProof/>
                <w:snapToGrid w:val="0"/>
                <w:color w:val="000000"/>
                <w:sz w:val="20"/>
                <w:szCs w:val="20"/>
                <w:highlight w:val="black"/>
                <w:lang w:eastAsia="en-US"/>
              </w:rPr>
              <w:t>'''''''</w:t>
            </w:r>
          </w:p>
        </w:tc>
        <w:tc>
          <w:tcPr>
            <w:tcW w:w="611" w:type="pct"/>
            <w:tcBorders>
              <w:top w:val="single" w:sz="6" w:space="0" w:color="auto"/>
              <w:bottom w:val="single" w:sz="6" w:space="0" w:color="auto"/>
            </w:tcBorders>
            <w:vAlign w:val="center"/>
          </w:tcPr>
          <w:p w:rsidR="009C3640" w:rsidRPr="000E0503" w:rsidRDefault="000E0503" w:rsidP="009C3640">
            <w:pPr>
              <w:keepNext/>
              <w:keepLines/>
              <w:widowControl w:val="0"/>
              <w:spacing w:after="0"/>
              <w:jc w:val="center"/>
              <w:rPr>
                <w:rFonts w:eastAsia="Times New Roman" w:cs="Arial"/>
                <w:snapToGrid w:val="0"/>
                <w:sz w:val="20"/>
                <w:szCs w:val="20"/>
                <w:highlight w:val="black"/>
                <w:lang w:eastAsia="en-US"/>
              </w:rPr>
            </w:pPr>
            <w:r>
              <w:rPr>
                <w:rFonts w:eastAsia="Times New Roman" w:cs="Arial"/>
                <w:noProof/>
                <w:snapToGrid w:val="0"/>
                <w:color w:val="000000"/>
                <w:sz w:val="20"/>
                <w:szCs w:val="20"/>
                <w:highlight w:val="black"/>
                <w:lang w:eastAsia="en-US"/>
              </w:rPr>
              <w:t>'''''''</w:t>
            </w:r>
          </w:p>
        </w:tc>
      </w:tr>
    </w:tbl>
    <w:p w:rsidR="009C3640" w:rsidRPr="000E0503" w:rsidRDefault="000E0503" w:rsidP="009C3640">
      <w:pPr>
        <w:keepNext/>
        <w:keepLines/>
        <w:spacing w:after="0"/>
        <w:jc w:val="both"/>
        <w:rPr>
          <w:rFonts w:eastAsia="SimSun" w:cs="Times New Roman"/>
          <w:sz w:val="20"/>
          <w:szCs w:val="20"/>
          <w:highlight w:val="black"/>
          <w:lang w:eastAsia="en-US"/>
        </w:rPr>
      </w:pPr>
      <w:r>
        <w:rPr>
          <w:rFonts w:eastAsia="SimSun" w:cs="Times New Roman"/>
          <w:noProof/>
          <w:color w:val="000000"/>
          <w:sz w:val="20"/>
          <w:szCs w:val="20"/>
          <w:highlight w:val="black"/>
          <w:lang w:eastAsia="en-US"/>
        </w:rPr>
        <w:t>''''' ''''''''''''''' '''''''''''' ''''''' ''''''''''''''' '''''''' ''''''''''''''''' ''' ''''''''''' ''''''''''''''' '''''''''''</w:t>
      </w:r>
    </w:p>
    <w:p w:rsidR="009C3640" w:rsidRPr="000E0503" w:rsidRDefault="000E0503" w:rsidP="009C3640">
      <w:pPr>
        <w:keepNext/>
        <w:keepLines/>
        <w:spacing w:after="0"/>
        <w:jc w:val="both"/>
        <w:rPr>
          <w:rFonts w:eastAsia="SimSun" w:cs="Times New Roman"/>
          <w:sz w:val="20"/>
          <w:szCs w:val="20"/>
          <w:highlight w:val="black"/>
          <w:lang w:val="x-none" w:eastAsia="en-US"/>
        </w:rPr>
      </w:pPr>
      <w:r>
        <w:rPr>
          <w:rFonts w:eastAsia="SimSun" w:cs="Times New Roman"/>
          <w:noProof/>
          <w:color w:val="000000"/>
          <w:sz w:val="20"/>
          <w:szCs w:val="20"/>
          <w:highlight w:val="black"/>
          <w:lang w:val="x-none" w:eastAsia="en-US"/>
        </w:rPr>
        <w:t>''''''''''''''' '''''''''' '''''''''''''' '''''''''' '''''''''' ''''''''''' ''''' '''''''''''' ''''''''''''  ''''''''''' '''''''''''' ''''''''''' '''''''''' '''''''''' ''''''''' '''''' '''''' ''''' ''''''' '''' '''''' ''''''''''''''''''''''''''</w:t>
      </w:r>
    </w:p>
    <w:p w:rsidR="009C3640" w:rsidRPr="008864BC" w:rsidRDefault="009C3640" w:rsidP="00274F46">
      <w:pPr>
        <w:widowControl w:val="0"/>
        <w:contextualSpacing/>
        <w:rPr>
          <w:rFonts w:ascii="Calibri" w:hAnsi="Calibri"/>
          <w:bCs/>
          <w:snapToGrid w:val="0"/>
        </w:rPr>
      </w:pPr>
    </w:p>
    <w:p w:rsidR="00274F46" w:rsidRPr="00886D5B" w:rsidRDefault="00274F46" w:rsidP="00274F46">
      <w:pPr>
        <w:widowControl w:val="0"/>
        <w:rPr>
          <w:rFonts w:ascii="Calibri" w:hAnsi="Calibri"/>
          <w:b/>
          <w:bCs/>
          <w:snapToGrid w:val="0"/>
        </w:rPr>
      </w:pPr>
      <w:r w:rsidRPr="00886D5B">
        <w:rPr>
          <w:rFonts w:ascii="Calibri" w:hAnsi="Calibri"/>
          <w:b/>
          <w:bCs/>
          <w:snapToGrid w:val="0"/>
        </w:rPr>
        <w:t>Gefitinib</w:t>
      </w:r>
      <w:r>
        <w:rPr>
          <w:rFonts w:ascii="Calibri" w:hAnsi="Calibri"/>
          <w:b/>
          <w:bCs/>
          <w:snapToGrid w:val="0"/>
        </w:rPr>
        <w:t xml:space="preserve"> resubmission </w:t>
      </w:r>
    </w:p>
    <w:p w:rsidR="00274F46" w:rsidRPr="00652C79" w:rsidRDefault="00274F46" w:rsidP="00274F46">
      <w:pPr>
        <w:widowControl w:val="0"/>
        <w:rPr>
          <w:rFonts w:ascii="Calibri" w:hAnsi="Calibri"/>
          <w:bCs/>
          <w:i/>
          <w:snapToGrid w:val="0"/>
        </w:rPr>
      </w:pPr>
      <w:r w:rsidRPr="00652C79">
        <w:rPr>
          <w:rFonts w:ascii="Calibri" w:hAnsi="Calibri"/>
          <w:bCs/>
          <w:i/>
          <w:snapToGrid w:val="0"/>
        </w:rPr>
        <w:t>First-line patients</w:t>
      </w:r>
    </w:p>
    <w:p w:rsidR="00274F46" w:rsidRDefault="00274F46" w:rsidP="00274F46">
      <w:pPr>
        <w:widowControl w:val="0"/>
        <w:rPr>
          <w:rFonts w:ascii="Calibri" w:hAnsi="Calibri"/>
          <w:bCs/>
          <w:snapToGrid w:val="0"/>
        </w:rPr>
      </w:pPr>
      <w:r>
        <w:rPr>
          <w:rFonts w:ascii="Calibri" w:hAnsi="Calibri"/>
          <w:bCs/>
          <w:snapToGrid w:val="0"/>
        </w:rPr>
        <w:t xml:space="preserve">Epidemiological approach based on AIHW lung cancer statistics. Both the incident and prevalent populations were considered as part of the potentially eligible population, with a ratio of prevalent to incident cases of 22% from AIHW data. </w:t>
      </w:r>
    </w:p>
    <w:p w:rsidR="00274F46" w:rsidRPr="003C0A60" w:rsidRDefault="00274F46" w:rsidP="00274F46">
      <w:pPr>
        <w:widowControl w:val="0"/>
        <w:rPr>
          <w:rFonts w:ascii="Calibri" w:hAnsi="Calibri"/>
          <w:bCs/>
          <w:snapToGrid w:val="0"/>
        </w:rPr>
      </w:pPr>
      <w:r>
        <w:rPr>
          <w:rFonts w:ascii="Calibri" w:hAnsi="Calibri"/>
          <w:bCs/>
          <w:snapToGrid w:val="0"/>
        </w:rPr>
        <w:t xml:space="preserve">From </w:t>
      </w:r>
      <w:r w:rsidRPr="003C0A60">
        <w:rPr>
          <w:rFonts w:ascii="Calibri" w:hAnsi="Calibri"/>
          <w:bCs/>
          <w:snapToGrid w:val="0"/>
        </w:rPr>
        <w:t xml:space="preserve">a review of the Australian epidemiological </w:t>
      </w:r>
      <w:r>
        <w:rPr>
          <w:rFonts w:ascii="Calibri" w:hAnsi="Calibri"/>
          <w:bCs/>
          <w:snapToGrid w:val="0"/>
        </w:rPr>
        <w:t>literature</w:t>
      </w:r>
      <w:r w:rsidRPr="003C0A60">
        <w:rPr>
          <w:rFonts w:ascii="Calibri" w:hAnsi="Calibri"/>
          <w:bCs/>
          <w:snapToGrid w:val="0"/>
        </w:rPr>
        <w:t xml:space="preserve"> it was assumed that: </w:t>
      </w:r>
    </w:p>
    <w:p w:rsidR="00274F46" w:rsidRPr="003C0A60" w:rsidRDefault="00274F46" w:rsidP="00274F46">
      <w:pPr>
        <w:pStyle w:val="ListParagraph"/>
        <w:widowControl w:val="0"/>
        <w:numPr>
          <w:ilvl w:val="0"/>
          <w:numId w:val="22"/>
        </w:numPr>
        <w:spacing w:after="0"/>
        <w:rPr>
          <w:rFonts w:ascii="Calibri" w:hAnsi="Calibri"/>
          <w:bCs/>
          <w:snapToGrid w:val="0"/>
        </w:rPr>
      </w:pPr>
      <w:r w:rsidRPr="003C0A60">
        <w:rPr>
          <w:rFonts w:ascii="Calibri" w:hAnsi="Calibri"/>
          <w:bCs/>
          <w:snapToGrid w:val="0"/>
        </w:rPr>
        <w:t xml:space="preserve">95% of incident cases have </w:t>
      </w:r>
      <w:r w:rsidR="00791672">
        <w:rPr>
          <w:rFonts w:ascii="Calibri" w:hAnsi="Calibri"/>
          <w:bCs/>
          <w:snapToGrid w:val="0"/>
        </w:rPr>
        <w:t>tissue available for diagnosis</w:t>
      </w:r>
    </w:p>
    <w:p w:rsidR="00274F46" w:rsidRDefault="00274F46" w:rsidP="00274F46">
      <w:pPr>
        <w:pStyle w:val="ListParagraph"/>
        <w:widowControl w:val="0"/>
        <w:numPr>
          <w:ilvl w:val="0"/>
          <w:numId w:val="22"/>
        </w:numPr>
        <w:spacing w:after="0"/>
        <w:rPr>
          <w:rFonts w:ascii="Calibri" w:hAnsi="Calibri"/>
          <w:bCs/>
          <w:snapToGrid w:val="0"/>
        </w:rPr>
      </w:pPr>
      <w:r w:rsidRPr="003C0A60">
        <w:rPr>
          <w:rFonts w:ascii="Calibri" w:hAnsi="Calibri"/>
          <w:bCs/>
          <w:snapToGrid w:val="0"/>
        </w:rPr>
        <w:t xml:space="preserve">86% of these are NSCLC and 80% of NSCLC </w:t>
      </w:r>
      <w:r>
        <w:rPr>
          <w:rFonts w:ascii="Calibri" w:hAnsi="Calibri"/>
          <w:bCs/>
          <w:snapToGrid w:val="0"/>
        </w:rPr>
        <w:t>are</w:t>
      </w:r>
      <w:r w:rsidRPr="003C0A60">
        <w:rPr>
          <w:rFonts w:ascii="Calibri" w:hAnsi="Calibri"/>
          <w:bCs/>
          <w:snapToGrid w:val="0"/>
        </w:rPr>
        <w:t xml:space="preserve"> non-squamous</w:t>
      </w:r>
    </w:p>
    <w:p w:rsidR="00274F46" w:rsidRPr="009578A7" w:rsidRDefault="00A22EF7" w:rsidP="00274F46">
      <w:pPr>
        <w:pStyle w:val="ListParagraph"/>
        <w:widowControl w:val="0"/>
        <w:numPr>
          <w:ilvl w:val="0"/>
          <w:numId w:val="22"/>
        </w:numPr>
        <w:spacing w:after="0"/>
        <w:rPr>
          <w:rFonts w:ascii="Calibri" w:hAnsi="Calibri"/>
          <w:bCs/>
          <w:snapToGrid w:val="0"/>
        </w:rPr>
      </w:pPr>
      <w:r>
        <w:rPr>
          <w:rFonts w:ascii="Calibri" w:hAnsi="Calibri"/>
          <w:bCs/>
          <w:snapToGrid w:val="0"/>
        </w:rPr>
        <w:t>71</w:t>
      </w:r>
      <w:r w:rsidR="00274F46" w:rsidRPr="009578A7">
        <w:rPr>
          <w:rFonts w:ascii="Calibri" w:hAnsi="Calibri"/>
          <w:bCs/>
          <w:snapToGrid w:val="0"/>
        </w:rPr>
        <w:t xml:space="preserve">% of incident non-squamous NSCLC cases are Stage IIIB/ IV at diagnosis </w:t>
      </w:r>
    </w:p>
    <w:p w:rsidR="00274F46" w:rsidRDefault="00274F46" w:rsidP="00274F46">
      <w:pPr>
        <w:pStyle w:val="ListParagraph"/>
        <w:widowControl w:val="0"/>
        <w:numPr>
          <w:ilvl w:val="0"/>
          <w:numId w:val="22"/>
        </w:numPr>
        <w:spacing w:after="0"/>
        <w:rPr>
          <w:rFonts w:ascii="Calibri" w:hAnsi="Calibri"/>
          <w:bCs/>
          <w:snapToGrid w:val="0"/>
        </w:rPr>
      </w:pPr>
      <w:r>
        <w:rPr>
          <w:rFonts w:ascii="Calibri" w:hAnsi="Calibri"/>
          <w:bCs/>
          <w:snapToGrid w:val="0"/>
        </w:rPr>
        <w:t xml:space="preserve">30% of </w:t>
      </w:r>
      <w:r w:rsidRPr="009578A7">
        <w:rPr>
          <w:rFonts w:ascii="Calibri" w:hAnsi="Calibri"/>
          <w:bCs/>
          <w:snapToGrid w:val="0"/>
        </w:rPr>
        <w:t>Stage I-IIIA cases progress to Stage IIIB-IV (in first year after diagnosis)</w:t>
      </w:r>
    </w:p>
    <w:p w:rsidR="00274F46" w:rsidRDefault="00274F46" w:rsidP="00274F46">
      <w:pPr>
        <w:pStyle w:val="ListParagraph"/>
        <w:widowControl w:val="0"/>
        <w:numPr>
          <w:ilvl w:val="0"/>
          <w:numId w:val="22"/>
        </w:numPr>
        <w:spacing w:after="0"/>
        <w:rPr>
          <w:rFonts w:ascii="Calibri" w:hAnsi="Calibri"/>
          <w:bCs/>
          <w:snapToGrid w:val="0"/>
        </w:rPr>
      </w:pPr>
      <w:r>
        <w:rPr>
          <w:rFonts w:ascii="Calibri" w:hAnsi="Calibri"/>
          <w:bCs/>
          <w:snapToGrid w:val="0"/>
        </w:rPr>
        <w:t>20% of prevalent cases progress</w:t>
      </w:r>
      <w:r w:rsidRPr="003C0A60">
        <w:rPr>
          <w:rFonts w:ascii="Geneva" w:hAnsi="Geneva"/>
          <w:sz w:val="20"/>
          <w:szCs w:val="20"/>
        </w:rPr>
        <w:t xml:space="preserve"> </w:t>
      </w:r>
      <w:r w:rsidR="00791672">
        <w:rPr>
          <w:rFonts w:ascii="Calibri" w:hAnsi="Calibri"/>
          <w:bCs/>
          <w:snapToGrid w:val="0"/>
        </w:rPr>
        <w:t>Stage IIIB-IV each year</w:t>
      </w:r>
    </w:p>
    <w:p w:rsidR="00274F46" w:rsidRPr="003C0A60" w:rsidRDefault="00274F46" w:rsidP="000F1DE8">
      <w:pPr>
        <w:pStyle w:val="ListParagraph"/>
        <w:widowControl w:val="0"/>
        <w:numPr>
          <w:ilvl w:val="0"/>
          <w:numId w:val="22"/>
        </w:numPr>
        <w:spacing w:after="0"/>
        <w:rPr>
          <w:rFonts w:ascii="Calibri" w:hAnsi="Calibri"/>
          <w:bCs/>
          <w:snapToGrid w:val="0"/>
        </w:rPr>
      </w:pPr>
      <w:r>
        <w:rPr>
          <w:rFonts w:ascii="Calibri" w:hAnsi="Calibri"/>
          <w:bCs/>
          <w:snapToGrid w:val="0"/>
        </w:rPr>
        <w:t xml:space="preserve">74% </w:t>
      </w:r>
      <w:r w:rsidRPr="00F10029">
        <w:rPr>
          <w:rFonts w:ascii="Calibri" w:hAnsi="Calibri"/>
          <w:bCs/>
          <w:snapToGrid w:val="0"/>
        </w:rPr>
        <w:t xml:space="preserve">Stage IIIB/ IV non-squamous NSCLC </w:t>
      </w:r>
      <w:r>
        <w:rPr>
          <w:rFonts w:ascii="Calibri" w:hAnsi="Calibri"/>
          <w:bCs/>
          <w:snapToGrid w:val="0"/>
        </w:rPr>
        <w:t>patients have performance status of </w:t>
      </w:r>
      <w:r w:rsidRPr="00F10029">
        <w:rPr>
          <w:rFonts w:ascii="Calibri" w:hAnsi="Calibri"/>
          <w:bCs/>
          <w:snapToGrid w:val="0"/>
        </w:rPr>
        <w:t>0-2</w:t>
      </w:r>
    </w:p>
    <w:p w:rsidR="000F1DE8" w:rsidRDefault="000F1DE8" w:rsidP="000F1DE8">
      <w:pPr>
        <w:widowControl w:val="0"/>
        <w:spacing w:after="0"/>
        <w:rPr>
          <w:rFonts w:ascii="Calibri" w:hAnsi="Calibri"/>
          <w:bCs/>
          <w:snapToGrid w:val="0"/>
        </w:rPr>
      </w:pPr>
    </w:p>
    <w:p w:rsidR="00274F46" w:rsidRPr="003C0A60" w:rsidRDefault="00274F46" w:rsidP="000F1DE8">
      <w:pPr>
        <w:widowControl w:val="0"/>
        <w:rPr>
          <w:rFonts w:ascii="Calibri" w:hAnsi="Calibri"/>
          <w:bCs/>
          <w:snapToGrid w:val="0"/>
        </w:rPr>
      </w:pPr>
      <w:r>
        <w:rPr>
          <w:rFonts w:ascii="Calibri" w:hAnsi="Calibri"/>
          <w:bCs/>
          <w:snapToGrid w:val="0"/>
        </w:rPr>
        <w:t>Based on MSAC advice, 15%</w:t>
      </w:r>
      <w:r w:rsidRPr="003C0A60">
        <w:rPr>
          <w:rFonts w:ascii="Calibri" w:hAnsi="Calibri"/>
          <w:bCs/>
          <w:snapToGrid w:val="0"/>
        </w:rPr>
        <w:t xml:space="preserve"> of </w:t>
      </w:r>
      <w:r>
        <w:rPr>
          <w:rFonts w:ascii="Calibri" w:hAnsi="Calibri"/>
          <w:bCs/>
          <w:snapToGrid w:val="0"/>
        </w:rPr>
        <w:t xml:space="preserve">patients are </w:t>
      </w:r>
      <w:r w:rsidRPr="003C0A60">
        <w:rPr>
          <w:rFonts w:ascii="Calibri" w:hAnsi="Calibri"/>
          <w:bCs/>
          <w:snapToGrid w:val="0"/>
        </w:rPr>
        <w:t xml:space="preserve">EGFR mutation </w:t>
      </w:r>
      <w:r>
        <w:rPr>
          <w:rFonts w:ascii="Calibri" w:hAnsi="Calibri"/>
          <w:bCs/>
          <w:snapToGrid w:val="0"/>
        </w:rPr>
        <w:t xml:space="preserve">positive. </w:t>
      </w:r>
    </w:p>
    <w:p w:rsidR="00274F46" w:rsidRDefault="00274F46" w:rsidP="00274F46">
      <w:pPr>
        <w:widowControl w:val="0"/>
        <w:rPr>
          <w:rFonts w:ascii="Calibri" w:hAnsi="Calibri"/>
          <w:bCs/>
          <w:snapToGrid w:val="0"/>
        </w:rPr>
      </w:pPr>
      <w:r>
        <w:rPr>
          <w:rFonts w:ascii="Calibri" w:hAnsi="Calibri"/>
          <w:bCs/>
          <w:snapToGrid w:val="0"/>
        </w:rPr>
        <w:t xml:space="preserve">Gefitinib </w:t>
      </w:r>
      <w:r w:rsidR="000F1DE8">
        <w:rPr>
          <w:rFonts w:ascii="Calibri" w:hAnsi="Calibri"/>
          <w:bCs/>
          <w:snapToGrid w:val="0"/>
        </w:rPr>
        <w:t>pre</w:t>
      </w:r>
      <w:r>
        <w:rPr>
          <w:rFonts w:ascii="Calibri" w:hAnsi="Calibri"/>
          <w:bCs/>
          <w:snapToGrid w:val="0"/>
        </w:rPr>
        <w:t>script</w:t>
      </w:r>
      <w:r w:rsidR="000F1DE8">
        <w:rPr>
          <w:rFonts w:ascii="Calibri" w:hAnsi="Calibri"/>
          <w:bCs/>
          <w:snapToGrid w:val="0"/>
        </w:rPr>
        <w:t>ion</w:t>
      </w:r>
      <w:r>
        <w:rPr>
          <w:rFonts w:ascii="Calibri" w:hAnsi="Calibri"/>
          <w:bCs/>
          <w:snapToGrid w:val="0"/>
        </w:rPr>
        <w:t>s per first line patient: 10 (median PFS in IPASS trial)</w:t>
      </w:r>
    </w:p>
    <w:p w:rsidR="00274F46" w:rsidRDefault="00274F46" w:rsidP="00274F46">
      <w:pPr>
        <w:widowControl w:val="0"/>
        <w:rPr>
          <w:rFonts w:ascii="Calibri" w:hAnsi="Calibri"/>
          <w:bCs/>
          <w:i/>
          <w:snapToGrid w:val="0"/>
        </w:rPr>
      </w:pPr>
      <w:r>
        <w:rPr>
          <w:rFonts w:ascii="Calibri" w:hAnsi="Calibri"/>
          <w:bCs/>
          <w:snapToGrid w:val="0"/>
        </w:rPr>
        <w:t>Substituted cost: assumed that if gefitinib was listed for first</w:t>
      </w:r>
      <w:r w:rsidR="000F1DE8">
        <w:rPr>
          <w:rFonts w:ascii="Calibri" w:hAnsi="Calibri"/>
          <w:bCs/>
          <w:snapToGrid w:val="0"/>
        </w:rPr>
        <w:t>-</w:t>
      </w:r>
      <w:r>
        <w:rPr>
          <w:rFonts w:ascii="Calibri" w:hAnsi="Calibri"/>
          <w:bCs/>
          <w:snapToGrid w:val="0"/>
        </w:rPr>
        <w:t xml:space="preserve">line use that it would replace platinum doublet chemotherapy and alter the use of second-line treatment in the target population. </w:t>
      </w:r>
      <w:r>
        <w:rPr>
          <w:rFonts w:ascii="Calibri" w:hAnsi="Calibri"/>
          <w:bCs/>
          <w:i/>
          <w:snapToGrid w:val="0"/>
        </w:rPr>
        <w:t>DUSC considered that patients may continue on a TKI in second line (despite the restriction specifying no use beyond progression) and cost offsets may not eventuate</w:t>
      </w:r>
      <w:r w:rsidR="009E4812">
        <w:rPr>
          <w:rFonts w:ascii="Calibri" w:hAnsi="Calibri"/>
          <w:bCs/>
          <w:i/>
          <w:snapToGrid w:val="0"/>
        </w:rPr>
        <w:t>.</w:t>
      </w:r>
    </w:p>
    <w:p w:rsidR="009E4812" w:rsidRPr="00C7107F" w:rsidRDefault="00C7107F" w:rsidP="00C7107F">
      <w:pPr>
        <w:pStyle w:val="Caption"/>
        <w:jc w:val="left"/>
        <w:rPr>
          <w:rFonts w:asciiTheme="minorHAnsi" w:hAnsiTheme="minorHAnsi"/>
          <w:b/>
          <w:i w:val="0"/>
          <w:sz w:val="24"/>
          <w:szCs w:val="24"/>
        </w:rPr>
      </w:pPr>
      <w:r>
        <w:rPr>
          <w:rFonts w:asciiTheme="minorHAnsi" w:hAnsiTheme="minorHAnsi"/>
          <w:b/>
          <w:i w:val="0"/>
          <w:sz w:val="24"/>
          <w:szCs w:val="24"/>
        </w:rPr>
        <w:t xml:space="preserve">Table </w:t>
      </w:r>
      <w:r w:rsidRPr="00C7107F">
        <w:rPr>
          <w:rFonts w:asciiTheme="minorHAnsi" w:hAnsiTheme="minorHAnsi"/>
          <w:b/>
          <w:i w:val="0"/>
          <w:sz w:val="24"/>
          <w:szCs w:val="24"/>
        </w:rPr>
        <w:t xml:space="preserve">3: </w:t>
      </w:r>
      <w:r w:rsidR="009E4812" w:rsidRPr="00C7107F">
        <w:rPr>
          <w:rFonts w:asciiTheme="minorHAnsi" w:hAnsiTheme="minorHAnsi"/>
          <w:b/>
          <w:i w:val="0"/>
          <w:sz w:val="24"/>
          <w:szCs w:val="24"/>
        </w:rPr>
        <w:t>Resubmission’s estimate of first-line patients treated with gefitinib</w:t>
      </w:r>
    </w:p>
    <w:tbl>
      <w:tblPr>
        <w:tblW w:w="5000" w:type="pct"/>
        <w:tblLook w:val="04A0" w:firstRow="1" w:lastRow="0" w:firstColumn="1" w:lastColumn="0" w:noHBand="0" w:noVBand="1"/>
      </w:tblPr>
      <w:tblGrid>
        <w:gridCol w:w="2210"/>
        <w:gridCol w:w="1372"/>
        <w:gridCol w:w="1372"/>
        <w:gridCol w:w="1372"/>
        <w:gridCol w:w="1372"/>
        <w:gridCol w:w="1475"/>
      </w:tblGrid>
      <w:tr w:rsidR="009E4812" w:rsidRPr="009E4812" w:rsidTr="00C7107F">
        <w:tc>
          <w:tcPr>
            <w:tcW w:w="1204" w:type="pct"/>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rsidR="009E4812" w:rsidRPr="009E4812" w:rsidRDefault="009E4812" w:rsidP="00C541F5">
            <w:pPr>
              <w:pStyle w:val="Tabletext"/>
              <w:rPr>
                <w:rFonts w:asciiTheme="minorHAnsi" w:hAnsiTheme="minorHAnsi"/>
                <w:lang w:val="en-AU"/>
              </w:rPr>
            </w:pPr>
            <w:r w:rsidRPr="009E4812">
              <w:rPr>
                <w:rFonts w:asciiTheme="minorHAnsi" w:hAnsiTheme="minorHAnsi"/>
                <w:lang w:val="en-AU"/>
              </w:rPr>
              <w:t> </w:t>
            </w:r>
          </w:p>
        </w:tc>
        <w:tc>
          <w:tcPr>
            <w:tcW w:w="748" w:type="pct"/>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rsidR="009E4812" w:rsidRPr="009E4812" w:rsidRDefault="009E4812" w:rsidP="00C541F5">
            <w:pPr>
              <w:pStyle w:val="Tabletext"/>
              <w:jc w:val="center"/>
              <w:rPr>
                <w:rFonts w:asciiTheme="minorHAnsi" w:hAnsiTheme="minorHAnsi"/>
                <w:b/>
                <w:bCs/>
                <w:lang w:val="en-AU"/>
              </w:rPr>
            </w:pPr>
            <w:r w:rsidRPr="009E4812">
              <w:rPr>
                <w:rFonts w:asciiTheme="minorHAnsi" w:hAnsiTheme="minorHAnsi"/>
                <w:b/>
                <w:bCs/>
                <w:lang w:val="en-AU"/>
              </w:rPr>
              <w:t>Year 1</w:t>
            </w:r>
          </w:p>
        </w:tc>
        <w:tc>
          <w:tcPr>
            <w:tcW w:w="748" w:type="pct"/>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rsidR="009E4812" w:rsidRPr="009E4812" w:rsidRDefault="009E4812" w:rsidP="00C541F5">
            <w:pPr>
              <w:pStyle w:val="Tabletext"/>
              <w:jc w:val="center"/>
              <w:rPr>
                <w:rFonts w:asciiTheme="minorHAnsi" w:hAnsiTheme="minorHAnsi"/>
                <w:b/>
                <w:bCs/>
                <w:lang w:val="en-AU"/>
              </w:rPr>
            </w:pPr>
            <w:r w:rsidRPr="009E4812">
              <w:rPr>
                <w:rFonts w:asciiTheme="minorHAnsi" w:hAnsiTheme="minorHAnsi"/>
                <w:b/>
                <w:bCs/>
                <w:lang w:val="en-AU"/>
              </w:rPr>
              <w:t>Year 2</w:t>
            </w:r>
          </w:p>
        </w:tc>
        <w:tc>
          <w:tcPr>
            <w:tcW w:w="748" w:type="pct"/>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rsidR="009E4812" w:rsidRPr="009E4812" w:rsidRDefault="009E4812" w:rsidP="00C541F5">
            <w:pPr>
              <w:pStyle w:val="Tabletext"/>
              <w:jc w:val="center"/>
              <w:rPr>
                <w:rFonts w:asciiTheme="minorHAnsi" w:hAnsiTheme="minorHAnsi"/>
                <w:b/>
                <w:bCs/>
                <w:lang w:val="en-AU"/>
              </w:rPr>
            </w:pPr>
            <w:r w:rsidRPr="009E4812">
              <w:rPr>
                <w:rFonts w:asciiTheme="minorHAnsi" w:hAnsiTheme="minorHAnsi"/>
                <w:b/>
                <w:bCs/>
                <w:lang w:val="en-AU"/>
              </w:rPr>
              <w:t>Year 3</w:t>
            </w:r>
          </w:p>
        </w:tc>
        <w:tc>
          <w:tcPr>
            <w:tcW w:w="748" w:type="pct"/>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rsidR="009E4812" w:rsidRPr="009E4812" w:rsidRDefault="009E4812" w:rsidP="00C541F5">
            <w:pPr>
              <w:pStyle w:val="Tabletext"/>
              <w:jc w:val="center"/>
              <w:rPr>
                <w:rFonts w:asciiTheme="minorHAnsi" w:hAnsiTheme="minorHAnsi"/>
                <w:b/>
                <w:bCs/>
                <w:lang w:val="en-AU"/>
              </w:rPr>
            </w:pPr>
            <w:r w:rsidRPr="009E4812">
              <w:rPr>
                <w:rFonts w:asciiTheme="minorHAnsi" w:hAnsiTheme="minorHAnsi"/>
                <w:b/>
                <w:bCs/>
                <w:lang w:val="en-AU"/>
              </w:rPr>
              <w:t>Year 4</w:t>
            </w:r>
          </w:p>
        </w:tc>
        <w:tc>
          <w:tcPr>
            <w:tcW w:w="805" w:type="pct"/>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rsidR="009E4812" w:rsidRPr="009E4812" w:rsidRDefault="009E4812" w:rsidP="00C541F5">
            <w:pPr>
              <w:pStyle w:val="Tabletext"/>
              <w:jc w:val="center"/>
              <w:rPr>
                <w:rFonts w:asciiTheme="minorHAnsi" w:hAnsiTheme="minorHAnsi"/>
                <w:b/>
                <w:bCs/>
                <w:lang w:val="en-AU"/>
              </w:rPr>
            </w:pPr>
            <w:r w:rsidRPr="009E4812">
              <w:rPr>
                <w:rFonts w:asciiTheme="minorHAnsi" w:hAnsiTheme="minorHAnsi"/>
                <w:b/>
                <w:bCs/>
                <w:lang w:val="en-AU"/>
              </w:rPr>
              <w:t>Year 5</w:t>
            </w:r>
          </w:p>
        </w:tc>
      </w:tr>
      <w:tr w:rsidR="009E4812" w:rsidRPr="009E4812" w:rsidTr="00C71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04" w:type="pct"/>
            <w:tcBorders>
              <w:top w:val="single" w:sz="4" w:space="0" w:color="auto"/>
              <w:bottom w:val="single" w:sz="4" w:space="0" w:color="auto"/>
            </w:tcBorders>
            <w:shd w:val="clear" w:color="auto" w:fill="auto"/>
            <w:vAlign w:val="center"/>
          </w:tcPr>
          <w:p w:rsidR="009E4812" w:rsidRPr="009E4812" w:rsidRDefault="009E4812" w:rsidP="00C7107F">
            <w:pPr>
              <w:pStyle w:val="Tabletext"/>
              <w:ind w:right="-57"/>
              <w:rPr>
                <w:rFonts w:asciiTheme="minorHAnsi" w:hAnsiTheme="minorHAnsi"/>
                <w:lang w:val="en-AU" w:eastAsia="zh-CN"/>
              </w:rPr>
            </w:pPr>
            <w:r w:rsidRPr="009E4812">
              <w:rPr>
                <w:rFonts w:asciiTheme="minorHAnsi" w:hAnsiTheme="minorHAnsi"/>
                <w:lang w:val="en-AU" w:eastAsia="zh-CN"/>
              </w:rPr>
              <w:t>No. of patients receiving 1</w:t>
            </w:r>
            <w:r w:rsidRPr="009E4812">
              <w:rPr>
                <w:rFonts w:asciiTheme="minorHAnsi" w:hAnsiTheme="minorHAnsi"/>
                <w:vertAlign w:val="superscript"/>
                <w:lang w:val="en-AU" w:eastAsia="zh-CN"/>
              </w:rPr>
              <w:t>st</w:t>
            </w:r>
            <w:r w:rsidRPr="009E4812">
              <w:rPr>
                <w:rFonts w:asciiTheme="minorHAnsi" w:hAnsiTheme="minorHAnsi"/>
                <w:lang w:val="en-AU" w:eastAsia="zh-CN"/>
              </w:rPr>
              <w:t>-line gefitinib</w:t>
            </w:r>
          </w:p>
        </w:tc>
        <w:tc>
          <w:tcPr>
            <w:tcW w:w="748" w:type="pct"/>
            <w:tcBorders>
              <w:top w:val="single" w:sz="4" w:space="0" w:color="auto"/>
              <w:bottom w:val="single" w:sz="4" w:space="0" w:color="auto"/>
            </w:tcBorders>
            <w:shd w:val="clear" w:color="auto" w:fill="auto"/>
            <w:vAlign w:val="center"/>
          </w:tcPr>
          <w:p w:rsidR="009E4812" w:rsidRPr="009E4812" w:rsidRDefault="009E4812" w:rsidP="00C541F5">
            <w:pPr>
              <w:pStyle w:val="Tabletext"/>
              <w:jc w:val="center"/>
              <w:rPr>
                <w:rFonts w:asciiTheme="minorHAnsi" w:hAnsiTheme="minorHAnsi"/>
                <w:lang w:val="en-AU" w:eastAsia="zh-CN"/>
              </w:rPr>
            </w:pPr>
            <w:r w:rsidRPr="009E4812">
              <w:rPr>
                <w:rFonts w:asciiTheme="minorHAnsi" w:hAnsiTheme="minorHAnsi"/>
                <w:lang w:val="en-AU" w:eastAsia="zh-CN"/>
              </w:rPr>
              <w:t>724</w:t>
            </w:r>
          </w:p>
        </w:tc>
        <w:tc>
          <w:tcPr>
            <w:tcW w:w="748" w:type="pct"/>
            <w:tcBorders>
              <w:top w:val="single" w:sz="4" w:space="0" w:color="auto"/>
              <w:bottom w:val="single" w:sz="4" w:space="0" w:color="auto"/>
            </w:tcBorders>
            <w:shd w:val="clear" w:color="auto" w:fill="auto"/>
            <w:vAlign w:val="center"/>
          </w:tcPr>
          <w:p w:rsidR="009E4812" w:rsidRPr="009E4812" w:rsidRDefault="009E4812" w:rsidP="00C541F5">
            <w:pPr>
              <w:pStyle w:val="Tabletext"/>
              <w:jc w:val="center"/>
              <w:rPr>
                <w:rFonts w:asciiTheme="minorHAnsi" w:hAnsiTheme="minorHAnsi"/>
                <w:lang w:val="en-AU" w:eastAsia="zh-CN"/>
              </w:rPr>
            </w:pPr>
            <w:r w:rsidRPr="009E4812">
              <w:rPr>
                <w:rFonts w:asciiTheme="minorHAnsi" w:hAnsiTheme="minorHAnsi"/>
                <w:lang w:val="en-AU" w:eastAsia="zh-CN"/>
              </w:rPr>
              <w:t>744</w:t>
            </w:r>
          </w:p>
        </w:tc>
        <w:tc>
          <w:tcPr>
            <w:tcW w:w="748" w:type="pct"/>
            <w:tcBorders>
              <w:top w:val="single" w:sz="4" w:space="0" w:color="auto"/>
              <w:bottom w:val="single" w:sz="4" w:space="0" w:color="auto"/>
            </w:tcBorders>
            <w:shd w:val="clear" w:color="auto" w:fill="auto"/>
            <w:vAlign w:val="center"/>
          </w:tcPr>
          <w:p w:rsidR="009E4812" w:rsidRPr="009E4812" w:rsidRDefault="009E4812" w:rsidP="00C541F5">
            <w:pPr>
              <w:pStyle w:val="Tabletext"/>
              <w:jc w:val="center"/>
              <w:rPr>
                <w:rFonts w:asciiTheme="minorHAnsi" w:hAnsiTheme="minorHAnsi"/>
                <w:lang w:val="en-AU" w:eastAsia="zh-CN"/>
              </w:rPr>
            </w:pPr>
            <w:r w:rsidRPr="009E4812">
              <w:rPr>
                <w:rFonts w:asciiTheme="minorHAnsi" w:hAnsiTheme="minorHAnsi"/>
                <w:lang w:val="en-AU" w:eastAsia="zh-CN"/>
              </w:rPr>
              <w:t>764</w:t>
            </w:r>
          </w:p>
        </w:tc>
        <w:tc>
          <w:tcPr>
            <w:tcW w:w="748" w:type="pct"/>
            <w:tcBorders>
              <w:top w:val="single" w:sz="4" w:space="0" w:color="auto"/>
              <w:bottom w:val="single" w:sz="4" w:space="0" w:color="auto"/>
            </w:tcBorders>
            <w:shd w:val="clear" w:color="auto" w:fill="auto"/>
            <w:vAlign w:val="center"/>
          </w:tcPr>
          <w:p w:rsidR="009E4812" w:rsidRPr="009E4812" w:rsidRDefault="009E4812" w:rsidP="00C541F5">
            <w:pPr>
              <w:pStyle w:val="Tabletext"/>
              <w:jc w:val="center"/>
              <w:rPr>
                <w:rFonts w:asciiTheme="minorHAnsi" w:hAnsiTheme="minorHAnsi"/>
                <w:lang w:val="en-AU" w:eastAsia="zh-CN"/>
              </w:rPr>
            </w:pPr>
            <w:r w:rsidRPr="009E4812">
              <w:rPr>
                <w:rFonts w:asciiTheme="minorHAnsi" w:hAnsiTheme="minorHAnsi"/>
                <w:lang w:val="en-AU" w:eastAsia="zh-CN"/>
              </w:rPr>
              <w:t>787</w:t>
            </w:r>
          </w:p>
        </w:tc>
        <w:tc>
          <w:tcPr>
            <w:tcW w:w="805" w:type="pct"/>
            <w:tcBorders>
              <w:top w:val="single" w:sz="4" w:space="0" w:color="auto"/>
              <w:bottom w:val="single" w:sz="4" w:space="0" w:color="auto"/>
            </w:tcBorders>
            <w:shd w:val="clear" w:color="auto" w:fill="auto"/>
            <w:vAlign w:val="center"/>
          </w:tcPr>
          <w:p w:rsidR="009E4812" w:rsidRPr="009E4812" w:rsidRDefault="009E4812" w:rsidP="00C541F5">
            <w:pPr>
              <w:pStyle w:val="Tabletext"/>
              <w:jc w:val="center"/>
              <w:rPr>
                <w:rFonts w:asciiTheme="minorHAnsi" w:hAnsiTheme="minorHAnsi"/>
                <w:lang w:val="en-AU" w:eastAsia="zh-CN"/>
              </w:rPr>
            </w:pPr>
            <w:r w:rsidRPr="009E4812">
              <w:rPr>
                <w:rFonts w:asciiTheme="minorHAnsi" w:hAnsiTheme="minorHAnsi"/>
                <w:lang w:val="en-AU" w:eastAsia="zh-CN"/>
              </w:rPr>
              <w:t>810</w:t>
            </w:r>
          </w:p>
        </w:tc>
      </w:tr>
      <w:tr w:rsidR="009E4812" w:rsidRPr="009E4812" w:rsidTr="00C71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04" w:type="pct"/>
            <w:tcBorders>
              <w:top w:val="single" w:sz="4" w:space="0" w:color="auto"/>
              <w:bottom w:val="single" w:sz="4" w:space="0" w:color="auto"/>
            </w:tcBorders>
            <w:shd w:val="clear" w:color="auto" w:fill="auto"/>
            <w:vAlign w:val="center"/>
          </w:tcPr>
          <w:p w:rsidR="009E4812" w:rsidRPr="009E4812" w:rsidRDefault="009E4812" w:rsidP="00C7107F">
            <w:pPr>
              <w:pStyle w:val="Tabletext"/>
              <w:ind w:right="-57"/>
              <w:rPr>
                <w:rFonts w:asciiTheme="minorHAnsi" w:hAnsiTheme="minorHAnsi"/>
                <w:i/>
                <w:lang w:val="en-AU" w:eastAsia="zh-CN"/>
              </w:rPr>
            </w:pPr>
            <w:r w:rsidRPr="009E4812">
              <w:rPr>
                <w:rFonts w:asciiTheme="minorHAnsi" w:hAnsiTheme="minorHAnsi"/>
                <w:i/>
                <w:lang w:val="en-AU" w:eastAsia="zh-CN"/>
              </w:rPr>
              <w:t>Revised</w:t>
            </w:r>
          </w:p>
        </w:tc>
        <w:tc>
          <w:tcPr>
            <w:tcW w:w="748" w:type="pct"/>
            <w:tcBorders>
              <w:top w:val="single" w:sz="4" w:space="0" w:color="auto"/>
              <w:bottom w:val="single" w:sz="4" w:space="0" w:color="auto"/>
            </w:tcBorders>
            <w:shd w:val="clear" w:color="auto" w:fill="auto"/>
            <w:vAlign w:val="center"/>
          </w:tcPr>
          <w:p w:rsidR="009E4812" w:rsidRPr="009E4812" w:rsidRDefault="009E4812" w:rsidP="00C541F5">
            <w:pPr>
              <w:pStyle w:val="Tabletext"/>
              <w:jc w:val="center"/>
              <w:rPr>
                <w:rFonts w:asciiTheme="minorHAnsi" w:hAnsiTheme="minorHAnsi"/>
                <w:i/>
                <w:lang w:val="en-AU" w:eastAsia="zh-CN"/>
              </w:rPr>
            </w:pPr>
            <w:r w:rsidRPr="009E4812">
              <w:rPr>
                <w:rFonts w:asciiTheme="minorHAnsi" w:hAnsiTheme="minorHAnsi"/>
                <w:i/>
                <w:lang w:val="en-AU" w:eastAsia="zh-CN"/>
              </w:rPr>
              <w:t>707</w:t>
            </w:r>
          </w:p>
        </w:tc>
        <w:tc>
          <w:tcPr>
            <w:tcW w:w="748" w:type="pct"/>
            <w:tcBorders>
              <w:top w:val="single" w:sz="4" w:space="0" w:color="auto"/>
              <w:bottom w:val="single" w:sz="4" w:space="0" w:color="auto"/>
            </w:tcBorders>
            <w:shd w:val="clear" w:color="auto" w:fill="auto"/>
            <w:vAlign w:val="center"/>
          </w:tcPr>
          <w:p w:rsidR="009E4812" w:rsidRPr="009E4812" w:rsidRDefault="009E4812" w:rsidP="00C541F5">
            <w:pPr>
              <w:pStyle w:val="Tabletext"/>
              <w:jc w:val="center"/>
              <w:rPr>
                <w:rFonts w:asciiTheme="minorHAnsi" w:hAnsiTheme="minorHAnsi"/>
                <w:i/>
                <w:lang w:val="en-AU" w:eastAsia="zh-CN"/>
              </w:rPr>
            </w:pPr>
            <w:r w:rsidRPr="009E4812">
              <w:rPr>
                <w:rFonts w:asciiTheme="minorHAnsi" w:hAnsiTheme="minorHAnsi"/>
                <w:i/>
                <w:lang w:val="en-AU" w:eastAsia="zh-CN"/>
              </w:rPr>
              <w:t>726</w:t>
            </w:r>
          </w:p>
        </w:tc>
        <w:tc>
          <w:tcPr>
            <w:tcW w:w="748" w:type="pct"/>
            <w:tcBorders>
              <w:top w:val="single" w:sz="4" w:space="0" w:color="auto"/>
              <w:bottom w:val="single" w:sz="4" w:space="0" w:color="auto"/>
            </w:tcBorders>
            <w:shd w:val="clear" w:color="auto" w:fill="auto"/>
            <w:vAlign w:val="center"/>
          </w:tcPr>
          <w:p w:rsidR="009E4812" w:rsidRPr="009E4812" w:rsidRDefault="009E4812" w:rsidP="00C541F5">
            <w:pPr>
              <w:pStyle w:val="Tabletext"/>
              <w:jc w:val="center"/>
              <w:rPr>
                <w:rFonts w:asciiTheme="minorHAnsi" w:hAnsiTheme="minorHAnsi"/>
                <w:i/>
                <w:lang w:val="en-AU" w:eastAsia="zh-CN"/>
              </w:rPr>
            </w:pPr>
            <w:r w:rsidRPr="009E4812">
              <w:rPr>
                <w:rFonts w:asciiTheme="minorHAnsi" w:hAnsiTheme="minorHAnsi"/>
                <w:i/>
                <w:lang w:val="en-AU" w:eastAsia="zh-CN"/>
              </w:rPr>
              <w:t>745</w:t>
            </w:r>
          </w:p>
        </w:tc>
        <w:tc>
          <w:tcPr>
            <w:tcW w:w="748" w:type="pct"/>
            <w:tcBorders>
              <w:top w:val="single" w:sz="4" w:space="0" w:color="auto"/>
              <w:bottom w:val="single" w:sz="4" w:space="0" w:color="auto"/>
            </w:tcBorders>
            <w:shd w:val="clear" w:color="auto" w:fill="auto"/>
            <w:vAlign w:val="center"/>
          </w:tcPr>
          <w:p w:rsidR="009E4812" w:rsidRPr="009E4812" w:rsidRDefault="009E4812" w:rsidP="00C541F5">
            <w:pPr>
              <w:pStyle w:val="Tabletext"/>
              <w:jc w:val="center"/>
              <w:rPr>
                <w:rFonts w:asciiTheme="minorHAnsi" w:hAnsiTheme="minorHAnsi"/>
                <w:i/>
                <w:lang w:val="en-AU" w:eastAsia="zh-CN"/>
              </w:rPr>
            </w:pPr>
            <w:r w:rsidRPr="009E4812">
              <w:rPr>
                <w:rFonts w:asciiTheme="minorHAnsi" w:hAnsiTheme="minorHAnsi"/>
                <w:i/>
                <w:lang w:val="en-AU" w:eastAsia="zh-CN"/>
              </w:rPr>
              <w:t>768</w:t>
            </w:r>
          </w:p>
        </w:tc>
        <w:tc>
          <w:tcPr>
            <w:tcW w:w="805" w:type="pct"/>
            <w:tcBorders>
              <w:top w:val="single" w:sz="4" w:space="0" w:color="auto"/>
              <w:bottom w:val="single" w:sz="4" w:space="0" w:color="auto"/>
            </w:tcBorders>
            <w:shd w:val="clear" w:color="auto" w:fill="auto"/>
            <w:vAlign w:val="center"/>
          </w:tcPr>
          <w:p w:rsidR="009E4812" w:rsidRPr="009E4812" w:rsidRDefault="009E4812" w:rsidP="00C541F5">
            <w:pPr>
              <w:pStyle w:val="Tabletext"/>
              <w:jc w:val="center"/>
              <w:rPr>
                <w:rFonts w:asciiTheme="minorHAnsi" w:hAnsiTheme="minorHAnsi"/>
                <w:i/>
                <w:lang w:val="en-AU" w:eastAsia="zh-CN"/>
              </w:rPr>
            </w:pPr>
            <w:r w:rsidRPr="009E4812">
              <w:rPr>
                <w:rFonts w:asciiTheme="minorHAnsi" w:hAnsiTheme="minorHAnsi"/>
                <w:i/>
                <w:lang w:val="en-AU" w:eastAsia="zh-CN"/>
              </w:rPr>
              <w:t>790</w:t>
            </w:r>
          </w:p>
        </w:tc>
      </w:tr>
    </w:tbl>
    <w:p w:rsidR="009E4812" w:rsidRDefault="009E4812" w:rsidP="009E4812">
      <w:pPr>
        <w:pStyle w:val="Tablenotes"/>
        <w:rPr>
          <w:rFonts w:asciiTheme="minorHAnsi" w:hAnsiTheme="minorHAnsi"/>
          <w:i/>
          <w:lang w:val="en-AU" w:eastAsia="zh-CN"/>
        </w:rPr>
      </w:pPr>
      <w:r w:rsidRPr="009E4812">
        <w:rPr>
          <w:rFonts w:asciiTheme="minorHAnsi" w:hAnsiTheme="minorHAnsi"/>
          <w:i/>
          <w:vertAlign w:val="superscript"/>
          <w:lang w:eastAsia="zh-CN"/>
        </w:rPr>
        <w:t xml:space="preserve">a </w:t>
      </w:r>
      <w:r w:rsidRPr="009E4812">
        <w:rPr>
          <w:rFonts w:asciiTheme="minorHAnsi" w:hAnsiTheme="minorHAnsi"/>
          <w:i/>
          <w:lang w:val="en-AU" w:eastAsia="zh-CN"/>
        </w:rPr>
        <w:t>Revisions undertaken during the evaluation</w:t>
      </w:r>
      <w:r w:rsidRPr="009E4812">
        <w:rPr>
          <w:rFonts w:asciiTheme="minorHAnsi" w:hAnsiTheme="minorHAnsi"/>
          <w:i/>
          <w:lang w:eastAsia="zh-CN"/>
        </w:rPr>
        <w:t>.</w:t>
      </w:r>
    </w:p>
    <w:p w:rsidR="009E4812" w:rsidRPr="009E4812" w:rsidRDefault="009E4812" w:rsidP="009E4812">
      <w:pPr>
        <w:pStyle w:val="Tablenotes"/>
        <w:rPr>
          <w:rFonts w:asciiTheme="minorHAnsi" w:hAnsiTheme="minorHAnsi"/>
          <w:lang w:val="en-AU" w:eastAsia="zh-CN"/>
        </w:rPr>
      </w:pPr>
      <w:r w:rsidRPr="009E4812">
        <w:rPr>
          <w:rFonts w:asciiTheme="minorHAnsi" w:hAnsiTheme="minorHAnsi"/>
          <w:lang w:eastAsia="zh-CN"/>
        </w:rPr>
        <w:t xml:space="preserve">Source: </w:t>
      </w:r>
      <w:r>
        <w:rPr>
          <w:rFonts w:asciiTheme="minorHAnsi" w:hAnsiTheme="minorHAnsi"/>
          <w:lang w:val="en-AU" w:eastAsia="zh-CN"/>
        </w:rPr>
        <w:t xml:space="preserve">DUSC Advice June 2013 based on </w:t>
      </w:r>
      <w:r w:rsidRPr="009E4812">
        <w:rPr>
          <w:rFonts w:asciiTheme="minorHAnsi" w:hAnsiTheme="minorHAnsi"/>
          <w:lang w:eastAsia="zh-CN"/>
        </w:rPr>
        <w:t>Table E</w:t>
      </w:r>
      <w:r w:rsidR="000F1DE8">
        <w:rPr>
          <w:rFonts w:asciiTheme="minorHAnsi" w:hAnsiTheme="minorHAnsi"/>
          <w:lang w:eastAsia="zh-CN"/>
        </w:rPr>
        <w:t xml:space="preserve"> 24, p29 of Section E of the re</w:t>
      </w:r>
      <w:r w:rsidRPr="009E4812">
        <w:rPr>
          <w:rFonts w:asciiTheme="minorHAnsi" w:hAnsiTheme="minorHAnsi"/>
          <w:lang w:eastAsia="zh-CN"/>
        </w:rPr>
        <w:t xml:space="preserve">submission. </w:t>
      </w:r>
    </w:p>
    <w:p w:rsidR="00C7107F" w:rsidRDefault="00C7107F">
      <w:pPr>
        <w:spacing w:line="276" w:lineRule="auto"/>
        <w:rPr>
          <w:b/>
          <w:sz w:val="28"/>
        </w:rPr>
      </w:pPr>
      <w:r>
        <w:br w:type="page"/>
      </w:r>
    </w:p>
    <w:p w:rsidR="001B3FF9" w:rsidRDefault="001B3FF9" w:rsidP="001B3FF9">
      <w:pPr>
        <w:pStyle w:val="Heading2"/>
      </w:pPr>
      <w:r>
        <w:lastRenderedPageBreak/>
        <w:t>Previous reviews</w:t>
      </w:r>
    </w:p>
    <w:p w:rsidR="001B3FF9" w:rsidRDefault="001B3FF9" w:rsidP="001B3FF9">
      <w:r>
        <w:t>DUSC reviewed the utilisation of erlotinib for locally advanced or metastatic NSCLC at the February 2011 meeting. The review found that there were significantly more patients commencing therapy than predicted and consequently a higher number of prescriptions and expenditure. On average</w:t>
      </w:r>
      <w:r w:rsidR="000F1DE8">
        <w:t>,</w:t>
      </w:r>
      <w:r>
        <w:t xml:space="preserve"> patients were receiving fewer prescriptions than predicted. Three possible reasons were identified for the greater number of patients commencing therapy than predicted: an underestimation of the number of eligible patients opting to take up therapy; a higher proportion of patients diagnosed with NSCLC that undergo first</w:t>
      </w:r>
      <w:r w:rsidR="000F1DE8">
        <w:t>-</w:t>
      </w:r>
      <w:r>
        <w:t xml:space="preserve">line treatment than predicted and are thus eligible for erlotinib; or prescribing outside of the authority restriction. </w:t>
      </w:r>
    </w:p>
    <w:p w:rsidR="001B3FF9" w:rsidRDefault="000F1DE8" w:rsidP="001B3FF9">
      <w:r>
        <w:t>The s</w:t>
      </w:r>
      <w:r w:rsidR="001B3FF9">
        <w:t>ponsor provided a detailed response including revised estimates of use to support their view that the use, although higher than expected, was within the restrictions. DUSC accepted that the assumptions at the time of listing were uncertain and the estimates of patients were likely to have been underestimated; however</w:t>
      </w:r>
      <w:r>
        <w:t>,</w:t>
      </w:r>
      <w:r w:rsidR="001B3FF9">
        <w:t xml:space="preserve"> DUSC remained uncertain whether erlotinib was being used in patients not suitable for chemotherapy or whether the pattern of treatment of NSCLC had changed significantly following the introduction of erlotinib.</w:t>
      </w:r>
    </w:p>
    <w:p w:rsidR="001B3FF9" w:rsidRDefault="000F1DE8" w:rsidP="001B3FF9">
      <w:r>
        <w:t xml:space="preserve">The PBAC agreed with </w:t>
      </w:r>
      <w:r w:rsidR="001B3FF9">
        <w:t>DUSC and also noted that there was no EGFR test subsidised by the M</w:t>
      </w:r>
      <w:r>
        <w:t xml:space="preserve">edical </w:t>
      </w:r>
      <w:r w:rsidR="001B3FF9">
        <w:t>B</w:t>
      </w:r>
      <w:r>
        <w:t xml:space="preserve">enefits </w:t>
      </w:r>
      <w:r w:rsidR="001B3FF9">
        <w:t>S</w:t>
      </w:r>
      <w:r>
        <w:t>cheme (MBS)</w:t>
      </w:r>
      <w:r w:rsidR="001B3FF9">
        <w:t xml:space="preserve"> and that prescribers may be commencing pa</w:t>
      </w:r>
      <w:r>
        <w:t>tients on erlotinib for a short-term trial. The PBS-</w:t>
      </w:r>
      <w:r w:rsidR="001B3FF9">
        <w:t>listing does not specifically require evidence of the activating mutation to be present, unlike the listing for gefitinib; and there were studies underway that show</w:t>
      </w:r>
      <w:r>
        <w:t>ed</w:t>
      </w:r>
      <w:r w:rsidR="001B3FF9">
        <w:t xml:space="preserve"> benefits when used first-line (without prior trial of a platinum based therapy).  </w:t>
      </w:r>
    </w:p>
    <w:p w:rsidR="00E9288F" w:rsidRPr="005E22C2" w:rsidRDefault="00E9288F" w:rsidP="00CF5E22">
      <w:pPr>
        <w:pStyle w:val="Heading1"/>
      </w:pPr>
      <w:bookmarkStart w:id="1" w:name="_Methods"/>
      <w:bookmarkEnd w:id="1"/>
      <w:r w:rsidRPr="005E22C2">
        <w:t>Methods</w:t>
      </w:r>
    </w:p>
    <w:p w:rsidR="00E9288F" w:rsidRDefault="00E9288F" w:rsidP="0000529A">
      <w:r w:rsidRPr="00F74FBD">
        <w:t>The D</w:t>
      </w:r>
      <w:r w:rsidR="000F1DE8">
        <w:t xml:space="preserve">epartment of </w:t>
      </w:r>
      <w:r w:rsidRPr="00F74FBD">
        <w:t>H</w:t>
      </w:r>
      <w:r w:rsidR="000F1DE8">
        <w:t xml:space="preserve">uman </w:t>
      </w:r>
      <w:r w:rsidRPr="00F74FBD">
        <w:t>S</w:t>
      </w:r>
      <w:r w:rsidR="000F1DE8">
        <w:t>ervices (DHS)</w:t>
      </w:r>
      <w:r w:rsidRPr="00F74FBD">
        <w:t xml:space="preserve"> </w:t>
      </w:r>
      <w:r w:rsidR="00B175F9">
        <w:t xml:space="preserve">prescription </w:t>
      </w:r>
      <w:r w:rsidRPr="00F74FBD">
        <w:t xml:space="preserve">database was used for </w:t>
      </w:r>
      <w:r w:rsidR="00B175F9">
        <w:t>all</w:t>
      </w:r>
      <w:r w:rsidRPr="00F74FBD">
        <w:t xml:space="preserve"> analyses</w:t>
      </w:r>
      <w:r w:rsidR="00B175F9">
        <w:t xml:space="preserve">. </w:t>
      </w:r>
      <w:r w:rsidR="00171C3C">
        <w:t>E</w:t>
      </w:r>
      <w:r w:rsidR="00B175F9">
        <w:t xml:space="preserve">rlotinib and gefitinib prescriptions were extracted from the </w:t>
      </w:r>
      <w:r w:rsidR="00171C3C">
        <w:t xml:space="preserve">date of </w:t>
      </w:r>
      <w:r w:rsidR="00BB7891">
        <w:t xml:space="preserve">the first </w:t>
      </w:r>
      <w:r w:rsidR="000F1DE8">
        <w:t>PBS-</w:t>
      </w:r>
      <w:r w:rsidR="00B175F9">
        <w:t>listing of gefitinib in December</w:t>
      </w:r>
      <w:r w:rsidR="00BB7891">
        <w:t> </w:t>
      </w:r>
      <w:r w:rsidR="00B175F9">
        <w:t xml:space="preserve">2004 to the end of September 2016 (the most recent complete date of supply </w:t>
      </w:r>
      <w:r w:rsidR="00171C3C">
        <w:t>data</w:t>
      </w:r>
      <w:r w:rsidR="00B175F9">
        <w:t>).</w:t>
      </w:r>
    </w:p>
    <w:p w:rsidR="00BB7891" w:rsidRDefault="00BB7891" w:rsidP="00BB7891">
      <w:r>
        <w:t>P</w:t>
      </w:r>
      <w:r w:rsidRPr="00F74FBD">
        <w:t xml:space="preserve">atients initiating </w:t>
      </w:r>
      <w:r>
        <w:t xml:space="preserve">to TKI therapy or a particular TKI drug </w:t>
      </w:r>
      <w:r w:rsidRPr="00F74FBD">
        <w:t>were defined as those who have not been supplied</w:t>
      </w:r>
      <w:r w:rsidR="000F1DE8">
        <w:t xml:space="preserve"> a prescription since the PBS-</w:t>
      </w:r>
      <w:r>
        <w:t>listing of gefitinib in December 2004. Initiating and prevalent patients were counted by quarter of supply as both gefitinib and erlotinib have a median time</w:t>
      </w:r>
      <w:r w:rsidR="000F1DE8">
        <w:t xml:space="preserve"> to re-supply of approximately one</w:t>
      </w:r>
      <w:r>
        <w:t> month. Thus nearly all patients on therapy are likely to have at least one supply in a quarter and so quarterly supply prevalence is likely to be a good approximation of prevalence on therapy. Annual prevalence (a count of patients supplied at least one TKI prescription in each calendar year) was also determined.</w:t>
      </w:r>
    </w:p>
    <w:p w:rsidR="00B175F9" w:rsidRDefault="00BB7891" w:rsidP="0000529A">
      <w:r>
        <w:t>To assess whether patients were using a TKI as a first or subsequent line of therapy, an assessment of prior chemotherapy</w:t>
      </w:r>
      <w:r w:rsidRPr="00BB7891">
        <w:t xml:space="preserve"> </w:t>
      </w:r>
      <w:r>
        <w:t>was undertaken. This included all</w:t>
      </w:r>
      <w:r w:rsidR="008337B4">
        <w:t xml:space="preserve"> prescriptions </w:t>
      </w:r>
      <w:r>
        <w:t xml:space="preserve">for antineoplastics (WHO </w:t>
      </w:r>
      <w:r w:rsidR="008337B4" w:rsidRPr="00BB7891">
        <w:t>ATC=L</w:t>
      </w:r>
      <w:r w:rsidRPr="00BB7891">
        <w:t>01</w:t>
      </w:r>
      <w:r>
        <w:t>)</w:t>
      </w:r>
      <w:r w:rsidR="008337B4" w:rsidRPr="00BB7891">
        <w:t xml:space="preserve"> supplied</w:t>
      </w:r>
      <w:r w:rsidR="008337B4">
        <w:t xml:space="preserve"> in the period January 2003 (the beginning of </w:t>
      </w:r>
      <w:r w:rsidR="008337B4">
        <w:lastRenderedPageBreak/>
        <w:t xml:space="preserve">reliable patient level data) to the end of September 2016 for all patients </w:t>
      </w:r>
      <w:r>
        <w:t xml:space="preserve">initiating </w:t>
      </w:r>
      <w:r w:rsidR="008337B4">
        <w:t xml:space="preserve"> </w:t>
      </w:r>
      <w:r>
        <w:t xml:space="preserve">TKI therapy </w:t>
      </w:r>
      <w:r w:rsidR="008337B4">
        <w:t>in the period December 20</w:t>
      </w:r>
      <w:r w:rsidR="00917A7F">
        <w:t>04 to the end of September 2016</w:t>
      </w:r>
      <w:r w:rsidR="00015A81">
        <w:t>. The classification of first line therapy (</w:t>
      </w:r>
      <w:r w:rsidR="000F1DE8">
        <w:t>i.e.</w:t>
      </w:r>
      <w:r w:rsidR="00015A81">
        <w:t xml:space="preserve"> erlotinib, gefitinib or chemotherapy) was based the patient’s first prescription in this </w:t>
      </w:r>
      <w:r w:rsidR="00F44281">
        <w:t>data</w:t>
      </w:r>
      <w:r w:rsidR="00015A81">
        <w:t>.</w:t>
      </w:r>
    </w:p>
    <w:p w:rsidR="00F3043E" w:rsidRPr="00F3043E" w:rsidRDefault="00F3043E" w:rsidP="0000529A">
      <w:pPr>
        <w:rPr>
          <w:b/>
          <w:i/>
        </w:rPr>
      </w:pPr>
      <w:r w:rsidRPr="00F3043E">
        <w:rPr>
          <w:b/>
          <w:i/>
        </w:rPr>
        <w:t>Length of Treatment Analysis</w:t>
      </w:r>
    </w:p>
    <w:p w:rsidR="00E02D24" w:rsidRDefault="00E02D24" w:rsidP="00E02D24">
      <w:r>
        <w:t xml:space="preserve">A Kaplan-Meier length of treatment analysis </w:t>
      </w:r>
      <w:r w:rsidR="00283142">
        <w:t xml:space="preserve">for TKI drugs </w:t>
      </w:r>
      <w:r>
        <w:t xml:space="preserve">was performed using the DHS supplied prescription data from the time of </w:t>
      </w:r>
      <w:r w:rsidR="002C581D">
        <w:t>the expansi</w:t>
      </w:r>
      <w:r w:rsidR="000F1DE8">
        <w:t>on of the TKI listings to first-</w:t>
      </w:r>
      <w:r w:rsidR="002C581D">
        <w:t xml:space="preserve">line therapy </w:t>
      </w:r>
      <w:r>
        <w:t>(</w:t>
      </w:r>
      <w:r w:rsidR="002C581D">
        <w:t>January 2014</w:t>
      </w:r>
      <w:r>
        <w:t xml:space="preserve">) to </w:t>
      </w:r>
      <w:r w:rsidR="00283142">
        <w:t xml:space="preserve">the end of September </w:t>
      </w:r>
      <w:r>
        <w:t xml:space="preserve">2016. The median time to resupply for </w:t>
      </w:r>
      <w:r w:rsidR="00283142">
        <w:t xml:space="preserve">gefitinib and erlotinib was </w:t>
      </w:r>
      <w:r w:rsidR="00BB3F77">
        <w:t>30</w:t>
      </w:r>
      <w:r w:rsidR="00283142">
        <w:t xml:space="preserve"> and </w:t>
      </w:r>
      <w:r w:rsidR="00BB3F77">
        <w:t>29</w:t>
      </w:r>
      <w:r w:rsidR="00283142">
        <w:t xml:space="preserve"> days</w:t>
      </w:r>
      <w:r w:rsidR="000F1DE8">
        <w:t>,</w:t>
      </w:r>
      <w:r w:rsidR="00283142">
        <w:t xml:space="preserve"> respectively.</w:t>
      </w:r>
      <w:r>
        <w:t xml:space="preserve"> A break in treatment was defined as three times the median time to resupply </w:t>
      </w:r>
      <w:r w:rsidR="00283142">
        <w:t xml:space="preserve">or more </w:t>
      </w:r>
      <w:r>
        <w:t>between prescription supplies.</w:t>
      </w:r>
      <w:r w:rsidRPr="00785BF8">
        <w:t xml:space="preserve"> </w:t>
      </w:r>
      <w:r>
        <w:t xml:space="preserve">A treatment episode was defined as the time from supply of the first prescription in the period, or the first prescription after a break, to the supply of the last prescription before a break, plus </w:t>
      </w:r>
      <w:r w:rsidR="00283142">
        <w:t xml:space="preserve">the drug specific median time to resupply </w:t>
      </w:r>
      <w:r>
        <w:t xml:space="preserve">to account for the coverage of the last prescription. A patient was deemed to be continuing treatment (i.e. censored for the purposes of the Kaplan-Meier analysis) if the supply of their last prescription was within </w:t>
      </w:r>
      <w:r w:rsidR="00283142">
        <w:t>three times the median time to resupply</w:t>
      </w:r>
      <w:r w:rsidR="00283142" w:rsidRPr="00D67A58">
        <w:t xml:space="preserve"> </w:t>
      </w:r>
      <w:r w:rsidRPr="00D67A58">
        <w:t>of the end of the data period</w:t>
      </w:r>
      <w:r>
        <w:t xml:space="preserve">. </w:t>
      </w:r>
      <w:r w:rsidR="00283142">
        <w:t>Apart from the length of drug treatment episodes, two episode aggregation measures were calculated</w:t>
      </w:r>
      <w:r w:rsidR="000F1DE8">
        <w:t>:</w:t>
      </w:r>
    </w:p>
    <w:p w:rsidR="00E02D24" w:rsidRDefault="00E02D24" w:rsidP="00E02D24">
      <w:pPr>
        <w:pStyle w:val="ListParagraph"/>
        <w:numPr>
          <w:ilvl w:val="0"/>
          <w:numId w:val="5"/>
        </w:numPr>
      </w:pPr>
      <w:r>
        <w:t xml:space="preserve">The length of treatment excluding breaks was defined as the sum of all treatment episodes. </w:t>
      </w:r>
    </w:p>
    <w:p w:rsidR="00E02D24" w:rsidRDefault="00E02D24" w:rsidP="00E02D24">
      <w:pPr>
        <w:pStyle w:val="ListParagraph"/>
        <w:numPr>
          <w:ilvl w:val="0"/>
          <w:numId w:val="5"/>
        </w:numPr>
      </w:pPr>
      <w:r>
        <w:t xml:space="preserve">The length of treatment including breaks was defined as the time from supply of the first prescription to supply of the last prescription in the period plus </w:t>
      </w:r>
      <w:r w:rsidR="00283142">
        <w:t xml:space="preserve">the drug specific median time to resupply </w:t>
      </w:r>
      <w:r>
        <w:t xml:space="preserve">to account for the coverage of the last prescription. </w:t>
      </w:r>
    </w:p>
    <w:p w:rsidR="00E9288F" w:rsidRDefault="00E9288F" w:rsidP="00524D13">
      <w:r>
        <w:t>As these analyses use date of supply prescription data, there may be small differences compared with publicly available DHS Medicare date of processing data.</w:t>
      </w:r>
      <w:r w:rsidR="00D4060E">
        <w:rPr>
          <w:rStyle w:val="FootnoteReference"/>
        </w:rPr>
        <w:footnoteReference w:id="7"/>
      </w:r>
    </w:p>
    <w:p w:rsidR="00E9288F" w:rsidRPr="005E22C2" w:rsidRDefault="00E9288F" w:rsidP="00CF5E22">
      <w:pPr>
        <w:pStyle w:val="Heading1"/>
      </w:pPr>
      <w:r w:rsidRPr="005E22C2">
        <w:t>Results</w:t>
      </w:r>
    </w:p>
    <w:p w:rsidR="00E9288F" w:rsidRPr="005E22C2" w:rsidRDefault="00E9288F" w:rsidP="00CF5E22">
      <w:pPr>
        <w:pStyle w:val="Heading2"/>
      </w:pPr>
      <w:r w:rsidRPr="005E22C2">
        <w:t xml:space="preserve">Analysis of </w:t>
      </w:r>
      <w:r>
        <w:t>d</w:t>
      </w:r>
      <w:r w:rsidRPr="005E22C2">
        <w:t xml:space="preserve">rug </w:t>
      </w:r>
      <w:r>
        <w:t>u</w:t>
      </w:r>
      <w:r w:rsidRPr="005E22C2">
        <w:t>tilisation</w:t>
      </w:r>
    </w:p>
    <w:p w:rsidR="00E9288F" w:rsidRDefault="00E9288F" w:rsidP="00CF5E22">
      <w:pPr>
        <w:pStyle w:val="Heading3"/>
      </w:pPr>
      <w:r w:rsidRPr="005E22C2">
        <w:t>Overall utilisation</w:t>
      </w:r>
    </w:p>
    <w:p w:rsidR="00E9288F" w:rsidRDefault="00E9288F" w:rsidP="00E45C54">
      <w:r>
        <w:t xml:space="preserve">The </w:t>
      </w:r>
      <w:r w:rsidR="008E4B68">
        <w:t>number</w:t>
      </w:r>
      <w:r>
        <w:t xml:space="preserve"> of PBS/RPBS </w:t>
      </w:r>
      <w:r w:rsidR="008E4B68">
        <w:t>erlotinib and gefitinib</w:t>
      </w:r>
      <w:r>
        <w:t xml:space="preserve"> prescriptions supplied per </w:t>
      </w:r>
      <w:r w:rsidR="00C75F1B">
        <w:t>quarter</w:t>
      </w:r>
      <w:r>
        <w:t xml:space="preserve"> </w:t>
      </w:r>
      <w:r w:rsidR="00C75F1B">
        <w:t xml:space="preserve">since the listing of </w:t>
      </w:r>
      <w:r w:rsidR="00BB3F77">
        <w:t>gefitinib</w:t>
      </w:r>
      <w:r w:rsidR="00C75F1B">
        <w:t xml:space="preserve"> in December 2004 is shown in </w:t>
      </w:r>
      <w:r>
        <w:t>Figure 1.</w:t>
      </w:r>
    </w:p>
    <w:p w:rsidR="00E9288F" w:rsidRPr="00C75F1B" w:rsidRDefault="00C75F1B" w:rsidP="00C75F1B">
      <w:pPr>
        <w:rPr>
          <w:sz w:val="20"/>
        </w:rPr>
      </w:pPr>
      <w:r>
        <w:rPr>
          <w:noProof/>
        </w:rPr>
        <w:lastRenderedPageBreak/>
        <w:drawing>
          <wp:inline distT="0" distB="0" distL="0" distR="0" wp14:anchorId="1E6BBF5B" wp14:editId="2698C53A">
            <wp:extent cx="5687695" cy="3715232"/>
            <wp:effectExtent l="0" t="0" r="27305" b="19050"/>
            <wp:docPr id="1" name="Chart 1" title="Figure 1: Number of PBS/RPBS erlotinib and gefitinib prescriptions supplied "/>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E9288F">
        <w:rPr>
          <w:b/>
        </w:rPr>
        <w:t xml:space="preserve">Figure 1: Number of PBS/RPBS </w:t>
      </w:r>
      <w:r w:rsidR="008E4B68">
        <w:rPr>
          <w:b/>
        </w:rPr>
        <w:t>erlotinib and gefitinib</w:t>
      </w:r>
      <w:r w:rsidR="00E9288F">
        <w:rPr>
          <w:b/>
        </w:rPr>
        <w:t xml:space="preserve"> prescriptions supplied </w:t>
      </w:r>
      <w:r>
        <w:rPr>
          <w:b/>
        </w:rPr>
        <w:br/>
      </w:r>
      <w:r w:rsidR="00E9288F" w:rsidRPr="00C75F1B">
        <w:rPr>
          <w:sz w:val="20"/>
        </w:rPr>
        <w:t xml:space="preserve">Prescriptions by date of supply. Source: </w:t>
      </w:r>
      <w:r w:rsidRPr="00C75F1B">
        <w:rPr>
          <w:sz w:val="20"/>
        </w:rPr>
        <w:t>DHS prescription claims database,</w:t>
      </w:r>
      <w:r w:rsidR="00E9288F" w:rsidRPr="00C75F1B">
        <w:rPr>
          <w:sz w:val="20"/>
        </w:rPr>
        <w:t xml:space="preserve"> accessed </w:t>
      </w:r>
      <w:r w:rsidR="008E4B68" w:rsidRPr="00C75F1B">
        <w:rPr>
          <w:sz w:val="20"/>
        </w:rPr>
        <w:t>Nov</w:t>
      </w:r>
      <w:r w:rsidRPr="00C75F1B">
        <w:rPr>
          <w:sz w:val="20"/>
        </w:rPr>
        <w:t>e</w:t>
      </w:r>
      <w:r w:rsidR="008E4B68" w:rsidRPr="00C75F1B">
        <w:rPr>
          <w:sz w:val="20"/>
        </w:rPr>
        <w:t>mb</w:t>
      </w:r>
      <w:r w:rsidRPr="00C75F1B">
        <w:rPr>
          <w:sz w:val="20"/>
        </w:rPr>
        <w:t>e</w:t>
      </w:r>
      <w:r w:rsidR="008E4B68" w:rsidRPr="00C75F1B">
        <w:rPr>
          <w:sz w:val="20"/>
        </w:rPr>
        <w:t>r</w:t>
      </w:r>
      <w:r w:rsidR="00E9288F" w:rsidRPr="00C75F1B">
        <w:rPr>
          <w:sz w:val="20"/>
        </w:rPr>
        <w:t xml:space="preserve"> 2016.</w:t>
      </w:r>
    </w:p>
    <w:p w:rsidR="008E4B68" w:rsidRDefault="00C75F1B" w:rsidP="00BA4169">
      <w:r>
        <w:t>Figure 1 shows that there was a</w:t>
      </w:r>
      <w:r w:rsidR="008071E9">
        <w:t>n</w:t>
      </w:r>
      <w:r>
        <w:t xml:space="preserve"> increase in the use </w:t>
      </w:r>
      <w:r w:rsidR="00272303">
        <w:t xml:space="preserve">of </w:t>
      </w:r>
      <w:r>
        <w:t>gefitinib</w:t>
      </w:r>
      <w:r w:rsidR="008071E9">
        <w:t xml:space="preserve"> and erlotinib</w:t>
      </w:r>
      <w:r>
        <w:t xml:space="preserve"> after the </w:t>
      </w:r>
      <w:r w:rsidR="001A6AFD">
        <w:t xml:space="preserve">listing was extended to include </w:t>
      </w:r>
      <w:r w:rsidR="001A6AFD" w:rsidRPr="00C75F1B">
        <w:t xml:space="preserve">first-line </w:t>
      </w:r>
      <w:r w:rsidR="001A6AFD">
        <w:t>use on</w:t>
      </w:r>
      <w:r>
        <w:t xml:space="preserve"> 1 January 2014</w:t>
      </w:r>
      <w:r w:rsidR="001A6AFD">
        <w:t xml:space="preserve">. </w:t>
      </w:r>
      <w:r w:rsidR="008071E9">
        <w:t xml:space="preserve">The </w:t>
      </w:r>
      <w:r w:rsidR="001A6AFD">
        <w:t xml:space="preserve">use of </w:t>
      </w:r>
      <w:r w:rsidR="008071E9">
        <w:t xml:space="preserve">erlotinib </w:t>
      </w:r>
      <w:r w:rsidR="001A6AFD">
        <w:t xml:space="preserve">subsequently declined because </w:t>
      </w:r>
      <w:r w:rsidR="008071E9">
        <w:t xml:space="preserve">the </w:t>
      </w:r>
      <w:r w:rsidR="00274F46">
        <w:t>benefit</w:t>
      </w:r>
      <w:r w:rsidR="008071E9">
        <w:t>s</w:t>
      </w:r>
      <w:r w:rsidR="00274F46">
        <w:t xml:space="preserve"> </w:t>
      </w:r>
      <w:r w:rsidR="008071E9">
        <w:t xml:space="preserve">and harms </w:t>
      </w:r>
      <w:r w:rsidR="00274F46">
        <w:t xml:space="preserve">of </w:t>
      </w:r>
      <w:r w:rsidR="008071E9">
        <w:t xml:space="preserve">erlotinib for </w:t>
      </w:r>
      <w:r w:rsidR="00274F46">
        <w:t xml:space="preserve">patients without activating </w:t>
      </w:r>
      <w:r w:rsidR="008071E9">
        <w:t xml:space="preserve">EGFR mutations </w:t>
      </w:r>
      <w:r w:rsidR="001A6AFD">
        <w:t>was</w:t>
      </w:r>
      <w:r w:rsidR="00274F46">
        <w:t xml:space="preserve"> </w:t>
      </w:r>
      <w:r w:rsidR="00272303">
        <w:t>under review</w:t>
      </w:r>
      <w:r w:rsidR="00864B35">
        <w:t>,</w:t>
      </w:r>
      <w:r w:rsidR="00272303">
        <w:t xml:space="preserve"> </w:t>
      </w:r>
      <w:r w:rsidR="001A6AFD">
        <w:t>and f</w:t>
      </w:r>
      <w:r w:rsidR="008071E9">
        <w:t>rom 1 August 2</w:t>
      </w:r>
      <w:r w:rsidR="00864B35">
        <w:t>014 erlotinib was no longer PBS-</w:t>
      </w:r>
      <w:r w:rsidR="008071E9">
        <w:t>subsidised for this group (existing patients were able to continue erlotinib until progression</w:t>
      </w:r>
      <w:r w:rsidR="001A6AFD">
        <w:t>)</w:t>
      </w:r>
      <w:r w:rsidR="008071E9">
        <w:t>.</w:t>
      </w:r>
    </w:p>
    <w:p w:rsidR="00DA5AA8" w:rsidRDefault="00DA5AA8" w:rsidP="00BA4169">
      <w:r>
        <w:t>Gefitinib is available only as a 250</w:t>
      </w:r>
      <w:r w:rsidR="00864B35">
        <w:t xml:space="preserve"> </w:t>
      </w:r>
      <w:r>
        <w:t xml:space="preserve">mg tablet whereas erlotinib is available in three strengths. The use of </w:t>
      </w:r>
      <w:r w:rsidR="00272303">
        <w:t>erlotinib by strength is shown i</w:t>
      </w:r>
      <w:r>
        <w:t>n Figure 2.</w:t>
      </w:r>
    </w:p>
    <w:p w:rsidR="00B61B27" w:rsidRDefault="00B61B27" w:rsidP="00864B35">
      <w:pPr>
        <w:spacing w:after="0"/>
        <w:rPr>
          <w:b/>
        </w:rPr>
      </w:pPr>
      <w:r>
        <w:rPr>
          <w:noProof/>
        </w:rPr>
        <w:lastRenderedPageBreak/>
        <w:drawing>
          <wp:inline distT="0" distB="0" distL="0" distR="0" wp14:anchorId="4DD2FA44" wp14:editId="31D7E563">
            <wp:extent cx="5687695" cy="3716447"/>
            <wp:effectExtent l="0" t="0" r="27305" b="17780"/>
            <wp:docPr id="3" name="Chart 3" title="Figure 2: Number of erlotinib and gefitinib prescriptions by strength "/>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b/>
        </w:rPr>
        <w:t xml:space="preserve">Figure 2: Number of erlotinib and gefitinib prescriptions by strength </w:t>
      </w:r>
    </w:p>
    <w:p w:rsidR="00864B35" w:rsidRDefault="00864B35" w:rsidP="00864B35">
      <w:pPr>
        <w:spacing w:after="0"/>
        <w:rPr>
          <w:sz w:val="20"/>
        </w:rPr>
      </w:pPr>
      <w:r w:rsidRPr="00C75F1B">
        <w:rPr>
          <w:sz w:val="20"/>
        </w:rPr>
        <w:t>Prescriptions by date of supply. Source: DHS prescription claims database, accessed November 2016.</w:t>
      </w:r>
    </w:p>
    <w:p w:rsidR="00864B35" w:rsidRDefault="00864B35" w:rsidP="00864B35">
      <w:pPr>
        <w:spacing w:after="0"/>
      </w:pPr>
    </w:p>
    <w:p w:rsidR="008B2769" w:rsidRPr="008B2769" w:rsidRDefault="00B61B27" w:rsidP="008B2769">
      <w:r>
        <w:t>Figure 2 shows that 150</w:t>
      </w:r>
      <w:r w:rsidR="00864B35">
        <w:t xml:space="preserve"> </w:t>
      </w:r>
      <w:r>
        <w:t>mg is the most commonly supplied strength of erlotinib.</w:t>
      </w:r>
      <w:r w:rsidR="00DA5AA8">
        <w:t xml:space="preserve"> Lower doses of erloti</w:t>
      </w:r>
      <w:r w:rsidR="008B2769">
        <w:t>nib a</w:t>
      </w:r>
      <w:r w:rsidR="00864B35">
        <w:t xml:space="preserve">re used to manage toxicity, </w:t>
      </w:r>
      <w:r w:rsidR="008B2769">
        <w:t>for patients using c</w:t>
      </w:r>
      <w:r w:rsidR="008B2769" w:rsidRPr="008B2769">
        <w:t>oncomitant use of CYP3A4 substrates and modulators</w:t>
      </w:r>
      <w:r w:rsidR="008B2769">
        <w:t>, or with hepatic impairment</w:t>
      </w:r>
      <w:r w:rsidR="008B2769" w:rsidRPr="008B2769">
        <w:t xml:space="preserve">. </w:t>
      </w:r>
    </w:p>
    <w:p w:rsidR="00B61B27" w:rsidRDefault="008B2769" w:rsidP="008B2769">
      <w:r w:rsidRPr="009C6030">
        <w:t xml:space="preserve">It </w:t>
      </w:r>
      <w:r w:rsidR="00F279A5" w:rsidRPr="009C6030">
        <w:t>was expected that approximately 89%, 9</w:t>
      </w:r>
      <w:r w:rsidR="00864B35">
        <w:t>% and 2% of erlotinib for first-</w:t>
      </w:r>
      <w:r w:rsidR="00F279A5" w:rsidRPr="009C6030">
        <w:t>line use would be for the 150</w:t>
      </w:r>
      <w:r w:rsidR="00864B35">
        <w:t xml:space="preserve"> </w:t>
      </w:r>
      <w:r w:rsidR="00F279A5" w:rsidRPr="009C6030">
        <w:t>mg, 100</w:t>
      </w:r>
      <w:r w:rsidR="00864B35">
        <w:t xml:space="preserve"> </w:t>
      </w:r>
      <w:r w:rsidR="00F279A5" w:rsidRPr="009C6030">
        <w:t>mg and 25</w:t>
      </w:r>
      <w:r w:rsidR="00864B35">
        <w:t xml:space="preserve"> </w:t>
      </w:r>
      <w:r w:rsidR="00F279A5" w:rsidRPr="009C6030">
        <w:t>mg strengths</w:t>
      </w:r>
      <w:r w:rsidR="009231EB">
        <w:t>,</w:t>
      </w:r>
      <w:r w:rsidR="00F279A5" w:rsidRPr="009C6030">
        <w:t xml:space="preserve"> respectively (erlotinib </w:t>
      </w:r>
      <w:r w:rsidRPr="009C6030">
        <w:t xml:space="preserve">resubmission </w:t>
      </w:r>
      <w:r w:rsidR="00F279A5" w:rsidRPr="009C6030">
        <w:t xml:space="preserve">July 2013). </w:t>
      </w:r>
      <w:r w:rsidR="00A771C9" w:rsidRPr="009C6030">
        <w:t>For the second and subsequent line use it was expected that about three quarters of use would be with the 150</w:t>
      </w:r>
      <w:r w:rsidR="00864B35">
        <w:t xml:space="preserve"> </w:t>
      </w:r>
      <w:r w:rsidR="00A771C9" w:rsidRPr="009C6030">
        <w:t>mg strength tablet</w:t>
      </w:r>
      <w:r w:rsidR="009C6030" w:rsidRPr="009C6030">
        <w:t xml:space="preserve"> (erlotinib resubmission March 2008)</w:t>
      </w:r>
      <w:r w:rsidR="009C6030">
        <w:t>.</w:t>
      </w:r>
    </w:p>
    <w:p w:rsidR="00B61B27" w:rsidRDefault="00B61B27">
      <w:pPr>
        <w:spacing w:line="276" w:lineRule="auto"/>
        <w:rPr>
          <w:b/>
          <w:i/>
          <w:szCs w:val="28"/>
        </w:rPr>
      </w:pPr>
      <w:r>
        <w:br w:type="page"/>
      </w:r>
    </w:p>
    <w:p w:rsidR="00E9288F" w:rsidRPr="005E22C2" w:rsidRDefault="00E9288F" w:rsidP="00CF5E22">
      <w:pPr>
        <w:pStyle w:val="Heading3"/>
      </w:pPr>
      <w:r>
        <w:lastRenderedPageBreak/>
        <w:t xml:space="preserve">Patients initiating and prevalent to </w:t>
      </w:r>
      <w:r w:rsidR="008E4B68">
        <w:t>TKI</w:t>
      </w:r>
      <w:r>
        <w:t xml:space="preserve"> therapy </w:t>
      </w:r>
    </w:p>
    <w:p w:rsidR="008E672A" w:rsidRDefault="008E672A" w:rsidP="00F52264">
      <w:pPr>
        <w:spacing w:after="0"/>
        <w:rPr>
          <w:b/>
        </w:rPr>
      </w:pPr>
      <w:r>
        <w:rPr>
          <w:noProof/>
        </w:rPr>
        <w:drawing>
          <wp:inline distT="0" distB="0" distL="0" distR="0" wp14:anchorId="4287C2E8" wp14:editId="6D4D241B">
            <wp:extent cx="5687695" cy="3710978"/>
            <wp:effectExtent l="0" t="0" r="27305" b="22860"/>
            <wp:docPr id="5" name="Chart 5" title="Figure 3: Number of prevalent and initiating patients on TKI therapy"/>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5F1B" w:rsidRDefault="00C75F1B" w:rsidP="00864B35">
      <w:pPr>
        <w:spacing w:after="0"/>
        <w:rPr>
          <w:b/>
        </w:rPr>
      </w:pPr>
      <w:r>
        <w:rPr>
          <w:b/>
        </w:rPr>
        <w:t xml:space="preserve">Figure </w:t>
      </w:r>
      <w:r w:rsidR="003702C6">
        <w:rPr>
          <w:b/>
        </w:rPr>
        <w:t>3</w:t>
      </w:r>
      <w:r>
        <w:rPr>
          <w:b/>
        </w:rPr>
        <w:t>: Number of preva</w:t>
      </w:r>
      <w:r w:rsidR="003702C6">
        <w:rPr>
          <w:b/>
        </w:rPr>
        <w:t>le</w:t>
      </w:r>
      <w:r>
        <w:rPr>
          <w:b/>
        </w:rPr>
        <w:t>nt and initiating patients on TKI therapy</w:t>
      </w:r>
    </w:p>
    <w:p w:rsidR="00864B35" w:rsidRDefault="00864B35" w:rsidP="00864B35">
      <w:pPr>
        <w:spacing w:after="0"/>
        <w:rPr>
          <w:sz w:val="20"/>
        </w:rPr>
      </w:pPr>
      <w:r w:rsidRPr="00C75F1B">
        <w:rPr>
          <w:sz w:val="20"/>
        </w:rPr>
        <w:t>Source: DHS prescription claims database, accessed November 2016.</w:t>
      </w:r>
    </w:p>
    <w:p w:rsidR="00864B35" w:rsidRPr="00C75F1B" w:rsidRDefault="00864B35" w:rsidP="00864B35">
      <w:pPr>
        <w:spacing w:after="0"/>
        <w:rPr>
          <w:sz w:val="20"/>
        </w:rPr>
      </w:pPr>
    </w:p>
    <w:p w:rsidR="00E9288F" w:rsidRDefault="003702C6" w:rsidP="00F52264">
      <w:pPr>
        <w:spacing w:after="0"/>
      </w:pPr>
      <w:r w:rsidRPr="00A771C9">
        <w:t>Figure 3</w:t>
      </w:r>
      <w:r w:rsidR="00C75F1B" w:rsidRPr="00A771C9">
        <w:t xml:space="preserve"> </w:t>
      </w:r>
      <w:r w:rsidR="00FD25FE">
        <w:t>and Table </w:t>
      </w:r>
      <w:r w:rsidR="000D4BDE">
        <w:t>4</w:t>
      </w:r>
      <w:r w:rsidR="00A771C9">
        <w:t xml:space="preserve"> show</w:t>
      </w:r>
      <w:r w:rsidR="00C75F1B" w:rsidRPr="00A771C9">
        <w:t xml:space="preserve"> that the</w:t>
      </w:r>
      <w:r w:rsidR="001D49FD" w:rsidRPr="001D49FD">
        <w:t xml:space="preserve"> number of TKI patients peaked in 2011 </w:t>
      </w:r>
      <w:r w:rsidR="00FD25FE">
        <w:t>and w</w:t>
      </w:r>
      <w:r w:rsidR="001D49FD">
        <w:t>as</w:t>
      </w:r>
      <w:r w:rsidR="00FD25FE">
        <w:t xml:space="preserve"> </w:t>
      </w:r>
      <w:r w:rsidR="003132F2">
        <w:t xml:space="preserve">in decline in 2012 and 2013. </w:t>
      </w:r>
      <w:r w:rsidR="00A771C9" w:rsidRPr="00A771C9">
        <w:t>There was a sharp increase in the number of new patients commencing PBS treatment coinciding with the extension to allow first-line TKI use</w:t>
      </w:r>
      <w:r w:rsidR="00A771C9">
        <w:t xml:space="preserve"> (1</w:t>
      </w:r>
      <w:r w:rsidR="003132F2">
        <w:t> </w:t>
      </w:r>
      <w:r w:rsidR="00A771C9">
        <w:t>January 2014)</w:t>
      </w:r>
      <w:r w:rsidR="00A771C9" w:rsidRPr="00A771C9">
        <w:t xml:space="preserve">. </w:t>
      </w:r>
    </w:p>
    <w:p w:rsidR="00C75F1B" w:rsidRDefault="00C75F1B" w:rsidP="00F52264">
      <w:pPr>
        <w:spacing w:after="0"/>
        <w:rPr>
          <w:b/>
        </w:rPr>
      </w:pPr>
    </w:p>
    <w:p w:rsidR="007916B4" w:rsidRDefault="00FD25FE" w:rsidP="007916B4">
      <w:pPr>
        <w:pStyle w:val="Figurecaption"/>
        <w:spacing w:before="0" w:after="0"/>
        <w:rPr>
          <w:b/>
          <w:sz w:val="24"/>
          <w:szCs w:val="24"/>
        </w:rPr>
      </w:pPr>
      <w:r>
        <w:rPr>
          <w:b/>
          <w:sz w:val="24"/>
          <w:szCs w:val="24"/>
        </w:rPr>
        <w:t xml:space="preserve">Table </w:t>
      </w:r>
      <w:r w:rsidR="00E279C0">
        <w:rPr>
          <w:b/>
          <w:sz w:val="24"/>
          <w:szCs w:val="24"/>
        </w:rPr>
        <w:t>4</w:t>
      </w:r>
      <w:r w:rsidR="007916B4">
        <w:rPr>
          <w:b/>
          <w:sz w:val="24"/>
          <w:szCs w:val="24"/>
        </w:rPr>
        <w:t>: P</w:t>
      </w:r>
      <w:r w:rsidR="007916B4" w:rsidRPr="007916B4">
        <w:rPr>
          <w:b/>
          <w:sz w:val="24"/>
          <w:szCs w:val="24"/>
        </w:rPr>
        <w:t>atients initiating and prevalent to TKI therapy by year</w:t>
      </w:r>
    </w:p>
    <w:tbl>
      <w:tblPr>
        <w:tblStyle w:val="TableGrid"/>
        <w:tblW w:w="0" w:type="auto"/>
        <w:tblLook w:val="04A0" w:firstRow="1" w:lastRow="0" w:firstColumn="1" w:lastColumn="0" w:noHBand="0" w:noVBand="1"/>
        <w:tblCaption w:val="Table 4: Patients initiating and prevalent to TKI therapy by year"/>
      </w:tblPr>
      <w:tblGrid>
        <w:gridCol w:w="2660"/>
        <w:gridCol w:w="1701"/>
        <w:gridCol w:w="1701"/>
      </w:tblGrid>
      <w:tr w:rsidR="007916B4" w:rsidRPr="00780F32" w:rsidTr="001721E8">
        <w:trPr>
          <w:trHeight w:val="283"/>
          <w:tblHeader/>
        </w:trPr>
        <w:tc>
          <w:tcPr>
            <w:tcW w:w="2660" w:type="dxa"/>
            <w:shd w:val="clear" w:color="auto" w:fill="BFBFBF" w:themeFill="background1" w:themeFillShade="BF"/>
            <w:noWrap/>
            <w:vAlign w:val="center"/>
            <w:hideMark/>
          </w:tcPr>
          <w:p w:rsidR="007916B4" w:rsidRPr="00780F32" w:rsidRDefault="007916B4" w:rsidP="00864B35">
            <w:pPr>
              <w:jc w:val="center"/>
              <w:rPr>
                <w:rFonts w:ascii="Calibri" w:eastAsia="Times New Roman" w:hAnsi="Calibri" w:cs="Times New Roman"/>
                <w:b/>
                <w:bCs/>
                <w:sz w:val="20"/>
                <w:szCs w:val="20"/>
              </w:rPr>
            </w:pPr>
            <w:r>
              <w:rPr>
                <w:rFonts w:ascii="Calibri" w:eastAsia="Times New Roman" w:hAnsi="Calibri" w:cs="Times New Roman"/>
                <w:b/>
                <w:bCs/>
                <w:sz w:val="20"/>
                <w:szCs w:val="20"/>
              </w:rPr>
              <w:t>Year</w:t>
            </w:r>
          </w:p>
        </w:tc>
        <w:tc>
          <w:tcPr>
            <w:tcW w:w="1701" w:type="dxa"/>
            <w:shd w:val="clear" w:color="auto" w:fill="BFBFBF" w:themeFill="background1" w:themeFillShade="BF"/>
            <w:noWrap/>
            <w:vAlign w:val="center"/>
            <w:hideMark/>
          </w:tcPr>
          <w:p w:rsidR="007916B4" w:rsidRPr="00780F32" w:rsidRDefault="007916B4" w:rsidP="00864B35">
            <w:pPr>
              <w:jc w:val="center"/>
              <w:rPr>
                <w:rFonts w:ascii="Calibri" w:eastAsia="Times New Roman" w:hAnsi="Calibri" w:cs="Times New Roman"/>
                <w:b/>
                <w:bCs/>
                <w:sz w:val="20"/>
                <w:szCs w:val="20"/>
              </w:rPr>
            </w:pPr>
            <w:r>
              <w:rPr>
                <w:rFonts w:ascii="Calibri" w:eastAsia="Times New Roman" w:hAnsi="Calibri" w:cs="Times New Roman"/>
                <w:b/>
                <w:bCs/>
                <w:sz w:val="20"/>
                <w:szCs w:val="20"/>
              </w:rPr>
              <w:t>Initiating</w:t>
            </w:r>
          </w:p>
        </w:tc>
        <w:tc>
          <w:tcPr>
            <w:tcW w:w="1701" w:type="dxa"/>
            <w:shd w:val="clear" w:color="auto" w:fill="BFBFBF" w:themeFill="background1" w:themeFillShade="BF"/>
            <w:noWrap/>
            <w:vAlign w:val="center"/>
            <w:hideMark/>
          </w:tcPr>
          <w:p w:rsidR="007916B4" w:rsidRPr="00780F32" w:rsidRDefault="007916B4" w:rsidP="00864B35">
            <w:pPr>
              <w:jc w:val="center"/>
              <w:rPr>
                <w:rFonts w:ascii="Calibri" w:eastAsia="Times New Roman" w:hAnsi="Calibri" w:cs="Times New Roman"/>
                <w:b/>
                <w:bCs/>
                <w:sz w:val="20"/>
                <w:szCs w:val="20"/>
              </w:rPr>
            </w:pPr>
            <w:r>
              <w:rPr>
                <w:rFonts w:ascii="Calibri" w:eastAsia="Times New Roman" w:hAnsi="Calibri" w:cs="Times New Roman"/>
                <w:b/>
                <w:bCs/>
                <w:sz w:val="20"/>
                <w:szCs w:val="20"/>
              </w:rPr>
              <w:t>Prevalent</w:t>
            </w:r>
          </w:p>
        </w:tc>
      </w:tr>
      <w:tr w:rsidR="007916B4" w:rsidRPr="008D1084" w:rsidTr="00864B35">
        <w:trPr>
          <w:trHeight w:val="283"/>
        </w:trPr>
        <w:tc>
          <w:tcPr>
            <w:tcW w:w="2660" w:type="dxa"/>
            <w:noWrap/>
            <w:vAlign w:val="center"/>
            <w:hideMark/>
          </w:tcPr>
          <w:p w:rsidR="007916B4" w:rsidRPr="008D1084" w:rsidRDefault="007916B4" w:rsidP="007916B4">
            <w:pPr>
              <w:rPr>
                <w:sz w:val="20"/>
                <w:szCs w:val="20"/>
              </w:rPr>
            </w:pPr>
            <w:r w:rsidRPr="008D1084">
              <w:rPr>
                <w:sz w:val="20"/>
                <w:szCs w:val="20"/>
              </w:rPr>
              <w:t>2005</w:t>
            </w:r>
          </w:p>
        </w:tc>
        <w:tc>
          <w:tcPr>
            <w:tcW w:w="1701" w:type="dxa"/>
            <w:noWrap/>
            <w:vAlign w:val="center"/>
            <w:hideMark/>
          </w:tcPr>
          <w:p w:rsidR="007916B4" w:rsidRPr="008D1084" w:rsidRDefault="007916B4" w:rsidP="007916B4">
            <w:pPr>
              <w:jc w:val="center"/>
              <w:rPr>
                <w:sz w:val="20"/>
                <w:szCs w:val="20"/>
              </w:rPr>
            </w:pPr>
            <w:r w:rsidRPr="007916B4">
              <w:rPr>
                <w:sz w:val="20"/>
                <w:szCs w:val="20"/>
              </w:rPr>
              <w:t>59</w:t>
            </w:r>
          </w:p>
        </w:tc>
        <w:tc>
          <w:tcPr>
            <w:tcW w:w="1701" w:type="dxa"/>
            <w:noWrap/>
            <w:vAlign w:val="center"/>
            <w:hideMark/>
          </w:tcPr>
          <w:p w:rsidR="007916B4" w:rsidRPr="008D1084" w:rsidRDefault="007916B4" w:rsidP="007916B4">
            <w:pPr>
              <w:jc w:val="center"/>
              <w:rPr>
                <w:sz w:val="20"/>
                <w:szCs w:val="20"/>
              </w:rPr>
            </w:pPr>
            <w:r w:rsidRPr="007916B4">
              <w:rPr>
                <w:sz w:val="20"/>
                <w:szCs w:val="20"/>
              </w:rPr>
              <w:t>59</w:t>
            </w:r>
          </w:p>
        </w:tc>
      </w:tr>
      <w:tr w:rsidR="007916B4" w:rsidRPr="008D1084" w:rsidTr="00864B35">
        <w:trPr>
          <w:trHeight w:val="283"/>
        </w:trPr>
        <w:tc>
          <w:tcPr>
            <w:tcW w:w="2660" w:type="dxa"/>
            <w:noWrap/>
            <w:vAlign w:val="center"/>
            <w:hideMark/>
          </w:tcPr>
          <w:p w:rsidR="007916B4" w:rsidRPr="008D1084" w:rsidRDefault="007916B4" w:rsidP="007916B4">
            <w:pPr>
              <w:rPr>
                <w:sz w:val="20"/>
                <w:szCs w:val="20"/>
              </w:rPr>
            </w:pPr>
            <w:r w:rsidRPr="008D1084">
              <w:rPr>
                <w:sz w:val="20"/>
                <w:szCs w:val="20"/>
              </w:rPr>
              <w:t>2006</w:t>
            </w:r>
          </w:p>
        </w:tc>
        <w:tc>
          <w:tcPr>
            <w:tcW w:w="1701" w:type="dxa"/>
            <w:noWrap/>
            <w:vAlign w:val="center"/>
            <w:hideMark/>
          </w:tcPr>
          <w:p w:rsidR="007916B4" w:rsidRPr="008D1084" w:rsidRDefault="007916B4" w:rsidP="007916B4">
            <w:pPr>
              <w:jc w:val="center"/>
              <w:rPr>
                <w:sz w:val="20"/>
                <w:szCs w:val="20"/>
              </w:rPr>
            </w:pPr>
            <w:r w:rsidRPr="007916B4">
              <w:rPr>
                <w:sz w:val="20"/>
                <w:szCs w:val="20"/>
              </w:rPr>
              <w:t>50</w:t>
            </w:r>
          </w:p>
        </w:tc>
        <w:tc>
          <w:tcPr>
            <w:tcW w:w="1701" w:type="dxa"/>
            <w:noWrap/>
            <w:vAlign w:val="center"/>
            <w:hideMark/>
          </w:tcPr>
          <w:p w:rsidR="007916B4" w:rsidRPr="008D1084" w:rsidRDefault="007916B4" w:rsidP="007916B4">
            <w:pPr>
              <w:jc w:val="center"/>
              <w:rPr>
                <w:sz w:val="20"/>
                <w:szCs w:val="20"/>
              </w:rPr>
            </w:pPr>
            <w:r w:rsidRPr="007916B4">
              <w:rPr>
                <w:sz w:val="20"/>
                <w:szCs w:val="20"/>
              </w:rPr>
              <w:t>79</w:t>
            </w:r>
          </w:p>
        </w:tc>
      </w:tr>
      <w:tr w:rsidR="007916B4" w:rsidRPr="008D1084" w:rsidTr="00864B35">
        <w:trPr>
          <w:trHeight w:val="283"/>
        </w:trPr>
        <w:tc>
          <w:tcPr>
            <w:tcW w:w="2660" w:type="dxa"/>
            <w:noWrap/>
            <w:vAlign w:val="center"/>
            <w:hideMark/>
          </w:tcPr>
          <w:p w:rsidR="007916B4" w:rsidRPr="008D1084" w:rsidRDefault="007916B4" w:rsidP="007916B4">
            <w:pPr>
              <w:rPr>
                <w:sz w:val="20"/>
                <w:szCs w:val="20"/>
              </w:rPr>
            </w:pPr>
            <w:r w:rsidRPr="008D1084">
              <w:rPr>
                <w:sz w:val="20"/>
                <w:szCs w:val="20"/>
              </w:rPr>
              <w:t>2007</w:t>
            </w:r>
          </w:p>
        </w:tc>
        <w:tc>
          <w:tcPr>
            <w:tcW w:w="1701" w:type="dxa"/>
            <w:noWrap/>
            <w:vAlign w:val="center"/>
            <w:hideMark/>
          </w:tcPr>
          <w:p w:rsidR="007916B4" w:rsidRPr="008D1084" w:rsidRDefault="007916B4" w:rsidP="007916B4">
            <w:pPr>
              <w:jc w:val="center"/>
              <w:rPr>
                <w:sz w:val="20"/>
                <w:szCs w:val="20"/>
              </w:rPr>
            </w:pPr>
            <w:r w:rsidRPr="007916B4">
              <w:rPr>
                <w:sz w:val="20"/>
                <w:szCs w:val="20"/>
              </w:rPr>
              <w:t>44</w:t>
            </w:r>
          </w:p>
        </w:tc>
        <w:tc>
          <w:tcPr>
            <w:tcW w:w="1701" w:type="dxa"/>
            <w:noWrap/>
            <w:vAlign w:val="center"/>
            <w:hideMark/>
          </w:tcPr>
          <w:p w:rsidR="007916B4" w:rsidRPr="008D1084" w:rsidRDefault="007916B4" w:rsidP="007916B4">
            <w:pPr>
              <w:jc w:val="center"/>
              <w:rPr>
                <w:sz w:val="20"/>
                <w:szCs w:val="20"/>
              </w:rPr>
            </w:pPr>
            <w:r w:rsidRPr="007916B4">
              <w:rPr>
                <w:sz w:val="20"/>
                <w:szCs w:val="20"/>
              </w:rPr>
              <w:t>85</w:t>
            </w:r>
          </w:p>
        </w:tc>
      </w:tr>
      <w:tr w:rsidR="007916B4" w:rsidRPr="008D1084" w:rsidTr="00864B35">
        <w:trPr>
          <w:trHeight w:val="283"/>
        </w:trPr>
        <w:tc>
          <w:tcPr>
            <w:tcW w:w="2660" w:type="dxa"/>
            <w:noWrap/>
            <w:vAlign w:val="center"/>
            <w:hideMark/>
          </w:tcPr>
          <w:p w:rsidR="007916B4" w:rsidRPr="008D1084" w:rsidRDefault="007916B4" w:rsidP="007916B4">
            <w:pPr>
              <w:rPr>
                <w:sz w:val="20"/>
                <w:szCs w:val="20"/>
              </w:rPr>
            </w:pPr>
            <w:r w:rsidRPr="008D1084">
              <w:rPr>
                <w:sz w:val="20"/>
                <w:szCs w:val="20"/>
              </w:rPr>
              <w:t>2008</w:t>
            </w:r>
          </w:p>
        </w:tc>
        <w:tc>
          <w:tcPr>
            <w:tcW w:w="1701" w:type="dxa"/>
            <w:noWrap/>
            <w:vAlign w:val="center"/>
            <w:hideMark/>
          </w:tcPr>
          <w:p w:rsidR="007916B4" w:rsidRPr="008D1084" w:rsidRDefault="007916B4" w:rsidP="007916B4">
            <w:pPr>
              <w:jc w:val="center"/>
              <w:rPr>
                <w:sz w:val="20"/>
                <w:szCs w:val="20"/>
              </w:rPr>
            </w:pPr>
            <w:r w:rsidRPr="007916B4">
              <w:rPr>
                <w:sz w:val="20"/>
                <w:szCs w:val="20"/>
              </w:rPr>
              <w:t>650</w:t>
            </w:r>
          </w:p>
        </w:tc>
        <w:tc>
          <w:tcPr>
            <w:tcW w:w="1701" w:type="dxa"/>
            <w:noWrap/>
            <w:vAlign w:val="center"/>
            <w:hideMark/>
          </w:tcPr>
          <w:p w:rsidR="007916B4" w:rsidRPr="008D1084" w:rsidRDefault="007916B4" w:rsidP="007916B4">
            <w:pPr>
              <w:jc w:val="center"/>
              <w:rPr>
                <w:sz w:val="20"/>
                <w:szCs w:val="20"/>
              </w:rPr>
            </w:pPr>
            <w:r w:rsidRPr="007916B4">
              <w:rPr>
                <w:sz w:val="20"/>
                <w:szCs w:val="20"/>
              </w:rPr>
              <w:t>691</w:t>
            </w:r>
          </w:p>
        </w:tc>
      </w:tr>
      <w:tr w:rsidR="007916B4" w:rsidRPr="008D1084" w:rsidTr="00864B35">
        <w:trPr>
          <w:trHeight w:val="283"/>
        </w:trPr>
        <w:tc>
          <w:tcPr>
            <w:tcW w:w="2660" w:type="dxa"/>
            <w:noWrap/>
            <w:vAlign w:val="center"/>
            <w:hideMark/>
          </w:tcPr>
          <w:p w:rsidR="007916B4" w:rsidRPr="008D1084" w:rsidRDefault="007916B4" w:rsidP="007916B4">
            <w:pPr>
              <w:rPr>
                <w:sz w:val="20"/>
                <w:szCs w:val="20"/>
              </w:rPr>
            </w:pPr>
            <w:r w:rsidRPr="008D1084">
              <w:rPr>
                <w:sz w:val="20"/>
                <w:szCs w:val="20"/>
              </w:rPr>
              <w:t>2009</w:t>
            </w:r>
          </w:p>
        </w:tc>
        <w:tc>
          <w:tcPr>
            <w:tcW w:w="1701" w:type="dxa"/>
            <w:noWrap/>
            <w:vAlign w:val="center"/>
            <w:hideMark/>
          </w:tcPr>
          <w:p w:rsidR="007916B4" w:rsidRPr="008D1084" w:rsidRDefault="007916B4" w:rsidP="007916B4">
            <w:pPr>
              <w:jc w:val="center"/>
              <w:rPr>
                <w:sz w:val="20"/>
                <w:szCs w:val="20"/>
              </w:rPr>
            </w:pPr>
            <w:r w:rsidRPr="007916B4">
              <w:rPr>
                <w:sz w:val="20"/>
                <w:szCs w:val="20"/>
              </w:rPr>
              <w:t>1,039</w:t>
            </w:r>
          </w:p>
        </w:tc>
        <w:tc>
          <w:tcPr>
            <w:tcW w:w="1701" w:type="dxa"/>
            <w:noWrap/>
            <w:vAlign w:val="center"/>
            <w:hideMark/>
          </w:tcPr>
          <w:p w:rsidR="007916B4" w:rsidRPr="008D1084" w:rsidRDefault="007916B4" w:rsidP="007916B4">
            <w:pPr>
              <w:jc w:val="center"/>
              <w:rPr>
                <w:sz w:val="20"/>
                <w:szCs w:val="20"/>
              </w:rPr>
            </w:pPr>
            <w:r w:rsidRPr="007916B4">
              <w:rPr>
                <w:sz w:val="20"/>
                <w:szCs w:val="20"/>
              </w:rPr>
              <w:t>1,339</w:t>
            </w:r>
          </w:p>
        </w:tc>
      </w:tr>
      <w:tr w:rsidR="007916B4" w:rsidRPr="008D1084" w:rsidTr="00864B35">
        <w:trPr>
          <w:trHeight w:val="283"/>
        </w:trPr>
        <w:tc>
          <w:tcPr>
            <w:tcW w:w="2660" w:type="dxa"/>
            <w:noWrap/>
            <w:vAlign w:val="center"/>
            <w:hideMark/>
          </w:tcPr>
          <w:p w:rsidR="007916B4" w:rsidRPr="008D1084" w:rsidRDefault="007916B4" w:rsidP="007916B4">
            <w:pPr>
              <w:rPr>
                <w:sz w:val="20"/>
                <w:szCs w:val="20"/>
              </w:rPr>
            </w:pPr>
            <w:r w:rsidRPr="008D1084">
              <w:rPr>
                <w:sz w:val="20"/>
                <w:szCs w:val="20"/>
              </w:rPr>
              <w:t>2010</w:t>
            </w:r>
          </w:p>
        </w:tc>
        <w:tc>
          <w:tcPr>
            <w:tcW w:w="1701" w:type="dxa"/>
            <w:noWrap/>
            <w:vAlign w:val="center"/>
            <w:hideMark/>
          </w:tcPr>
          <w:p w:rsidR="007916B4" w:rsidRPr="008D1084" w:rsidRDefault="007916B4" w:rsidP="007916B4">
            <w:pPr>
              <w:jc w:val="center"/>
              <w:rPr>
                <w:sz w:val="20"/>
                <w:szCs w:val="20"/>
              </w:rPr>
            </w:pPr>
            <w:r w:rsidRPr="007916B4">
              <w:rPr>
                <w:sz w:val="20"/>
                <w:szCs w:val="20"/>
              </w:rPr>
              <w:t>1,127</w:t>
            </w:r>
          </w:p>
        </w:tc>
        <w:tc>
          <w:tcPr>
            <w:tcW w:w="1701" w:type="dxa"/>
            <w:noWrap/>
            <w:vAlign w:val="center"/>
            <w:hideMark/>
          </w:tcPr>
          <w:p w:rsidR="007916B4" w:rsidRPr="008D1084" w:rsidRDefault="007916B4" w:rsidP="007916B4">
            <w:pPr>
              <w:jc w:val="center"/>
              <w:rPr>
                <w:sz w:val="20"/>
                <w:szCs w:val="20"/>
              </w:rPr>
            </w:pPr>
            <w:r w:rsidRPr="007916B4">
              <w:rPr>
                <w:sz w:val="20"/>
                <w:szCs w:val="20"/>
              </w:rPr>
              <w:t>1,527</w:t>
            </w:r>
          </w:p>
        </w:tc>
      </w:tr>
      <w:tr w:rsidR="007916B4" w:rsidRPr="008D1084" w:rsidTr="00864B35">
        <w:trPr>
          <w:trHeight w:val="283"/>
        </w:trPr>
        <w:tc>
          <w:tcPr>
            <w:tcW w:w="2660" w:type="dxa"/>
            <w:noWrap/>
            <w:vAlign w:val="center"/>
            <w:hideMark/>
          </w:tcPr>
          <w:p w:rsidR="007916B4" w:rsidRPr="008D1084" w:rsidRDefault="007916B4" w:rsidP="007916B4">
            <w:pPr>
              <w:rPr>
                <w:sz w:val="20"/>
                <w:szCs w:val="20"/>
              </w:rPr>
            </w:pPr>
            <w:r w:rsidRPr="008D1084">
              <w:rPr>
                <w:sz w:val="20"/>
                <w:szCs w:val="20"/>
              </w:rPr>
              <w:t>2011</w:t>
            </w:r>
          </w:p>
        </w:tc>
        <w:tc>
          <w:tcPr>
            <w:tcW w:w="1701" w:type="dxa"/>
            <w:noWrap/>
            <w:vAlign w:val="center"/>
            <w:hideMark/>
          </w:tcPr>
          <w:p w:rsidR="007916B4" w:rsidRPr="008D1084" w:rsidRDefault="007916B4" w:rsidP="007916B4">
            <w:pPr>
              <w:jc w:val="center"/>
              <w:rPr>
                <w:sz w:val="20"/>
                <w:szCs w:val="20"/>
              </w:rPr>
            </w:pPr>
            <w:r w:rsidRPr="007916B4">
              <w:rPr>
                <w:sz w:val="20"/>
                <w:szCs w:val="20"/>
              </w:rPr>
              <w:t>1,275</w:t>
            </w:r>
          </w:p>
        </w:tc>
        <w:tc>
          <w:tcPr>
            <w:tcW w:w="1701" w:type="dxa"/>
            <w:noWrap/>
            <w:vAlign w:val="center"/>
            <w:hideMark/>
          </w:tcPr>
          <w:p w:rsidR="007916B4" w:rsidRPr="008D1084" w:rsidRDefault="007916B4" w:rsidP="007916B4">
            <w:pPr>
              <w:jc w:val="center"/>
              <w:rPr>
                <w:sz w:val="20"/>
                <w:szCs w:val="20"/>
              </w:rPr>
            </w:pPr>
            <w:r w:rsidRPr="007916B4">
              <w:rPr>
                <w:sz w:val="20"/>
                <w:szCs w:val="20"/>
              </w:rPr>
              <w:t>1,699</w:t>
            </w:r>
          </w:p>
        </w:tc>
      </w:tr>
      <w:tr w:rsidR="007916B4" w:rsidRPr="008D1084" w:rsidTr="00864B35">
        <w:trPr>
          <w:trHeight w:val="283"/>
        </w:trPr>
        <w:tc>
          <w:tcPr>
            <w:tcW w:w="2660" w:type="dxa"/>
            <w:noWrap/>
            <w:vAlign w:val="center"/>
            <w:hideMark/>
          </w:tcPr>
          <w:p w:rsidR="007916B4" w:rsidRPr="008D1084" w:rsidRDefault="007916B4" w:rsidP="007916B4">
            <w:pPr>
              <w:rPr>
                <w:sz w:val="20"/>
                <w:szCs w:val="20"/>
              </w:rPr>
            </w:pPr>
            <w:r w:rsidRPr="008D1084">
              <w:rPr>
                <w:sz w:val="20"/>
                <w:szCs w:val="20"/>
              </w:rPr>
              <w:t>2012</w:t>
            </w:r>
          </w:p>
        </w:tc>
        <w:tc>
          <w:tcPr>
            <w:tcW w:w="1701" w:type="dxa"/>
            <w:noWrap/>
            <w:vAlign w:val="center"/>
            <w:hideMark/>
          </w:tcPr>
          <w:p w:rsidR="007916B4" w:rsidRPr="008D1084" w:rsidRDefault="007916B4" w:rsidP="007916B4">
            <w:pPr>
              <w:jc w:val="center"/>
              <w:rPr>
                <w:sz w:val="20"/>
                <w:szCs w:val="20"/>
              </w:rPr>
            </w:pPr>
            <w:r w:rsidRPr="007916B4">
              <w:rPr>
                <w:sz w:val="20"/>
                <w:szCs w:val="20"/>
              </w:rPr>
              <w:t>1,087</w:t>
            </w:r>
          </w:p>
        </w:tc>
        <w:tc>
          <w:tcPr>
            <w:tcW w:w="1701" w:type="dxa"/>
            <w:noWrap/>
            <w:vAlign w:val="center"/>
            <w:hideMark/>
          </w:tcPr>
          <w:p w:rsidR="007916B4" w:rsidRPr="008D1084" w:rsidRDefault="007916B4" w:rsidP="007916B4">
            <w:pPr>
              <w:jc w:val="center"/>
              <w:rPr>
                <w:sz w:val="20"/>
                <w:szCs w:val="20"/>
              </w:rPr>
            </w:pPr>
            <w:r w:rsidRPr="007916B4">
              <w:rPr>
                <w:sz w:val="20"/>
                <w:szCs w:val="20"/>
              </w:rPr>
              <w:t>1,550</w:t>
            </w:r>
          </w:p>
        </w:tc>
      </w:tr>
      <w:tr w:rsidR="007916B4" w:rsidRPr="008D1084" w:rsidTr="00864B35">
        <w:trPr>
          <w:trHeight w:val="283"/>
        </w:trPr>
        <w:tc>
          <w:tcPr>
            <w:tcW w:w="2660" w:type="dxa"/>
            <w:noWrap/>
            <w:vAlign w:val="center"/>
            <w:hideMark/>
          </w:tcPr>
          <w:p w:rsidR="007916B4" w:rsidRPr="008D1084" w:rsidRDefault="007916B4" w:rsidP="007916B4">
            <w:pPr>
              <w:rPr>
                <w:sz w:val="20"/>
                <w:szCs w:val="20"/>
              </w:rPr>
            </w:pPr>
            <w:r w:rsidRPr="008D1084">
              <w:rPr>
                <w:sz w:val="20"/>
                <w:szCs w:val="20"/>
              </w:rPr>
              <w:t>2013</w:t>
            </w:r>
          </w:p>
        </w:tc>
        <w:tc>
          <w:tcPr>
            <w:tcW w:w="1701" w:type="dxa"/>
            <w:noWrap/>
            <w:vAlign w:val="center"/>
            <w:hideMark/>
          </w:tcPr>
          <w:p w:rsidR="007916B4" w:rsidRPr="008D1084" w:rsidRDefault="007916B4" w:rsidP="007916B4">
            <w:pPr>
              <w:jc w:val="center"/>
              <w:rPr>
                <w:sz w:val="20"/>
                <w:szCs w:val="20"/>
              </w:rPr>
            </w:pPr>
            <w:r w:rsidRPr="007916B4">
              <w:rPr>
                <w:sz w:val="20"/>
                <w:szCs w:val="20"/>
              </w:rPr>
              <w:t>880</w:t>
            </w:r>
          </w:p>
        </w:tc>
        <w:tc>
          <w:tcPr>
            <w:tcW w:w="1701" w:type="dxa"/>
            <w:noWrap/>
            <w:vAlign w:val="center"/>
            <w:hideMark/>
          </w:tcPr>
          <w:p w:rsidR="007916B4" w:rsidRPr="008D1084" w:rsidRDefault="007916B4" w:rsidP="007916B4">
            <w:pPr>
              <w:jc w:val="center"/>
              <w:rPr>
                <w:sz w:val="20"/>
                <w:szCs w:val="20"/>
              </w:rPr>
            </w:pPr>
            <w:r w:rsidRPr="007916B4">
              <w:rPr>
                <w:sz w:val="20"/>
                <w:szCs w:val="20"/>
              </w:rPr>
              <w:t>1,332</w:t>
            </w:r>
          </w:p>
        </w:tc>
      </w:tr>
      <w:tr w:rsidR="007916B4" w:rsidRPr="008D1084" w:rsidTr="00864B35">
        <w:trPr>
          <w:trHeight w:val="283"/>
        </w:trPr>
        <w:tc>
          <w:tcPr>
            <w:tcW w:w="2660" w:type="dxa"/>
            <w:noWrap/>
            <w:vAlign w:val="center"/>
            <w:hideMark/>
          </w:tcPr>
          <w:p w:rsidR="007916B4" w:rsidRPr="008D1084" w:rsidRDefault="007916B4" w:rsidP="007916B4">
            <w:pPr>
              <w:rPr>
                <w:sz w:val="20"/>
                <w:szCs w:val="20"/>
              </w:rPr>
            </w:pPr>
            <w:r w:rsidRPr="008D1084">
              <w:rPr>
                <w:sz w:val="20"/>
                <w:szCs w:val="20"/>
              </w:rPr>
              <w:t>2014</w:t>
            </w:r>
          </w:p>
        </w:tc>
        <w:tc>
          <w:tcPr>
            <w:tcW w:w="1701" w:type="dxa"/>
            <w:noWrap/>
            <w:vAlign w:val="center"/>
            <w:hideMark/>
          </w:tcPr>
          <w:p w:rsidR="007916B4" w:rsidRPr="008D1084" w:rsidRDefault="007916B4" w:rsidP="007916B4">
            <w:pPr>
              <w:jc w:val="center"/>
              <w:rPr>
                <w:sz w:val="20"/>
                <w:szCs w:val="20"/>
              </w:rPr>
            </w:pPr>
            <w:r w:rsidRPr="007916B4">
              <w:rPr>
                <w:sz w:val="20"/>
                <w:szCs w:val="20"/>
              </w:rPr>
              <w:t>908</w:t>
            </w:r>
          </w:p>
        </w:tc>
        <w:tc>
          <w:tcPr>
            <w:tcW w:w="1701" w:type="dxa"/>
            <w:noWrap/>
            <w:vAlign w:val="center"/>
            <w:hideMark/>
          </w:tcPr>
          <w:p w:rsidR="007916B4" w:rsidRPr="008D1084" w:rsidRDefault="007916B4" w:rsidP="007916B4">
            <w:pPr>
              <w:jc w:val="center"/>
              <w:rPr>
                <w:sz w:val="20"/>
                <w:szCs w:val="20"/>
              </w:rPr>
            </w:pPr>
            <w:r w:rsidRPr="007916B4">
              <w:rPr>
                <w:sz w:val="20"/>
                <w:szCs w:val="20"/>
              </w:rPr>
              <w:t>1,366</w:t>
            </w:r>
          </w:p>
        </w:tc>
      </w:tr>
      <w:tr w:rsidR="007916B4" w:rsidRPr="008D1084" w:rsidTr="00864B35">
        <w:trPr>
          <w:trHeight w:val="283"/>
        </w:trPr>
        <w:tc>
          <w:tcPr>
            <w:tcW w:w="2660" w:type="dxa"/>
            <w:noWrap/>
            <w:vAlign w:val="center"/>
            <w:hideMark/>
          </w:tcPr>
          <w:p w:rsidR="007916B4" w:rsidRPr="008D1084" w:rsidRDefault="007916B4" w:rsidP="007916B4">
            <w:pPr>
              <w:rPr>
                <w:sz w:val="20"/>
                <w:szCs w:val="20"/>
              </w:rPr>
            </w:pPr>
            <w:r w:rsidRPr="008D1084">
              <w:rPr>
                <w:sz w:val="20"/>
                <w:szCs w:val="20"/>
              </w:rPr>
              <w:t>2015</w:t>
            </w:r>
          </w:p>
        </w:tc>
        <w:tc>
          <w:tcPr>
            <w:tcW w:w="1701" w:type="dxa"/>
            <w:noWrap/>
            <w:vAlign w:val="center"/>
            <w:hideMark/>
          </w:tcPr>
          <w:p w:rsidR="007916B4" w:rsidRPr="008D1084" w:rsidRDefault="007916B4" w:rsidP="007916B4">
            <w:pPr>
              <w:jc w:val="center"/>
              <w:rPr>
                <w:sz w:val="20"/>
                <w:szCs w:val="20"/>
              </w:rPr>
            </w:pPr>
            <w:r w:rsidRPr="007916B4">
              <w:rPr>
                <w:sz w:val="20"/>
                <w:szCs w:val="20"/>
              </w:rPr>
              <w:t>472</w:t>
            </w:r>
          </w:p>
        </w:tc>
        <w:tc>
          <w:tcPr>
            <w:tcW w:w="1701" w:type="dxa"/>
            <w:noWrap/>
            <w:vAlign w:val="center"/>
            <w:hideMark/>
          </w:tcPr>
          <w:p w:rsidR="007916B4" w:rsidRPr="008D1084" w:rsidRDefault="007916B4" w:rsidP="007916B4">
            <w:pPr>
              <w:jc w:val="center"/>
              <w:rPr>
                <w:sz w:val="20"/>
                <w:szCs w:val="20"/>
              </w:rPr>
            </w:pPr>
            <w:r w:rsidRPr="007916B4">
              <w:rPr>
                <w:sz w:val="20"/>
                <w:szCs w:val="20"/>
              </w:rPr>
              <w:t>1,094</w:t>
            </w:r>
          </w:p>
        </w:tc>
      </w:tr>
      <w:tr w:rsidR="007916B4" w:rsidRPr="008D1084" w:rsidTr="00864B35">
        <w:trPr>
          <w:trHeight w:val="283"/>
        </w:trPr>
        <w:tc>
          <w:tcPr>
            <w:tcW w:w="2660" w:type="dxa"/>
            <w:noWrap/>
            <w:vAlign w:val="center"/>
            <w:hideMark/>
          </w:tcPr>
          <w:p w:rsidR="007916B4" w:rsidRPr="008D1084" w:rsidRDefault="007916B4" w:rsidP="0050268F">
            <w:pPr>
              <w:rPr>
                <w:sz w:val="20"/>
                <w:szCs w:val="20"/>
              </w:rPr>
            </w:pPr>
            <w:r w:rsidRPr="008D1084">
              <w:rPr>
                <w:sz w:val="20"/>
                <w:szCs w:val="20"/>
              </w:rPr>
              <w:t>2016</w:t>
            </w:r>
            <w:r>
              <w:rPr>
                <w:sz w:val="20"/>
                <w:szCs w:val="20"/>
              </w:rPr>
              <w:t xml:space="preserve"> (</w:t>
            </w:r>
            <w:r w:rsidR="0050268F">
              <w:rPr>
                <w:sz w:val="20"/>
                <w:szCs w:val="20"/>
              </w:rPr>
              <w:t>part y</w:t>
            </w:r>
            <w:r>
              <w:rPr>
                <w:sz w:val="20"/>
                <w:szCs w:val="20"/>
              </w:rPr>
              <w:t>ear to end of Sep)</w:t>
            </w:r>
          </w:p>
        </w:tc>
        <w:tc>
          <w:tcPr>
            <w:tcW w:w="1701" w:type="dxa"/>
            <w:noWrap/>
            <w:vAlign w:val="center"/>
            <w:hideMark/>
          </w:tcPr>
          <w:p w:rsidR="007916B4" w:rsidRPr="008D1084" w:rsidRDefault="007916B4" w:rsidP="007916B4">
            <w:pPr>
              <w:jc w:val="center"/>
              <w:rPr>
                <w:sz w:val="20"/>
                <w:szCs w:val="20"/>
              </w:rPr>
            </w:pPr>
            <w:r w:rsidRPr="007916B4">
              <w:rPr>
                <w:sz w:val="20"/>
                <w:szCs w:val="20"/>
              </w:rPr>
              <w:t>426</w:t>
            </w:r>
          </w:p>
        </w:tc>
        <w:tc>
          <w:tcPr>
            <w:tcW w:w="1701" w:type="dxa"/>
            <w:noWrap/>
            <w:vAlign w:val="center"/>
            <w:hideMark/>
          </w:tcPr>
          <w:p w:rsidR="007916B4" w:rsidRPr="008D1084" w:rsidRDefault="007916B4" w:rsidP="007916B4">
            <w:pPr>
              <w:jc w:val="center"/>
              <w:rPr>
                <w:sz w:val="20"/>
                <w:szCs w:val="20"/>
              </w:rPr>
            </w:pPr>
            <w:r w:rsidRPr="007916B4">
              <w:rPr>
                <w:sz w:val="20"/>
                <w:szCs w:val="20"/>
              </w:rPr>
              <w:t>1,020</w:t>
            </w:r>
          </w:p>
        </w:tc>
      </w:tr>
    </w:tbl>
    <w:p w:rsidR="007916B4" w:rsidRDefault="00864B35" w:rsidP="00F52264">
      <w:pPr>
        <w:spacing w:after="0"/>
        <w:rPr>
          <w:b/>
        </w:rPr>
      </w:pPr>
      <w:r w:rsidRPr="00C75F1B">
        <w:rPr>
          <w:sz w:val="20"/>
        </w:rPr>
        <w:t>Source: DHS prescription claims database, accessed November 2016.</w:t>
      </w:r>
    </w:p>
    <w:p w:rsidR="007916B4" w:rsidRDefault="0060064C" w:rsidP="00F52264">
      <w:pPr>
        <w:spacing w:after="0"/>
      </w:pPr>
      <w:r w:rsidRPr="0060064C">
        <w:lastRenderedPageBreak/>
        <w:t>Figure 4 presents the market share of erlotinib and gefitinib for incident and prevalent patients.</w:t>
      </w:r>
      <w:r>
        <w:t xml:space="preserve"> </w:t>
      </w:r>
    </w:p>
    <w:p w:rsidR="0060064C" w:rsidRPr="0060064C" w:rsidRDefault="0060064C" w:rsidP="00F52264">
      <w:pPr>
        <w:spacing w:after="0"/>
      </w:pPr>
    </w:p>
    <w:p w:rsidR="003702C6" w:rsidRDefault="003702C6" w:rsidP="00F52264">
      <w:pPr>
        <w:spacing w:after="0"/>
        <w:rPr>
          <w:b/>
        </w:rPr>
      </w:pPr>
      <w:r>
        <w:rPr>
          <w:noProof/>
        </w:rPr>
        <w:drawing>
          <wp:inline distT="0" distB="0" distL="0" distR="0" wp14:anchorId="436F1A3E" wp14:editId="184E8EB9">
            <wp:extent cx="5687695" cy="3716447"/>
            <wp:effectExtent l="0" t="0" r="27305" b="17780"/>
            <wp:docPr id="4" name="Chart 4" title="Figure 4: Number of prevalent and initiating patients by TKI drug"/>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702C6" w:rsidRDefault="003702C6" w:rsidP="00864B35">
      <w:pPr>
        <w:spacing w:after="0"/>
        <w:rPr>
          <w:b/>
        </w:rPr>
      </w:pPr>
      <w:r>
        <w:rPr>
          <w:b/>
        </w:rPr>
        <w:t>Figure 4: Number of prevalent and initiating patients by TKI drug</w:t>
      </w:r>
    </w:p>
    <w:p w:rsidR="00864B35" w:rsidRDefault="00864B35" w:rsidP="00864B35">
      <w:pPr>
        <w:spacing w:after="0"/>
        <w:rPr>
          <w:sz w:val="20"/>
        </w:rPr>
      </w:pPr>
      <w:r w:rsidRPr="00C75F1B">
        <w:rPr>
          <w:sz w:val="20"/>
        </w:rPr>
        <w:t>Source: DHS prescription claims database, accessed November 2016.</w:t>
      </w:r>
    </w:p>
    <w:p w:rsidR="00864B35" w:rsidRPr="00C75F1B" w:rsidRDefault="00864B35" w:rsidP="00864B35">
      <w:pPr>
        <w:spacing w:after="0"/>
        <w:rPr>
          <w:sz w:val="20"/>
        </w:rPr>
      </w:pPr>
    </w:p>
    <w:p w:rsidR="00C75F1B" w:rsidRDefault="00B070C6" w:rsidP="00F52264">
      <w:pPr>
        <w:spacing w:after="0"/>
        <w:rPr>
          <w:i/>
        </w:rPr>
      </w:pPr>
      <w:r>
        <w:t>Overall, m</w:t>
      </w:r>
      <w:r w:rsidRPr="00B070C6">
        <w:t xml:space="preserve">any more patients have commenced treatment with erlotinib than gefitinib, likely reflecting the broader listing of erlotinib until the end of July 2014 (not limited to mutation positive patients for second and subsequent lines). </w:t>
      </w:r>
      <w:r>
        <w:t xml:space="preserve">After </w:t>
      </w:r>
      <w:r w:rsidR="003702C6">
        <w:t xml:space="preserve">the extension of listing to first-line </w:t>
      </w:r>
      <w:r>
        <w:t xml:space="preserve">treatment in </w:t>
      </w:r>
      <w:r w:rsidR="00C47E42">
        <w:t>January</w:t>
      </w:r>
      <w:r w:rsidR="003702C6">
        <w:t xml:space="preserve"> 2014</w:t>
      </w:r>
      <w:r w:rsidR="00864B35">
        <w:t>,</w:t>
      </w:r>
      <w:r w:rsidR="003702C6">
        <w:t xml:space="preserve"> the number of patients </w:t>
      </w:r>
      <w:r>
        <w:t xml:space="preserve">commencing both gefitinib and erlotinib </w:t>
      </w:r>
      <w:r w:rsidR="003702C6">
        <w:t xml:space="preserve">increased </w:t>
      </w:r>
      <w:r>
        <w:t>sharply before stabilising at lower levels</w:t>
      </w:r>
      <w:r w:rsidR="00A12517">
        <w:t>.</w:t>
      </w:r>
    </w:p>
    <w:p w:rsidR="00864B35" w:rsidRPr="00B070C6" w:rsidRDefault="00864B35" w:rsidP="00F52264">
      <w:pPr>
        <w:spacing w:after="0"/>
        <w:rPr>
          <w:i/>
        </w:rPr>
      </w:pPr>
    </w:p>
    <w:p w:rsidR="00EF5A29" w:rsidRDefault="00FC5765" w:rsidP="00EF5A29">
      <w:pPr>
        <w:rPr>
          <w:b/>
          <w:i/>
        </w:rPr>
      </w:pPr>
      <w:r>
        <w:rPr>
          <w:b/>
          <w:i/>
        </w:rPr>
        <w:t>Use of chemotherapy</w:t>
      </w:r>
      <w:r w:rsidR="0049647D">
        <w:rPr>
          <w:b/>
          <w:i/>
        </w:rPr>
        <w:t xml:space="preserve"> prior to </w:t>
      </w:r>
      <w:r>
        <w:rPr>
          <w:b/>
          <w:i/>
        </w:rPr>
        <w:t xml:space="preserve">commencement of a </w:t>
      </w:r>
      <w:r w:rsidR="00920959" w:rsidRPr="00920959">
        <w:rPr>
          <w:b/>
          <w:i/>
        </w:rPr>
        <w:t>TKI</w:t>
      </w:r>
    </w:p>
    <w:p w:rsidR="00527124" w:rsidRPr="00527124" w:rsidRDefault="00527124" w:rsidP="00EF5A29">
      <w:r>
        <w:t xml:space="preserve">Figure 5 presents </w:t>
      </w:r>
      <w:r w:rsidR="00711F21">
        <w:t xml:space="preserve">the number of </w:t>
      </w:r>
      <w:r>
        <w:t xml:space="preserve">patients commencing a TKI over time </w:t>
      </w:r>
      <w:r w:rsidR="00711F21">
        <w:t>according to</w:t>
      </w:r>
      <w:r>
        <w:t xml:space="preserve"> </w:t>
      </w:r>
      <w:r w:rsidR="00711F21">
        <w:t>whether the TKI or chemotherapy was their first treatment.</w:t>
      </w:r>
      <w:r w:rsidR="001200F6">
        <w:t xml:space="preserve"> Chemotherapy was classified as any medicine within the ATC classification of L01 (antineoplastics), excluding the TKIs erlotinib and gefitinib. </w:t>
      </w:r>
    </w:p>
    <w:p w:rsidR="00637DC7" w:rsidRDefault="00637DC7" w:rsidP="00C47E42">
      <w:pPr>
        <w:spacing w:after="0"/>
      </w:pPr>
      <w:r>
        <w:rPr>
          <w:noProof/>
        </w:rPr>
        <w:lastRenderedPageBreak/>
        <w:drawing>
          <wp:inline distT="0" distB="0" distL="0" distR="0" wp14:anchorId="18C60CA7" wp14:editId="00E0140D">
            <wp:extent cx="5687695" cy="3716447"/>
            <wp:effectExtent l="0" t="0" r="27305" b="17780"/>
            <wp:docPr id="12" name="Chart 12" title="Figure 5: First line therapy for TKI patients by year of initiation to TKI therapy."/>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37DC7" w:rsidRDefault="00527124" w:rsidP="00864B35">
      <w:pPr>
        <w:spacing w:after="0" w:line="276" w:lineRule="auto"/>
        <w:rPr>
          <w:b/>
        </w:rPr>
      </w:pPr>
      <w:r>
        <w:rPr>
          <w:b/>
        </w:rPr>
        <w:t>Figure 5</w:t>
      </w:r>
      <w:r w:rsidR="00637DC7">
        <w:rPr>
          <w:b/>
        </w:rPr>
        <w:t>: First line therapy for TKI patients by year of initiation to TKI therapy.</w:t>
      </w:r>
    </w:p>
    <w:p w:rsidR="00864B35" w:rsidRDefault="00864B35" w:rsidP="00864B35">
      <w:pPr>
        <w:spacing w:after="0" w:line="276" w:lineRule="auto"/>
        <w:rPr>
          <w:sz w:val="20"/>
        </w:rPr>
      </w:pPr>
      <w:r w:rsidRPr="00C75F1B">
        <w:rPr>
          <w:sz w:val="20"/>
        </w:rPr>
        <w:t>Source: DHS prescription claims database, accessed November 2016.</w:t>
      </w:r>
    </w:p>
    <w:p w:rsidR="00864B35" w:rsidRPr="00D269F4" w:rsidRDefault="00864B35" w:rsidP="00864B35">
      <w:pPr>
        <w:spacing w:after="0" w:line="276" w:lineRule="auto"/>
      </w:pPr>
    </w:p>
    <w:p w:rsidR="00864B35" w:rsidRDefault="000F1CCE" w:rsidP="00C47E42">
      <w:pPr>
        <w:spacing w:after="0"/>
      </w:pPr>
      <w:r>
        <w:t xml:space="preserve">The vast majority of patients were using TKIs after chemotherapy prior to the extension to include first-line use in 2014. </w:t>
      </w:r>
      <w:r w:rsidR="00711F21">
        <w:t>T</w:t>
      </w:r>
      <w:r w:rsidR="005D3AAB">
        <w:t>here were approximately 100 patients per year initiating er</w:t>
      </w:r>
      <w:r w:rsidR="00864B35">
        <w:t>lotinib as first-</w:t>
      </w:r>
      <w:r w:rsidR="005D3AAB">
        <w:t>line therapy prior to the expansion of listing.</w:t>
      </w:r>
      <w:r w:rsidR="00E902AF">
        <w:t xml:space="preserve"> </w:t>
      </w:r>
      <w:r w:rsidR="001200F6">
        <w:t xml:space="preserve">DUSC had noted in the last review of erlotinib (2011) the potential </w:t>
      </w:r>
      <w:r>
        <w:t xml:space="preserve">for </w:t>
      </w:r>
      <w:r w:rsidR="001200F6">
        <w:t xml:space="preserve">use outside of the restriction in earlier lines. The data in Figure 5 indicated </w:t>
      </w:r>
      <w:r>
        <w:t xml:space="preserve">that </w:t>
      </w:r>
      <w:r w:rsidR="001200F6">
        <w:t xml:space="preserve">use in </w:t>
      </w:r>
      <w:r w:rsidR="00D21F8A">
        <w:t>first-line was</w:t>
      </w:r>
      <w:r>
        <w:t xml:space="preserve"> a comparatively small proportion of total use, and </w:t>
      </w:r>
      <w:r w:rsidR="001200F6">
        <w:t xml:space="preserve">was not a </w:t>
      </w:r>
      <w:r w:rsidR="00755E45">
        <w:t xml:space="preserve">rapidly </w:t>
      </w:r>
      <w:r w:rsidR="001200F6">
        <w:t>growing trend.</w:t>
      </w:r>
      <w:r>
        <w:t xml:space="preserve"> </w:t>
      </w:r>
    </w:p>
    <w:p w:rsidR="00864B35" w:rsidRDefault="00864B35" w:rsidP="00C47E42">
      <w:pPr>
        <w:spacing w:after="0"/>
      </w:pPr>
    </w:p>
    <w:p w:rsidR="005D3AAB" w:rsidRDefault="000F1CCE" w:rsidP="00C47E42">
      <w:pPr>
        <w:spacing w:after="0"/>
      </w:pPr>
      <w:r>
        <w:t>The use of prior chemotherapy is pre</w:t>
      </w:r>
      <w:r w:rsidR="000D4BDE">
        <w:t>sented in more detail in Table 5</w:t>
      </w:r>
      <w:r>
        <w:t>.</w:t>
      </w:r>
      <w:r w:rsidR="00D53ABD">
        <w:t xml:space="preserve"> </w:t>
      </w:r>
    </w:p>
    <w:p w:rsidR="009A7955" w:rsidRDefault="009A7955">
      <w:pPr>
        <w:spacing w:line="276" w:lineRule="auto"/>
        <w:rPr>
          <w:b/>
          <w:lang w:eastAsia="en-US"/>
        </w:rPr>
      </w:pPr>
      <w:r>
        <w:rPr>
          <w:b/>
        </w:rPr>
        <w:br w:type="page"/>
      </w:r>
    </w:p>
    <w:p w:rsidR="00B4447A" w:rsidRPr="00FB2A87" w:rsidRDefault="00EC712F" w:rsidP="00B4447A">
      <w:pPr>
        <w:pStyle w:val="Figurecaption"/>
        <w:spacing w:before="0" w:after="0"/>
        <w:rPr>
          <w:szCs w:val="24"/>
        </w:rPr>
      </w:pPr>
      <w:r>
        <w:rPr>
          <w:b/>
          <w:sz w:val="24"/>
          <w:szCs w:val="24"/>
        </w:rPr>
        <w:lastRenderedPageBreak/>
        <w:t xml:space="preserve">Table </w:t>
      </w:r>
      <w:r w:rsidR="000D4BDE">
        <w:rPr>
          <w:b/>
          <w:sz w:val="24"/>
          <w:szCs w:val="24"/>
        </w:rPr>
        <w:t>5</w:t>
      </w:r>
      <w:r w:rsidR="00B4447A">
        <w:rPr>
          <w:b/>
          <w:sz w:val="24"/>
          <w:szCs w:val="24"/>
        </w:rPr>
        <w:t xml:space="preserve">: </w:t>
      </w:r>
      <w:r>
        <w:rPr>
          <w:b/>
          <w:sz w:val="24"/>
          <w:szCs w:val="24"/>
        </w:rPr>
        <w:t xml:space="preserve">Use of </w:t>
      </w:r>
      <w:r w:rsidR="00B4447A">
        <w:rPr>
          <w:b/>
          <w:sz w:val="24"/>
          <w:szCs w:val="24"/>
        </w:rPr>
        <w:t>anti</w:t>
      </w:r>
      <w:r>
        <w:rPr>
          <w:b/>
          <w:sz w:val="24"/>
          <w:szCs w:val="24"/>
        </w:rPr>
        <w:t>-neoplastic agents</w:t>
      </w:r>
      <w:r w:rsidR="00B4447A">
        <w:rPr>
          <w:b/>
          <w:sz w:val="24"/>
          <w:szCs w:val="24"/>
        </w:rPr>
        <w:t xml:space="preserve"> prior</w:t>
      </w:r>
      <w:r w:rsidR="008A6525">
        <w:rPr>
          <w:b/>
          <w:sz w:val="24"/>
          <w:szCs w:val="24"/>
        </w:rPr>
        <w:t>*</w:t>
      </w:r>
      <w:r w:rsidR="00B4447A">
        <w:rPr>
          <w:b/>
          <w:sz w:val="24"/>
          <w:szCs w:val="24"/>
        </w:rPr>
        <w:t xml:space="preserve"> to initiation of TKI therapy</w:t>
      </w:r>
    </w:p>
    <w:tbl>
      <w:tblPr>
        <w:tblW w:w="90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1212"/>
        <w:gridCol w:w="858"/>
        <w:gridCol w:w="856"/>
        <w:gridCol w:w="856"/>
        <w:gridCol w:w="856"/>
      </w:tblGrid>
      <w:tr w:rsidR="002625FA" w:rsidRPr="002625FA" w:rsidTr="000B64B9">
        <w:trPr>
          <w:trHeight w:val="170"/>
        </w:trPr>
        <w:tc>
          <w:tcPr>
            <w:tcW w:w="4365" w:type="dxa"/>
            <w:shd w:val="clear" w:color="auto" w:fill="BFBFBF" w:themeFill="background1" w:themeFillShade="BF"/>
            <w:noWrap/>
            <w:vAlign w:val="bottom"/>
            <w:hideMark/>
          </w:tcPr>
          <w:p w:rsidR="002625FA" w:rsidRPr="000B64B9" w:rsidRDefault="002625FA" w:rsidP="000B64B9">
            <w:pPr>
              <w:spacing w:after="0"/>
              <w:rPr>
                <w:rFonts w:ascii="Calibri" w:eastAsia="Times New Roman" w:hAnsi="Calibri" w:cs="Times New Roman"/>
                <w:b/>
                <w:bCs/>
                <w:color w:val="000000"/>
                <w:sz w:val="20"/>
                <w:szCs w:val="20"/>
              </w:rPr>
            </w:pPr>
            <w:r w:rsidRPr="000B64B9">
              <w:rPr>
                <w:rFonts w:ascii="Calibri" w:eastAsia="Times New Roman" w:hAnsi="Calibri" w:cs="Times New Roman"/>
                <w:b/>
                <w:bCs/>
                <w:color w:val="000000"/>
                <w:sz w:val="20"/>
                <w:szCs w:val="20"/>
              </w:rPr>
              <w:t>% Patients</w:t>
            </w:r>
          </w:p>
        </w:tc>
        <w:tc>
          <w:tcPr>
            <w:tcW w:w="4638" w:type="dxa"/>
            <w:gridSpan w:val="5"/>
            <w:shd w:val="clear" w:color="auto" w:fill="BFBFBF" w:themeFill="background1" w:themeFillShade="BF"/>
            <w:noWrap/>
            <w:vAlign w:val="center"/>
            <w:hideMark/>
          </w:tcPr>
          <w:p w:rsidR="002625FA" w:rsidRPr="000B64B9" w:rsidRDefault="002625FA" w:rsidP="000B64B9">
            <w:pPr>
              <w:spacing w:after="0"/>
              <w:jc w:val="center"/>
              <w:rPr>
                <w:rFonts w:ascii="Calibri" w:eastAsia="Times New Roman" w:hAnsi="Calibri" w:cs="Times New Roman"/>
                <w:b/>
                <w:bCs/>
                <w:color w:val="000000"/>
                <w:sz w:val="20"/>
                <w:szCs w:val="20"/>
              </w:rPr>
            </w:pPr>
            <w:r w:rsidRPr="000B64B9">
              <w:rPr>
                <w:rFonts w:ascii="Calibri" w:eastAsia="Times New Roman" w:hAnsi="Calibri" w:cs="Times New Roman"/>
                <w:b/>
                <w:bCs/>
                <w:color w:val="000000"/>
                <w:sz w:val="20"/>
                <w:szCs w:val="20"/>
              </w:rPr>
              <w:t>TKI initiation year</w:t>
            </w:r>
          </w:p>
        </w:tc>
      </w:tr>
      <w:tr w:rsidR="002625FA" w:rsidRPr="002625FA" w:rsidTr="000B64B9">
        <w:trPr>
          <w:trHeight w:val="170"/>
        </w:trPr>
        <w:tc>
          <w:tcPr>
            <w:tcW w:w="4365" w:type="dxa"/>
            <w:shd w:val="clear" w:color="auto" w:fill="BFBFBF" w:themeFill="background1" w:themeFillShade="BF"/>
            <w:noWrap/>
            <w:vAlign w:val="bottom"/>
            <w:hideMark/>
          </w:tcPr>
          <w:p w:rsidR="002625FA" w:rsidRPr="000B64B9" w:rsidRDefault="00755E45" w:rsidP="00755E45">
            <w:pPr>
              <w:spacing w:after="0"/>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Antineoplastics </w:t>
            </w:r>
            <w:r w:rsidR="00693EC5" w:rsidRPr="000B64B9">
              <w:rPr>
                <w:rFonts w:ascii="Calibri" w:eastAsia="Times New Roman" w:hAnsi="Calibri" w:cs="Times New Roman"/>
                <w:b/>
                <w:bCs/>
                <w:color w:val="000000"/>
                <w:sz w:val="20"/>
                <w:szCs w:val="20"/>
              </w:rPr>
              <w:t>taken prior to TKI initiation</w:t>
            </w:r>
          </w:p>
        </w:tc>
        <w:tc>
          <w:tcPr>
            <w:tcW w:w="1212" w:type="dxa"/>
            <w:shd w:val="clear" w:color="auto" w:fill="BFBFBF" w:themeFill="background1" w:themeFillShade="BF"/>
            <w:noWrap/>
            <w:vAlign w:val="center"/>
            <w:hideMark/>
          </w:tcPr>
          <w:p w:rsidR="002625FA" w:rsidRPr="000B64B9" w:rsidRDefault="002625FA" w:rsidP="000B64B9">
            <w:pPr>
              <w:spacing w:after="0"/>
              <w:jc w:val="center"/>
              <w:rPr>
                <w:rFonts w:ascii="Calibri" w:eastAsia="Times New Roman" w:hAnsi="Calibri" w:cs="Times New Roman"/>
                <w:b/>
                <w:bCs/>
                <w:color w:val="000000"/>
                <w:sz w:val="20"/>
                <w:szCs w:val="20"/>
              </w:rPr>
            </w:pPr>
            <w:r w:rsidRPr="000B64B9">
              <w:rPr>
                <w:rFonts w:ascii="Calibri" w:eastAsia="Times New Roman" w:hAnsi="Calibri" w:cs="Times New Roman"/>
                <w:b/>
                <w:bCs/>
                <w:color w:val="000000"/>
                <w:sz w:val="20"/>
                <w:szCs w:val="20"/>
              </w:rPr>
              <w:t>2011</w:t>
            </w:r>
          </w:p>
        </w:tc>
        <w:tc>
          <w:tcPr>
            <w:tcW w:w="858" w:type="dxa"/>
            <w:shd w:val="clear" w:color="auto" w:fill="BFBFBF" w:themeFill="background1" w:themeFillShade="BF"/>
            <w:noWrap/>
            <w:vAlign w:val="center"/>
            <w:hideMark/>
          </w:tcPr>
          <w:p w:rsidR="002625FA" w:rsidRPr="000B64B9" w:rsidRDefault="002625FA" w:rsidP="000B64B9">
            <w:pPr>
              <w:spacing w:after="0"/>
              <w:jc w:val="center"/>
              <w:rPr>
                <w:rFonts w:ascii="Calibri" w:eastAsia="Times New Roman" w:hAnsi="Calibri" w:cs="Times New Roman"/>
                <w:b/>
                <w:bCs/>
                <w:color w:val="000000"/>
                <w:sz w:val="20"/>
                <w:szCs w:val="20"/>
              </w:rPr>
            </w:pPr>
            <w:r w:rsidRPr="000B64B9">
              <w:rPr>
                <w:rFonts w:ascii="Calibri" w:eastAsia="Times New Roman" w:hAnsi="Calibri" w:cs="Times New Roman"/>
                <w:b/>
                <w:bCs/>
                <w:color w:val="000000"/>
                <w:sz w:val="20"/>
                <w:szCs w:val="20"/>
              </w:rPr>
              <w:t>2012</w:t>
            </w:r>
          </w:p>
        </w:tc>
        <w:tc>
          <w:tcPr>
            <w:tcW w:w="856" w:type="dxa"/>
            <w:shd w:val="clear" w:color="auto" w:fill="BFBFBF" w:themeFill="background1" w:themeFillShade="BF"/>
            <w:noWrap/>
            <w:vAlign w:val="center"/>
            <w:hideMark/>
          </w:tcPr>
          <w:p w:rsidR="002625FA" w:rsidRPr="000B64B9" w:rsidRDefault="002625FA" w:rsidP="000B64B9">
            <w:pPr>
              <w:spacing w:after="0"/>
              <w:jc w:val="center"/>
              <w:rPr>
                <w:rFonts w:ascii="Calibri" w:eastAsia="Times New Roman" w:hAnsi="Calibri" w:cs="Times New Roman"/>
                <w:b/>
                <w:bCs/>
                <w:color w:val="000000"/>
                <w:sz w:val="20"/>
                <w:szCs w:val="20"/>
              </w:rPr>
            </w:pPr>
            <w:r w:rsidRPr="000B64B9">
              <w:rPr>
                <w:rFonts w:ascii="Calibri" w:eastAsia="Times New Roman" w:hAnsi="Calibri" w:cs="Times New Roman"/>
                <w:b/>
                <w:bCs/>
                <w:color w:val="000000"/>
                <w:sz w:val="20"/>
                <w:szCs w:val="20"/>
              </w:rPr>
              <w:t>2013</w:t>
            </w:r>
          </w:p>
        </w:tc>
        <w:tc>
          <w:tcPr>
            <w:tcW w:w="856" w:type="dxa"/>
            <w:shd w:val="clear" w:color="auto" w:fill="BFBFBF" w:themeFill="background1" w:themeFillShade="BF"/>
            <w:noWrap/>
            <w:vAlign w:val="center"/>
            <w:hideMark/>
          </w:tcPr>
          <w:p w:rsidR="002625FA" w:rsidRPr="000B64B9" w:rsidRDefault="002625FA" w:rsidP="000B64B9">
            <w:pPr>
              <w:spacing w:after="0"/>
              <w:jc w:val="center"/>
              <w:rPr>
                <w:rFonts w:ascii="Calibri" w:eastAsia="Times New Roman" w:hAnsi="Calibri" w:cs="Times New Roman"/>
                <w:b/>
                <w:bCs/>
                <w:color w:val="000000"/>
                <w:sz w:val="20"/>
                <w:szCs w:val="20"/>
              </w:rPr>
            </w:pPr>
            <w:r w:rsidRPr="000B64B9">
              <w:rPr>
                <w:rFonts w:ascii="Calibri" w:eastAsia="Times New Roman" w:hAnsi="Calibri" w:cs="Times New Roman"/>
                <w:b/>
                <w:bCs/>
                <w:color w:val="000000"/>
                <w:sz w:val="20"/>
                <w:szCs w:val="20"/>
              </w:rPr>
              <w:t>2014</w:t>
            </w:r>
          </w:p>
        </w:tc>
        <w:tc>
          <w:tcPr>
            <w:tcW w:w="856" w:type="dxa"/>
            <w:shd w:val="clear" w:color="auto" w:fill="BFBFBF" w:themeFill="background1" w:themeFillShade="BF"/>
            <w:noWrap/>
            <w:vAlign w:val="center"/>
            <w:hideMark/>
          </w:tcPr>
          <w:p w:rsidR="002625FA" w:rsidRPr="000B64B9" w:rsidRDefault="002625FA" w:rsidP="000B64B9">
            <w:pPr>
              <w:spacing w:after="0"/>
              <w:jc w:val="center"/>
              <w:rPr>
                <w:rFonts w:ascii="Calibri" w:eastAsia="Times New Roman" w:hAnsi="Calibri" w:cs="Times New Roman"/>
                <w:b/>
                <w:bCs/>
                <w:color w:val="000000"/>
                <w:sz w:val="20"/>
                <w:szCs w:val="20"/>
              </w:rPr>
            </w:pPr>
            <w:r w:rsidRPr="000B64B9">
              <w:rPr>
                <w:rFonts w:ascii="Calibri" w:eastAsia="Times New Roman" w:hAnsi="Calibri" w:cs="Times New Roman"/>
                <w:b/>
                <w:bCs/>
                <w:color w:val="000000"/>
                <w:sz w:val="20"/>
                <w:szCs w:val="20"/>
              </w:rPr>
              <w:t>2015</w:t>
            </w:r>
          </w:p>
        </w:tc>
      </w:tr>
      <w:tr w:rsidR="002625FA" w:rsidRPr="001159F6" w:rsidTr="000B64B9">
        <w:trPr>
          <w:trHeight w:val="170"/>
        </w:trPr>
        <w:tc>
          <w:tcPr>
            <w:tcW w:w="4365" w:type="dxa"/>
            <w:shd w:val="clear" w:color="auto" w:fill="auto"/>
            <w:noWrap/>
            <w:vAlign w:val="bottom"/>
            <w:hideMark/>
          </w:tcPr>
          <w:p w:rsidR="001159F6" w:rsidRPr="001159F6" w:rsidRDefault="001159F6" w:rsidP="001159F6">
            <w:pPr>
              <w:spacing w:after="0"/>
              <w:rPr>
                <w:rFonts w:ascii="Calibri" w:eastAsia="Times New Roman" w:hAnsi="Calibri" w:cs="Times New Roman"/>
                <w:b/>
                <w:sz w:val="20"/>
                <w:szCs w:val="20"/>
              </w:rPr>
            </w:pPr>
            <w:r w:rsidRPr="001159F6">
              <w:rPr>
                <w:rFonts w:ascii="Calibri" w:hAnsi="Calibri"/>
                <w:b/>
                <w:sz w:val="20"/>
                <w:szCs w:val="20"/>
              </w:rPr>
              <w:t>None</w:t>
            </w:r>
          </w:p>
        </w:tc>
        <w:tc>
          <w:tcPr>
            <w:tcW w:w="1212" w:type="dxa"/>
            <w:shd w:val="clear" w:color="auto" w:fill="auto"/>
            <w:noWrap/>
            <w:vAlign w:val="center"/>
            <w:hideMark/>
          </w:tcPr>
          <w:p w:rsidR="002625FA" w:rsidRPr="001159F6" w:rsidRDefault="002625FA" w:rsidP="000B64B9">
            <w:pPr>
              <w:spacing w:after="0"/>
              <w:jc w:val="center"/>
              <w:rPr>
                <w:rFonts w:ascii="Calibri" w:eastAsia="Times New Roman" w:hAnsi="Calibri" w:cs="Times New Roman"/>
                <w:b/>
                <w:sz w:val="20"/>
                <w:szCs w:val="20"/>
              </w:rPr>
            </w:pPr>
            <w:r w:rsidRPr="001159F6">
              <w:rPr>
                <w:rFonts w:ascii="Calibri" w:hAnsi="Calibri"/>
                <w:b/>
                <w:sz w:val="20"/>
                <w:szCs w:val="20"/>
              </w:rPr>
              <w:t>7.8%</w:t>
            </w:r>
          </w:p>
        </w:tc>
        <w:tc>
          <w:tcPr>
            <w:tcW w:w="858" w:type="dxa"/>
            <w:shd w:val="clear" w:color="auto" w:fill="auto"/>
            <w:noWrap/>
            <w:vAlign w:val="center"/>
            <w:hideMark/>
          </w:tcPr>
          <w:p w:rsidR="002625FA" w:rsidRPr="001159F6" w:rsidRDefault="002625FA" w:rsidP="000B64B9">
            <w:pPr>
              <w:spacing w:after="0"/>
              <w:jc w:val="center"/>
              <w:rPr>
                <w:rFonts w:ascii="Calibri" w:eastAsia="Times New Roman" w:hAnsi="Calibri" w:cs="Times New Roman"/>
                <w:b/>
                <w:sz w:val="20"/>
                <w:szCs w:val="20"/>
              </w:rPr>
            </w:pPr>
            <w:r w:rsidRPr="001159F6">
              <w:rPr>
                <w:rFonts w:ascii="Calibri" w:hAnsi="Calibri"/>
                <w:b/>
                <w:sz w:val="20"/>
                <w:szCs w:val="20"/>
              </w:rPr>
              <w:t>9.0%</w:t>
            </w:r>
          </w:p>
        </w:tc>
        <w:tc>
          <w:tcPr>
            <w:tcW w:w="856" w:type="dxa"/>
            <w:shd w:val="clear" w:color="auto" w:fill="auto"/>
            <w:noWrap/>
            <w:vAlign w:val="center"/>
            <w:hideMark/>
          </w:tcPr>
          <w:p w:rsidR="002625FA" w:rsidRPr="001159F6" w:rsidRDefault="002625FA" w:rsidP="000B64B9">
            <w:pPr>
              <w:spacing w:after="0"/>
              <w:jc w:val="center"/>
              <w:rPr>
                <w:rFonts w:ascii="Calibri" w:eastAsia="Times New Roman" w:hAnsi="Calibri" w:cs="Times New Roman"/>
                <w:b/>
                <w:sz w:val="20"/>
                <w:szCs w:val="20"/>
              </w:rPr>
            </w:pPr>
            <w:r w:rsidRPr="001159F6">
              <w:rPr>
                <w:rFonts w:ascii="Calibri" w:hAnsi="Calibri"/>
                <w:b/>
                <w:sz w:val="20"/>
                <w:szCs w:val="20"/>
              </w:rPr>
              <w:t>11.0%</w:t>
            </w:r>
          </w:p>
        </w:tc>
        <w:tc>
          <w:tcPr>
            <w:tcW w:w="856" w:type="dxa"/>
            <w:shd w:val="clear" w:color="auto" w:fill="auto"/>
            <w:noWrap/>
            <w:vAlign w:val="center"/>
            <w:hideMark/>
          </w:tcPr>
          <w:p w:rsidR="002625FA" w:rsidRPr="001159F6" w:rsidRDefault="002625FA" w:rsidP="000B64B9">
            <w:pPr>
              <w:spacing w:after="0"/>
              <w:jc w:val="center"/>
              <w:rPr>
                <w:rFonts w:ascii="Calibri" w:eastAsia="Times New Roman" w:hAnsi="Calibri" w:cs="Times New Roman"/>
                <w:b/>
                <w:sz w:val="20"/>
                <w:szCs w:val="20"/>
              </w:rPr>
            </w:pPr>
            <w:r w:rsidRPr="001159F6">
              <w:rPr>
                <w:rFonts w:ascii="Calibri" w:hAnsi="Calibri"/>
                <w:b/>
                <w:sz w:val="20"/>
                <w:szCs w:val="20"/>
              </w:rPr>
              <w:t>66.1%</w:t>
            </w:r>
          </w:p>
        </w:tc>
        <w:tc>
          <w:tcPr>
            <w:tcW w:w="856" w:type="dxa"/>
            <w:shd w:val="clear" w:color="auto" w:fill="auto"/>
            <w:noWrap/>
            <w:vAlign w:val="center"/>
            <w:hideMark/>
          </w:tcPr>
          <w:p w:rsidR="002625FA" w:rsidRPr="001159F6" w:rsidRDefault="002625FA" w:rsidP="000B64B9">
            <w:pPr>
              <w:spacing w:after="0"/>
              <w:jc w:val="center"/>
              <w:rPr>
                <w:rFonts w:ascii="Calibri" w:eastAsia="Times New Roman" w:hAnsi="Calibri" w:cs="Times New Roman"/>
                <w:b/>
                <w:sz w:val="20"/>
                <w:szCs w:val="20"/>
              </w:rPr>
            </w:pPr>
            <w:r w:rsidRPr="001159F6">
              <w:rPr>
                <w:rFonts w:ascii="Calibri" w:hAnsi="Calibri"/>
                <w:b/>
                <w:sz w:val="20"/>
                <w:szCs w:val="20"/>
              </w:rPr>
              <w:t>73.5%</w:t>
            </w:r>
          </w:p>
        </w:tc>
      </w:tr>
      <w:tr w:rsidR="001159F6" w:rsidRPr="002625FA" w:rsidTr="000B64B9">
        <w:trPr>
          <w:trHeight w:val="170"/>
        </w:trPr>
        <w:tc>
          <w:tcPr>
            <w:tcW w:w="4365" w:type="dxa"/>
            <w:shd w:val="clear" w:color="auto" w:fill="auto"/>
            <w:noWrap/>
            <w:vAlign w:val="bottom"/>
          </w:tcPr>
          <w:p w:rsidR="001159F6" w:rsidRPr="000B64B9" w:rsidRDefault="001159F6" w:rsidP="000B64B9">
            <w:pPr>
              <w:spacing w:after="0"/>
              <w:rPr>
                <w:rFonts w:ascii="Calibri" w:eastAsia="Times New Roman" w:hAnsi="Calibri" w:cs="Times New Roman"/>
                <w:b/>
                <w:bCs/>
                <w:color w:val="000000"/>
                <w:sz w:val="20"/>
                <w:szCs w:val="20"/>
              </w:rPr>
            </w:pPr>
          </w:p>
        </w:tc>
        <w:tc>
          <w:tcPr>
            <w:tcW w:w="1212" w:type="dxa"/>
            <w:shd w:val="clear" w:color="auto" w:fill="auto"/>
            <w:noWrap/>
            <w:vAlign w:val="center"/>
          </w:tcPr>
          <w:p w:rsidR="001159F6" w:rsidRPr="000B64B9" w:rsidRDefault="001159F6" w:rsidP="000B64B9">
            <w:pPr>
              <w:spacing w:after="0"/>
              <w:jc w:val="center"/>
              <w:rPr>
                <w:rFonts w:ascii="Calibri" w:hAnsi="Calibri"/>
                <w:sz w:val="20"/>
                <w:szCs w:val="20"/>
              </w:rPr>
            </w:pPr>
          </w:p>
        </w:tc>
        <w:tc>
          <w:tcPr>
            <w:tcW w:w="858" w:type="dxa"/>
            <w:shd w:val="clear" w:color="auto" w:fill="auto"/>
            <w:noWrap/>
            <w:vAlign w:val="center"/>
          </w:tcPr>
          <w:p w:rsidR="001159F6" w:rsidRPr="000B64B9" w:rsidRDefault="001159F6" w:rsidP="000B64B9">
            <w:pPr>
              <w:spacing w:after="0"/>
              <w:jc w:val="center"/>
              <w:rPr>
                <w:rFonts w:ascii="Calibri" w:hAnsi="Calibri"/>
                <w:sz w:val="20"/>
                <w:szCs w:val="20"/>
              </w:rPr>
            </w:pP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p>
        </w:tc>
      </w:tr>
      <w:tr w:rsidR="001159F6" w:rsidRPr="002625FA" w:rsidTr="000B64B9">
        <w:trPr>
          <w:trHeight w:val="170"/>
        </w:trPr>
        <w:tc>
          <w:tcPr>
            <w:tcW w:w="4365" w:type="dxa"/>
            <w:shd w:val="clear" w:color="auto" w:fill="auto"/>
            <w:noWrap/>
            <w:vAlign w:val="bottom"/>
          </w:tcPr>
          <w:p w:rsidR="001159F6" w:rsidRPr="000B64B9" w:rsidRDefault="001159F6" w:rsidP="008D194F">
            <w:pPr>
              <w:spacing w:after="0"/>
              <w:rPr>
                <w:rFonts w:ascii="Calibri" w:hAnsi="Calibri"/>
                <w:sz w:val="20"/>
                <w:szCs w:val="20"/>
              </w:rPr>
            </w:pPr>
            <w:r w:rsidRPr="000B64B9">
              <w:rPr>
                <w:rFonts w:ascii="Calibri" w:eastAsia="Times New Roman" w:hAnsi="Calibri" w:cs="Times New Roman"/>
                <w:b/>
                <w:bCs/>
                <w:color w:val="000000"/>
                <w:sz w:val="20"/>
                <w:szCs w:val="20"/>
              </w:rPr>
              <w:t>Platinum doublet (no pemetrexed)</w:t>
            </w:r>
          </w:p>
        </w:tc>
        <w:tc>
          <w:tcPr>
            <w:tcW w:w="1212" w:type="dxa"/>
            <w:shd w:val="clear" w:color="auto" w:fill="auto"/>
            <w:noWrap/>
            <w:vAlign w:val="center"/>
          </w:tcPr>
          <w:p w:rsidR="001159F6" w:rsidRPr="000B64B9" w:rsidRDefault="001159F6" w:rsidP="000B64B9">
            <w:pPr>
              <w:spacing w:after="0"/>
              <w:jc w:val="center"/>
              <w:rPr>
                <w:rFonts w:ascii="Calibri" w:hAnsi="Calibri"/>
                <w:sz w:val="20"/>
                <w:szCs w:val="20"/>
              </w:rPr>
            </w:pPr>
          </w:p>
        </w:tc>
        <w:tc>
          <w:tcPr>
            <w:tcW w:w="858" w:type="dxa"/>
            <w:shd w:val="clear" w:color="auto" w:fill="auto"/>
            <w:noWrap/>
            <w:vAlign w:val="center"/>
          </w:tcPr>
          <w:p w:rsidR="001159F6" w:rsidRPr="000B64B9" w:rsidRDefault="001159F6" w:rsidP="000B64B9">
            <w:pPr>
              <w:spacing w:after="0"/>
              <w:jc w:val="center"/>
              <w:rPr>
                <w:rFonts w:ascii="Calibri" w:hAnsi="Calibri"/>
                <w:sz w:val="20"/>
                <w:szCs w:val="20"/>
              </w:rPr>
            </w:pP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p>
        </w:tc>
      </w:tr>
      <w:tr w:rsidR="002625FA" w:rsidRPr="002625FA" w:rsidTr="000B64B9">
        <w:trPr>
          <w:trHeight w:val="170"/>
        </w:trPr>
        <w:tc>
          <w:tcPr>
            <w:tcW w:w="4365" w:type="dxa"/>
            <w:shd w:val="clear" w:color="auto" w:fill="auto"/>
            <w:noWrap/>
            <w:vAlign w:val="bottom"/>
            <w:hideMark/>
          </w:tcPr>
          <w:p w:rsidR="002625FA" w:rsidRPr="000B64B9" w:rsidRDefault="002625FA" w:rsidP="000B64B9">
            <w:pPr>
              <w:spacing w:after="0"/>
              <w:rPr>
                <w:rFonts w:ascii="Calibri" w:eastAsia="Times New Roman" w:hAnsi="Calibri" w:cs="Times New Roman"/>
                <w:sz w:val="20"/>
                <w:szCs w:val="20"/>
              </w:rPr>
            </w:pPr>
            <w:r w:rsidRPr="000B64B9">
              <w:rPr>
                <w:rFonts w:ascii="Calibri" w:hAnsi="Calibri"/>
                <w:sz w:val="20"/>
                <w:szCs w:val="20"/>
              </w:rPr>
              <w:t>carboplatin, gemcitabine</w:t>
            </w:r>
          </w:p>
        </w:tc>
        <w:tc>
          <w:tcPr>
            <w:tcW w:w="1212"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23.8%</w:t>
            </w:r>
          </w:p>
        </w:tc>
        <w:tc>
          <w:tcPr>
            <w:tcW w:w="858"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23.2%</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19.0%</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5.8%</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5.5%</w:t>
            </w:r>
          </w:p>
        </w:tc>
      </w:tr>
      <w:tr w:rsidR="002625FA" w:rsidRPr="002625FA" w:rsidTr="000B64B9">
        <w:trPr>
          <w:trHeight w:val="170"/>
        </w:trPr>
        <w:tc>
          <w:tcPr>
            <w:tcW w:w="4365" w:type="dxa"/>
            <w:shd w:val="clear" w:color="auto" w:fill="auto"/>
            <w:noWrap/>
            <w:vAlign w:val="bottom"/>
            <w:hideMark/>
          </w:tcPr>
          <w:p w:rsidR="002625FA" w:rsidRPr="000B64B9" w:rsidRDefault="002625FA" w:rsidP="000B64B9">
            <w:pPr>
              <w:spacing w:after="0"/>
              <w:rPr>
                <w:rFonts w:ascii="Calibri" w:eastAsia="Times New Roman" w:hAnsi="Calibri" w:cs="Times New Roman"/>
                <w:sz w:val="20"/>
                <w:szCs w:val="20"/>
              </w:rPr>
            </w:pPr>
            <w:r w:rsidRPr="000B64B9">
              <w:rPr>
                <w:rFonts w:ascii="Calibri" w:hAnsi="Calibri"/>
                <w:sz w:val="20"/>
                <w:szCs w:val="20"/>
              </w:rPr>
              <w:t>cisplatin, gemcitabine</w:t>
            </w:r>
          </w:p>
        </w:tc>
        <w:tc>
          <w:tcPr>
            <w:tcW w:w="1212"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2.7%</w:t>
            </w:r>
          </w:p>
        </w:tc>
        <w:tc>
          <w:tcPr>
            <w:tcW w:w="858"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3.8%</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5.1%</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1.5%</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1.5%</w:t>
            </w:r>
          </w:p>
        </w:tc>
      </w:tr>
      <w:tr w:rsidR="002625FA" w:rsidRPr="002625FA" w:rsidTr="000B64B9">
        <w:trPr>
          <w:trHeight w:val="170"/>
        </w:trPr>
        <w:tc>
          <w:tcPr>
            <w:tcW w:w="4365" w:type="dxa"/>
            <w:shd w:val="clear" w:color="auto" w:fill="auto"/>
            <w:noWrap/>
            <w:vAlign w:val="bottom"/>
            <w:hideMark/>
          </w:tcPr>
          <w:p w:rsidR="002625FA" w:rsidRPr="000B64B9" w:rsidRDefault="002625FA" w:rsidP="000B64B9">
            <w:pPr>
              <w:spacing w:after="0"/>
              <w:rPr>
                <w:rFonts w:ascii="Calibri" w:eastAsia="Times New Roman" w:hAnsi="Calibri" w:cs="Times New Roman"/>
                <w:sz w:val="20"/>
                <w:szCs w:val="20"/>
              </w:rPr>
            </w:pPr>
            <w:r w:rsidRPr="000B64B9">
              <w:rPr>
                <w:rFonts w:ascii="Calibri" w:hAnsi="Calibri"/>
                <w:sz w:val="20"/>
                <w:szCs w:val="20"/>
              </w:rPr>
              <w:t>carboplatin, paclitaxel</w:t>
            </w:r>
          </w:p>
        </w:tc>
        <w:tc>
          <w:tcPr>
            <w:tcW w:w="1212"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8.9%</w:t>
            </w:r>
          </w:p>
        </w:tc>
        <w:tc>
          <w:tcPr>
            <w:tcW w:w="858"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8.0%</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6.0%</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3.0%</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4.0%</w:t>
            </w:r>
          </w:p>
        </w:tc>
      </w:tr>
      <w:tr w:rsidR="002625FA" w:rsidRPr="002625FA" w:rsidTr="000B64B9">
        <w:trPr>
          <w:trHeight w:val="170"/>
        </w:trPr>
        <w:tc>
          <w:tcPr>
            <w:tcW w:w="4365" w:type="dxa"/>
            <w:shd w:val="clear" w:color="auto" w:fill="auto"/>
            <w:noWrap/>
            <w:vAlign w:val="bottom"/>
            <w:hideMark/>
          </w:tcPr>
          <w:p w:rsidR="002625FA" w:rsidRPr="000B64B9" w:rsidRDefault="002625FA" w:rsidP="000B64B9">
            <w:pPr>
              <w:spacing w:after="0"/>
              <w:rPr>
                <w:rFonts w:ascii="Calibri" w:eastAsia="Times New Roman" w:hAnsi="Calibri" w:cs="Times New Roman"/>
                <w:sz w:val="20"/>
                <w:szCs w:val="20"/>
              </w:rPr>
            </w:pPr>
            <w:r w:rsidRPr="000B64B9">
              <w:rPr>
                <w:rFonts w:ascii="Calibri" w:hAnsi="Calibri"/>
                <w:sz w:val="20"/>
                <w:szCs w:val="20"/>
              </w:rPr>
              <w:t>cisplatin, paclitaxel</w:t>
            </w:r>
          </w:p>
        </w:tc>
        <w:tc>
          <w:tcPr>
            <w:tcW w:w="1212"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0.5%</w:t>
            </w:r>
          </w:p>
        </w:tc>
        <w:tc>
          <w:tcPr>
            <w:tcW w:w="858"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0.2%</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0.5%</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r>
      <w:tr w:rsidR="002625FA" w:rsidRPr="002625FA" w:rsidTr="000B64B9">
        <w:trPr>
          <w:trHeight w:val="170"/>
        </w:trPr>
        <w:tc>
          <w:tcPr>
            <w:tcW w:w="4365" w:type="dxa"/>
            <w:shd w:val="clear" w:color="auto" w:fill="auto"/>
            <w:noWrap/>
            <w:vAlign w:val="bottom"/>
            <w:hideMark/>
          </w:tcPr>
          <w:p w:rsidR="002625FA" w:rsidRPr="000B64B9" w:rsidRDefault="002625FA" w:rsidP="000B64B9">
            <w:pPr>
              <w:spacing w:after="0"/>
              <w:rPr>
                <w:rFonts w:ascii="Calibri" w:eastAsia="Times New Roman" w:hAnsi="Calibri" w:cs="Times New Roman"/>
                <w:sz w:val="20"/>
                <w:szCs w:val="20"/>
              </w:rPr>
            </w:pPr>
            <w:r w:rsidRPr="000B64B9">
              <w:rPr>
                <w:rFonts w:ascii="Calibri" w:hAnsi="Calibri"/>
                <w:sz w:val="20"/>
                <w:szCs w:val="20"/>
              </w:rPr>
              <w:t>carboplatin, docetaxel</w:t>
            </w:r>
          </w:p>
        </w:tc>
        <w:tc>
          <w:tcPr>
            <w:tcW w:w="1212"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1.3%</w:t>
            </w:r>
          </w:p>
        </w:tc>
        <w:tc>
          <w:tcPr>
            <w:tcW w:w="858"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1.4%</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1.8%</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0.1%</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0.4%</w:t>
            </w:r>
          </w:p>
        </w:tc>
      </w:tr>
      <w:tr w:rsidR="002625FA" w:rsidRPr="002625FA" w:rsidTr="000B64B9">
        <w:trPr>
          <w:trHeight w:val="170"/>
        </w:trPr>
        <w:tc>
          <w:tcPr>
            <w:tcW w:w="4365" w:type="dxa"/>
            <w:shd w:val="clear" w:color="auto" w:fill="auto"/>
            <w:noWrap/>
            <w:vAlign w:val="bottom"/>
            <w:hideMark/>
          </w:tcPr>
          <w:p w:rsidR="002625FA" w:rsidRPr="000B64B9" w:rsidRDefault="002625FA" w:rsidP="000B64B9">
            <w:pPr>
              <w:spacing w:after="0"/>
              <w:rPr>
                <w:rFonts w:ascii="Calibri" w:eastAsia="Times New Roman" w:hAnsi="Calibri" w:cs="Times New Roman"/>
                <w:sz w:val="20"/>
                <w:szCs w:val="20"/>
              </w:rPr>
            </w:pPr>
            <w:r w:rsidRPr="000B64B9">
              <w:rPr>
                <w:rFonts w:ascii="Calibri" w:hAnsi="Calibri"/>
                <w:sz w:val="20"/>
                <w:szCs w:val="20"/>
              </w:rPr>
              <w:t>cisplatin, docetaxel</w:t>
            </w:r>
          </w:p>
        </w:tc>
        <w:tc>
          <w:tcPr>
            <w:tcW w:w="1212"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0.7%</w:t>
            </w:r>
          </w:p>
        </w:tc>
        <w:tc>
          <w:tcPr>
            <w:tcW w:w="858"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0.6%</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0.6%</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r>
      <w:tr w:rsidR="002625FA" w:rsidRPr="002625FA" w:rsidTr="000B64B9">
        <w:trPr>
          <w:trHeight w:val="170"/>
        </w:trPr>
        <w:tc>
          <w:tcPr>
            <w:tcW w:w="4365" w:type="dxa"/>
            <w:shd w:val="clear" w:color="auto" w:fill="auto"/>
            <w:noWrap/>
            <w:vAlign w:val="bottom"/>
            <w:hideMark/>
          </w:tcPr>
          <w:p w:rsidR="002625FA" w:rsidRPr="000B64B9" w:rsidRDefault="002625FA" w:rsidP="000B64B9">
            <w:pPr>
              <w:spacing w:after="0"/>
              <w:rPr>
                <w:rFonts w:ascii="Calibri" w:eastAsia="Times New Roman" w:hAnsi="Calibri" w:cs="Times New Roman"/>
                <w:sz w:val="20"/>
                <w:szCs w:val="20"/>
              </w:rPr>
            </w:pPr>
            <w:r w:rsidRPr="000B64B9">
              <w:rPr>
                <w:rFonts w:ascii="Calibri" w:hAnsi="Calibri"/>
                <w:sz w:val="20"/>
                <w:szCs w:val="20"/>
              </w:rPr>
              <w:t>carboplatin, vinorelbine</w:t>
            </w:r>
          </w:p>
        </w:tc>
        <w:tc>
          <w:tcPr>
            <w:tcW w:w="1212"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3.7%</w:t>
            </w:r>
          </w:p>
        </w:tc>
        <w:tc>
          <w:tcPr>
            <w:tcW w:w="858"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2.6%</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3.0%</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0.9%</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1.1%</w:t>
            </w:r>
          </w:p>
        </w:tc>
      </w:tr>
      <w:tr w:rsidR="002625FA" w:rsidRPr="002625FA" w:rsidTr="000B64B9">
        <w:trPr>
          <w:trHeight w:val="170"/>
        </w:trPr>
        <w:tc>
          <w:tcPr>
            <w:tcW w:w="4365" w:type="dxa"/>
            <w:shd w:val="clear" w:color="auto" w:fill="auto"/>
            <w:noWrap/>
            <w:vAlign w:val="bottom"/>
            <w:hideMark/>
          </w:tcPr>
          <w:p w:rsidR="002625FA" w:rsidRPr="000B64B9" w:rsidRDefault="002625FA" w:rsidP="000B64B9">
            <w:pPr>
              <w:spacing w:after="0"/>
              <w:rPr>
                <w:rFonts w:ascii="Calibri" w:eastAsia="Times New Roman" w:hAnsi="Calibri" w:cs="Times New Roman"/>
                <w:sz w:val="20"/>
                <w:szCs w:val="20"/>
              </w:rPr>
            </w:pPr>
            <w:r w:rsidRPr="000B64B9">
              <w:rPr>
                <w:rFonts w:ascii="Calibri" w:hAnsi="Calibri"/>
                <w:sz w:val="20"/>
                <w:szCs w:val="20"/>
              </w:rPr>
              <w:t>cisplatin, vinorelbine</w:t>
            </w:r>
          </w:p>
        </w:tc>
        <w:tc>
          <w:tcPr>
            <w:tcW w:w="1212"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3.8%</w:t>
            </w:r>
          </w:p>
        </w:tc>
        <w:tc>
          <w:tcPr>
            <w:tcW w:w="858"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2.2%</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2.6%</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3.0%</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3.4%</w:t>
            </w:r>
          </w:p>
        </w:tc>
      </w:tr>
      <w:tr w:rsidR="002625FA" w:rsidRPr="002625FA" w:rsidTr="000B64B9">
        <w:trPr>
          <w:trHeight w:val="170"/>
        </w:trPr>
        <w:tc>
          <w:tcPr>
            <w:tcW w:w="4365" w:type="dxa"/>
            <w:shd w:val="clear" w:color="auto" w:fill="auto"/>
            <w:noWrap/>
            <w:vAlign w:val="bottom"/>
            <w:hideMark/>
          </w:tcPr>
          <w:p w:rsidR="002625FA" w:rsidRPr="000B64B9" w:rsidRDefault="002625FA" w:rsidP="000B64B9">
            <w:pPr>
              <w:spacing w:after="0"/>
              <w:rPr>
                <w:rFonts w:ascii="Calibri" w:eastAsia="Times New Roman" w:hAnsi="Calibri" w:cs="Times New Roman"/>
                <w:sz w:val="20"/>
                <w:szCs w:val="20"/>
              </w:rPr>
            </w:pPr>
            <w:r w:rsidRPr="000B64B9">
              <w:rPr>
                <w:rFonts w:ascii="Calibri" w:hAnsi="Calibri"/>
                <w:sz w:val="20"/>
                <w:szCs w:val="20"/>
              </w:rPr>
              <w:t>carboplatin, other</w:t>
            </w:r>
          </w:p>
        </w:tc>
        <w:tc>
          <w:tcPr>
            <w:tcW w:w="1212"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0.3%</w:t>
            </w:r>
          </w:p>
        </w:tc>
        <w:tc>
          <w:tcPr>
            <w:tcW w:w="858"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0.4%</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0.2%</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0.2%</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0.2%</w:t>
            </w:r>
          </w:p>
        </w:tc>
      </w:tr>
      <w:tr w:rsidR="002625FA" w:rsidRPr="002625FA" w:rsidTr="000B64B9">
        <w:trPr>
          <w:trHeight w:val="170"/>
        </w:trPr>
        <w:tc>
          <w:tcPr>
            <w:tcW w:w="4365" w:type="dxa"/>
            <w:shd w:val="clear" w:color="auto" w:fill="auto"/>
            <w:noWrap/>
            <w:vAlign w:val="bottom"/>
            <w:hideMark/>
          </w:tcPr>
          <w:p w:rsidR="002625FA" w:rsidRPr="000B64B9" w:rsidRDefault="002625FA" w:rsidP="000B64B9">
            <w:pPr>
              <w:spacing w:after="0"/>
              <w:rPr>
                <w:rFonts w:ascii="Calibri" w:eastAsia="Times New Roman" w:hAnsi="Calibri" w:cs="Times New Roman"/>
                <w:sz w:val="20"/>
                <w:szCs w:val="20"/>
              </w:rPr>
            </w:pPr>
            <w:r w:rsidRPr="000B64B9">
              <w:rPr>
                <w:rFonts w:ascii="Calibri" w:hAnsi="Calibri"/>
                <w:sz w:val="20"/>
                <w:szCs w:val="20"/>
              </w:rPr>
              <w:t>cisplatin, other</w:t>
            </w:r>
          </w:p>
        </w:tc>
        <w:tc>
          <w:tcPr>
            <w:tcW w:w="1212"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1.6%</w:t>
            </w:r>
          </w:p>
        </w:tc>
        <w:tc>
          <w:tcPr>
            <w:tcW w:w="858"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1.5%</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2.2%</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1.7%</w:t>
            </w:r>
          </w:p>
        </w:tc>
        <w:tc>
          <w:tcPr>
            <w:tcW w:w="856" w:type="dxa"/>
            <w:shd w:val="clear" w:color="auto" w:fill="auto"/>
            <w:noWrap/>
            <w:vAlign w:val="center"/>
            <w:hideMark/>
          </w:tcPr>
          <w:p w:rsidR="002625FA" w:rsidRPr="000B64B9" w:rsidRDefault="002625FA" w:rsidP="000B64B9">
            <w:pPr>
              <w:spacing w:after="0"/>
              <w:jc w:val="center"/>
              <w:rPr>
                <w:rFonts w:ascii="Calibri" w:eastAsia="Times New Roman" w:hAnsi="Calibri" w:cs="Times New Roman"/>
                <w:sz w:val="20"/>
                <w:szCs w:val="20"/>
              </w:rPr>
            </w:pPr>
            <w:r w:rsidRPr="000B64B9">
              <w:rPr>
                <w:rFonts w:ascii="Calibri" w:hAnsi="Calibri"/>
                <w:sz w:val="20"/>
                <w:szCs w:val="20"/>
              </w:rPr>
              <w:t>1.3%</w:t>
            </w:r>
          </w:p>
        </w:tc>
      </w:tr>
      <w:tr w:rsidR="001159F6" w:rsidRPr="002625FA" w:rsidTr="008071E9">
        <w:trPr>
          <w:trHeight w:val="170"/>
        </w:trPr>
        <w:tc>
          <w:tcPr>
            <w:tcW w:w="4365" w:type="dxa"/>
            <w:shd w:val="clear" w:color="auto" w:fill="auto"/>
            <w:noWrap/>
            <w:vAlign w:val="bottom"/>
          </w:tcPr>
          <w:p w:rsidR="001159F6" w:rsidRPr="000B64B9" w:rsidRDefault="001159F6" w:rsidP="000B64B9">
            <w:pPr>
              <w:spacing w:after="0"/>
              <w:rPr>
                <w:rFonts w:ascii="Calibri" w:hAnsi="Calibri"/>
                <w:sz w:val="20"/>
                <w:szCs w:val="20"/>
              </w:rPr>
            </w:pPr>
            <w:r w:rsidRPr="000B64B9">
              <w:rPr>
                <w:rFonts w:ascii="Calibri" w:eastAsia="Times New Roman" w:hAnsi="Calibri" w:cs="Times New Roman"/>
                <w:b/>
                <w:bCs/>
                <w:color w:val="000000"/>
                <w:sz w:val="20"/>
                <w:szCs w:val="20"/>
              </w:rPr>
              <w:t>Subtotal</w:t>
            </w:r>
          </w:p>
        </w:tc>
        <w:tc>
          <w:tcPr>
            <w:tcW w:w="1212" w:type="dxa"/>
            <w:shd w:val="clear" w:color="auto" w:fill="auto"/>
            <w:noWrap/>
            <w:vAlign w:val="bottom"/>
          </w:tcPr>
          <w:p w:rsidR="001159F6" w:rsidRPr="001159F6" w:rsidRDefault="001159F6" w:rsidP="000B64B9">
            <w:pPr>
              <w:spacing w:after="0"/>
              <w:jc w:val="center"/>
              <w:rPr>
                <w:rFonts w:ascii="Calibri" w:hAnsi="Calibri"/>
                <w:sz w:val="20"/>
                <w:szCs w:val="20"/>
              </w:rPr>
            </w:pPr>
            <w:r w:rsidRPr="001159F6">
              <w:rPr>
                <w:rFonts w:ascii="Calibri" w:hAnsi="Calibri"/>
                <w:b/>
                <w:bCs/>
                <w:color w:val="000000"/>
                <w:sz w:val="20"/>
                <w:szCs w:val="20"/>
              </w:rPr>
              <w:t>47.3%</w:t>
            </w:r>
          </w:p>
        </w:tc>
        <w:tc>
          <w:tcPr>
            <w:tcW w:w="858" w:type="dxa"/>
            <w:shd w:val="clear" w:color="auto" w:fill="auto"/>
            <w:noWrap/>
            <w:vAlign w:val="bottom"/>
          </w:tcPr>
          <w:p w:rsidR="001159F6" w:rsidRPr="001159F6" w:rsidRDefault="001159F6" w:rsidP="000B64B9">
            <w:pPr>
              <w:spacing w:after="0"/>
              <w:jc w:val="center"/>
              <w:rPr>
                <w:rFonts w:ascii="Calibri" w:hAnsi="Calibri"/>
                <w:sz w:val="20"/>
                <w:szCs w:val="20"/>
              </w:rPr>
            </w:pPr>
            <w:r w:rsidRPr="001159F6">
              <w:rPr>
                <w:rFonts w:ascii="Calibri" w:hAnsi="Calibri"/>
                <w:b/>
                <w:bCs/>
                <w:color w:val="000000"/>
                <w:sz w:val="20"/>
                <w:szCs w:val="20"/>
              </w:rPr>
              <w:t>43.7%</w:t>
            </w:r>
          </w:p>
        </w:tc>
        <w:tc>
          <w:tcPr>
            <w:tcW w:w="856" w:type="dxa"/>
            <w:shd w:val="clear" w:color="auto" w:fill="auto"/>
            <w:noWrap/>
            <w:vAlign w:val="bottom"/>
          </w:tcPr>
          <w:p w:rsidR="001159F6" w:rsidRPr="001159F6" w:rsidRDefault="001159F6" w:rsidP="000B64B9">
            <w:pPr>
              <w:spacing w:after="0"/>
              <w:jc w:val="center"/>
              <w:rPr>
                <w:rFonts w:ascii="Calibri" w:hAnsi="Calibri"/>
                <w:sz w:val="20"/>
                <w:szCs w:val="20"/>
              </w:rPr>
            </w:pPr>
            <w:r w:rsidRPr="001159F6">
              <w:rPr>
                <w:rFonts w:ascii="Calibri" w:hAnsi="Calibri"/>
                <w:b/>
                <w:bCs/>
                <w:color w:val="000000"/>
                <w:sz w:val="20"/>
                <w:szCs w:val="20"/>
              </w:rPr>
              <w:t>40.9%</w:t>
            </w:r>
          </w:p>
        </w:tc>
        <w:tc>
          <w:tcPr>
            <w:tcW w:w="856" w:type="dxa"/>
            <w:shd w:val="clear" w:color="auto" w:fill="auto"/>
            <w:noWrap/>
            <w:vAlign w:val="bottom"/>
          </w:tcPr>
          <w:p w:rsidR="001159F6" w:rsidRPr="001159F6" w:rsidRDefault="001159F6" w:rsidP="000B64B9">
            <w:pPr>
              <w:spacing w:after="0"/>
              <w:jc w:val="center"/>
              <w:rPr>
                <w:rFonts w:ascii="Calibri" w:hAnsi="Calibri"/>
                <w:sz w:val="20"/>
                <w:szCs w:val="20"/>
              </w:rPr>
            </w:pPr>
            <w:r w:rsidRPr="001159F6">
              <w:rPr>
                <w:rFonts w:ascii="Calibri" w:hAnsi="Calibri"/>
                <w:b/>
                <w:bCs/>
                <w:color w:val="000000"/>
                <w:sz w:val="20"/>
                <w:szCs w:val="20"/>
              </w:rPr>
              <w:t>16.2%</w:t>
            </w:r>
          </w:p>
        </w:tc>
        <w:tc>
          <w:tcPr>
            <w:tcW w:w="856" w:type="dxa"/>
            <w:shd w:val="clear" w:color="auto" w:fill="auto"/>
            <w:noWrap/>
            <w:vAlign w:val="bottom"/>
          </w:tcPr>
          <w:p w:rsidR="001159F6" w:rsidRPr="001159F6" w:rsidRDefault="001159F6" w:rsidP="000B64B9">
            <w:pPr>
              <w:spacing w:after="0"/>
              <w:jc w:val="center"/>
              <w:rPr>
                <w:rFonts w:ascii="Calibri" w:hAnsi="Calibri"/>
                <w:sz w:val="20"/>
                <w:szCs w:val="20"/>
              </w:rPr>
            </w:pPr>
            <w:r w:rsidRPr="001159F6">
              <w:rPr>
                <w:rFonts w:ascii="Calibri" w:hAnsi="Calibri"/>
                <w:b/>
                <w:bCs/>
                <w:color w:val="000000"/>
                <w:sz w:val="20"/>
                <w:szCs w:val="20"/>
              </w:rPr>
              <w:t>17.4%</w:t>
            </w:r>
          </w:p>
        </w:tc>
      </w:tr>
      <w:tr w:rsidR="001159F6" w:rsidRPr="002625FA" w:rsidTr="000B64B9">
        <w:trPr>
          <w:trHeight w:val="170"/>
        </w:trPr>
        <w:tc>
          <w:tcPr>
            <w:tcW w:w="4365" w:type="dxa"/>
            <w:shd w:val="clear" w:color="auto" w:fill="auto"/>
            <w:noWrap/>
            <w:vAlign w:val="bottom"/>
          </w:tcPr>
          <w:p w:rsidR="001159F6" w:rsidRPr="000B64B9" w:rsidRDefault="001159F6" w:rsidP="000B64B9">
            <w:pPr>
              <w:spacing w:after="0"/>
              <w:rPr>
                <w:rFonts w:ascii="Calibri" w:hAnsi="Calibri"/>
                <w:sz w:val="20"/>
                <w:szCs w:val="20"/>
              </w:rPr>
            </w:pPr>
          </w:p>
        </w:tc>
        <w:tc>
          <w:tcPr>
            <w:tcW w:w="1212" w:type="dxa"/>
            <w:shd w:val="clear" w:color="auto" w:fill="auto"/>
            <w:noWrap/>
            <w:vAlign w:val="center"/>
          </w:tcPr>
          <w:p w:rsidR="001159F6" w:rsidRPr="000B64B9" w:rsidRDefault="001159F6" w:rsidP="000B64B9">
            <w:pPr>
              <w:spacing w:after="0"/>
              <w:jc w:val="center"/>
              <w:rPr>
                <w:rFonts w:ascii="Calibri" w:hAnsi="Calibri"/>
                <w:sz w:val="20"/>
                <w:szCs w:val="20"/>
              </w:rPr>
            </w:pPr>
          </w:p>
        </w:tc>
        <w:tc>
          <w:tcPr>
            <w:tcW w:w="858" w:type="dxa"/>
            <w:shd w:val="clear" w:color="auto" w:fill="auto"/>
            <w:noWrap/>
            <w:vAlign w:val="center"/>
          </w:tcPr>
          <w:p w:rsidR="001159F6" w:rsidRPr="000B64B9" w:rsidRDefault="001159F6" w:rsidP="000B64B9">
            <w:pPr>
              <w:spacing w:after="0"/>
              <w:jc w:val="center"/>
              <w:rPr>
                <w:rFonts w:ascii="Calibri" w:hAnsi="Calibri"/>
                <w:sz w:val="20"/>
                <w:szCs w:val="20"/>
              </w:rPr>
            </w:pP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p>
        </w:tc>
      </w:tr>
      <w:tr w:rsidR="001159F6" w:rsidRPr="002625FA" w:rsidTr="000B64B9">
        <w:trPr>
          <w:trHeight w:val="170"/>
        </w:trPr>
        <w:tc>
          <w:tcPr>
            <w:tcW w:w="4365" w:type="dxa"/>
            <w:shd w:val="clear" w:color="auto" w:fill="auto"/>
            <w:noWrap/>
            <w:vAlign w:val="bottom"/>
          </w:tcPr>
          <w:p w:rsidR="001159F6" w:rsidRPr="000B64B9" w:rsidRDefault="001159F6" w:rsidP="008D194F">
            <w:pPr>
              <w:spacing w:after="0"/>
              <w:rPr>
                <w:rFonts w:ascii="Calibri" w:hAnsi="Calibri"/>
                <w:sz w:val="20"/>
                <w:szCs w:val="20"/>
              </w:rPr>
            </w:pPr>
            <w:r w:rsidRPr="000B64B9">
              <w:rPr>
                <w:rFonts w:ascii="Calibri" w:eastAsia="Times New Roman" w:hAnsi="Calibri" w:cs="Times New Roman"/>
                <w:b/>
                <w:bCs/>
                <w:color w:val="000000"/>
                <w:sz w:val="20"/>
                <w:szCs w:val="20"/>
              </w:rPr>
              <w:t>Platinum doublet (plus pemetrexed)</w:t>
            </w:r>
          </w:p>
        </w:tc>
        <w:tc>
          <w:tcPr>
            <w:tcW w:w="1212" w:type="dxa"/>
            <w:shd w:val="clear" w:color="auto" w:fill="auto"/>
            <w:noWrap/>
            <w:vAlign w:val="center"/>
          </w:tcPr>
          <w:p w:rsidR="001159F6" w:rsidRPr="000B64B9" w:rsidRDefault="001159F6" w:rsidP="000B64B9">
            <w:pPr>
              <w:spacing w:after="0"/>
              <w:jc w:val="center"/>
              <w:rPr>
                <w:rFonts w:ascii="Calibri" w:hAnsi="Calibri"/>
                <w:sz w:val="20"/>
                <w:szCs w:val="20"/>
              </w:rPr>
            </w:pPr>
          </w:p>
        </w:tc>
        <w:tc>
          <w:tcPr>
            <w:tcW w:w="858" w:type="dxa"/>
            <w:shd w:val="clear" w:color="auto" w:fill="auto"/>
            <w:noWrap/>
            <w:vAlign w:val="center"/>
          </w:tcPr>
          <w:p w:rsidR="001159F6" w:rsidRPr="000B64B9" w:rsidRDefault="001159F6" w:rsidP="000B64B9">
            <w:pPr>
              <w:spacing w:after="0"/>
              <w:jc w:val="center"/>
              <w:rPr>
                <w:rFonts w:ascii="Calibri" w:hAnsi="Calibri"/>
                <w:sz w:val="20"/>
                <w:szCs w:val="20"/>
              </w:rPr>
            </w:pP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p>
        </w:tc>
      </w:tr>
      <w:tr w:rsidR="001159F6" w:rsidRPr="002625FA" w:rsidTr="000B64B9">
        <w:trPr>
          <w:trHeight w:val="170"/>
        </w:trPr>
        <w:tc>
          <w:tcPr>
            <w:tcW w:w="4365" w:type="dxa"/>
            <w:shd w:val="clear" w:color="auto" w:fill="auto"/>
            <w:noWrap/>
            <w:vAlign w:val="bottom"/>
          </w:tcPr>
          <w:p w:rsidR="001159F6" w:rsidRPr="000B64B9" w:rsidRDefault="001159F6" w:rsidP="000B64B9">
            <w:pPr>
              <w:spacing w:after="0"/>
              <w:rPr>
                <w:rFonts w:ascii="Calibri" w:hAnsi="Calibri"/>
                <w:sz w:val="20"/>
                <w:szCs w:val="20"/>
              </w:rPr>
            </w:pPr>
            <w:r w:rsidRPr="000B64B9">
              <w:rPr>
                <w:rFonts w:ascii="Calibri" w:hAnsi="Calibri"/>
                <w:sz w:val="20"/>
                <w:szCs w:val="20"/>
              </w:rPr>
              <w:t>carboplatin, gemcitabine</w:t>
            </w:r>
          </w:p>
        </w:tc>
        <w:tc>
          <w:tcPr>
            <w:tcW w:w="1212"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15.6%</w:t>
            </w:r>
          </w:p>
        </w:tc>
        <w:tc>
          <w:tcPr>
            <w:tcW w:w="858"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20.9%</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23.4%</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7.7%</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2.5%</w:t>
            </w:r>
          </w:p>
        </w:tc>
      </w:tr>
      <w:tr w:rsidR="001159F6" w:rsidRPr="002625FA" w:rsidTr="000B64B9">
        <w:trPr>
          <w:trHeight w:val="170"/>
        </w:trPr>
        <w:tc>
          <w:tcPr>
            <w:tcW w:w="4365" w:type="dxa"/>
            <w:shd w:val="clear" w:color="auto" w:fill="auto"/>
            <w:noWrap/>
            <w:vAlign w:val="bottom"/>
          </w:tcPr>
          <w:p w:rsidR="001159F6" w:rsidRPr="000B64B9" w:rsidRDefault="001159F6" w:rsidP="000B64B9">
            <w:pPr>
              <w:spacing w:after="0"/>
              <w:rPr>
                <w:rFonts w:ascii="Calibri" w:hAnsi="Calibri"/>
                <w:sz w:val="20"/>
                <w:szCs w:val="20"/>
              </w:rPr>
            </w:pPr>
            <w:r w:rsidRPr="000B64B9">
              <w:rPr>
                <w:rFonts w:ascii="Calibri" w:hAnsi="Calibri"/>
                <w:sz w:val="20"/>
                <w:szCs w:val="20"/>
              </w:rPr>
              <w:t>cisplatin, gemcitabine</w:t>
            </w:r>
          </w:p>
        </w:tc>
        <w:tc>
          <w:tcPr>
            <w:tcW w:w="1212"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2.0%</w:t>
            </w:r>
          </w:p>
        </w:tc>
        <w:tc>
          <w:tcPr>
            <w:tcW w:w="858"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1.9%</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2.6%</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0.7%</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0.0%</w:t>
            </w:r>
          </w:p>
        </w:tc>
      </w:tr>
      <w:tr w:rsidR="001159F6" w:rsidRPr="002625FA" w:rsidTr="000B64B9">
        <w:trPr>
          <w:trHeight w:val="170"/>
        </w:trPr>
        <w:tc>
          <w:tcPr>
            <w:tcW w:w="4365" w:type="dxa"/>
            <w:shd w:val="clear" w:color="auto" w:fill="auto"/>
            <w:noWrap/>
            <w:vAlign w:val="bottom"/>
          </w:tcPr>
          <w:p w:rsidR="001159F6" w:rsidRPr="000B64B9" w:rsidRDefault="001159F6" w:rsidP="000B64B9">
            <w:pPr>
              <w:spacing w:after="0"/>
              <w:rPr>
                <w:rFonts w:ascii="Calibri" w:hAnsi="Calibri"/>
                <w:sz w:val="20"/>
                <w:szCs w:val="20"/>
              </w:rPr>
            </w:pPr>
            <w:r w:rsidRPr="000B64B9">
              <w:rPr>
                <w:rFonts w:ascii="Calibri" w:hAnsi="Calibri"/>
                <w:sz w:val="20"/>
                <w:szCs w:val="20"/>
              </w:rPr>
              <w:t>carboplatin, paclitaxel</w:t>
            </w:r>
          </w:p>
        </w:tc>
        <w:tc>
          <w:tcPr>
            <w:tcW w:w="1212"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6.0%</w:t>
            </w:r>
          </w:p>
        </w:tc>
        <w:tc>
          <w:tcPr>
            <w:tcW w:w="858"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5.7%</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6.3%</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1.5%</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0.2%</w:t>
            </w:r>
          </w:p>
        </w:tc>
      </w:tr>
      <w:tr w:rsidR="001159F6" w:rsidRPr="002625FA" w:rsidTr="000B64B9">
        <w:trPr>
          <w:trHeight w:val="170"/>
        </w:trPr>
        <w:tc>
          <w:tcPr>
            <w:tcW w:w="4365" w:type="dxa"/>
            <w:shd w:val="clear" w:color="auto" w:fill="auto"/>
            <w:noWrap/>
            <w:vAlign w:val="bottom"/>
          </w:tcPr>
          <w:p w:rsidR="001159F6" w:rsidRPr="000B64B9" w:rsidRDefault="001159F6" w:rsidP="000B64B9">
            <w:pPr>
              <w:spacing w:after="0"/>
              <w:rPr>
                <w:rFonts w:ascii="Calibri" w:hAnsi="Calibri"/>
                <w:sz w:val="20"/>
                <w:szCs w:val="20"/>
              </w:rPr>
            </w:pPr>
            <w:r w:rsidRPr="000B64B9">
              <w:rPr>
                <w:rFonts w:ascii="Calibri" w:hAnsi="Calibri"/>
                <w:sz w:val="20"/>
                <w:szCs w:val="20"/>
              </w:rPr>
              <w:t>cisplatin, paclitaxel</w:t>
            </w:r>
          </w:p>
        </w:tc>
        <w:tc>
          <w:tcPr>
            <w:tcW w:w="1212"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0.0%</w:t>
            </w:r>
          </w:p>
        </w:tc>
        <w:tc>
          <w:tcPr>
            <w:tcW w:w="858"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0.1%</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0.3%</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0.0%</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0.0%</w:t>
            </w:r>
          </w:p>
        </w:tc>
      </w:tr>
      <w:tr w:rsidR="001159F6" w:rsidRPr="002625FA" w:rsidTr="000B64B9">
        <w:trPr>
          <w:trHeight w:val="170"/>
        </w:trPr>
        <w:tc>
          <w:tcPr>
            <w:tcW w:w="4365" w:type="dxa"/>
            <w:shd w:val="clear" w:color="auto" w:fill="auto"/>
            <w:noWrap/>
            <w:vAlign w:val="bottom"/>
          </w:tcPr>
          <w:p w:rsidR="001159F6" w:rsidRPr="000B64B9" w:rsidRDefault="001159F6" w:rsidP="000B64B9">
            <w:pPr>
              <w:spacing w:after="0"/>
              <w:rPr>
                <w:rFonts w:ascii="Calibri" w:hAnsi="Calibri"/>
                <w:sz w:val="20"/>
                <w:szCs w:val="20"/>
              </w:rPr>
            </w:pPr>
            <w:r w:rsidRPr="000B64B9">
              <w:rPr>
                <w:rFonts w:ascii="Calibri" w:hAnsi="Calibri"/>
                <w:sz w:val="20"/>
                <w:szCs w:val="20"/>
              </w:rPr>
              <w:t>carboplatin, docetaxel</w:t>
            </w:r>
          </w:p>
        </w:tc>
        <w:tc>
          <w:tcPr>
            <w:tcW w:w="1212"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0.9%</w:t>
            </w:r>
          </w:p>
        </w:tc>
        <w:tc>
          <w:tcPr>
            <w:tcW w:w="858"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1.3%</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0.9%</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0.4%</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0.2%</w:t>
            </w:r>
          </w:p>
        </w:tc>
      </w:tr>
      <w:tr w:rsidR="001159F6" w:rsidRPr="002625FA" w:rsidTr="000B64B9">
        <w:trPr>
          <w:trHeight w:val="170"/>
        </w:trPr>
        <w:tc>
          <w:tcPr>
            <w:tcW w:w="4365" w:type="dxa"/>
            <w:shd w:val="clear" w:color="auto" w:fill="auto"/>
            <w:noWrap/>
            <w:vAlign w:val="bottom"/>
          </w:tcPr>
          <w:p w:rsidR="001159F6" w:rsidRPr="000B64B9" w:rsidRDefault="001159F6" w:rsidP="000B64B9">
            <w:pPr>
              <w:spacing w:after="0"/>
              <w:rPr>
                <w:rFonts w:ascii="Calibri" w:hAnsi="Calibri"/>
                <w:sz w:val="20"/>
                <w:szCs w:val="20"/>
              </w:rPr>
            </w:pPr>
            <w:r w:rsidRPr="000B64B9">
              <w:rPr>
                <w:rFonts w:ascii="Calibri" w:hAnsi="Calibri"/>
                <w:sz w:val="20"/>
                <w:szCs w:val="20"/>
              </w:rPr>
              <w:t>cisplatin, docetaxel</w:t>
            </w:r>
          </w:p>
        </w:tc>
        <w:tc>
          <w:tcPr>
            <w:tcW w:w="1212"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0.5%</w:t>
            </w:r>
          </w:p>
        </w:tc>
        <w:tc>
          <w:tcPr>
            <w:tcW w:w="858"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0.3%</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0.2%</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0.1%</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0.2%</w:t>
            </w:r>
          </w:p>
        </w:tc>
      </w:tr>
      <w:tr w:rsidR="001159F6" w:rsidRPr="002625FA" w:rsidTr="000B64B9">
        <w:trPr>
          <w:trHeight w:val="170"/>
        </w:trPr>
        <w:tc>
          <w:tcPr>
            <w:tcW w:w="4365" w:type="dxa"/>
            <w:shd w:val="clear" w:color="auto" w:fill="auto"/>
            <w:noWrap/>
            <w:vAlign w:val="bottom"/>
          </w:tcPr>
          <w:p w:rsidR="001159F6" w:rsidRPr="000B64B9" w:rsidRDefault="001159F6" w:rsidP="000B64B9">
            <w:pPr>
              <w:spacing w:after="0"/>
              <w:rPr>
                <w:rFonts w:ascii="Calibri" w:hAnsi="Calibri"/>
                <w:sz w:val="20"/>
                <w:szCs w:val="20"/>
              </w:rPr>
            </w:pPr>
            <w:r w:rsidRPr="000B64B9">
              <w:rPr>
                <w:rFonts w:ascii="Calibri" w:hAnsi="Calibri"/>
                <w:sz w:val="20"/>
                <w:szCs w:val="20"/>
              </w:rPr>
              <w:t>carboplatin, vinorelbine</w:t>
            </w:r>
          </w:p>
        </w:tc>
        <w:tc>
          <w:tcPr>
            <w:tcW w:w="1212"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2.7%</w:t>
            </w:r>
          </w:p>
        </w:tc>
        <w:tc>
          <w:tcPr>
            <w:tcW w:w="858"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2.8%</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3.9%</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1.3%</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0.0%</w:t>
            </w:r>
          </w:p>
        </w:tc>
      </w:tr>
      <w:tr w:rsidR="001159F6" w:rsidRPr="002625FA" w:rsidTr="000B64B9">
        <w:trPr>
          <w:trHeight w:val="170"/>
        </w:trPr>
        <w:tc>
          <w:tcPr>
            <w:tcW w:w="4365" w:type="dxa"/>
            <w:shd w:val="clear" w:color="auto" w:fill="auto"/>
            <w:noWrap/>
            <w:vAlign w:val="bottom"/>
          </w:tcPr>
          <w:p w:rsidR="001159F6" w:rsidRPr="000B64B9" w:rsidRDefault="001159F6" w:rsidP="000B64B9">
            <w:pPr>
              <w:spacing w:after="0"/>
              <w:rPr>
                <w:rFonts w:ascii="Calibri" w:hAnsi="Calibri"/>
                <w:sz w:val="20"/>
                <w:szCs w:val="20"/>
              </w:rPr>
            </w:pPr>
            <w:r w:rsidRPr="000B64B9">
              <w:rPr>
                <w:rFonts w:ascii="Calibri" w:hAnsi="Calibri"/>
                <w:sz w:val="20"/>
                <w:szCs w:val="20"/>
              </w:rPr>
              <w:t>cisplatin, vinorelbine</w:t>
            </w:r>
          </w:p>
        </w:tc>
        <w:tc>
          <w:tcPr>
            <w:tcW w:w="1212"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1.5%</w:t>
            </w:r>
          </w:p>
        </w:tc>
        <w:tc>
          <w:tcPr>
            <w:tcW w:w="858"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1.4%</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1.1%</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1.0%</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0.0%</w:t>
            </w:r>
          </w:p>
        </w:tc>
      </w:tr>
      <w:tr w:rsidR="001159F6" w:rsidRPr="002625FA" w:rsidTr="000B64B9">
        <w:trPr>
          <w:trHeight w:val="170"/>
        </w:trPr>
        <w:tc>
          <w:tcPr>
            <w:tcW w:w="4365" w:type="dxa"/>
            <w:shd w:val="clear" w:color="auto" w:fill="auto"/>
            <w:noWrap/>
            <w:vAlign w:val="bottom"/>
          </w:tcPr>
          <w:p w:rsidR="001159F6" w:rsidRPr="000B64B9" w:rsidRDefault="001159F6" w:rsidP="000B64B9">
            <w:pPr>
              <w:spacing w:after="0"/>
              <w:rPr>
                <w:rFonts w:ascii="Calibri" w:hAnsi="Calibri"/>
                <w:sz w:val="20"/>
                <w:szCs w:val="20"/>
              </w:rPr>
            </w:pPr>
            <w:r w:rsidRPr="000B64B9">
              <w:rPr>
                <w:rFonts w:ascii="Calibri" w:hAnsi="Calibri"/>
                <w:sz w:val="20"/>
                <w:szCs w:val="20"/>
              </w:rPr>
              <w:t>carboplatin, other</w:t>
            </w:r>
          </w:p>
        </w:tc>
        <w:tc>
          <w:tcPr>
            <w:tcW w:w="1212"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0.0%</w:t>
            </w:r>
          </w:p>
        </w:tc>
        <w:tc>
          <w:tcPr>
            <w:tcW w:w="858"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0.2%</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0.0%</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0.1%</w:t>
            </w: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r w:rsidRPr="000B64B9">
              <w:rPr>
                <w:rFonts w:ascii="Calibri" w:hAnsi="Calibri"/>
                <w:sz w:val="20"/>
                <w:szCs w:val="20"/>
              </w:rPr>
              <w:t>0.4%</w:t>
            </w:r>
          </w:p>
        </w:tc>
      </w:tr>
      <w:tr w:rsidR="001159F6" w:rsidRPr="002625FA" w:rsidTr="008071E9">
        <w:trPr>
          <w:trHeight w:val="170"/>
        </w:trPr>
        <w:tc>
          <w:tcPr>
            <w:tcW w:w="4365" w:type="dxa"/>
            <w:shd w:val="clear" w:color="auto" w:fill="auto"/>
            <w:noWrap/>
            <w:vAlign w:val="bottom"/>
          </w:tcPr>
          <w:p w:rsidR="001159F6" w:rsidRPr="000B64B9" w:rsidRDefault="001159F6" w:rsidP="008071E9">
            <w:pPr>
              <w:spacing w:after="0"/>
              <w:rPr>
                <w:rFonts w:ascii="Calibri" w:hAnsi="Calibri"/>
                <w:sz w:val="20"/>
                <w:szCs w:val="20"/>
              </w:rPr>
            </w:pPr>
            <w:r w:rsidRPr="000B64B9">
              <w:rPr>
                <w:rFonts w:ascii="Calibri" w:eastAsia="Times New Roman" w:hAnsi="Calibri" w:cs="Times New Roman"/>
                <w:b/>
                <w:bCs/>
                <w:color w:val="000000"/>
                <w:sz w:val="20"/>
                <w:szCs w:val="20"/>
              </w:rPr>
              <w:t>Subtotal</w:t>
            </w:r>
          </w:p>
        </w:tc>
        <w:tc>
          <w:tcPr>
            <w:tcW w:w="1212" w:type="dxa"/>
            <w:shd w:val="clear" w:color="auto" w:fill="auto"/>
            <w:noWrap/>
            <w:vAlign w:val="bottom"/>
          </w:tcPr>
          <w:p w:rsidR="001159F6" w:rsidRPr="001159F6" w:rsidRDefault="001159F6" w:rsidP="008071E9">
            <w:pPr>
              <w:spacing w:after="0"/>
              <w:jc w:val="center"/>
              <w:rPr>
                <w:rFonts w:ascii="Calibri" w:hAnsi="Calibri"/>
                <w:sz w:val="20"/>
                <w:szCs w:val="20"/>
              </w:rPr>
            </w:pPr>
            <w:r w:rsidRPr="001159F6">
              <w:rPr>
                <w:rFonts w:ascii="Calibri" w:hAnsi="Calibri"/>
                <w:b/>
                <w:bCs/>
                <w:color w:val="000000"/>
                <w:sz w:val="20"/>
                <w:szCs w:val="20"/>
              </w:rPr>
              <w:t>30.0%</w:t>
            </w:r>
          </w:p>
        </w:tc>
        <w:tc>
          <w:tcPr>
            <w:tcW w:w="858" w:type="dxa"/>
            <w:shd w:val="clear" w:color="auto" w:fill="auto"/>
            <w:noWrap/>
            <w:vAlign w:val="bottom"/>
          </w:tcPr>
          <w:p w:rsidR="001159F6" w:rsidRPr="001159F6" w:rsidRDefault="001159F6" w:rsidP="008071E9">
            <w:pPr>
              <w:spacing w:after="0"/>
              <w:jc w:val="center"/>
              <w:rPr>
                <w:rFonts w:ascii="Calibri" w:hAnsi="Calibri"/>
                <w:sz w:val="20"/>
                <w:szCs w:val="20"/>
              </w:rPr>
            </w:pPr>
            <w:r w:rsidRPr="001159F6">
              <w:rPr>
                <w:rFonts w:ascii="Calibri" w:hAnsi="Calibri"/>
                <w:b/>
                <w:bCs/>
                <w:color w:val="000000"/>
                <w:sz w:val="20"/>
                <w:szCs w:val="20"/>
              </w:rPr>
              <w:t>35.2%</w:t>
            </w:r>
          </w:p>
        </w:tc>
        <w:tc>
          <w:tcPr>
            <w:tcW w:w="856" w:type="dxa"/>
            <w:shd w:val="clear" w:color="auto" w:fill="auto"/>
            <w:noWrap/>
            <w:vAlign w:val="bottom"/>
          </w:tcPr>
          <w:p w:rsidR="001159F6" w:rsidRPr="001159F6" w:rsidRDefault="001159F6" w:rsidP="008071E9">
            <w:pPr>
              <w:spacing w:after="0"/>
              <w:jc w:val="center"/>
              <w:rPr>
                <w:rFonts w:ascii="Calibri" w:hAnsi="Calibri"/>
                <w:sz w:val="20"/>
                <w:szCs w:val="20"/>
              </w:rPr>
            </w:pPr>
            <w:r w:rsidRPr="001159F6">
              <w:rPr>
                <w:rFonts w:ascii="Calibri" w:hAnsi="Calibri"/>
                <w:b/>
                <w:bCs/>
                <w:color w:val="000000"/>
                <w:sz w:val="20"/>
                <w:szCs w:val="20"/>
              </w:rPr>
              <w:t>39.9%</w:t>
            </w:r>
          </w:p>
        </w:tc>
        <w:tc>
          <w:tcPr>
            <w:tcW w:w="856" w:type="dxa"/>
            <w:shd w:val="clear" w:color="auto" w:fill="auto"/>
            <w:noWrap/>
            <w:vAlign w:val="bottom"/>
          </w:tcPr>
          <w:p w:rsidR="001159F6" w:rsidRPr="001159F6" w:rsidRDefault="001159F6" w:rsidP="008071E9">
            <w:pPr>
              <w:spacing w:after="0"/>
              <w:jc w:val="center"/>
              <w:rPr>
                <w:rFonts w:ascii="Calibri" w:hAnsi="Calibri"/>
                <w:sz w:val="20"/>
                <w:szCs w:val="20"/>
              </w:rPr>
            </w:pPr>
            <w:r w:rsidRPr="001159F6">
              <w:rPr>
                <w:rFonts w:ascii="Calibri" w:hAnsi="Calibri"/>
                <w:b/>
                <w:bCs/>
                <w:color w:val="000000"/>
                <w:sz w:val="20"/>
                <w:szCs w:val="20"/>
              </w:rPr>
              <w:t>13.1%</w:t>
            </w:r>
          </w:p>
        </w:tc>
        <w:tc>
          <w:tcPr>
            <w:tcW w:w="856" w:type="dxa"/>
            <w:shd w:val="clear" w:color="auto" w:fill="auto"/>
            <w:noWrap/>
            <w:vAlign w:val="bottom"/>
          </w:tcPr>
          <w:p w:rsidR="001159F6" w:rsidRPr="001159F6" w:rsidRDefault="001159F6" w:rsidP="008071E9">
            <w:pPr>
              <w:spacing w:after="0"/>
              <w:jc w:val="center"/>
              <w:rPr>
                <w:rFonts w:ascii="Calibri" w:hAnsi="Calibri"/>
                <w:sz w:val="20"/>
                <w:szCs w:val="20"/>
              </w:rPr>
            </w:pPr>
            <w:r w:rsidRPr="001159F6">
              <w:rPr>
                <w:rFonts w:ascii="Calibri" w:hAnsi="Calibri"/>
                <w:b/>
                <w:bCs/>
                <w:color w:val="000000"/>
                <w:sz w:val="20"/>
                <w:szCs w:val="20"/>
              </w:rPr>
              <w:t>3.6%</w:t>
            </w:r>
          </w:p>
        </w:tc>
      </w:tr>
      <w:tr w:rsidR="001159F6" w:rsidRPr="002625FA" w:rsidTr="000B64B9">
        <w:trPr>
          <w:trHeight w:val="170"/>
        </w:trPr>
        <w:tc>
          <w:tcPr>
            <w:tcW w:w="4365" w:type="dxa"/>
            <w:shd w:val="clear" w:color="auto" w:fill="auto"/>
            <w:noWrap/>
            <w:vAlign w:val="bottom"/>
          </w:tcPr>
          <w:p w:rsidR="001159F6" w:rsidRPr="000B64B9" w:rsidRDefault="001159F6" w:rsidP="000B64B9">
            <w:pPr>
              <w:spacing w:after="0"/>
              <w:rPr>
                <w:rFonts w:ascii="Calibri" w:hAnsi="Calibri"/>
                <w:sz w:val="20"/>
                <w:szCs w:val="20"/>
              </w:rPr>
            </w:pPr>
          </w:p>
        </w:tc>
        <w:tc>
          <w:tcPr>
            <w:tcW w:w="1212" w:type="dxa"/>
            <w:shd w:val="clear" w:color="auto" w:fill="auto"/>
            <w:noWrap/>
            <w:vAlign w:val="center"/>
          </w:tcPr>
          <w:p w:rsidR="001159F6" w:rsidRPr="000B64B9" w:rsidRDefault="001159F6" w:rsidP="000B64B9">
            <w:pPr>
              <w:spacing w:after="0"/>
              <w:jc w:val="center"/>
              <w:rPr>
                <w:rFonts w:ascii="Calibri" w:hAnsi="Calibri"/>
                <w:sz w:val="20"/>
                <w:szCs w:val="20"/>
              </w:rPr>
            </w:pPr>
          </w:p>
        </w:tc>
        <w:tc>
          <w:tcPr>
            <w:tcW w:w="858" w:type="dxa"/>
            <w:shd w:val="clear" w:color="auto" w:fill="auto"/>
            <w:noWrap/>
            <w:vAlign w:val="center"/>
          </w:tcPr>
          <w:p w:rsidR="001159F6" w:rsidRPr="000B64B9" w:rsidRDefault="001159F6" w:rsidP="000B64B9">
            <w:pPr>
              <w:spacing w:after="0"/>
              <w:jc w:val="center"/>
              <w:rPr>
                <w:rFonts w:ascii="Calibri" w:hAnsi="Calibri"/>
                <w:sz w:val="20"/>
                <w:szCs w:val="20"/>
              </w:rPr>
            </w:pP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p>
        </w:tc>
        <w:tc>
          <w:tcPr>
            <w:tcW w:w="856" w:type="dxa"/>
            <w:shd w:val="clear" w:color="auto" w:fill="auto"/>
            <w:noWrap/>
            <w:vAlign w:val="center"/>
          </w:tcPr>
          <w:p w:rsidR="001159F6" w:rsidRPr="000B64B9" w:rsidRDefault="001159F6" w:rsidP="000B64B9">
            <w:pPr>
              <w:spacing w:after="0"/>
              <w:jc w:val="center"/>
              <w:rPr>
                <w:rFonts w:ascii="Calibri" w:hAnsi="Calibri"/>
                <w:sz w:val="20"/>
                <w:szCs w:val="20"/>
              </w:rPr>
            </w:pPr>
          </w:p>
        </w:tc>
      </w:tr>
      <w:tr w:rsidR="001159F6" w:rsidRPr="001159F6" w:rsidTr="000B64B9">
        <w:trPr>
          <w:trHeight w:val="170"/>
        </w:trPr>
        <w:tc>
          <w:tcPr>
            <w:tcW w:w="4365" w:type="dxa"/>
            <w:shd w:val="clear" w:color="auto" w:fill="auto"/>
            <w:noWrap/>
            <w:vAlign w:val="bottom"/>
          </w:tcPr>
          <w:p w:rsidR="001159F6" w:rsidRPr="001159F6" w:rsidRDefault="001159F6" w:rsidP="000B64B9">
            <w:pPr>
              <w:spacing w:after="0"/>
              <w:rPr>
                <w:rFonts w:ascii="Calibri" w:hAnsi="Calibri"/>
                <w:b/>
                <w:sz w:val="20"/>
                <w:szCs w:val="20"/>
              </w:rPr>
            </w:pPr>
            <w:r w:rsidRPr="001159F6">
              <w:rPr>
                <w:rFonts w:ascii="Calibri" w:hAnsi="Calibri"/>
                <w:b/>
                <w:sz w:val="20"/>
                <w:szCs w:val="20"/>
              </w:rPr>
              <w:t>Other</w:t>
            </w:r>
          </w:p>
        </w:tc>
        <w:tc>
          <w:tcPr>
            <w:tcW w:w="1212" w:type="dxa"/>
            <w:shd w:val="clear" w:color="auto" w:fill="auto"/>
            <w:noWrap/>
            <w:vAlign w:val="center"/>
          </w:tcPr>
          <w:p w:rsidR="001159F6" w:rsidRPr="001159F6" w:rsidRDefault="001159F6" w:rsidP="000B64B9">
            <w:pPr>
              <w:spacing w:after="0"/>
              <w:jc w:val="center"/>
              <w:rPr>
                <w:rFonts w:ascii="Calibri" w:hAnsi="Calibri"/>
                <w:b/>
                <w:sz w:val="20"/>
                <w:szCs w:val="20"/>
              </w:rPr>
            </w:pPr>
          </w:p>
        </w:tc>
        <w:tc>
          <w:tcPr>
            <w:tcW w:w="858" w:type="dxa"/>
            <w:shd w:val="clear" w:color="auto" w:fill="auto"/>
            <w:noWrap/>
            <w:vAlign w:val="center"/>
          </w:tcPr>
          <w:p w:rsidR="001159F6" w:rsidRPr="001159F6" w:rsidRDefault="001159F6" w:rsidP="000B64B9">
            <w:pPr>
              <w:spacing w:after="0"/>
              <w:jc w:val="center"/>
              <w:rPr>
                <w:rFonts w:ascii="Calibri" w:hAnsi="Calibri"/>
                <w:b/>
                <w:sz w:val="20"/>
                <w:szCs w:val="20"/>
              </w:rPr>
            </w:pPr>
          </w:p>
        </w:tc>
        <w:tc>
          <w:tcPr>
            <w:tcW w:w="856" w:type="dxa"/>
            <w:shd w:val="clear" w:color="auto" w:fill="auto"/>
            <w:noWrap/>
            <w:vAlign w:val="center"/>
          </w:tcPr>
          <w:p w:rsidR="001159F6" w:rsidRPr="001159F6" w:rsidRDefault="001159F6" w:rsidP="000B64B9">
            <w:pPr>
              <w:spacing w:after="0"/>
              <w:jc w:val="center"/>
              <w:rPr>
                <w:rFonts w:ascii="Calibri" w:hAnsi="Calibri"/>
                <w:b/>
                <w:sz w:val="20"/>
                <w:szCs w:val="20"/>
              </w:rPr>
            </w:pPr>
          </w:p>
        </w:tc>
        <w:tc>
          <w:tcPr>
            <w:tcW w:w="856" w:type="dxa"/>
            <w:shd w:val="clear" w:color="auto" w:fill="auto"/>
            <w:noWrap/>
            <w:vAlign w:val="center"/>
          </w:tcPr>
          <w:p w:rsidR="001159F6" w:rsidRPr="001159F6" w:rsidRDefault="001159F6" w:rsidP="000B64B9">
            <w:pPr>
              <w:spacing w:after="0"/>
              <w:jc w:val="center"/>
              <w:rPr>
                <w:rFonts w:ascii="Calibri" w:hAnsi="Calibri"/>
                <w:b/>
                <w:sz w:val="20"/>
                <w:szCs w:val="20"/>
              </w:rPr>
            </w:pPr>
          </w:p>
        </w:tc>
        <w:tc>
          <w:tcPr>
            <w:tcW w:w="856" w:type="dxa"/>
            <w:shd w:val="clear" w:color="auto" w:fill="auto"/>
            <w:noWrap/>
            <w:vAlign w:val="center"/>
          </w:tcPr>
          <w:p w:rsidR="001159F6" w:rsidRPr="001159F6" w:rsidRDefault="001159F6" w:rsidP="000B64B9">
            <w:pPr>
              <w:spacing w:after="0"/>
              <w:jc w:val="center"/>
              <w:rPr>
                <w:rFonts w:ascii="Calibri" w:hAnsi="Calibri"/>
                <w:b/>
                <w:sz w:val="20"/>
                <w:szCs w:val="20"/>
              </w:rPr>
            </w:pPr>
          </w:p>
        </w:tc>
      </w:tr>
      <w:tr w:rsidR="001159F6" w:rsidRPr="002625FA" w:rsidTr="000B64B9">
        <w:trPr>
          <w:trHeight w:val="170"/>
        </w:trPr>
        <w:tc>
          <w:tcPr>
            <w:tcW w:w="4365" w:type="dxa"/>
            <w:shd w:val="clear" w:color="auto" w:fill="auto"/>
            <w:noWrap/>
            <w:vAlign w:val="bottom"/>
            <w:hideMark/>
          </w:tcPr>
          <w:p w:rsidR="001159F6" w:rsidRPr="000B64B9" w:rsidRDefault="001159F6" w:rsidP="000B64B9">
            <w:pPr>
              <w:spacing w:after="0"/>
              <w:rPr>
                <w:rFonts w:ascii="Calibri" w:eastAsia="Times New Roman" w:hAnsi="Calibri" w:cs="Times New Roman"/>
                <w:sz w:val="20"/>
                <w:szCs w:val="20"/>
              </w:rPr>
            </w:pPr>
            <w:r w:rsidRPr="000B64B9">
              <w:rPr>
                <w:rFonts w:ascii="Calibri" w:hAnsi="Calibri"/>
                <w:sz w:val="20"/>
                <w:szCs w:val="20"/>
              </w:rPr>
              <w:t>carboplatin only</w:t>
            </w:r>
          </w:p>
        </w:tc>
        <w:tc>
          <w:tcPr>
            <w:tcW w:w="1212"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2.7%</w:t>
            </w:r>
          </w:p>
        </w:tc>
        <w:tc>
          <w:tcPr>
            <w:tcW w:w="858"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1.0%</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0.6%</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0.6%</w:t>
            </w:r>
          </w:p>
        </w:tc>
      </w:tr>
      <w:tr w:rsidR="001159F6" w:rsidRPr="002625FA" w:rsidTr="000B64B9">
        <w:trPr>
          <w:trHeight w:val="170"/>
        </w:trPr>
        <w:tc>
          <w:tcPr>
            <w:tcW w:w="4365" w:type="dxa"/>
            <w:shd w:val="clear" w:color="auto" w:fill="auto"/>
            <w:noWrap/>
            <w:vAlign w:val="bottom"/>
            <w:hideMark/>
          </w:tcPr>
          <w:p w:rsidR="001159F6" w:rsidRPr="000B64B9" w:rsidRDefault="001159F6" w:rsidP="000B64B9">
            <w:pPr>
              <w:spacing w:after="0"/>
              <w:rPr>
                <w:rFonts w:ascii="Calibri" w:eastAsia="Times New Roman" w:hAnsi="Calibri" w:cs="Times New Roman"/>
                <w:sz w:val="20"/>
                <w:szCs w:val="20"/>
              </w:rPr>
            </w:pPr>
            <w:r w:rsidRPr="000B64B9">
              <w:rPr>
                <w:rFonts w:ascii="Calibri" w:hAnsi="Calibri"/>
                <w:sz w:val="20"/>
                <w:szCs w:val="20"/>
              </w:rPr>
              <w:t>cisplatin only</w:t>
            </w:r>
          </w:p>
        </w:tc>
        <w:tc>
          <w:tcPr>
            <w:tcW w:w="1212"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0.9%</w:t>
            </w:r>
          </w:p>
        </w:tc>
        <w:tc>
          <w:tcPr>
            <w:tcW w:w="858"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0.7%</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0.5%</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0.3%</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0.4%</w:t>
            </w:r>
          </w:p>
        </w:tc>
      </w:tr>
      <w:tr w:rsidR="001159F6" w:rsidRPr="002625FA" w:rsidTr="000B64B9">
        <w:trPr>
          <w:trHeight w:val="170"/>
        </w:trPr>
        <w:tc>
          <w:tcPr>
            <w:tcW w:w="4365" w:type="dxa"/>
            <w:shd w:val="clear" w:color="auto" w:fill="auto"/>
            <w:noWrap/>
            <w:vAlign w:val="bottom"/>
            <w:hideMark/>
          </w:tcPr>
          <w:p w:rsidR="001159F6" w:rsidRPr="000B64B9" w:rsidRDefault="001159F6" w:rsidP="000B64B9">
            <w:pPr>
              <w:spacing w:after="0"/>
              <w:rPr>
                <w:rFonts w:ascii="Calibri" w:eastAsia="Times New Roman" w:hAnsi="Calibri" w:cs="Times New Roman"/>
                <w:sz w:val="20"/>
                <w:szCs w:val="20"/>
              </w:rPr>
            </w:pPr>
            <w:r w:rsidRPr="000B64B9">
              <w:rPr>
                <w:rFonts w:ascii="Calibri" w:hAnsi="Calibri"/>
                <w:sz w:val="20"/>
                <w:szCs w:val="20"/>
              </w:rPr>
              <w:t>gemcitabine only</w:t>
            </w:r>
          </w:p>
        </w:tc>
        <w:tc>
          <w:tcPr>
            <w:tcW w:w="1212"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2.0%</w:t>
            </w:r>
          </w:p>
        </w:tc>
        <w:tc>
          <w:tcPr>
            <w:tcW w:w="858"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1.6%</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1.1%</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0.4%</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0.2%</w:t>
            </w:r>
          </w:p>
        </w:tc>
      </w:tr>
      <w:tr w:rsidR="001159F6" w:rsidRPr="002625FA" w:rsidTr="000B64B9">
        <w:trPr>
          <w:trHeight w:val="170"/>
        </w:trPr>
        <w:tc>
          <w:tcPr>
            <w:tcW w:w="4365" w:type="dxa"/>
            <w:shd w:val="clear" w:color="auto" w:fill="auto"/>
            <w:noWrap/>
            <w:vAlign w:val="bottom"/>
            <w:hideMark/>
          </w:tcPr>
          <w:p w:rsidR="001159F6" w:rsidRPr="000B64B9" w:rsidRDefault="001159F6" w:rsidP="000B64B9">
            <w:pPr>
              <w:spacing w:after="0"/>
              <w:rPr>
                <w:rFonts w:ascii="Calibri" w:eastAsia="Times New Roman" w:hAnsi="Calibri" w:cs="Times New Roman"/>
                <w:sz w:val="20"/>
                <w:szCs w:val="20"/>
              </w:rPr>
            </w:pPr>
            <w:r w:rsidRPr="000B64B9">
              <w:rPr>
                <w:rFonts w:ascii="Calibri" w:hAnsi="Calibri"/>
                <w:sz w:val="20"/>
                <w:szCs w:val="20"/>
              </w:rPr>
              <w:t>paclitaxel only</w:t>
            </w:r>
          </w:p>
        </w:tc>
        <w:tc>
          <w:tcPr>
            <w:tcW w:w="1212"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0.2%</w:t>
            </w:r>
          </w:p>
        </w:tc>
        <w:tc>
          <w:tcPr>
            <w:tcW w:w="858"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0.2%</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r>
      <w:tr w:rsidR="001159F6" w:rsidRPr="002625FA" w:rsidTr="000B64B9">
        <w:trPr>
          <w:trHeight w:val="170"/>
        </w:trPr>
        <w:tc>
          <w:tcPr>
            <w:tcW w:w="4365" w:type="dxa"/>
            <w:shd w:val="clear" w:color="auto" w:fill="auto"/>
            <w:noWrap/>
            <w:vAlign w:val="bottom"/>
            <w:hideMark/>
          </w:tcPr>
          <w:p w:rsidR="001159F6" w:rsidRPr="000B64B9" w:rsidRDefault="001159F6" w:rsidP="000B64B9">
            <w:pPr>
              <w:spacing w:after="0"/>
              <w:rPr>
                <w:rFonts w:ascii="Calibri" w:eastAsia="Times New Roman" w:hAnsi="Calibri" w:cs="Times New Roman"/>
                <w:sz w:val="20"/>
                <w:szCs w:val="20"/>
              </w:rPr>
            </w:pPr>
            <w:r w:rsidRPr="000B64B9">
              <w:rPr>
                <w:rFonts w:ascii="Calibri" w:hAnsi="Calibri"/>
                <w:sz w:val="20"/>
                <w:szCs w:val="20"/>
              </w:rPr>
              <w:t>docetaxel only</w:t>
            </w:r>
          </w:p>
        </w:tc>
        <w:tc>
          <w:tcPr>
            <w:tcW w:w="1212"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0.2%</w:t>
            </w:r>
          </w:p>
        </w:tc>
        <w:tc>
          <w:tcPr>
            <w:tcW w:w="858"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0.1%</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0.1%</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r>
      <w:tr w:rsidR="001159F6" w:rsidRPr="002625FA" w:rsidTr="000B64B9">
        <w:trPr>
          <w:trHeight w:val="170"/>
        </w:trPr>
        <w:tc>
          <w:tcPr>
            <w:tcW w:w="4365" w:type="dxa"/>
            <w:shd w:val="clear" w:color="auto" w:fill="auto"/>
            <w:noWrap/>
            <w:vAlign w:val="bottom"/>
            <w:hideMark/>
          </w:tcPr>
          <w:p w:rsidR="001159F6" w:rsidRPr="000B64B9" w:rsidRDefault="001159F6" w:rsidP="000B64B9">
            <w:pPr>
              <w:spacing w:after="0"/>
              <w:rPr>
                <w:rFonts w:ascii="Calibri" w:eastAsia="Times New Roman" w:hAnsi="Calibri" w:cs="Times New Roman"/>
                <w:sz w:val="20"/>
                <w:szCs w:val="20"/>
              </w:rPr>
            </w:pPr>
            <w:r w:rsidRPr="000B64B9">
              <w:rPr>
                <w:rFonts w:ascii="Calibri" w:hAnsi="Calibri"/>
                <w:sz w:val="20"/>
                <w:szCs w:val="20"/>
              </w:rPr>
              <w:t>vinorelbine only</w:t>
            </w:r>
          </w:p>
        </w:tc>
        <w:tc>
          <w:tcPr>
            <w:tcW w:w="1212"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0.5%</w:t>
            </w:r>
          </w:p>
        </w:tc>
        <w:tc>
          <w:tcPr>
            <w:tcW w:w="858"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0.2%</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0.6%</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r>
      <w:tr w:rsidR="001159F6" w:rsidRPr="002625FA" w:rsidTr="000B64B9">
        <w:trPr>
          <w:trHeight w:val="170"/>
        </w:trPr>
        <w:tc>
          <w:tcPr>
            <w:tcW w:w="4365" w:type="dxa"/>
            <w:shd w:val="clear" w:color="auto" w:fill="auto"/>
            <w:noWrap/>
            <w:vAlign w:val="bottom"/>
            <w:hideMark/>
          </w:tcPr>
          <w:p w:rsidR="001159F6" w:rsidRPr="000B64B9" w:rsidRDefault="001159F6" w:rsidP="008D194F">
            <w:pPr>
              <w:spacing w:after="0"/>
              <w:rPr>
                <w:rFonts w:ascii="Calibri" w:eastAsia="Times New Roman" w:hAnsi="Calibri" w:cs="Times New Roman"/>
                <w:sz w:val="20"/>
                <w:szCs w:val="20"/>
              </w:rPr>
            </w:pPr>
            <w:r w:rsidRPr="000B64B9">
              <w:rPr>
                <w:rFonts w:ascii="Calibri" w:hAnsi="Calibri"/>
                <w:sz w:val="20"/>
                <w:szCs w:val="20"/>
              </w:rPr>
              <w:t>other (no pemetrexed)</w:t>
            </w:r>
          </w:p>
        </w:tc>
        <w:tc>
          <w:tcPr>
            <w:tcW w:w="1212"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2.2%</w:t>
            </w:r>
          </w:p>
        </w:tc>
        <w:tc>
          <w:tcPr>
            <w:tcW w:w="858"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1.8%</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1.1%</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3.0%</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3.6%</w:t>
            </w:r>
          </w:p>
        </w:tc>
      </w:tr>
      <w:tr w:rsidR="001159F6" w:rsidRPr="002625FA" w:rsidTr="000B64B9">
        <w:trPr>
          <w:trHeight w:val="170"/>
        </w:trPr>
        <w:tc>
          <w:tcPr>
            <w:tcW w:w="4365" w:type="dxa"/>
            <w:shd w:val="clear" w:color="auto" w:fill="auto"/>
            <w:noWrap/>
            <w:vAlign w:val="bottom"/>
            <w:hideMark/>
          </w:tcPr>
          <w:p w:rsidR="001159F6" w:rsidRPr="000B64B9" w:rsidRDefault="001159F6" w:rsidP="000B64B9">
            <w:pPr>
              <w:spacing w:after="0"/>
              <w:rPr>
                <w:rFonts w:ascii="Calibri" w:eastAsia="Times New Roman" w:hAnsi="Calibri" w:cs="Times New Roman"/>
                <w:sz w:val="20"/>
                <w:szCs w:val="20"/>
              </w:rPr>
            </w:pPr>
            <w:r w:rsidRPr="000B64B9">
              <w:rPr>
                <w:rFonts w:ascii="Calibri" w:hAnsi="Calibri"/>
                <w:sz w:val="20"/>
                <w:szCs w:val="20"/>
              </w:rPr>
              <w:t>carboplatin, pemetrexed only</w:t>
            </w:r>
          </w:p>
        </w:tc>
        <w:tc>
          <w:tcPr>
            <w:tcW w:w="1212"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2.5%</w:t>
            </w:r>
          </w:p>
        </w:tc>
        <w:tc>
          <w:tcPr>
            <w:tcW w:w="858"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3.4%</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2.0%</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0.6%</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0.4%</w:t>
            </w:r>
          </w:p>
        </w:tc>
      </w:tr>
      <w:tr w:rsidR="001159F6" w:rsidRPr="002625FA" w:rsidTr="000B64B9">
        <w:trPr>
          <w:trHeight w:val="170"/>
        </w:trPr>
        <w:tc>
          <w:tcPr>
            <w:tcW w:w="4365" w:type="dxa"/>
            <w:shd w:val="clear" w:color="auto" w:fill="auto"/>
            <w:noWrap/>
            <w:vAlign w:val="bottom"/>
            <w:hideMark/>
          </w:tcPr>
          <w:p w:rsidR="001159F6" w:rsidRPr="000B64B9" w:rsidRDefault="001159F6" w:rsidP="000B64B9">
            <w:pPr>
              <w:spacing w:after="0"/>
              <w:rPr>
                <w:rFonts w:ascii="Calibri" w:eastAsia="Times New Roman" w:hAnsi="Calibri" w:cs="Times New Roman"/>
                <w:sz w:val="20"/>
                <w:szCs w:val="20"/>
              </w:rPr>
            </w:pPr>
            <w:r w:rsidRPr="000B64B9">
              <w:rPr>
                <w:rFonts w:ascii="Calibri" w:hAnsi="Calibri"/>
                <w:sz w:val="20"/>
                <w:szCs w:val="20"/>
              </w:rPr>
              <w:t>cisplatin, pemetrexed only</w:t>
            </w:r>
          </w:p>
        </w:tc>
        <w:tc>
          <w:tcPr>
            <w:tcW w:w="1212"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0.6%</w:t>
            </w:r>
          </w:p>
        </w:tc>
        <w:tc>
          <w:tcPr>
            <w:tcW w:w="858"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0.7%</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0.6%</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r>
      <w:tr w:rsidR="001159F6" w:rsidRPr="002625FA" w:rsidTr="000B64B9">
        <w:trPr>
          <w:trHeight w:val="170"/>
        </w:trPr>
        <w:tc>
          <w:tcPr>
            <w:tcW w:w="4365" w:type="dxa"/>
            <w:shd w:val="clear" w:color="auto" w:fill="auto"/>
            <w:noWrap/>
            <w:vAlign w:val="bottom"/>
            <w:hideMark/>
          </w:tcPr>
          <w:p w:rsidR="001159F6" w:rsidRPr="000B64B9" w:rsidRDefault="001159F6" w:rsidP="000B64B9">
            <w:pPr>
              <w:spacing w:after="0"/>
              <w:rPr>
                <w:rFonts w:ascii="Calibri" w:eastAsia="Times New Roman" w:hAnsi="Calibri" w:cs="Times New Roman"/>
                <w:sz w:val="20"/>
                <w:szCs w:val="20"/>
              </w:rPr>
            </w:pPr>
            <w:r w:rsidRPr="000B64B9">
              <w:rPr>
                <w:rFonts w:ascii="Calibri" w:hAnsi="Calibri"/>
                <w:sz w:val="20"/>
                <w:szCs w:val="20"/>
              </w:rPr>
              <w:t>gemcitabine, pemetrexed only</w:t>
            </w:r>
          </w:p>
        </w:tc>
        <w:tc>
          <w:tcPr>
            <w:tcW w:w="1212"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0.9%</w:t>
            </w:r>
          </w:p>
        </w:tc>
        <w:tc>
          <w:tcPr>
            <w:tcW w:w="858"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0.6%</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0.7%</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0.1%</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0.2%</w:t>
            </w:r>
          </w:p>
        </w:tc>
      </w:tr>
      <w:tr w:rsidR="001159F6" w:rsidRPr="002625FA" w:rsidTr="000B64B9">
        <w:trPr>
          <w:trHeight w:val="170"/>
        </w:trPr>
        <w:tc>
          <w:tcPr>
            <w:tcW w:w="4365" w:type="dxa"/>
            <w:shd w:val="clear" w:color="auto" w:fill="auto"/>
            <w:noWrap/>
            <w:vAlign w:val="bottom"/>
            <w:hideMark/>
          </w:tcPr>
          <w:p w:rsidR="001159F6" w:rsidRPr="000B64B9" w:rsidRDefault="001159F6" w:rsidP="000B64B9">
            <w:pPr>
              <w:spacing w:after="0"/>
              <w:rPr>
                <w:rFonts w:ascii="Calibri" w:eastAsia="Times New Roman" w:hAnsi="Calibri" w:cs="Times New Roman"/>
                <w:sz w:val="20"/>
                <w:szCs w:val="20"/>
              </w:rPr>
            </w:pPr>
            <w:r w:rsidRPr="000B64B9">
              <w:rPr>
                <w:rFonts w:ascii="Calibri" w:hAnsi="Calibri"/>
                <w:sz w:val="20"/>
                <w:szCs w:val="20"/>
              </w:rPr>
              <w:t>paclitaxel, pemetrexed only</w:t>
            </w:r>
          </w:p>
        </w:tc>
        <w:tc>
          <w:tcPr>
            <w:tcW w:w="1212"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0.1%</w:t>
            </w:r>
          </w:p>
        </w:tc>
        <w:tc>
          <w:tcPr>
            <w:tcW w:w="858"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0.2%</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r>
      <w:tr w:rsidR="001159F6" w:rsidRPr="002625FA" w:rsidTr="000B64B9">
        <w:trPr>
          <w:trHeight w:val="170"/>
        </w:trPr>
        <w:tc>
          <w:tcPr>
            <w:tcW w:w="4365" w:type="dxa"/>
            <w:shd w:val="clear" w:color="auto" w:fill="auto"/>
            <w:noWrap/>
            <w:vAlign w:val="bottom"/>
            <w:hideMark/>
          </w:tcPr>
          <w:p w:rsidR="001159F6" w:rsidRPr="000B64B9" w:rsidRDefault="001159F6" w:rsidP="000B64B9">
            <w:pPr>
              <w:spacing w:after="0"/>
              <w:rPr>
                <w:rFonts w:ascii="Calibri" w:eastAsia="Times New Roman" w:hAnsi="Calibri" w:cs="Times New Roman"/>
                <w:sz w:val="20"/>
                <w:szCs w:val="20"/>
              </w:rPr>
            </w:pPr>
            <w:r w:rsidRPr="000B64B9">
              <w:rPr>
                <w:rFonts w:ascii="Calibri" w:hAnsi="Calibri"/>
                <w:sz w:val="20"/>
                <w:szCs w:val="20"/>
              </w:rPr>
              <w:t>docetaxel, pemetrexed only</w:t>
            </w:r>
          </w:p>
        </w:tc>
        <w:tc>
          <w:tcPr>
            <w:tcW w:w="1212"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0.2%</w:t>
            </w:r>
          </w:p>
        </w:tc>
        <w:tc>
          <w:tcPr>
            <w:tcW w:w="858"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0.1%</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0.1%</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r>
      <w:tr w:rsidR="001159F6" w:rsidRPr="002625FA" w:rsidTr="000B64B9">
        <w:trPr>
          <w:trHeight w:val="170"/>
        </w:trPr>
        <w:tc>
          <w:tcPr>
            <w:tcW w:w="4365" w:type="dxa"/>
            <w:shd w:val="clear" w:color="auto" w:fill="auto"/>
            <w:noWrap/>
            <w:vAlign w:val="bottom"/>
            <w:hideMark/>
          </w:tcPr>
          <w:p w:rsidR="001159F6" w:rsidRPr="000B64B9" w:rsidRDefault="001159F6" w:rsidP="000B64B9">
            <w:pPr>
              <w:spacing w:after="0"/>
              <w:rPr>
                <w:rFonts w:ascii="Calibri" w:eastAsia="Times New Roman" w:hAnsi="Calibri" w:cs="Times New Roman"/>
                <w:sz w:val="20"/>
                <w:szCs w:val="20"/>
              </w:rPr>
            </w:pPr>
            <w:r w:rsidRPr="000B64B9">
              <w:rPr>
                <w:rFonts w:ascii="Calibri" w:hAnsi="Calibri"/>
                <w:sz w:val="20"/>
                <w:szCs w:val="20"/>
              </w:rPr>
              <w:t>vinorelbine, pemetrexed only</w:t>
            </w:r>
          </w:p>
        </w:tc>
        <w:tc>
          <w:tcPr>
            <w:tcW w:w="1212"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c>
          <w:tcPr>
            <w:tcW w:w="858"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0.3%</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0.2%</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r>
      <w:tr w:rsidR="001159F6" w:rsidRPr="002625FA" w:rsidTr="000B64B9">
        <w:trPr>
          <w:trHeight w:val="170"/>
        </w:trPr>
        <w:tc>
          <w:tcPr>
            <w:tcW w:w="4365" w:type="dxa"/>
            <w:shd w:val="clear" w:color="auto" w:fill="auto"/>
            <w:noWrap/>
            <w:vAlign w:val="bottom"/>
            <w:hideMark/>
          </w:tcPr>
          <w:p w:rsidR="001159F6" w:rsidRPr="000B64B9" w:rsidRDefault="001159F6" w:rsidP="000B64B9">
            <w:pPr>
              <w:spacing w:after="0"/>
              <w:rPr>
                <w:rFonts w:ascii="Calibri" w:eastAsia="Times New Roman" w:hAnsi="Calibri" w:cs="Times New Roman"/>
                <w:sz w:val="20"/>
                <w:szCs w:val="20"/>
              </w:rPr>
            </w:pPr>
            <w:r w:rsidRPr="000B64B9">
              <w:rPr>
                <w:rFonts w:ascii="Calibri" w:hAnsi="Calibri"/>
                <w:sz w:val="20"/>
                <w:szCs w:val="20"/>
              </w:rPr>
              <w:t>pemetrexed only</w:t>
            </w:r>
          </w:p>
        </w:tc>
        <w:tc>
          <w:tcPr>
            <w:tcW w:w="1212"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1.1%</w:t>
            </w:r>
          </w:p>
        </w:tc>
        <w:tc>
          <w:tcPr>
            <w:tcW w:w="858"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0.8%</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0.5%</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r>
      <w:tr w:rsidR="001159F6" w:rsidRPr="002625FA" w:rsidTr="000B64B9">
        <w:trPr>
          <w:trHeight w:val="170"/>
        </w:trPr>
        <w:tc>
          <w:tcPr>
            <w:tcW w:w="4365" w:type="dxa"/>
            <w:shd w:val="clear" w:color="auto" w:fill="auto"/>
            <w:noWrap/>
            <w:vAlign w:val="bottom"/>
            <w:hideMark/>
          </w:tcPr>
          <w:p w:rsidR="001159F6" w:rsidRPr="000B64B9" w:rsidRDefault="001159F6" w:rsidP="008D194F">
            <w:pPr>
              <w:spacing w:after="0"/>
              <w:rPr>
                <w:rFonts w:ascii="Calibri" w:eastAsia="Times New Roman" w:hAnsi="Calibri" w:cs="Times New Roman"/>
                <w:sz w:val="20"/>
                <w:szCs w:val="20"/>
              </w:rPr>
            </w:pPr>
            <w:r w:rsidRPr="000B64B9">
              <w:rPr>
                <w:rFonts w:ascii="Calibri" w:hAnsi="Calibri"/>
                <w:sz w:val="20"/>
                <w:szCs w:val="20"/>
              </w:rPr>
              <w:t>other (plus pemetrexed)</w:t>
            </w:r>
          </w:p>
        </w:tc>
        <w:tc>
          <w:tcPr>
            <w:tcW w:w="1212"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0.5%</w:t>
            </w:r>
          </w:p>
        </w:tc>
        <w:tc>
          <w:tcPr>
            <w:tcW w:w="858"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0.4%</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0.1%</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0.1%</w:t>
            </w:r>
          </w:p>
        </w:tc>
        <w:tc>
          <w:tcPr>
            <w:tcW w:w="856" w:type="dxa"/>
            <w:shd w:val="clear" w:color="auto" w:fill="auto"/>
            <w:noWrap/>
            <w:vAlign w:val="center"/>
            <w:hideMark/>
          </w:tcPr>
          <w:p w:rsidR="001159F6" w:rsidRPr="000B64B9" w:rsidRDefault="001159F6" w:rsidP="000B64B9">
            <w:pPr>
              <w:spacing w:after="0"/>
              <w:jc w:val="center"/>
              <w:rPr>
                <w:rFonts w:ascii="Calibri" w:eastAsia="Times New Roman" w:hAnsi="Calibri" w:cs="Times New Roman"/>
                <w:sz w:val="20"/>
                <w:szCs w:val="20"/>
              </w:rPr>
            </w:pPr>
            <w:r w:rsidRPr="000B64B9">
              <w:rPr>
                <w:rFonts w:ascii="Calibri" w:hAnsi="Calibri"/>
                <w:sz w:val="20"/>
                <w:szCs w:val="20"/>
              </w:rPr>
              <w:t>0.0%</w:t>
            </w:r>
          </w:p>
        </w:tc>
      </w:tr>
      <w:tr w:rsidR="001159F6" w:rsidRPr="002625FA" w:rsidTr="000B64B9">
        <w:trPr>
          <w:trHeight w:val="170"/>
        </w:trPr>
        <w:tc>
          <w:tcPr>
            <w:tcW w:w="4365" w:type="dxa"/>
            <w:shd w:val="clear" w:color="auto" w:fill="auto"/>
            <w:noWrap/>
            <w:vAlign w:val="bottom"/>
          </w:tcPr>
          <w:p w:rsidR="001159F6" w:rsidRPr="000B64B9" w:rsidRDefault="001159F6" w:rsidP="000B64B9">
            <w:pPr>
              <w:spacing w:after="0"/>
              <w:rPr>
                <w:rFonts w:ascii="Calibri" w:hAnsi="Calibri"/>
                <w:b/>
                <w:sz w:val="20"/>
                <w:szCs w:val="20"/>
              </w:rPr>
            </w:pPr>
            <w:r w:rsidRPr="000B64B9">
              <w:rPr>
                <w:rFonts w:ascii="Calibri" w:eastAsia="Times New Roman" w:hAnsi="Calibri" w:cs="Times New Roman"/>
                <w:b/>
                <w:bCs/>
                <w:color w:val="000000"/>
                <w:sz w:val="20"/>
                <w:szCs w:val="20"/>
              </w:rPr>
              <w:t>Subtotal</w:t>
            </w:r>
          </w:p>
        </w:tc>
        <w:tc>
          <w:tcPr>
            <w:tcW w:w="1212" w:type="dxa"/>
            <w:shd w:val="clear" w:color="auto" w:fill="auto"/>
            <w:noWrap/>
            <w:vAlign w:val="bottom"/>
          </w:tcPr>
          <w:p w:rsidR="001159F6" w:rsidRPr="001159F6" w:rsidRDefault="001159F6" w:rsidP="000B64B9">
            <w:pPr>
              <w:spacing w:after="0"/>
              <w:jc w:val="center"/>
              <w:rPr>
                <w:rFonts w:ascii="Calibri" w:hAnsi="Calibri"/>
                <w:b/>
                <w:sz w:val="20"/>
                <w:szCs w:val="20"/>
              </w:rPr>
            </w:pPr>
            <w:r w:rsidRPr="001159F6">
              <w:rPr>
                <w:rFonts w:ascii="Calibri" w:hAnsi="Calibri"/>
                <w:b/>
                <w:sz w:val="20"/>
                <w:szCs w:val="20"/>
              </w:rPr>
              <w:t>14.8%</w:t>
            </w:r>
          </w:p>
        </w:tc>
        <w:tc>
          <w:tcPr>
            <w:tcW w:w="858" w:type="dxa"/>
            <w:shd w:val="clear" w:color="auto" w:fill="auto"/>
            <w:noWrap/>
            <w:vAlign w:val="bottom"/>
          </w:tcPr>
          <w:p w:rsidR="001159F6" w:rsidRPr="001159F6" w:rsidRDefault="001159F6" w:rsidP="000B64B9">
            <w:pPr>
              <w:spacing w:after="0"/>
              <w:jc w:val="center"/>
              <w:rPr>
                <w:rFonts w:ascii="Calibri" w:hAnsi="Calibri"/>
                <w:b/>
                <w:sz w:val="20"/>
                <w:szCs w:val="20"/>
              </w:rPr>
            </w:pPr>
            <w:r w:rsidRPr="001159F6">
              <w:rPr>
                <w:rFonts w:ascii="Calibri" w:hAnsi="Calibri"/>
                <w:b/>
                <w:sz w:val="20"/>
                <w:szCs w:val="20"/>
              </w:rPr>
              <w:t>12.1%</w:t>
            </w:r>
          </w:p>
        </w:tc>
        <w:tc>
          <w:tcPr>
            <w:tcW w:w="856" w:type="dxa"/>
            <w:shd w:val="clear" w:color="auto" w:fill="auto"/>
            <w:noWrap/>
            <w:vAlign w:val="bottom"/>
          </w:tcPr>
          <w:p w:rsidR="001159F6" w:rsidRPr="001159F6" w:rsidRDefault="001159F6" w:rsidP="000B64B9">
            <w:pPr>
              <w:spacing w:after="0"/>
              <w:jc w:val="center"/>
              <w:rPr>
                <w:rFonts w:ascii="Calibri" w:hAnsi="Calibri"/>
                <w:b/>
                <w:sz w:val="20"/>
                <w:szCs w:val="20"/>
              </w:rPr>
            </w:pPr>
            <w:r w:rsidRPr="001159F6">
              <w:rPr>
                <w:rFonts w:ascii="Calibri" w:hAnsi="Calibri"/>
                <w:b/>
                <w:sz w:val="20"/>
                <w:szCs w:val="20"/>
              </w:rPr>
              <w:t>8.2%</w:t>
            </w:r>
          </w:p>
        </w:tc>
        <w:tc>
          <w:tcPr>
            <w:tcW w:w="856" w:type="dxa"/>
            <w:shd w:val="clear" w:color="auto" w:fill="auto"/>
            <w:noWrap/>
            <w:vAlign w:val="bottom"/>
          </w:tcPr>
          <w:p w:rsidR="001159F6" w:rsidRPr="001159F6" w:rsidRDefault="001159F6" w:rsidP="000B64B9">
            <w:pPr>
              <w:spacing w:after="0"/>
              <w:jc w:val="center"/>
              <w:rPr>
                <w:rFonts w:ascii="Calibri" w:hAnsi="Calibri"/>
                <w:b/>
                <w:sz w:val="20"/>
                <w:szCs w:val="20"/>
              </w:rPr>
            </w:pPr>
            <w:r w:rsidRPr="001159F6">
              <w:rPr>
                <w:rFonts w:ascii="Calibri" w:hAnsi="Calibri"/>
                <w:b/>
                <w:sz w:val="20"/>
                <w:szCs w:val="20"/>
              </w:rPr>
              <w:t>4.6%</w:t>
            </w:r>
          </w:p>
        </w:tc>
        <w:tc>
          <w:tcPr>
            <w:tcW w:w="856" w:type="dxa"/>
            <w:shd w:val="clear" w:color="auto" w:fill="auto"/>
            <w:noWrap/>
            <w:vAlign w:val="bottom"/>
          </w:tcPr>
          <w:p w:rsidR="001159F6" w:rsidRPr="001159F6" w:rsidRDefault="001159F6" w:rsidP="000B64B9">
            <w:pPr>
              <w:spacing w:after="0"/>
              <w:jc w:val="center"/>
              <w:rPr>
                <w:rFonts w:ascii="Calibri" w:hAnsi="Calibri"/>
                <w:b/>
                <w:sz w:val="20"/>
                <w:szCs w:val="20"/>
              </w:rPr>
            </w:pPr>
            <w:r w:rsidRPr="001159F6">
              <w:rPr>
                <w:rFonts w:ascii="Calibri" w:hAnsi="Calibri"/>
                <w:b/>
                <w:sz w:val="20"/>
                <w:szCs w:val="20"/>
              </w:rPr>
              <w:t>5.5%</w:t>
            </w:r>
          </w:p>
        </w:tc>
      </w:tr>
      <w:tr w:rsidR="001159F6" w:rsidRPr="002625FA" w:rsidTr="002625FA">
        <w:trPr>
          <w:trHeight w:val="300"/>
        </w:trPr>
        <w:tc>
          <w:tcPr>
            <w:tcW w:w="4365" w:type="dxa"/>
            <w:shd w:val="clear" w:color="auto" w:fill="auto"/>
            <w:noWrap/>
            <w:vAlign w:val="bottom"/>
          </w:tcPr>
          <w:p w:rsidR="001159F6" w:rsidRPr="000B64B9" w:rsidRDefault="001159F6" w:rsidP="002625FA">
            <w:pPr>
              <w:spacing w:after="0"/>
              <w:rPr>
                <w:rFonts w:ascii="Calibri" w:hAnsi="Calibri"/>
                <w:b/>
                <w:sz w:val="20"/>
                <w:szCs w:val="20"/>
              </w:rPr>
            </w:pPr>
            <w:r w:rsidRPr="000B64B9">
              <w:rPr>
                <w:rFonts w:ascii="Calibri" w:hAnsi="Calibri"/>
                <w:b/>
                <w:sz w:val="20"/>
                <w:szCs w:val="20"/>
              </w:rPr>
              <w:t>Total</w:t>
            </w:r>
          </w:p>
        </w:tc>
        <w:tc>
          <w:tcPr>
            <w:tcW w:w="1212" w:type="dxa"/>
            <w:shd w:val="clear" w:color="auto" w:fill="auto"/>
            <w:noWrap/>
            <w:vAlign w:val="center"/>
          </w:tcPr>
          <w:p w:rsidR="001159F6" w:rsidRPr="000B64B9" w:rsidRDefault="001159F6" w:rsidP="002625FA">
            <w:pPr>
              <w:spacing w:after="0"/>
              <w:jc w:val="center"/>
              <w:rPr>
                <w:rFonts w:ascii="Calibri" w:hAnsi="Calibri"/>
                <w:b/>
                <w:sz w:val="20"/>
                <w:szCs w:val="20"/>
              </w:rPr>
            </w:pPr>
            <w:r w:rsidRPr="000B64B9">
              <w:rPr>
                <w:rFonts w:ascii="Calibri" w:hAnsi="Calibri"/>
                <w:b/>
                <w:sz w:val="20"/>
                <w:szCs w:val="20"/>
              </w:rPr>
              <w:t>100%</w:t>
            </w:r>
          </w:p>
        </w:tc>
        <w:tc>
          <w:tcPr>
            <w:tcW w:w="858" w:type="dxa"/>
            <w:shd w:val="clear" w:color="auto" w:fill="auto"/>
            <w:noWrap/>
            <w:vAlign w:val="center"/>
          </w:tcPr>
          <w:p w:rsidR="001159F6" w:rsidRPr="000B64B9" w:rsidRDefault="001159F6" w:rsidP="002625FA">
            <w:pPr>
              <w:spacing w:after="0"/>
              <w:jc w:val="center"/>
              <w:rPr>
                <w:rFonts w:ascii="Calibri" w:hAnsi="Calibri"/>
                <w:b/>
                <w:sz w:val="20"/>
                <w:szCs w:val="20"/>
              </w:rPr>
            </w:pPr>
            <w:r w:rsidRPr="000B64B9">
              <w:rPr>
                <w:rFonts w:ascii="Calibri" w:hAnsi="Calibri"/>
                <w:b/>
                <w:sz w:val="20"/>
                <w:szCs w:val="20"/>
              </w:rPr>
              <w:t>100%</w:t>
            </w:r>
          </w:p>
        </w:tc>
        <w:tc>
          <w:tcPr>
            <w:tcW w:w="856" w:type="dxa"/>
            <w:shd w:val="clear" w:color="auto" w:fill="auto"/>
            <w:noWrap/>
            <w:vAlign w:val="center"/>
          </w:tcPr>
          <w:p w:rsidR="001159F6" w:rsidRPr="000B64B9" w:rsidRDefault="001159F6" w:rsidP="002625FA">
            <w:pPr>
              <w:spacing w:after="0"/>
              <w:jc w:val="center"/>
              <w:rPr>
                <w:rFonts w:ascii="Calibri" w:hAnsi="Calibri"/>
                <w:b/>
                <w:sz w:val="20"/>
                <w:szCs w:val="20"/>
              </w:rPr>
            </w:pPr>
            <w:r w:rsidRPr="000B64B9">
              <w:rPr>
                <w:rFonts w:ascii="Calibri" w:hAnsi="Calibri"/>
                <w:b/>
                <w:sz w:val="20"/>
                <w:szCs w:val="20"/>
              </w:rPr>
              <w:t>100%</w:t>
            </w:r>
          </w:p>
        </w:tc>
        <w:tc>
          <w:tcPr>
            <w:tcW w:w="856" w:type="dxa"/>
            <w:shd w:val="clear" w:color="auto" w:fill="auto"/>
            <w:noWrap/>
            <w:vAlign w:val="center"/>
          </w:tcPr>
          <w:p w:rsidR="001159F6" w:rsidRPr="000B64B9" w:rsidRDefault="001159F6" w:rsidP="002625FA">
            <w:pPr>
              <w:spacing w:after="0"/>
              <w:jc w:val="center"/>
              <w:rPr>
                <w:rFonts w:ascii="Calibri" w:hAnsi="Calibri"/>
                <w:b/>
                <w:sz w:val="20"/>
                <w:szCs w:val="20"/>
              </w:rPr>
            </w:pPr>
            <w:r w:rsidRPr="000B64B9">
              <w:rPr>
                <w:rFonts w:ascii="Calibri" w:hAnsi="Calibri"/>
                <w:b/>
                <w:sz w:val="20"/>
                <w:szCs w:val="20"/>
              </w:rPr>
              <w:t>100%</w:t>
            </w:r>
          </w:p>
        </w:tc>
        <w:tc>
          <w:tcPr>
            <w:tcW w:w="856" w:type="dxa"/>
            <w:shd w:val="clear" w:color="auto" w:fill="auto"/>
            <w:noWrap/>
            <w:vAlign w:val="center"/>
          </w:tcPr>
          <w:p w:rsidR="001159F6" w:rsidRPr="000B64B9" w:rsidRDefault="001159F6" w:rsidP="002625FA">
            <w:pPr>
              <w:spacing w:after="0"/>
              <w:jc w:val="center"/>
              <w:rPr>
                <w:rFonts w:ascii="Calibri" w:hAnsi="Calibri"/>
                <w:b/>
                <w:sz w:val="20"/>
                <w:szCs w:val="20"/>
              </w:rPr>
            </w:pPr>
            <w:r w:rsidRPr="000B64B9">
              <w:rPr>
                <w:rFonts w:ascii="Calibri" w:hAnsi="Calibri"/>
                <w:b/>
                <w:sz w:val="20"/>
                <w:szCs w:val="20"/>
              </w:rPr>
              <w:t>100%</w:t>
            </w:r>
          </w:p>
        </w:tc>
      </w:tr>
      <w:tr w:rsidR="001159F6" w:rsidRPr="002625FA" w:rsidTr="00B4447A">
        <w:trPr>
          <w:trHeight w:val="300"/>
        </w:trPr>
        <w:tc>
          <w:tcPr>
            <w:tcW w:w="4365" w:type="dxa"/>
            <w:shd w:val="clear" w:color="auto" w:fill="auto"/>
            <w:noWrap/>
            <w:vAlign w:val="center"/>
          </w:tcPr>
          <w:p w:rsidR="001159F6" w:rsidRPr="000B64B9" w:rsidRDefault="001159F6" w:rsidP="00B4447A">
            <w:pPr>
              <w:spacing w:after="0"/>
              <w:rPr>
                <w:rFonts w:ascii="Calibri" w:hAnsi="Calibri"/>
                <w:sz w:val="20"/>
                <w:szCs w:val="20"/>
              </w:rPr>
            </w:pPr>
            <w:r w:rsidRPr="000B64B9">
              <w:rPr>
                <w:sz w:val="20"/>
                <w:szCs w:val="20"/>
              </w:rPr>
              <w:t>Patient count</w:t>
            </w:r>
          </w:p>
        </w:tc>
        <w:tc>
          <w:tcPr>
            <w:tcW w:w="1212" w:type="dxa"/>
            <w:shd w:val="clear" w:color="auto" w:fill="auto"/>
            <w:noWrap/>
            <w:vAlign w:val="center"/>
          </w:tcPr>
          <w:p w:rsidR="001159F6" w:rsidRPr="000B64B9" w:rsidRDefault="001159F6" w:rsidP="00B4447A">
            <w:pPr>
              <w:spacing w:after="0"/>
              <w:jc w:val="center"/>
              <w:rPr>
                <w:rFonts w:ascii="Calibri" w:hAnsi="Calibri"/>
                <w:sz w:val="20"/>
                <w:szCs w:val="20"/>
              </w:rPr>
            </w:pPr>
            <w:r w:rsidRPr="000B64B9">
              <w:rPr>
                <w:rFonts w:ascii="Calibri" w:hAnsi="Calibri"/>
                <w:sz w:val="20"/>
                <w:szCs w:val="20"/>
              </w:rPr>
              <w:t>1,275</w:t>
            </w:r>
          </w:p>
        </w:tc>
        <w:tc>
          <w:tcPr>
            <w:tcW w:w="858" w:type="dxa"/>
            <w:shd w:val="clear" w:color="auto" w:fill="auto"/>
            <w:noWrap/>
            <w:vAlign w:val="center"/>
          </w:tcPr>
          <w:p w:rsidR="001159F6" w:rsidRPr="000B64B9" w:rsidRDefault="001159F6" w:rsidP="00B4447A">
            <w:pPr>
              <w:spacing w:after="0"/>
              <w:jc w:val="center"/>
              <w:rPr>
                <w:rFonts w:ascii="Calibri" w:hAnsi="Calibri"/>
                <w:sz w:val="20"/>
                <w:szCs w:val="20"/>
              </w:rPr>
            </w:pPr>
            <w:r w:rsidRPr="000B64B9">
              <w:rPr>
                <w:rFonts w:ascii="Calibri" w:hAnsi="Calibri"/>
                <w:sz w:val="20"/>
                <w:szCs w:val="20"/>
              </w:rPr>
              <w:t>1,087</w:t>
            </w:r>
          </w:p>
        </w:tc>
        <w:tc>
          <w:tcPr>
            <w:tcW w:w="856" w:type="dxa"/>
            <w:shd w:val="clear" w:color="auto" w:fill="auto"/>
            <w:noWrap/>
            <w:vAlign w:val="center"/>
          </w:tcPr>
          <w:p w:rsidR="001159F6" w:rsidRPr="000B64B9" w:rsidRDefault="001159F6" w:rsidP="00B4447A">
            <w:pPr>
              <w:spacing w:after="0"/>
              <w:jc w:val="center"/>
              <w:rPr>
                <w:rFonts w:ascii="Calibri" w:hAnsi="Calibri"/>
                <w:sz w:val="20"/>
                <w:szCs w:val="20"/>
              </w:rPr>
            </w:pPr>
            <w:r w:rsidRPr="000B64B9">
              <w:rPr>
                <w:rFonts w:ascii="Calibri" w:hAnsi="Calibri"/>
                <w:sz w:val="20"/>
                <w:szCs w:val="20"/>
              </w:rPr>
              <w:t>880</w:t>
            </w:r>
          </w:p>
        </w:tc>
        <w:tc>
          <w:tcPr>
            <w:tcW w:w="856" w:type="dxa"/>
            <w:shd w:val="clear" w:color="auto" w:fill="auto"/>
            <w:noWrap/>
            <w:vAlign w:val="center"/>
          </w:tcPr>
          <w:p w:rsidR="001159F6" w:rsidRPr="000B64B9" w:rsidRDefault="001159F6" w:rsidP="00B4447A">
            <w:pPr>
              <w:spacing w:after="0"/>
              <w:jc w:val="center"/>
              <w:rPr>
                <w:rFonts w:ascii="Calibri" w:hAnsi="Calibri"/>
                <w:sz w:val="20"/>
                <w:szCs w:val="20"/>
              </w:rPr>
            </w:pPr>
            <w:r w:rsidRPr="000B64B9">
              <w:rPr>
                <w:rFonts w:ascii="Calibri" w:hAnsi="Calibri"/>
                <w:sz w:val="20"/>
                <w:szCs w:val="20"/>
              </w:rPr>
              <w:t>908</w:t>
            </w:r>
          </w:p>
        </w:tc>
        <w:tc>
          <w:tcPr>
            <w:tcW w:w="856" w:type="dxa"/>
            <w:shd w:val="clear" w:color="auto" w:fill="auto"/>
            <w:noWrap/>
            <w:vAlign w:val="center"/>
          </w:tcPr>
          <w:p w:rsidR="001159F6" w:rsidRPr="000B64B9" w:rsidRDefault="001159F6" w:rsidP="00B4447A">
            <w:pPr>
              <w:spacing w:after="0"/>
              <w:jc w:val="center"/>
              <w:rPr>
                <w:rFonts w:ascii="Calibri" w:hAnsi="Calibri"/>
                <w:sz w:val="20"/>
                <w:szCs w:val="20"/>
              </w:rPr>
            </w:pPr>
            <w:r w:rsidRPr="000B64B9">
              <w:rPr>
                <w:rFonts w:ascii="Calibri" w:hAnsi="Calibri"/>
                <w:sz w:val="20"/>
                <w:szCs w:val="20"/>
              </w:rPr>
              <w:t>472</w:t>
            </w:r>
          </w:p>
        </w:tc>
      </w:tr>
    </w:tbl>
    <w:p w:rsidR="008A6525" w:rsidRDefault="008A6525" w:rsidP="00C75FFE">
      <w:pPr>
        <w:pStyle w:val="Figurecaption"/>
        <w:spacing w:before="0" w:after="0"/>
      </w:pPr>
      <w:r>
        <w:t xml:space="preserve">*The analysis does not attempt to distinguish multiple lines of chemotherapy prior to initiation of the TKI. </w:t>
      </w:r>
    </w:p>
    <w:p w:rsidR="00864B35" w:rsidRDefault="00864B35" w:rsidP="00864B35">
      <w:pPr>
        <w:spacing w:after="0"/>
        <w:rPr>
          <w:sz w:val="20"/>
        </w:rPr>
      </w:pPr>
      <w:r w:rsidRPr="00C75F1B">
        <w:rPr>
          <w:sz w:val="20"/>
        </w:rPr>
        <w:t>Source: DHS prescription claims database, accessed November 2016.</w:t>
      </w:r>
    </w:p>
    <w:p w:rsidR="00693EC5" w:rsidRPr="00A2662C" w:rsidRDefault="00693EC5" w:rsidP="00C75FFE">
      <w:pPr>
        <w:pStyle w:val="Figurecaption"/>
        <w:spacing w:before="0" w:after="0"/>
      </w:pPr>
      <w:r w:rsidRPr="00A2662C">
        <w:t>Note: The platinum doublets are constructed using the following rules:</w:t>
      </w:r>
    </w:p>
    <w:p w:rsidR="00693EC5" w:rsidRPr="00A2662C" w:rsidRDefault="00693EC5" w:rsidP="00693EC5">
      <w:pPr>
        <w:pStyle w:val="Figurecaption"/>
        <w:numPr>
          <w:ilvl w:val="0"/>
          <w:numId w:val="20"/>
        </w:numPr>
        <w:spacing w:before="0" w:after="0"/>
      </w:pPr>
      <w:r w:rsidRPr="00A2662C">
        <w:lastRenderedPageBreak/>
        <w:t xml:space="preserve">if </w:t>
      </w:r>
      <w:r w:rsidR="001159F6">
        <w:t>more</w:t>
      </w:r>
      <w:r w:rsidR="00A2662C" w:rsidRPr="00A2662C">
        <w:t xml:space="preserve"> than one platinum (</w:t>
      </w:r>
      <w:r w:rsidR="00864B35" w:rsidRPr="00A2662C">
        <w:t>i.e.</w:t>
      </w:r>
      <w:r w:rsidR="00A2662C" w:rsidRPr="00A2662C">
        <w:t xml:space="preserve"> </w:t>
      </w:r>
      <w:r w:rsidRPr="00A2662C">
        <w:t>cisplatin and carboplatin</w:t>
      </w:r>
      <w:r w:rsidR="00A2662C" w:rsidRPr="00A2662C">
        <w:t>) w</w:t>
      </w:r>
      <w:r w:rsidR="001159F6">
        <w:t>as</w:t>
      </w:r>
      <w:r w:rsidRPr="00A2662C">
        <w:t xml:space="preserve"> supplied, then the </w:t>
      </w:r>
      <w:r w:rsidR="00755E45">
        <w:t>doublet therapy is assigned according to the f</w:t>
      </w:r>
      <w:r w:rsidRPr="00A2662C">
        <w:t>irst</w:t>
      </w:r>
      <w:r w:rsidR="00755E45">
        <w:t xml:space="preserve"> platinum supplied</w:t>
      </w:r>
      <w:r w:rsidR="00A2662C" w:rsidRPr="00A2662C">
        <w:t>.</w:t>
      </w:r>
    </w:p>
    <w:p w:rsidR="00A2662C" w:rsidRPr="00A2662C" w:rsidRDefault="00A2662C" w:rsidP="00A2662C">
      <w:pPr>
        <w:pStyle w:val="Figurecaption"/>
        <w:numPr>
          <w:ilvl w:val="0"/>
          <w:numId w:val="20"/>
        </w:numPr>
        <w:spacing w:before="0" w:after="0"/>
      </w:pPr>
      <w:r w:rsidRPr="00A2662C">
        <w:t xml:space="preserve">if more than one of gemcitabine, paclitaxel,  docetaxel  and vinorelbine </w:t>
      </w:r>
      <w:r w:rsidR="001159F6">
        <w:t>was</w:t>
      </w:r>
      <w:r w:rsidRPr="00A2662C">
        <w:t xml:space="preserve"> supplied, then the </w:t>
      </w:r>
      <w:r w:rsidR="00755E45">
        <w:t>par</w:t>
      </w:r>
      <w:r w:rsidR="00D21F8A">
        <w:t>t</w:t>
      </w:r>
      <w:r w:rsidR="00755E45">
        <w:t xml:space="preserve">ner in the doublet is based on the </w:t>
      </w:r>
      <w:r w:rsidRPr="00A2662C">
        <w:t>first</w:t>
      </w:r>
      <w:r w:rsidR="00755E45">
        <w:t xml:space="preserve"> of the four drug supplied</w:t>
      </w:r>
      <w:r w:rsidRPr="00A2662C">
        <w:t>.</w:t>
      </w:r>
    </w:p>
    <w:p w:rsidR="00A2662C" w:rsidRPr="00A2662C" w:rsidRDefault="00A2662C" w:rsidP="00693EC5">
      <w:pPr>
        <w:pStyle w:val="Figurecaption"/>
        <w:numPr>
          <w:ilvl w:val="0"/>
          <w:numId w:val="20"/>
        </w:numPr>
        <w:spacing w:before="0" w:after="0"/>
      </w:pPr>
      <w:r>
        <w:t xml:space="preserve">if the </w:t>
      </w:r>
      <w:r w:rsidR="006B28AD">
        <w:t xml:space="preserve">partner </w:t>
      </w:r>
      <w:r>
        <w:t xml:space="preserve">in the doublet is </w:t>
      </w:r>
      <w:r w:rsidR="00864B35">
        <w:t>‘</w:t>
      </w:r>
      <w:r w:rsidRPr="00A2662C">
        <w:t>other</w:t>
      </w:r>
      <w:r w:rsidR="00864B35">
        <w:t>’</w:t>
      </w:r>
      <w:r>
        <w:t xml:space="preserve">, this </w:t>
      </w:r>
      <w:r w:rsidRPr="00A2662C">
        <w:t>means any other antineoplastic drug (</w:t>
      </w:r>
      <w:r w:rsidR="00864B35" w:rsidRPr="00A2662C">
        <w:t>i.e.</w:t>
      </w:r>
      <w:r w:rsidRPr="00A2662C">
        <w:t xml:space="preserve"> ATC = L01)</w:t>
      </w:r>
      <w:r w:rsidR="00864B35">
        <w:t>. There may be more than one ‘</w:t>
      </w:r>
      <w:r>
        <w:t>other</w:t>
      </w:r>
      <w:r w:rsidR="00864B35">
        <w:t>’</w:t>
      </w:r>
      <w:r>
        <w:t xml:space="preserve"> drug.</w:t>
      </w:r>
    </w:p>
    <w:p w:rsidR="00E9288F" w:rsidRDefault="00E9288F" w:rsidP="00F73113">
      <w:pPr>
        <w:pStyle w:val="Heading2"/>
      </w:pPr>
      <w:r>
        <w:t xml:space="preserve">Analysis </w:t>
      </w:r>
      <w:r w:rsidRPr="005E22C2">
        <w:t xml:space="preserve">of </w:t>
      </w:r>
      <w:r w:rsidR="002A43F4">
        <w:t>predicted</w:t>
      </w:r>
      <w:r w:rsidRPr="005E22C2">
        <w:t xml:space="preserve"> versus </w:t>
      </w:r>
      <w:r w:rsidR="002A43F4">
        <w:t>actual</w:t>
      </w:r>
      <w:r w:rsidRPr="005E22C2">
        <w:t xml:space="preserve"> </w:t>
      </w:r>
      <w:r>
        <w:t>u</w:t>
      </w:r>
      <w:r w:rsidRPr="005E22C2">
        <w:t>tilisation</w:t>
      </w:r>
    </w:p>
    <w:p w:rsidR="00E9288F" w:rsidRDefault="00E9288F" w:rsidP="000848E1">
      <w:r>
        <w:t xml:space="preserve">This analysis compares the </w:t>
      </w:r>
      <w:r w:rsidR="00564A57">
        <w:t xml:space="preserve">predicted and actual use of gefitinib and erlotinib for first-line treatment of advanced or metastatic NSCLC for patients with </w:t>
      </w:r>
      <w:r w:rsidR="00564A57" w:rsidRPr="006D49D1">
        <w:t xml:space="preserve">activating EGFR gene mutation. </w:t>
      </w:r>
    </w:p>
    <w:p w:rsidR="00CA5674" w:rsidRDefault="00E9288F" w:rsidP="000848E1">
      <w:pPr>
        <w:spacing w:after="0"/>
        <w:rPr>
          <w:b/>
        </w:rPr>
      </w:pPr>
      <w:r>
        <w:rPr>
          <w:b/>
        </w:rPr>
        <w:t xml:space="preserve">Table </w:t>
      </w:r>
      <w:r w:rsidR="000D4BDE">
        <w:rPr>
          <w:b/>
        </w:rPr>
        <w:t>6</w:t>
      </w:r>
      <w:r>
        <w:rPr>
          <w:b/>
        </w:rPr>
        <w:t>:</w:t>
      </w:r>
      <w:r w:rsidR="006D49D1">
        <w:rPr>
          <w:b/>
        </w:rPr>
        <w:t xml:space="preserve"> Predicted versus actual comparison of first-line TKI patients</w:t>
      </w:r>
    </w:p>
    <w:tbl>
      <w:tblPr>
        <w:tblStyle w:val="TableGrid"/>
        <w:tblW w:w="0" w:type="auto"/>
        <w:tblLook w:val="04A0" w:firstRow="1" w:lastRow="0" w:firstColumn="1" w:lastColumn="0" w:noHBand="0" w:noVBand="1"/>
        <w:tblCaption w:val="Table 6: Predicted versus actual comparison of first-line TKI patients"/>
      </w:tblPr>
      <w:tblGrid>
        <w:gridCol w:w="2660"/>
        <w:gridCol w:w="2098"/>
        <w:gridCol w:w="2098"/>
        <w:gridCol w:w="2098"/>
      </w:tblGrid>
      <w:tr w:rsidR="000B1F00" w:rsidTr="001721E8">
        <w:trPr>
          <w:tblHeader/>
        </w:trPr>
        <w:tc>
          <w:tcPr>
            <w:tcW w:w="2660" w:type="dxa"/>
            <w:shd w:val="clear" w:color="auto" w:fill="BFBFBF" w:themeFill="background1" w:themeFillShade="BF"/>
          </w:tcPr>
          <w:p w:rsidR="000B1F00" w:rsidRPr="0011759D" w:rsidRDefault="000B1F00" w:rsidP="000848E1">
            <w:pPr>
              <w:rPr>
                <w:b/>
                <w:sz w:val="20"/>
                <w:szCs w:val="20"/>
              </w:rPr>
            </w:pPr>
          </w:p>
        </w:tc>
        <w:tc>
          <w:tcPr>
            <w:tcW w:w="2098" w:type="dxa"/>
            <w:shd w:val="clear" w:color="auto" w:fill="BFBFBF" w:themeFill="background1" w:themeFillShade="BF"/>
            <w:vAlign w:val="center"/>
          </w:tcPr>
          <w:p w:rsidR="000B1F00" w:rsidRPr="0011759D" w:rsidRDefault="000B1F00" w:rsidP="0011759D">
            <w:pPr>
              <w:jc w:val="center"/>
              <w:rPr>
                <w:b/>
                <w:sz w:val="20"/>
                <w:szCs w:val="20"/>
              </w:rPr>
            </w:pPr>
            <w:r w:rsidRPr="0011759D">
              <w:rPr>
                <w:b/>
                <w:sz w:val="20"/>
                <w:szCs w:val="20"/>
              </w:rPr>
              <w:t>Incident TKI patients</w:t>
            </w:r>
          </w:p>
          <w:p w:rsidR="000B1F00" w:rsidRPr="0011759D" w:rsidRDefault="000B1F00" w:rsidP="0011759D">
            <w:pPr>
              <w:jc w:val="center"/>
              <w:rPr>
                <w:b/>
                <w:sz w:val="20"/>
                <w:szCs w:val="20"/>
              </w:rPr>
            </w:pPr>
            <w:r w:rsidRPr="0011759D">
              <w:rPr>
                <w:b/>
                <w:sz w:val="20"/>
                <w:szCs w:val="20"/>
              </w:rPr>
              <w:t>(total)</w:t>
            </w:r>
          </w:p>
        </w:tc>
        <w:tc>
          <w:tcPr>
            <w:tcW w:w="2098" w:type="dxa"/>
            <w:shd w:val="clear" w:color="auto" w:fill="BFBFBF" w:themeFill="background1" w:themeFillShade="BF"/>
            <w:vAlign w:val="center"/>
          </w:tcPr>
          <w:p w:rsidR="000B1F00" w:rsidRPr="0011759D" w:rsidRDefault="000B1F00" w:rsidP="0011759D">
            <w:pPr>
              <w:jc w:val="center"/>
              <w:rPr>
                <w:b/>
                <w:sz w:val="20"/>
                <w:szCs w:val="20"/>
              </w:rPr>
            </w:pPr>
            <w:r w:rsidRPr="0011759D">
              <w:rPr>
                <w:b/>
                <w:sz w:val="20"/>
                <w:szCs w:val="20"/>
              </w:rPr>
              <w:t>Incident TKI patients (first-line)*</w:t>
            </w:r>
          </w:p>
        </w:tc>
        <w:tc>
          <w:tcPr>
            <w:tcW w:w="2098" w:type="dxa"/>
            <w:shd w:val="clear" w:color="auto" w:fill="BFBFBF" w:themeFill="background1" w:themeFillShade="BF"/>
            <w:vAlign w:val="center"/>
          </w:tcPr>
          <w:p w:rsidR="000B1F00" w:rsidRPr="0011759D" w:rsidRDefault="000B1F00" w:rsidP="0011759D">
            <w:pPr>
              <w:jc w:val="center"/>
              <w:rPr>
                <w:b/>
                <w:sz w:val="20"/>
                <w:szCs w:val="20"/>
              </w:rPr>
            </w:pPr>
            <w:r w:rsidRPr="0011759D">
              <w:rPr>
                <w:b/>
                <w:sz w:val="20"/>
                <w:szCs w:val="20"/>
              </w:rPr>
              <w:t>Incident TKI patients (second or subsequent line)</w:t>
            </w:r>
          </w:p>
        </w:tc>
      </w:tr>
      <w:tr w:rsidR="00864B35" w:rsidTr="00CF1D29">
        <w:tc>
          <w:tcPr>
            <w:tcW w:w="8954" w:type="dxa"/>
            <w:gridSpan w:val="4"/>
          </w:tcPr>
          <w:p w:rsidR="00864B35" w:rsidRPr="0011759D" w:rsidRDefault="00864B35" w:rsidP="00864B35">
            <w:pPr>
              <w:rPr>
                <w:b/>
                <w:sz w:val="20"/>
                <w:szCs w:val="20"/>
              </w:rPr>
            </w:pPr>
            <w:r w:rsidRPr="0011759D">
              <w:rPr>
                <w:b/>
                <w:sz w:val="20"/>
                <w:szCs w:val="20"/>
              </w:rPr>
              <w:t>Actual</w:t>
            </w:r>
          </w:p>
        </w:tc>
      </w:tr>
      <w:tr w:rsidR="000B1F00" w:rsidTr="0011759D">
        <w:tc>
          <w:tcPr>
            <w:tcW w:w="2660" w:type="dxa"/>
          </w:tcPr>
          <w:p w:rsidR="000B1F00" w:rsidRPr="0011759D" w:rsidRDefault="000B1F00" w:rsidP="008A5B13">
            <w:pPr>
              <w:rPr>
                <w:sz w:val="20"/>
                <w:szCs w:val="20"/>
              </w:rPr>
            </w:pPr>
            <w:r w:rsidRPr="0011759D">
              <w:rPr>
                <w:sz w:val="20"/>
                <w:szCs w:val="20"/>
              </w:rPr>
              <w:t>Year 1 (2014)</w:t>
            </w:r>
          </w:p>
        </w:tc>
        <w:tc>
          <w:tcPr>
            <w:tcW w:w="2098" w:type="dxa"/>
            <w:vAlign w:val="center"/>
          </w:tcPr>
          <w:p w:rsidR="000B1F00" w:rsidRPr="0011759D" w:rsidRDefault="000B1F00" w:rsidP="0011759D">
            <w:pPr>
              <w:jc w:val="center"/>
              <w:rPr>
                <w:sz w:val="20"/>
                <w:szCs w:val="20"/>
              </w:rPr>
            </w:pPr>
            <w:r w:rsidRPr="0011759D">
              <w:rPr>
                <w:sz w:val="20"/>
                <w:szCs w:val="20"/>
              </w:rPr>
              <w:t>908</w:t>
            </w:r>
          </w:p>
        </w:tc>
        <w:tc>
          <w:tcPr>
            <w:tcW w:w="2098" w:type="dxa"/>
            <w:vAlign w:val="center"/>
          </w:tcPr>
          <w:p w:rsidR="000B1F00" w:rsidRPr="0011759D" w:rsidRDefault="000B1F00" w:rsidP="0011759D">
            <w:pPr>
              <w:jc w:val="center"/>
              <w:rPr>
                <w:sz w:val="20"/>
                <w:szCs w:val="20"/>
              </w:rPr>
            </w:pPr>
            <w:r w:rsidRPr="0011759D">
              <w:rPr>
                <w:sz w:val="20"/>
                <w:szCs w:val="20"/>
              </w:rPr>
              <w:t>598</w:t>
            </w:r>
          </w:p>
        </w:tc>
        <w:tc>
          <w:tcPr>
            <w:tcW w:w="2098" w:type="dxa"/>
            <w:vAlign w:val="center"/>
          </w:tcPr>
          <w:p w:rsidR="000B1F00" w:rsidRPr="0011759D" w:rsidRDefault="000B1F00" w:rsidP="0011759D">
            <w:pPr>
              <w:jc w:val="center"/>
              <w:rPr>
                <w:sz w:val="20"/>
                <w:szCs w:val="20"/>
              </w:rPr>
            </w:pPr>
            <w:r w:rsidRPr="0011759D">
              <w:rPr>
                <w:sz w:val="20"/>
                <w:szCs w:val="20"/>
              </w:rPr>
              <w:t>310</w:t>
            </w:r>
          </w:p>
        </w:tc>
      </w:tr>
      <w:tr w:rsidR="000B1F00" w:rsidTr="0011759D">
        <w:tc>
          <w:tcPr>
            <w:tcW w:w="2660" w:type="dxa"/>
          </w:tcPr>
          <w:p w:rsidR="000B1F00" w:rsidRPr="0011759D" w:rsidRDefault="000B1F00" w:rsidP="000848E1">
            <w:pPr>
              <w:rPr>
                <w:sz w:val="20"/>
                <w:szCs w:val="20"/>
              </w:rPr>
            </w:pPr>
            <w:r w:rsidRPr="0011759D">
              <w:rPr>
                <w:sz w:val="20"/>
                <w:szCs w:val="20"/>
              </w:rPr>
              <w:t>Year 2 (2015)</w:t>
            </w:r>
          </w:p>
        </w:tc>
        <w:tc>
          <w:tcPr>
            <w:tcW w:w="2098" w:type="dxa"/>
            <w:vAlign w:val="center"/>
          </w:tcPr>
          <w:p w:rsidR="000B1F00" w:rsidRPr="0011759D" w:rsidRDefault="000B1F00" w:rsidP="0011759D">
            <w:pPr>
              <w:jc w:val="center"/>
              <w:rPr>
                <w:sz w:val="20"/>
                <w:szCs w:val="20"/>
              </w:rPr>
            </w:pPr>
            <w:r w:rsidRPr="0011759D">
              <w:rPr>
                <w:sz w:val="20"/>
                <w:szCs w:val="20"/>
              </w:rPr>
              <w:t>472</w:t>
            </w:r>
          </w:p>
        </w:tc>
        <w:tc>
          <w:tcPr>
            <w:tcW w:w="2098" w:type="dxa"/>
            <w:vAlign w:val="center"/>
          </w:tcPr>
          <w:p w:rsidR="000B1F00" w:rsidRPr="0011759D" w:rsidRDefault="00A00A44" w:rsidP="0011759D">
            <w:pPr>
              <w:jc w:val="center"/>
              <w:rPr>
                <w:sz w:val="20"/>
                <w:szCs w:val="20"/>
              </w:rPr>
            </w:pPr>
            <w:r w:rsidRPr="0011759D">
              <w:rPr>
                <w:sz w:val="20"/>
                <w:szCs w:val="20"/>
              </w:rPr>
              <w:t>347</w:t>
            </w:r>
          </w:p>
        </w:tc>
        <w:tc>
          <w:tcPr>
            <w:tcW w:w="2098" w:type="dxa"/>
            <w:vAlign w:val="center"/>
          </w:tcPr>
          <w:p w:rsidR="000B1F00" w:rsidRPr="0011759D" w:rsidRDefault="00A00A44" w:rsidP="0011759D">
            <w:pPr>
              <w:jc w:val="center"/>
              <w:rPr>
                <w:sz w:val="20"/>
                <w:szCs w:val="20"/>
              </w:rPr>
            </w:pPr>
            <w:r w:rsidRPr="0011759D">
              <w:rPr>
                <w:sz w:val="20"/>
                <w:szCs w:val="20"/>
              </w:rPr>
              <w:t>125</w:t>
            </w:r>
          </w:p>
        </w:tc>
      </w:tr>
      <w:tr w:rsidR="00864B35" w:rsidTr="00CF1D29">
        <w:tc>
          <w:tcPr>
            <w:tcW w:w="8954" w:type="dxa"/>
            <w:gridSpan w:val="4"/>
          </w:tcPr>
          <w:p w:rsidR="00864B35" w:rsidRPr="0011759D" w:rsidRDefault="00864B35" w:rsidP="00864B35">
            <w:pPr>
              <w:rPr>
                <w:b/>
                <w:sz w:val="20"/>
                <w:szCs w:val="20"/>
              </w:rPr>
            </w:pPr>
            <w:r w:rsidRPr="0011759D">
              <w:rPr>
                <w:b/>
                <w:sz w:val="20"/>
                <w:szCs w:val="20"/>
              </w:rPr>
              <w:t>Predicted</w:t>
            </w:r>
          </w:p>
        </w:tc>
      </w:tr>
      <w:tr w:rsidR="000B1F00" w:rsidRPr="008A5B13" w:rsidTr="0011759D">
        <w:tc>
          <w:tcPr>
            <w:tcW w:w="2660" w:type="dxa"/>
          </w:tcPr>
          <w:p w:rsidR="000B1F00" w:rsidRPr="0011759D" w:rsidRDefault="000B1F00" w:rsidP="000848E1">
            <w:pPr>
              <w:rPr>
                <w:sz w:val="20"/>
                <w:szCs w:val="20"/>
              </w:rPr>
            </w:pPr>
            <w:r w:rsidRPr="0011759D">
              <w:rPr>
                <w:sz w:val="20"/>
                <w:szCs w:val="20"/>
              </w:rPr>
              <w:t>Erlotinib submission</w:t>
            </w:r>
          </w:p>
        </w:tc>
        <w:tc>
          <w:tcPr>
            <w:tcW w:w="2098" w:type="dxa"/>
            <w:vAlign w:val="center"/>
          </w:tcPr>
          <w:p w:rsidR="000B1F00" w:rsidRPr="0011759D" w:rsidRDefault="000B1F00" w:rsidP="0011759D">
            <w:pPr>
              <w:jc w:val="center"/>
              <w:rPr>
                <w:sz w:val="20"/>
                <w:szCs w:val="20"/>
              </w:rPr>
            </w:pPr>
          </w:p>
        </w:tc>
        <w:tc>
          <w:tcPr>
            <w:tcW w:w="2098" w:type="dxa"/>
            <w:vAlign w:val="center"/>
          </w:tcPr>
          <w:p w:rsidR="000B1F00" w:rsidRPr="0011759D" w:rsidRDefault="000B1F00" w:rsidP="0011759D">
            <w:pPr>
              <w:jc w:val="center"/>
              <w:rPr>
                <w:sz w:val="20"/>
                <w:szCs w:val="20"/>
              </w:rPr>
            </w:pPr>
          </w:p>
        </w:tc>
        <w:tc>
          <w:tcPr>
            <w:tcW w:w="2098" w:type="dxa"/>
            <w:vAlign w:val="center"/>
          </w:tcPr>
          <w:p w:rsidR="000B1F00" w:rsidRPr="0011759D" w:rsidRDefault="000B1F00" w:rsidP="0011759D">
            <w:pPr>
              <w:jc w:val="center"/>
              <w:rPr>
                <w:sz w:val="20"/>
                <w:szCs w:val="20"/>
              </w:rPr>
            </w:pPr>
          </w:p>
        </w:tc>
      </w:tr>
      <w:tr w:rsidR="000B1F00" w:rsidRPr="00665CFB" w:rsidTr="0011759D">
        <w:tc>
          <w:tcPr>
            <w:tcW w:w="2660" w:type="dxa"/>
          </w:tcPr>
          <w:p w:rsidR="000B1F00" w:rsidRPr="000E0503" w:rsidRDefault="000E0503" w:rsidP="000848E1">
            <w:pPr>
              <w:rPr>
                <w:sz w:val="20"/>
                <w:szCs w:val="20"/>
                <w:highlight w:val="black"/>
              </w:rPr>
            </w:pPr>
            <w:r>
              <w:rPr>
                <w:noProof/>
                <w:color w:val="000000"/>
                <w:sz w:val="20"/>
                <w:szCs w:val="20"/>
                <w:highlight w:val="black"/>
              </w:rPr>
              <w:t>''''''''''' '''''''''''''</w:t>
            </w:r>
          </w:p>
        </w:tc>
        <w:tc>
          <w:tcPr>
            <w:tcW w:w="2098" w:type="dxa"/>
            <w:vAlign w:val="center"/>
          </w:tcPr>
          <w:p w:rsidR="000B1F00" w:rsidRPr="000E0503" w:rsidRDefault="000E0503" w:rsidP="0011759D">
            <w:pPr>
              <w:jc w:val="center"/>
              <w:rPr>
                <w:sz w:val="20"/>
                <w:szCs w:val="20"/>
                <w:highlight w:val="black"/>
              </w:rPr>
            </w:pPr>
            <w:r>
              <w:rPr>
                <w:noProof/>
                <w:color w:val="000000"/>
                <w:sz w:val="20"/>
                <w:szCs w:val="20"/>
                <w:highlight w:val="black"/>
              </w:rPr>
              <w:t>'''''''</w:t>
            </w:r>
          </w:p>
        </w:tc>
        <w:tc>
          <w:tcPr>
            <w:tcW w:w="2098" w:type="dxa"/>
            <w:vAlign w:val="center"/>
          </w:tcPr>
          <w:p w:rsidR="000B1F00" w:rsidRPr="000E0503" w:rsidRDefault="000E0503" w:rsidP="0011759D">
            <w:pPr>
              <w:jc w:val="center"/>
              <w:rPr>
                <w:sz w:val="20"/>
                <w:szCs w:val="20"/>
                <w:highlight w:val="black"/>
              </w:rPr>
            </w:pPr>
            <w:r>
              <w:rPr>
                <w:noProof/>
                <w:color w:val="000000"/>
                <w:sz w:val="20"/>
                <w:szCs w:val="20"/>
                <w:highlight w:val="black"/>
              </w:rPr>
              <w:t>''''''''</w:t>
            </w:r>
          </w:p>
        </w:tc>
        <w:tc>
          <w:tcPr>
            <w:tcW w:w="2098" w:type="dxa"/>
            <w:vAlign w:val="center"/>
          </w:tcPr>
          <w:p w:rsidR="000B1F00" w:rsidRPr="000E0503" w:rsidRDefault="000E0503" w:rsidP="0011759D">
            <w:pPr>
              <w:jc w:val="center"/>
              <w:rPr>
                <w:sz w:val="20"/>
                <w:szCs w:val="20"/>
                <w:highlight w:val="black"/>
              </w:rPr>
            </w:pPr>
            <w:r>
              <w:rPr>
                <w:noProof/>
                <w:color w:val="000000"/>
                <w:sz w:val="20"/>
                <w:szCs w:val="20"/>
                <w:highlight w:val="black"/>
              </w:rPr>
              <w:t>''''''</w:t>
            </w:r>
          </w:p>
        </w:tc>
      </w:tr>
      <w:tr w:rsidR="000B1F00" w:rsidRPr="00665CFB" w:rsidTr="0011759D">
        <w:tc>
          <w:tcPr>
            <w:tcW w:w="2660" w:type="dxa"/>
          </w:tcPr>
          <w:p w:rsidR="000B1F00" w:rsidRPr="000E0503" w:rsidRDefault="000E0503" w:rsidP="000848E1">
            <w:pPr>
              <w:rPr>
                <w:sz w:val="20"/>
                <w:szCs w:val="20"/>
                <w:highlight w:val="black"/>
              </w:rPr>
            </w:pPr>
            <w:r>
              <w:rPr>
                <w:noProof/>
                <w:color w:val="000000"/>
                <w:sz w:val="20"/>
                <w:szCs w:val="20"/>
                <w:highlight w:val="black"/>
              </w:rPr>
              <w:t>''''''''''' '''''''''''''</w:t>
            </w:r>
          </w:p>
        </w:tc>
        <w:tc>
          <w:tcPr>
            <w:tcW w:w="2098" w:type="dxa"/>
            <w:vAlign w:val="center"/>
          </w:tcPr>
          <w:p w:rsidR="000B1F00" w:rsidRPr="000E0503" w:rsidRDefault="000E0503" w:rsidP="0011759D">
            <w:pPr>
              <w:jc w:val="center"/>
              <w:rPr>
                <w:sz w:val="20"/>
                <w:szCs w:val="20"/>
                <w:highlight w:val="black"/>
              </w:rPr>
            </w:pPr>
            <w:r>
              <w:rPr>
                <w:noProof/>
                <w:color w:val="000000"/>
                <w:sz w:val="20"/>
                <w:szCs w:val="20"/>
                <w:highlight w:val="black"/>
              </w:rPr>
              <w:t>''''''</w:t>
            </w:r>
          </w:p>
        </w:tc>
        <w:tc>
          <w:tcPr>
            <w:tcW w:w="2098" w:type="dxa"/>
            <w:vAlign w:val="center"/>
          </w:tcPr>
          <w:p w:rsidR="000B1F00" w:rsidRPr="000E0503" w:rsidRDefault="000E0503" w:rsidP="0011759D">
            <w:pPr>
              <w:jc w:val="center"/>
              <w:rPr>
                <w:sz w:val="20"/>
                <w:szCs w:val="20"/>
                <w:highlight w:val="black"/>
              </w:rPr>
            </w:pPr>
            <w:r>
              <w:rPr>
                <w:noProof/>
                <w:color w:val="000000"/>
                <w:sz w:val="20"/>
                <w:szCs w:val="20"/>
                <w:highlight w:val="black"/>
              </w:rPr>
              <w:t>''''''''</w:t>
            </w:r>
          </w:p>
        </w:tc>
        <w:tc>
          <w:tcPr>
            <w:tcW w:w="2098" w:type="dxa"/>
            <w:vAlign w:val="center"/>
          </w:tcPr>
          <w:p w:rsidR="000B1F00" w:rsidRPr="000E0503" w:rsidRDefault="000E0503" w:rsidP="0011759D">
            <w:pPr>
              <w:jc w:val="center"/>
              <w:rPr>
                <w:sz w:val="20"/>
                <w:szCs w:val="20"/>
                <w:highlight w:val="black"/>
              </w:rPr>
            </w:pPr>
            <w:r>
              <w:rPr>
                <w:noProof/>
                <w:color w:val="000000"/>
                <w:sz w:val="20"/>
                <w:szCs w:val="20"/>
                <w:highlight w:val="black"/>
              </w:rPr>
              <w:t>''''''</w:t>
            </w:r>
          </w:p>
        </w:tc>
      </w:tr>
      <w:tr w:rsidR="000B1F00" w:rsidRPr="008A5B13" w:rsidTr="0011759D">
        <w:tc>
          <w:tcPr>
            <w:tcW w:w="2660" w:type="dxa"/>
          </w:tcPr>
          <w:p w:rsidR="000B1F00" w:rsidRPr="0011759D" w:rsidRDefault="000B1F00" w:rsidP="000848E1">
            <w:pPr>
              <w:rPr>
                <w:sz w:val="20"/>
                <w:szCs w:val="20"/>
              </w:rPr>
            </w:pPr>
            <w:r w:rsidRPr="0011759D">
              <w:rPr>
                <w:sz w:val="20"/>
                <w:szCs w:val="20"/>
              </w:rPr>
              <w:t>Gefitinib submission</w:t>
            </w:r>
          </w:p>
        </w:tc>
        <w:tc>
          <w:tcPr>
            <w:tcW w:w="2098" w:type="dxa"/>
            <w:vAlign w:val="center"/>
          </w:tcPr>
          <w:p w:rsidR="000B1F00" w:rsidRPr="0011759D" w:rsidRDefault="000B1F00" w:rsidP="0011759D">
            <w:pPr>
              <w:jc w:val="center"/>
              <w:rPr>
                <w:sz w:val="20"/>
                <w:szCs w:val="20"/>
              </w:rPr>
            </w:pPr>
          </w:p>
        </w:tc>
        <w:tc>
          <w:tcPr>
            <w:tcW w:w="2098" w:type="dxa"/>
            <w:vAlign w:val="center"/>
          </w:tcPr>
          <w:p w:rsidR="000B1F00" w:rsidRPr="0011759D" w:rsidRDefault="000B1F00" w:rsidP="0011759D">
            <w:pPr>
              <w:jc w:val="center"/>
              <w:rPr>
                <w:sz w:val="20"/>
                <w:szCs w:val="20"/>
              </w:rPr>
            </w:pPr>
          </w:p>
        </w:tc>
        <w:tc>
          <w:tcPr>
            <w:tcW w:w="2098" w:type="dxa"/>
            <w:vAlign w:val="center"/>
          </w:tcPr>
          <w:p w:rsidR="000B1F00" w:rsidRPr="0011759D" w:rsidRDefault="000B1F00" w:rsidP="0011759D">
            <w:pPr>
              <w:jc w:val="center"/>
              <w:rPr>
                <w:sz w:val="20"/>
                <w:szCs w:val="20"/>
              </w:rPr>
            </w:pPr>
          </w:p>
        </w:tc>
      </w:tr>
      <w:tr w:rsidR="000B1F00" w:rsidTr="0011759D">
        <w:tc>
          <w:tcPr>
            <w:tcW w:w="2660" w:type="dxa"/>
          </w:tcPr>
          <w:p w:rsidR="000B1F00" w:rsidRPr="0011759D" w:rsidRDefault="000B1F00" w:rsidP="000848E1">
            <w:pPr>
              <w:rPr>
                <w:b/>
                <w:sz w:val="20"/>
                <w:szCs w:val="20"/>
              </w:rPr>
            </w:pPr>
            <w:r w:rsidRPr="0011759D">
              <w:rPr>
                <w:sz w:val="20"/>
                <w:szCs w:val="20"/>
              </w:rPr>
              <w:t>Year 1 (2014)</w:t>
            </w:r>
          </w:p>
        </w:tc>
        <w:tc>
          <w:tcPr>
            <w:tcW w:w="2098" w:type="dxa"/>
            <w:vAlign w:val="center"/>
          </w:tcPr>
          <w:p w:rsidR="000B1F00" w:rsidRPr="0011759D" w:rsidRDefault="006D49D1" w:rsidP="0011759D">
            <w:pPr>
              <w:jc w:val="center"/>
              <w:rPr>
                <w:b/>
                <w:sz w:val="20"/>
                <w:szCs w:val="20"/>
              </w:rPr>
            </w:pPr>
            <w:r w:rsidRPr="0011759D">
              <w:rPr>
                <w:b/>
                <w:sz w:val="20"/>
                <w:szCs w:val="20"/>
              </w:rPr>
              <w:t>NA</w:t>
            </w:r>
          </w:p>
        </w:tc>
        <w:tc>
          <w:tcPr>
            <w:tcW w:w="2098" w:type="dxa"/>
            <w:vAlign w:val="center"/>
          </w:tcPr>
          <w:p w:rsidR="000B1F00" w:rsidRPr="0011759D" w:rsidRDefault="000B1F00" w:rsidP="0011759D">
            <w:pPr>
              <w:jc w:val="center"/>
              <w:rPr>
                <w:sz w:val="20"/>
                <w:szCs w:val="20"/>
              </w:rPr>
            </w:pPr>
            <w:r w:rsidRPr="0011759D">
              <w:rPr>
                <w:sz w:val="20"/>
                <w:szCs w:val="20"/>
              </w:rPr>
              <w:t>707</w:t>
            </w:r>
          </w:p>
        </w:tc>
        <w:tc>
          <w:tcPr>
            <w:tcW w:w="2098" w:type="dxa"/>
            <w:vAlign w:val="center"/>
          </w:tcPr>
          <w:p w:rsidR="000B1F00" w:rsidRPr="0011759D" w:rsidRDefault="006D49D1" w:rsidP="0011759D">
            <w:pPr>
              <w:jc w:val="center"/>
              <w:rPr>
                <w:b/>
                <w:sz w:val="20"/>
                <w:szCs w:val="20"/>
              </w:rPr>
            </w:pPr>
            <w:r w:rsidRPr="0011759D">
              <w:rPr>
                <w:b/>
                <w:sz w:val="20"/>
                <w:szCs w:val="20"/>
              </w:rPr>
              <w:t>NA</w:t>
            </w:r>
          </w:p>
        </w:tc>
      </w:tr>
      <w:tr w:rsidR="000B1F00" w:rsidTr="0011759D">
        <w:tc>
          <w:tcPr>
            <w:tcW w:w="2660" w:type="dxa"/>
          </w:tcPr>
          <w:p w:rsidR="000B1F00" w:rsidRPr="0011759D" w:rsidRDefault="000B1F00" w:rsidP="000848E1">
            <w:pPr>
              <w:rPr>
                <w:b/>
                <w:sz w:val="20"/>
                <w:szCs w:val="20"/>
              </w:rPr>
            </w:pPr>
            <w:r w:rsidRPr="0011759D">
              <w:rPr>
                <w:sz w:val="20"/>
                <w:szCs w:val="20"/>
              </w:rPr>
              <w:t>Year 2 (2015)</w:t>
            </w:r>
          </w:p>
        </w:tc>
        <w:tc>
          <w:tcPr>
            <w:tcW w:w="2098" w:type="dxa"/>
            <w:vAlign w:val="center"/>
          </w:tcPr>
          <w:p w:rsidR="000B1F00" w:rsidRPr="0011759D" w:rsidRDefault="006D49D1" w:rsidP="0011759D">
            <w:pPr>
              <w:jc w:val="center"/>
              <w:rPr>
                <w:b/>
                <w:sz w:val="20"/>
                <w:szCs w:val="20"/>
              </w:rPr>
            </w:pPr>
            <w:r w:rsidRPr="0011759D">
              <w:rPr>
                <w:b/>
                <w:sz w:val="20"/>
                <w:szCs w:val="20"/>
              </w:rPr>
              <w:t>NA</w:t>
            </w:r>
          </w:p>
        </w:tc>
        <w:tc>
          <w:tcPr>
            <w:tcW w:w="2098" w:type="dxa"/>
            <w:vAlign w:val="center"/>
          </w:tcPr>
          <w:p w:rsidR="000B1F00" w:rsidRPr="0011759D" w:rsidRDefault="000B1F00" w:rsidP="0011759D">
            <w:pPr>
              <w:jc w:val="center"/>
              <w:rPr>
                <w:sz w:val="20"/>
                <w:szCs w:val="20"/>
              </w:rPr>
            </w:pPr>
            <w:r w:rsidRPr="0011759D">
              <w:rPr>
                <w:sz w:val="20"/>
                <w:szCs w:val="20"/>
              </w:rPr>
              <w:t>726</w:t>
            </w:r>
          </w:p>
        </w:tc>
        <w:tc>
          <w:tcPr>
            <w:tcW w:w="2098" w:type="dxa"/>
            <w:vAlign w:val="center"/>
          </w:tcPr>
          <w:p w:rsidR="000B1F00" w:rsidRPr="0011759D" w:rsidRDefault="006D49D1" w:rsidP="0011759D">
            <w:pPr>
              <w:jc w:val="center"/>
              <w:rPr>
                <w:b/>
                <w:sz w:val="20"/>
                <w:szCs w:val="20"/>
              </w:rPr>
            </w:pPr>
            <w:r w:rsidRPr="0011759D">
              <w:rPr>
                <w:b/>
                <w:sz w:val="20"/>
                <w:szCs w:val="20"/>
              </w:rPr>
              <w:t>NA</w:t>
            </w:r>
          </w:p>
        </w:tc>
      </w:tr>
    </w:tbl>
    <w:p w:rsidR="00CA5674" w:rsidRDefault="008A5B13" w:rsidP="008A5B13">
      <w:pPr>
        <w:spacing w:after="0"/>
        <w:rPr>
          <w:sz w:val="20"/>
          <w:szCs w:val="20"/>
        </w:rPr>
      </w:pPr>
      <w:r w:rsidRPr="0011759D">
        <w:rPr>
          <w:sz w:val="20"/>
          <w:szCs w:val="20"/>
        </w:rPr>
        <w:t>*no prior chemotherapy medicines (ATC L01 –antineoplastics)</w:t>
      </w:r>
    </w:p>
    <w:p w:rsidR="005A36E5" w:rsidRPr="0011759D" w:rsidRDefault="005A36E5" w:rsidP="008A5B13">
      <w:pPr>
        <w:spacing w:after="0"/>
        <w:rPr>
          <w:sz w:val="20"/>
          <w:szCs w:val="20"/>
        </w:rPr>
      </w:pPr>
      <w:r>
        <w:rPr>
          <w:sz w:val="20"/>
          <w:szCs w:val="20"/>
        </w:rPr>
        <w:t>NA – not applicable for a comparison of first-line predicted and actual use</w:t>
      </w:r>
      <w:r w:rsidR="00911F31">
        <w:rPr>
          <w:sz w:val="20"/>
          <w:szCs w:val="20"/>
        </w:rPr>
        <w:t>.</w:t>
      </w:r>
    </w:p>
    <w:p w:rsidR="00CA5674" w:rsidRDefault="00CA5674" w:rsidP="000848E1">
      <w:pPr>
        <w:spacing w:after="0"/>
        <w:rPr>
          <w:b/>
        </w:rPr>
      </w:pPr>
    </w:p>
    <w:p w:rsidR="0028492D" w:rsidRDefault="0028492D" w:rsidP="0028492D">
      <w:r>
        <w:t>Following the extension to listing</w:t>
      </w:r>
      <w:r w:rsidR="00864B35">
        <w:t>,</w:t>
      </w:r>
      <w:r>
        <w:t xml:space="preserve"> the number of first-line patients was similar to predicted in the first year but substantially lower in the second year.</w:t>
      </w:r>
      <w:r w:rsidR="005A36E5">
        <w:t xml:space="preserve"> </w:t>
      </w:r>
    </w:p>
    <w:p w:rsidR="00E83558" w:rsidRDefault="005A36E5" w:rsidP="00B249CD">
      <w:pPr>
        <w:spacing w:after="0"/>
      </w:pPr>
      <w:r w:rsidRPr="005A36E5">
        <w:t>The estimated median length of t</w:t>
      </w:r>
      <w:r w:rsidR="000D4BDE">
        <w:t xml:space="preserve">reatment </w:t>
      </w:r>
      <w:r w:rsidR="00864B35">
        <w:t>for TKI first-</w:t>
      </w:r>
      <w:r w:rsidR="00B84313">
        <w:t xml:space="preserve">line patients </w:t>
      </w:r>
      <w:r w:rsidR="000D4BDE">
        <w:t>i</w:t>
      </w:r>
      <w:r w:rsidR="00864B35">
        <w:t>s</w:t>
      </w:r>
      <w:r w:rsidR="000D4BDE">
        <w:t xml:space="preserve"> presented in Table 7</w:t>
      </w:r>
      <w:r w:rsidRPr="005A36E5">
        <w:t>.</w:t>
      </w:r>
      <w:r>
        <w:t xml:space="preserve"> The proportion of patients on either erlotinib or gefitinib, and patients switching between TKIs is presented separately. </w:t>
      </w:r>
    </w:p>
    <w:p w:rsidR="00E83558" w:rsidRDefault="00E83558" w:rsidP="00B249CD">
      <w:pPr>
        <w:spacing w:after="0"/>
      </w:pPr>
    </w:p>
    <w:p w:rsidR="005A36E5" w:rsidRPr="005A36E5" w:rsidRDefault="00E83558" w:rsidP="00B249CD">
      <w:pPr>
        <w:spacing w:after="0"/>
      </w:pPr>
      <w:r w:rsidRPr="00E83558">
        <w:t xml:space="preserve">The estimated median length of treatment in Table </w:t>
      </w:r>
      <w:r w:rsidR="000D4BDE">
        <w:t>7</w:t>
      </w:r>
      <w:r w:rsidRPr="00E83558">
        <w:t xml:space="preserve"> is estimated using the Kaplan Meier (aka Product-Limit) method (see </w:t>
      </w:r>
      <w:r w:rsidRPr="000E0503">
        <w:t>Methods</w:t>
      </w:r>
      <w:r w:rsidRPr="00E83558">
        <w:t xml:space="preserve"> section for details). The average f</w:t>
      </w:r>
      <w:r w:rsidR="00864B35">
        <w:t>ollow-up period of patients in y</w:t>
      </w:r>
      <w:r w:rsidRPr="00E83558">
        <w:t xml:space="preserve">ear 1 is </w:t>
      </w:r>
      <w:r w:rsidR="00864B35">
        <w:t>greater than y</w:t>
      </w:r>
      <w:r w:rsidRPr="00E83558">
        <w:t xml:space="preserve">ear 2, </w:t>
      </w:r>
      <w:r>
        <w:t xml:space="preserve">but </w:t>
      </w:r>
      <w:r w:rsidRPr="00E83558">
        <w:t>this method is designed to allow fo</w:t>
      </w:r>
      <w:r w:rsidR="00864B35">
        <w:t xml:space="preserve">r varying lengths of follow-up. </w:t>
      </w:r>
      <w:r w:rsidRPr="00E83558">
        <w:t>The percentage of patients deemed to be cont</w:t>
      </w:r>
      <w:r w:rsidR="00911F31">
        <w:t>inuing on treatment at</w:t>
      </w:r>
      <w:r w:rsidRPr="00E83558">
        <w:t xml:space="preserve"> the end of the period (</w:t>
      </w:r>
      <w:r w:rsidR="00864B35" w:rsidRPr="00E83558">
        <w:t>i.e.</w:t>
      </w:r>
      <w:r w:rsidRPr="00E83558">
        <w:t xml:space="preserve"> censored) was 19.6% for the </w:t>
      </w:r>
      <w:r w:rsidR="00864B35">
        <w:t>year 1 cohort and 47.0% for the y</w:t>
      </w:r>
      <w:r w:rsidRPr="00E83558">
        <w:t>ear 2 cohort.</w:t>
      </w:r>
    </w:p>
    <w:p w:rsidR="005A36E5" w:rsidRDefault="005A36E5" w:rsidP="00B249CD">
      <w:pPr>
        <w:spacing w:after="0"/>
        <w:rPr>
          <w:b/>
        </w:rPr>
      </w:pPr>
    </w:p>
    <w:p w:rsidR="00C157D0" w:rsidRDefault="00C157D0">
      <w:pPr>
        <w:spacing w:line="276" w:lineRule="auto"/>
        <w:rPr>
          <w:b/>
        </w:rPr>
      </w:pPr>
      <w:r>
        <w:rPr>
          <w:b/>
        </w:rPr>
        <w:br w:type="page"/>
      </w:r>
    </w:p>
    <w:p w:rsidR="00B249CD" w:rsidRPr="00B249CD" w:rsidRDefault="00B249CD" w:rsidP="000D4BDE">
      <w:pPr>
        <w:spacing w:after="0"/>
        <w:rPr>
          <w:b/>
        </w:rPr>
      </w:pPr>
      <w:r>
        <w:rPr>
          <w:b/>
        </w:rPr>
        <w:lastRenderedPageBreak/>
        <w:t xml:space="preserve">Table </w:t>
      </w:r>
      <w:r w:rsidR="000D4BDE">
        <w:rPr>
          <w:b/>
        </w:rPr>
        <w:t>7</w:t>
      </w:r>
      <w:r>
        <w:rPr>
          <w:b/>
        </w:rPr>
        <w:t xml:space="preserve">:  Estimated median length of </w:t>
      </w:r>
      <w:r w:rsidR="00FD38C3">
        <w:rPr>
          <w:b/>
        </w:rPr>
        <w:t xml:space="preserve">TKI </w:t>
      </w:r>
      <w:r>
        <w:rPr>
          <w:b/>
        </w:rPr>
        <w:t>treatment (excluding breaks) in months</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1691"/>
        <w:gridCol w:w="1691"/>
        <w:gridCol w:w="1690"/>
      </w:tblGrid>
      <w:tr w:rsidR="00B249CD" w:rsidRPr="00E132E0" w:rsidTr="003E7E72">
        <w:trPr>
          <w:trHeight w:val="270"/>
        </w:trPr>
        <w:tc>
          <w:tcPr>
            <w:tcW w:w="2196" w:type="pct"/>
            <w:shd w:val="clear" w:color="auto" w:fill="BFBFBF" w:themeFill="background1" w:themeFillShade="BF"/>
            <w:vAlign w:val="center"/>
          </w:tcPr>
          <w:p w:rsidR="00B249CD" w:rsidRPr="003E7E72" w:rsidRDefault="00B249CD" w:rsidP="00B249CD">
            <w:pPr>
              <w:spacing w:after="0"/>
              <w:rPr>
                <w:rFonts w:ascii="Calibri" w:eastAsia="Times New Roman" w:hAnsi="Calibri" w:cs="Times New Roman"/>
                <w:b/>
                <w:bCs/>
                <w:color w:val="000000"/>
                <w:sz w:val="20"/>
                <w:szCs w:val="20"/>
              </w:rPr>
            </w:pPr>
          </w:p>
        </w:tc>
        <w:tc>
          <w:tcPr>
            <w:tcW w:w="2804" w:type="pct"/>
            <w:gridSpan w:val="3"/>
            <w:shd w:val="clear" w:color="auto" w:fill="BFBFBF" w:themeFill="background1" w:themeFillShade="BF"/>
            <w:vAlign w:val="center"/>
          </w:tcPr>
          <w:p w:rsidR="00B249CD" w:rsidRPr="003E7E72" w:rsidRDefault="00864B35" w:rsidP="00B249CD">
            <w:pPr>
              <w:spacing w:after="0"/>
              <w:jc w:val="cente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Initiating first-</w:t>
            </w:r>
            <w:r w:rsidR="00B249CD" w:rsidRPr="003E7E72">
              <w:rPr>
                <w:rFonts w:ascii="Calibri" w:eastAsia="Times New Roman" w:hAnsi="Calibri" w:cs="Times New Roman"/>
                <w:b/>
                <w:color w:val="000000"/>
                <w:sz w:val="20"/>
                <w:szCs w:val="20"/>
              </w:rPr>
              <w:t>line cohorts</w:t>
            </w:r>
          </w:p>
        </w:tc>
      </w:tr>
      <w:tr w:rsidR="00B249CD" w:rsidRPr="00E132E0" w:rsidTr="003E7E72">
        <w:trPr>
          <w:trHeight w:val="573"/>
        </w:trPr>
        <w:tc>
          <w:tcPr>
            <w:tcW w:w="2196" w:type="pct"/>
            <w:shd w:val="clear" w:color="auto" w:fill="BFBFBF" w:themeFill="background1" w:themeFillShade="BF"/>
            <w:vAlign w:val="center"/>
            <w:hideMark/>
          </w:tcPr>
          <w:p w:rsidR="00B249CD" w:rsidRPr="003E7E72" w:rsidRDefault="00B249CD" w:rsidP="00B249CD">
            <w:pPr>
              <w:spacing w:after="0"/>
              <w:rPr>
                <w:rFonts w:ascii="Calibri" w:eastAsia="Times New Roman" w:hAnsi="Calibri" w:cs="Times New Roman"/>
                <w:b/>
                <w:bCs/>
                <w:color w:val="000000"/>
                <w:sz w:val="20"/>
                <w:szCs w:val="20"/>
              </w:rPr>
            </w:pPr>
          </w:p>
        </w:tc>
        <w:tc>
          <w:tcPr>
            <w:tcW w:w="935" w:type="pct"/>
            <w:shd w:val="clear" w:color="auto" w:fill="BFBFBF" w:themeFill="background1" w:themeFillShade="BF"/>
            <w:vAlign w:val="center"/>
            <w:hideMark/>
          </w:tcPr>
          <w:p w:rsidR="00B249CD" w:rsidRPr="003E7E72" w:rsidRDefault="00B249CD" w:rsidP="00B249CD">
            <w:pPr>
              <w:spacing w:after="0"/>
              <w:jc w:val="center"/>
              <w:rPr>
                <w:rFonts w:ascii="Calibri" w:eastAsia="Times New Roman" w:hAnsi="Calibri" w:cs="Times New Roman"/>
                <w:b/>
                <w:color w:val="000000"/>
                <w:sz w:val="20"/>
                <w:szCs w:val="20"/>
              </w:rPr>
            </w:pPr>
            <w:r w:rsidRPr="003E7E72">
              <w:rPr>
                <w:rFonts w:ascii="Calibri" w:eastAsia="Times New Roman" w:hAnsi="Calibri" w:cs="Times New Roman"/>
                <w:b/>
                <w:color w:val="000000"/>
                <w:sz w:val="20"/>
                <w:szCs w:val="20"/>
              </w:rPr>
              <w:t xml:space="preserve">Year 1 </w:t>
            </w:r>
            <w:r w:rsidRPr="003E7E72">
              <w:rPr>
                <w:rFonts w:ascii="Calibri" w:eastAsia="Times New Roman" w:hAnsi="Calibri" w:cs="Times New Roman"/>
                <w:b/>
                <w:color w:val="000000"/>
                <w:sz w:val="20"/>
                <w:szCs w:val="20"/>
              </w:rPr>
              <w:br/>
              <w:t>(2014)</w:t>
            </w:r>
          </w:p>
        </w:tc>
        <w:tc>
          <w:tcPr>
            <w:tcW w:w="935" w:type="pct"/>
            <w:shd w:val="clear" w:color="auto" w:fill="BFBFBF" w:themeFill="background1" w:themeFillShade="BF"/>
            <w:vAlign w:val="center"/>
            <w:hideMark/>
          </w:tcPr>
          <w:p w:rsidR="00B249CD" w:rsidRPr="003E7E72" w:rsidRDefault="004E3D73" w:rsidP="00B249CD">
            <w:pPr>
              <w:spacing w:after="0"/>
              <w:jc w:val="center"/>
              <w:rPr>
                <w:rFonts w:ascii="Calibri" w:eastAsia="Times New Roman" w:hAnsi="Calibri" w:cs="Times New Roman"/>
                <w:b/>
                <w:color w:val="008080"/>
                <w:sz w:val="20"/>
                <w:szCs w:val="20"/>
              </w:rPr>
            </w:pPr>
            <w:r w:rsidRPr="003E7E72">
              <w:rPr>
                <w:rFonts w:ascii="Calibri" w:eastAsia="Times New Roman" w:hAnsi="Calibri" w:cs="Times New Roman"/>
                <w:b/>
                <w:sz w:val="20"/>
                <w:szCs w:val="20"/>
              </w:rPr>
              <w:t>2014 minus first 2 months</w:t>
            </w:r>
            <w:r w:rsidR="00F46B93">
              <w:rPr>
                <w:rFonts w:ascii="Calibri" w:eastAsia="Times New Roman" w:hAnsi="Calibri" w:cs="Times New Roman"/>
                <w:b/>
                <w:sz w:val="20"/>
                <w:szCs w:val="20"/>
              </w:rPr>
              <w:t>^</w:t>
            </w:r>
          </w:p>
        </w:tc>
        <w:tc>
          <w:tcPr>
            <w:tcW w:w="934" w:type="pct"/>
            <w:shd w:val="clear" w:color="auto" w:fill="BFBFBF" w:themeFill="background1" w:themeFillShade="BF"/>
            <w:vAlign w:val="center"/>
            <w:hideMark/>
          </w:tcPr>
          <w:p w:rsidR="00B249CD" w:rsidRPr="003E7E72" w:rsidRDefault="00B249CD" w:rsidP="00B249CD">
            <w:pPr>
              <w:spacing w:after="0"/>
              <w:jc w:val="center"/>
              <w:rPr>
                <w:rFonts w:ascii="Calibri" w:eastAsia="Times New Roman" w:hAnsi="Calibri" w:cs="Times New Roman"/>
                <w:b/>
                <w:color w:val="000000"/>
                <w:sz w:val="20"/>
                <w:szCs w:val="20"/>
              </w:rPr>
            </w:pPr>
            <w:r w:rsidRPr="003E7E72">
              <w:rPr>
                <w:rFonts w:ascii="Calibri" w:eastAsia="Times New Roman" w:hAnsi="Calibri" w:cs="Times New Roman"/>
                <w:b/>
                <w:color w:val="000000"/>
                <w:sz w:val="20"/>
                <w:szCs w:val="20"/>
              </w:rPr>
              <w:t xml:space="preserve">Year 2 </w:t>
            </w:r>
            <w:r w:rsidRPr="003E7E72">
              <w:rPr>
                <w:rFonts w:ascii="Calibri" w:eastAsia="Times New Roman" w:hAnsi="Calibri" w:cs="Times New Roman"/>
                <w:b/>
                <w:color w:val="000000"/>
                <w:sz w:val="20"/>
                <w:szCs w:val="20"/>
              </w:rPr>
              <w:br/>
              <w:t>(2015)</w:t>
            </w:r>
          </w:p>
        </w:tc>
      </w:tr>
      <w:tr w:rsidR="00D00502" w:rsidRPr="00E132E0" w:rsidTr="00F648B3">
        <w:trPr>
          <w:trHeight w:val="330"/>
        </w:trPr>
        <w:tc>
          <w:tcPr>
            <w:tcW w:w="2196" w:type="pct"/>
            <w:shd w:val="clear" w:color="auto" w:fill="auto"/>
            <w:vAlign w:val="center"/>
            <w:hideMark/>
          </w:tcPr>
          <w:p w:rsidR="00D00502" w:rsidRPr="00B249CD" w:rsidRDefault="00D00502" w:rsidP="00B249CD">
            <w:pPr>
              <w:spacing w:after="0"/>
              <w:rPr>
                <w:rFonts w:ascii="Calibri" w:eastAsia="Times New Roman" w:hAnsi="Calibri" w:cs="Times New Roman"/>
                <w:bCs/>
                <w:color w:val="000000"/>
                <w:sz w:val="20"/>
                <w:szCs w:val="20"/>
              </w:rPr>
            </w:pPr>
            <w:r w:rsidRPr="00B249CD">
              <w:rPr>
                <w:rFonts w:ascii="Calibri" w:eastAsia="Times New Roman" w:hAnsi="Calibri" w:cs="Times New Roman"/>
                <w:bCs/>
                <w:color w:val="000000"/>
                <w:sz w:val="20"/>
                <w:szCs w:val="20"/>
              </w:rPr>
              <w:t>Patie</w:t>
            </w:r>
            <w:r w:rsidR="00864B35">
              <w:rPr>
                <w:rFonts w:ascii="Calibri" w:eastAsia="Times New Roman" w:hAnsi="Calibri" w:cs="Times New Roman"/>
                <w:bCs/>
                <w:color w:val="000000"/>
                <w:sz w:val="20"/>
                <w:szCs w:val="20"/>
              </w:rPr>
              <w:t>nts treated with erlotinib only</w:t>
            </w:r>
            <w:r w:rsidRPr="00B249CD">
              <w:rPr>
                <w:rFonts w:ascii="Calibri" w:eastAsia="Times New Roman" w:hAnsi="Calibri" w:cs="Times New Roman"/>
                <w:bCs/>
                <w:color w:val="000000"/>
                <w:sz w:val="20"/>
                <w:szCs w:val="20"/>
              </w:rPr>
              <w:t>*</w:t>
            </w:r>
          </w:p>
        </w:tc>
        <w:tc>
          <w:tcPr>
            <w:tcW w:w="935" w:type="pct"/>
            <w:shd w:val="clear" w:color="auto" w:fill="auto"/>
            <w:vAlign w:val="center"/>
            <w:hideMark/>
          </w:tcPr>
          <w:p w:rsidR="00D00502" w:rsidRPr="00B249CD" w:rsidRDefault="00D00502" w:rsidP="00F648B3">
            <w:pPr>
              <w:spacing w:after="0"/>
              <w:jc w:val="center"/>
              <w:rPr>
                <w:rFonts w:ascii="Calibri" w:eastAsia="Times New Roman" w:hAnsi="Calibri" w:cs="Times New Roman"/>
                <w:color w:val="000000"/>
                <w:sz w:val="20"/>
                <w:szCs w:val="20"/>
              </w:rPr>
            </w:pPr>
            <w:r w:rsidRPr="00E132E0">
              <w:rPr>
                <w:rFonts w:ascii="Calibri" w:eastAsia="Times New Roman" w:hAnsi="Calibri" w:cs="Times New Roman"/>
                <w:color w:val="000000"/>
                <w:sz w:val="20"/>
                <w:szCs w:val="20"/>
              </w:rPr>
              <w:t>10.7 (n=375)</w:t>
            </w:r>
          </w:p>
        </w:tc>
        <w:tc>
          <w:tcPr>
            <w:tcW w:w="935" w:type="pct"/>
            <w:shd w:val="clear" w:color="auto" w:fill="auto"/>
            <w:vAlign w:val="center"/>
          </w:tcPr>
          <w:p w:rsidR="00D00502" w:rsidRPr="00B249CD" w:rsidRDefault="00F648B3" w:rsidP="00F648B3">
            <w:pPr>
              <w:spacing w:after="0"/>
              <w:jc w:val="center"/>
              <w:rPr>
                <w:rFonts w:ascii="Calibri" w:eastAsia="Times New Roman" w:hAnsi="Calibri" w:cs="Times New Roman"/>
                <w:color w:val="000000"/>
                <w:sz w:val="20"/>
                <w:szCs w:val="20"/>
              </w:rPr>
            </w:pPr>
            <w:r w:rsidRPr="00F648B3">
              <w:rPr>
                <w:rFonts w:ascii="Calibri" w:eastAsia="Times New Roman" w:hAnsi="Calibri" w:cs="Times New Roman"/>
                <w:color w:val="000000"/>
                <w:sz w:val="20"/>
                <w:szCs w:val="20"/>
              </w:rPr>
              <w:t>10.4 (n=224)</w:t>
            </w:r>
          </w:p>
        </w:tc>
        <w:tc>
          <w:tcPr>
            <w:tcW w:w="934" w:type="pct"/>
            <w:shd w:val="clear" w:color="auto" w:fill="auto"/>
            <w:vAlign w:val="center"/>
            <w:hideMark/>
          </w:tcPr>
          <w:p w:rsidR="00D00502" w:rsidRPr="00B249CD" w:rsidRDefault="00D00502" w:rsidP="00F648B3">
            <w:pPr>
              <w:spacing w:after="0"/>
              <w:jc w:val="center"/>
              <w:rPr>
                <w:rFonts w:ascii="Calibri" w:eastAsia="Times New Roman" w:hAnsi="Calibri" w:cs="Times New Roman"/>
                <w:color w:val="000000"/>
                <w:sz w:val="20"/>
                <w:szCs w:val="20"/>
              </w:rPr>
            </w:pPr>
            <w:r w:rsidRPr="00E132E0">
              <w:rPr>
                <w:sz w:val="20"/>
                <w:szCs w:val="20"/>
              </w:rPr>
              <w:t>13.3</w:t>
            </w:r>
            <w:r>
              <w:rPr>
                <w:sz w:val="20"/>
                <w:szCs w:val="20"/>
              </w:rPr>
              <w:t xml:space="preserve"> (n=224)</w:t>
            </w:r>
          </w:p>
        </w:tc>
      </w:tr>
      <w:tr w:rsidR="00D00502" w:rsidRPr="00E132E0" w:rsidTr="00F648B3">
        <w:trPr>
          <w:trHeight w:val="330"/>
        </w:trPr>
        <w:tc>
          <w:tcPr>
            <w:tcW w:w="2196" w:type="pct"/>
            <w:shd w:val="clear" w:color="auto" w:fill="auto"/>
            <w:vAlign w:val="center"/>
            <w:hideMark/>
          </w:tcPr>
          <w:p w:rsidR="00D00502" w:rsidRPr="00B249CD" w:rsidRDefault="00D00502" w:rsidP="00B249CD">
            <w:pPr>
              <w:spacing w:after="0"/>
              <w:rPr>
                <w:rFonts w:ascii="Calibri" w:eastAsia="Times New Roman" w:hAnsi="Calibri" w:cs="Times New Roman"/>
                <w:bCs/>
                <w:color w:val="000000"/>
                <w:sz w:val="20"/>
                <w:szCs w:val="20"/>
              </w:rPr>
            </w:pPr>
            <w:r w:rsidRPr="00B249CD">
              <w:rPr>
                <w:rFonts w:ascii="Calibri" w:eastAsia="Times New Roman" w:hAnsi="Calibri" w:cs="Times New Roman"/>
                <w:bCs/>
                <w:color w:val="000000"/>
                <w:sz w:val="20"/>
                <w:szCs w:val="20"/>
              </w:rPr>
              <w:t xml:space="preserve">Patients treated with gefitinib </w:t>
            </w:r>
            <w:r w:rsidR="00B84313">
              <w:rPr>
                <w:rFonts w:ascii="Calibri" w:eastAsia="Times New Roman" w:hAnsi="Calibri" w:cs="Times New Roman"/>
                <w:bCs/>
                <w:color w:val="000000"/>
                <w:sz w:val="20"/>
                <w:szCs w:val="20"/>
              </w:rPr>
              <w:t>only</w:t>
            </w:r>
          </w:p>
        </w:tc>
        <w:tc>
          <w:tcPr>
            <w:tcW w:w="935" w:type="pct"/>
            <w:shd w:val="clear" w:color="auto" w:fill="auto"/>
            <w:vAlign w:val="center"/>
            <w:hideMark/>
          </w:tcPr>
          <w:p w:rsidR="00D00502" w:rsidRPr="00B249CD" w:rsidRDefault="00D00502" w:rsidP="00F648B3">
            <w:pPr>
              <w:spacing w:after="0"/>
              <w:jc w:val="center"/>
              <w:rPr>
                <w:rFonts w:ascii="Calibri" w:eastAsia="Times New Roman" w:hAnsi="Calibri" w:cs="Times New Roman"/>
                <w:color w:val="000000"/>
                <w:sz w:val="20"/>
                <w:szCs w:val="20"/>
              </w:rPr>
            </w:pPr>
            <w:r w:rsidRPr="00E132E0">
              <w:rPr>
                <w:rFonts w:ascii="Calibri" w:eastAsia="Times New Roman" w:hAnsi="Calibri" w:cs="Times New Roman"/>
                <w:color w:val="000000"/>
                <w:sz w:val="20"/>
                <w:szCs w:val="20"/>
              </w:rPr>
              <w:t>10.3 (n=194)</w:t>
            </w:r>
          </w:p>
        </w:tc>
        <w:tc>
          <w:tcPr>
            <w:tcW w:w="935" w:type="pct"/>
            <w:shd w:val="clear" w:color="auto" w:fill="auto"/>
            <w:vAlign w:val="center"/>
          </w:tcPr>
          <w:p w:rsidR="00D00502" w:rsidRPr="00B249CD" w:rsidRDefault="00F648B3" w:rsidP="00F648B3">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10.2 (n=88)</w:t>
            </w:r>
          </w:p>
        </w:tc>
        <w:tc>
          <w:tcPr>
            <w:tcW w:w="934" w:type="pct"/>
            <w:shd w:val="clear" w:color="auto" w:fill="auto"/>
            <w:vAlign w:val="center"/>
            <w:hideMark/>
          </w:tcPr>
          <w:p w:rsidR="00D00502" w:rsidRPr="00B249CD" w:rsidRDefault="00D00502" w:rsidP="00F648B3">
            <w:pPr>
              <w:spacing w:after="0"/>
              <w:jc w:val="center"/>
              <w:rPr>
                <w:rFonts w:ascii="Calibri" w:eastAsia="Times New Roman" w:hAnsi="Calibri" w:cs="Times New Roman"/>
                <w:color w:val="000000"/>
                <w:sz w:val="20"/>
                <w:szCs w:val="20"/>
              </w:rPr>
            </w:pPr>
            <w:r w:rsidRPr="00E132E0">
              <w:rPr>
                <w:sz w:val="20"/>
                <w:szCs w:val="20"/>
              </w:rPr>
              <w:t>10.2</w:t>
            </w:r>
            <w:r>
              <w:rPr>
                <w:sz w:val="20"/>
                <w:szCs w:val="20"/>
              </w:rPr>
              <w:t xml:space="preserve"> (n=103)</w:t>
            </w:r>
          </w:p>
        </w:tc>
      </w:tr>
      <w:tr w:rsidR="00B249CD" w:rsidRPr="00E132E0" w:rsidTr="00F648B3">
        <w:trPr>
          <w:trHeight w:val="330"/>
        </w:trPr>
        <w:tc>
          <w:tcPr>
            <w:tcW w:w="2196" w:type="pct"/>
            <w:shd w:val="clear" w:color="auto" w:fill="auto"/>
            <w:vAlign w:val="center"/>
            <w:hideMark/>
          </w:tcPr>
          <w:p w:rsidR="00B249CD" w:rsidRPr="00B249CD" w:rsidRDefault="00B249CD" w:rsidP="00B249CD">
            <w:pPr>
              <w:spacing w:after="0"/>
              <w:rPr>
                <w:rFonts w:ascii="Calibri" w:eastAsia="Times New Roman" w:hAnsi="Calibri" w:cs="Times New Roman"/>
                <w:bCs/>
                <w:color w:val="000000"/>
                <w:sz w:val="20"/>
                <w:szCs w:val="20"/>
              </w:rPr>
            </w:pPr>
            <w:r w:rsidRPr="00B249CD">
              <w:rPr>
                <w:rFonts w:ascii="Calibri" w:eastAsia="Times New Roman" w:hAnsi="Calibri" w:cs="Times New Roman"/>
                <w:bCs/>
                <w:color w:val="000000"/>
                <w:sz w:val="20"/>
                <w:szCs w:val="20"/>
              </w:rPr>
              <w:t>Patients that switched between erlotinib and gefitinib or vice versa</w:t>
            </w:r>
          </w:p>
        </w:tc>
        <w:tc>
          <w:tcPr>
            <w:tcW w:w="935" w:type="pct"/>
            <w:shd w:val="clear" w:color="auto" w:fill="auto"/>
            <w:vAlign w:val="center"/>
            <w:hideMark/>
          </w:tcPr>
          <w:p w:rsidR="00B249CD" w:rsidRPr="00B249CD" w:rsidRDefault="00E132E0" w:rsidP="00F648B3">
            <w:pPr>
              <w:spacing w:after="0"/>
              <w:jc w:val="center"/>
              <w:rPr>
                <w:rFonts w:ascii="Calibri" w:eastAsia="Times New Roman" w:hAnsi="Calibri" w:cs="Times New Roman"/>
                <w:color w:val="000000"/>
                <w:sz w:val="20"/>
                <w:szCs w:val="20"/>
              </w:rPr>
            </w:pPr>
            <w:r w:rsidRPr="00E132E0">
              <w:rPr>
                <w:rFonts w:ascii="Calibri" w:eastAsia="Times New Roman" w:hAnsi="Calibri" w:cs="Times New Roman"/>
                <w:color w:val="000000"/>
                <w:sz w:val="20"/>
                <w:szCs w:val="20"/>
              </w:rPr>
              <w:t>12.3 (n=29)</w:t>
            </w:r>
          </w:p>
        </w:tc>
        <w:tc>
          <w:tcPr>
            <w:tcW w:w="935" w:type="pct"/>
            <w:shd w:val="clear" w:color="auto" w:fill="auto"/>
            <w:vAlign w:val="center"/>
            <w:hideMark/>
          </w:tcPr>
          <w:p w:rsidR="00B249CD" w:rsidRPr="00B249CD" w:rsidRDefault="00F648B3" w:rsidP="00F648B3">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18.9 (n=17)</w:t>
            </w:r>
          </w:p>
        </w:tc>
        <w:tc>
          <w:tcPr>
            <w:tcW w:w="934" w:type="pct"/>
            <w:shd w:val="clear" w:color="auto" w:fill="auto"/>
            <w:vAlign w:val="center"/>
            <w:hideMark/>
          </w:tcPr>
          <w:p w:rsidR="00B249CD" w:rsidRPr="00B249CD" w:rsidRDefault="00E132E0" w:rsidP="00F648B3">
            <w:pPr>
              <w:spacing w:after="0"/>
              <w:jc w:val="center"/>
              <w:rPr>
                <w:rFonts w:ascii="Calibri" w:eastAsia="Times New Roman" w:hAnsi="Calibri" w:cs="Times New Roman"/>
                <w:color w:val="000000"/>
                <w:sz w:val="20"/>
                <w:szCs w:val="20"/>
              </w:rPr>
            </w:pPr>
            <w:r w:rsidRPr="00E132E0">
              <w:rPr>
                <w:rFonts w:ascii="Calibri" w:eastAsia="Times New Roman" w:hAnsi="Calibri" w:cs="Times New Roman"/>
                <w:color w:val="000000"/>
                <w:sz w:val="20"/>
                <w:szCs w:val="20"/>
              </w:rPr>
              <w:t>7.7 (n=20)</w:t>
            </w:r>
          </w:p>
        </w:tc>
      </w:tr>
      <w:tr w:rsidR="00B249CD" w:rsidRPr="00E132E0" w:rsidTr="00F648B3">
        <w:trPr>
          <w:trHeight w:val="330"/>
        </w:trPr>
        <w:tc>
          <w:tcPr>
            <w:tcW w:w="2196" w:type="pct"/>
            <w:shd w:val="clear" w:color="auto" w:fill="auto"/>
            <w:vAlign w:val="center"/>
            <w:hideMark/>
          </w:tcPr>
          <w:p w:rsidR="00B249CD" w:rsidRPr="00B249CD" w:rsidRDefault="00B249CD" w:rsidP="00B249CD">
            <w:pPr>
              <w:spacing w:after="0"/>
              <w:rPr>
                <w:rFonts w:ascii="Calibri" w:eastAsia="Times New Roman" w:hAnsi="Calibri" w:cs="Times New Roman"/>
                <w:bCs/>
                <w:color w:val="000000"/>
                <w:sz w:val="20"/>
                <w:szCs w:val="20"/>
              </w:rPr>
            </w:pPr>
            <w:r w:rsidRPr="00B249CD">
              <w:rPr>
                <w:rFonts w:ascii="Calibri" w:eastAsia="Times New Roman" w:hAnsi="Calibri" w:cs="Times New Roman"/>
                <w:bCs/>
                <w:color w:val="000000"/>
                <w:sz w:val="20"/>
                <w:szCs w:val="20"/>
              </w:rPr>
              <w:t>All Patients on any TKI therapy</w:t>
            </w:r>
          </w:p>
        </w:tc>
        <w:tc>
          <w:tcPr>
            <w:tcW w:w="935" w:type="pct"/>
            <w:shd w:val="clear" w:color="auto" w:fill="auto"/>
            <w:vAlign w:val="center"/>
            <w:hideMark/>
          </w:tcPr>
          <w:p w:rsidR="00B249CD" w:rsidRPr="00B249CD" w:rsidRDefault="00D00502" w:rsidP="00F648B3">
            <w:pPr>
              <w:spacing w:after="0"/>
              <w:jc w:val="center"/>
              <w:rPr>
                <w:rFonts w:eastAsia="Times New Roman" w:cs="Times New Roman"/>
                <w:color w:val="000000"/>
                <w:sz w:val="20"/>
                <w:szCs w:val="20"/>
              </w:rPr>
            </w:pPr>
            <w:r w:rsidRPr="00D00502">
              <w:rPr>
                <w:sz w:val="20"/>
                <w:szCs w:val="20"/>
              </w:rPr>
              <w:t>10.8</w:t>
            </w:r>
            <w:r w:rsidRPr="00D00502">
              <w:rPr>
                <w:rFonts w:eastAsia="Times New Roman" w:cs="Times New Roman"/>
                <w:color w:val="000000"/>
                <w:sz w:val="20"/>
                <w:szCs w:val="20"/>
              </w:rPr>
              <w:t xml:space="preserve"> </w:t>
            </w:r>
            <w:r w:rsidR="00B249CD" w:rsidRPr="00B249CD">
              <w:rPr>
                <w:rFonts w:eastAsia="Times New Roman" w:cs="Times New Roman"/>
                <w:color w:val="000000"/>
                <w:sz w:val="20"/>
                <w:szCs w:val="20"/>
              </w:rPr>
              <w:t>(n=598)</w:t>
            </w:r>
          </w:p>
        </w:tc>
        <w:tc>
          <w:tcPr>
            <w:tcW w:w="935" w:type="pct"/>
            <w:shd w:val="clear" w:color="auto" w:fill="auto"/>
            <w:vAlign w:val="center"/>
            <w:hideMark/>
          </w:tcPr>
          <w:p w:rsidR="00B249CD" w:rsidRPr="00B249CD" w:rsidRDefault="00FD38C3" w:rsidP="00F648B3">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10.8 (n=329)</w:t>
            </w:r>
          </w:p>
        </w:tc>
        <w:tc>
          <w:tcPr>
            <w:tcW w:w="934" w:type="pct"/>
            <w:shd w:val="clear" w:color="auto" w:fill="auto"/>
            <w:vAlign w:val="center"/>
            <w:hideMark/>
          </w:tcPr>
          <w:p w:rsidR="00B249CD" w:rsidRPr="00B249CD" w:rsidRDefault="00D00502" w:rsidP="00F648B3">
            <w:pPr>
              <w:spacing w:after="0"/>
              <w:jc w:val="center"/>
              <w:rPr>
                <w:rFonts w:eastAsia="Times New Roman" w:cs="Times New Roman"/>
                <w:color w:val="000000"/>
                <w:sz w:val="20"/>
                <w:szCs w:val="20"/>
              </w:rPr>
            </w:pPr>
            <w:r w:rsidRPr="00D00502">
              <w:rPr>
                <w:sz w:val="20"/>
                <w:szCs w:val="20"/>
              </w:rPr>
              <w:t>11.0</w:t>
            </w:r>
            <w:r w:rsidR="00B249CD" w:rsidRPr="00B249CD">
              <w:rPr>
                <w:rFonts w:eastAsia="Times New Roman" w:cs="Times New Roman"/>
                <w:color w:val="000000"/>
                <w:sz w:val="20"/>
                <w:szCs w:val="20"/>
              </w:rPr>
              <w:t xml:space="preserve"> (n=347)</w:t>
            </w:r>
          </w:p>
        </w:tc>
      </w:tr>
    </w:tbl>
    <w:p w:rsidR="00B249CD" w:rsidRDefault="00B249CD" w:rsidP="00B249CD">
      <w:pPr>
        <w:spacing w:after="0"/>
        <w:rPr>
          <w:sz w:val="20"/>
          <w:szCs w:val="20"/>
        </w:rPr>
      </w:pPr>
      <w:r w:rsidRPr="00E132E0">
        <w:rPr>
          <w:sz w:val="20"/>
          <w:szCs w:val="20"/>
        </w:rPr>
        <w:t>*irrespective of strength</w:t>
      </w:r>
    </w:p>
    <w:p w:rsidR="00F46B93" w:rsidRPr="00E132E0" w:rsidRDefault="00F46B93" w:rsidP="00B249CD">
      <w:pPr>
        <w:spacing w:after="0"/>
        <w:rPr>
          <w:sz w:val="20"/>
          <w:szCs w:val="20"/>
        </w:rPr>
      </w:pPr>
      <w:r>
        <w:rPr>
          <w:sz w:val="20"/>
          <w:szCs w:val="20"/>
        </w:rPr>
        <w:t xml:space="preserve">^ </w:t>
      </w:r>
      <w:r w:rsidR="00864B35">
        <w:rPr>
          <w:sz w:val="20"/>
          <w:szCs w:val="20"/>
        </w:rPr>
        <w:t>the y</w:t>
      </w:r>
      <w:r w:rsidR="00911F31">
        <w:rPr>
          <w:sz w:val="20"/>
          <w:szCs w:val="20"/>
        </w:rPr>
        <w:t xml:space="preserve">ear 1 cohort was assessed including and excluding the patients commencing PBS therapy in the first two months of listing </w:t>
      </w:r>
      <w:r>
        <w:rPr>
          <w:sz w:val="20"/>
          <w:szCs w:val="20"/>
        </w:rPr>
        <w:t>to assess any difference in durations for patients that may have been grandfathered</w:t>
      </w:r>
      <w:r w:rsidR="00911F31">
        <w:rPr>
          <w:sz w:val="20"/>
          <w:szCs w:val="20"/>
        </w:rPr>
        <w:t>.</w:t>
      </w:r>
    </w:p>
    <w:p w:rsidR="00B249CD" w:rsidRPr="00E132E0" w:rsidRDefault="00B249CD" w:rsidP="00B249CD">
      <w:pPr>
        <w:spacing w:after="0"/>
        <w:rPr>
          <w:sz w:val="20"/>
          <w:szCs w:val="20"/>
        </w:rPr>
      </w:pPr>
      <w:r w:rsidRPr="00E132E0">
        <w:rPr>
          <w:sz w:val="20"/>
          <w:szCs w:val="20"/>
        </w:rPr>
        <w:t>F</w:t>
      </w:r>
      <w:r w:rsidR="007F6B57">
        <w:rPr>
          <w:sz w:val="20"/>
          <w:szCs w:val="20"/>
        </w:rPr>
        <w:t>ollow-up data available until the end of September 2016 (based on date of supply)</w:t>
      </w:r>
    </w:p>
    <w:p w:rsidR="006D49D1" w:rsidRDefault="006D49D1" w:rsidP="000848E1">
      <w:pPr>
        <w:spacing w:after="0"/>
        <w:rPr>
          <w:b/>
        </w:rPr>
      </w:pPr>
    </w:p>
    <w:p w:rsidR="00AB236F" w:rsidRPr="00AB236F" w:rsidRDefault="00AB236F" w:rsidP="00AB236F">
      <w:r w:rsidRPr="00AB236F">
        <w:t xml:space="preserve">The erlotinib </w:t>
      </w:r>
      <w:r w:rsidR="000E0503">
        <w:rPr>
          <w:noProof/>
          <w:color w:val="000000"/>
          <w:highlight w:val="black"/>
        </w:rPr>
        <w:t>''''''''''''''''''''''' '''''''''''''''''' ''''''''' ''''''''''''''''' ''''''''''''''' '''''''''''' '''''' '''''''' '''''''''''''''''''''''' ''''''''''' ''''' ''''''' '''''''''''''''''' ''''''''''' ''''''''' ''''' ''''''''''''''''''' ''''''''''''''''''' ''''''''''''''''' '''''''''''' ''''''''' ''''''' '''''''''''''' ''''''''</w:t>
      </w:r>
      <w:r w:rsidRPr="00AB236F">
        <w:t xml:space="preserve">  The gef</w:t>
      </w:r>
      <w:r w:rsidR="003D3EAA">
        <w:t>itinib submission assumed ten</w:t>
      </w:r>
      <w:r w:rsidRPr="00AB236F">
        <w:t xml:space="preserve"> </w:t>
      </w:r>
      <w:r w:rsidR="003D3EAA">
        <w:t>pre</w:t>
      </w:r>
      <w:r w:rsidRPr="00AB236F">
        <w:t>script</w:t>
      </w:r>
      <w:r w:rsidR="003D3EAA">
        <w:t>ions per first-</w:t>
      </w:r>
      <w:r w:rsidRPr="00AB236F">
        <w:t>line patient based on the median PFS in IPASS trial.</w:t>
      </w:r>
      <w:r w:rsidR="00E83558">
        <w:t xml:space="preserve"> The median le</w:t>
      </w:r>
      <w:r w:rsidR="003D3EAA">
        <w:t>ngth on TKI treatment for first-</w:t>
      </w:r>
      <w:r w:rsidR="00E83558">
        <w:t xml:space="preserve">line use has been similar to that </w:t>
      </w:r>
      <w:r w:rsidR="00F46B93">
        <w:t>p</w:t>
      </w:r>
      <w:r w:rsidR="00E83558">
        <w:t>redicted</w:t>
      </w:r>
      <w:r w:rsidR="00F46B93">
        <w:t>.</w:t>
      </w:r>
    </w:p>
    <w:p w:rsidR="00F05D94" w:rsidRDefault="00F05D94" w:rsidP="00C51F17">
      <w:r>
        <w:t xml:space="preserve">The </w:t>
      </w:r>
      <w:r w:rsidR="00AB236F">
        <w:t xml:space="preserve">number of </w:t>
      </w:r>
      <w:r>
        <w:t>patients switch</w:t>
      </w:r>
      <w:r w:rsidR="00AB236F">
        <w:t>ing between</w:t>
      </w:r>
      <w:r>
        <w:t xml:space="preserve"> TKI drugs </w:t>
      </w:r>
      <w:r w:rsidR="00AB236F">
        <w:t>is low. Only</w:t>
      </w:r>
      <w:r>
        <w:t xml:space="preserve"> 4.8% (</w:t>
      </w:r>
      <w:r w:rsidR="00AB236F">
        <w:t>n=</w:t>
      </w:r>
      <w:r>
        <w:t>29) and 5.8% (</w:t>
      </w:r>
      <w:r w:rsidR="00AB236F">
        <w:t>n=</w:t>
      </w:r>
      <w:r>
        <w:t xml:space="preserve">20) </w:t>
      </w:r>
      <w:r w:rsidR="00AB236F">
        <w:t xml:space="preserve">of patients </w:t>
      </w:r>
      <w:r>
        <w:t xml:space="preserve">in the </w:t>
      </w:r>
      <w:r w:rsidR="003D3EAA">
        <w:t>y</w:t>
      </w:r>
      <w:r>
        <w:t>ear 1 and 2 cohorts</w:t>
      </w:r>
      <w:r w:rsidR="00AB236F">
        <w:t>, respectively,</w:t>
      </w:r>
      <w:r>
        <w:t xml:space="preserve"> </w:t>
      </w:r>
      <w:r w:rsidR="00AB236F">
        <w:t>switched between TKIs</w:t>
      </w:r>
      <w:r>
        <w:t>.</w:t>
      </w:r>
      <w:r w:rsidR="00F46B93">
        <w:t xml:space="preserve"> Although the median time on treatment in this group of patients appears to differ from the duration of use in patients using only erlotinib or gefitinib, this may be due to the small number of patients in the analysis.</w:t>
      </w:r>
    </w:p>
    <w:p w:rsidR="00AB4938" w:rsidRDefault="00AB236F" w:rsidP="00911F31">
      <w:r w:rsidRPr="00911F31">
        <w:t xml:space="preserve">A concern raised by DUSC and the PBAC was the potential for </w:t>
      </w:r>
      <w:r w:rsidR="00911F31">
        <w:t>the TKI</w:t>
      </w:r>
      <w:r w:rsidR="00F46B93">
        <w:t>s to be used beyond progression or in combination with chemotherapy.</w:t>
      </w:r>
      <w:r w:rsidR="00FA72AF" w:rsidRPr="00FA72AF">
        <w:t xml:space="preserve"> A</w:t>
      </w:r>
      <w:r w:rsidR="00FA72AF">
        <w:t xml:space="preserve">n </w:t>
      </w:r>
      <w:r w:rsidR="00FA72AF" w:rsidRPr="00FA72AF">
        <w:t>analysis examined patterns of treatment with a first-line TKI, followed by chemotherapy (indicating progression) and then subsequent TKI use</w:t>
      </w:r>
      <w:r w:rsidR="003D3EAA">
        <w:t>. Of the 598 y</w:t>
      </w:r>
      <w:r w:rsidR="00FA72AF">
        <w:t>ear 1 cohor</w:t>
      </w:r>
      <w:r w:rsidR="003D3EAA">
        <w:t>t patients that initiated first-</w:t>
      </w:r>
      <w:r w:rsidR="00FA72AF">
        <w:t>line therapy on erlotinib or gefitinib, there were 44 (</w:t>
      </w:r>
      <w:r w:rsidR="003D3EAA">
        <w:t>i.e.</w:t>
      </w:r>
      <w:r w:rsidR="00FA72AF">
        <w:t xml:space="preserve"> 7.4%) that had one or more supplies of chemotherapy (</w:t>
      </w:r>
      <w:r w:rsidR="003D3EAA">
        <w:t>i.e.</w:t>
      </w:r>
      <w:r w:rsidR="00FA72AF">
        <w:t xml:space="preserve"> any non-TKI L01 prescription) between supplies of TKI prescriptions.</w:t>
      </w:r>
    </w:p>
    <w:p w:rsidR="00E30061" w:rsidRPr="00E30061" w:rsidRDefault="00AB4938" w:rsidP="00E30061">
      <w:pPr>
        <w:rPr>
          <w:b/>
          <w:bCs/>
        </w:rPr>
      </w:pPr>
      <w:r>
        <w:t xml:space="preserve">A further area of uncertainty raised by DUSC was the </w:t>
      </w:r>
      <w:r w:rsidR="00911F31">
        <w:t xml:space="preserve">prevalence of </w:t>
      </w:r>
      <w:r w:rsidR="00C71603">
        <w:t xml:space="preserve">NSCLC patients harbouring </w:t>
      </w:r>
      <w:r w:rsidR="00911F31">
        <w:t xml:space="preserve">EFGR mutations.  </w:t>
      </w:r>
      <w:r w:rsidR="00E30061" w:rsidRPr="00E30061">
        <w:t>In 2015-16 there were 2,959 services for MBS item 73337</w:t>
      </w:r>
      <w:r w:rsidR="00E30061" w:rsidRPr="00E30061">
        <w:rPr>
          <w:vertAlign w:val="superscript"/>
        </w:rPr>
        <w:footnoteReference w:id="8"/>
      </w:r>
      <w:r w:rsidR="00E30061" w:rsidRPr="00E30061">
        <w:t xml:space="preserve"> and 530 new patients initiating erlotinib or gefitinib through the PBS. This indicates the prevalence of activating EGFR mutations in the tested and treated population is 17.9%, which is similar to the predicted estimate of 15%.</w:t>
      </w:r>
      <w:r w:rsidR="003D3EAA">
        <w:rPr>
          <w:rStyle w:val="FootnoteReference"/>
        </w:rPr>
        <w:footnoteReference w:id="9"/>
      </w:r>
      <w:r w:rsidR="00E30061" w:rsidRPr="00E30061">
        <w:t xml:space="preserve"> </w:t>
      </w:r>
    </w:p>
    <w:p w:rsidR="00A12517" w:rsidRDefault="00A12517">
      <w:pPr>
        <w:spacing w:line="276" w:lineRule="auto"/>
        <w:rPr>
          <w:b/>
          <w:sz w:val="32"/>
          <w:szCs w:val="32"/>
        </w:rPr>
      </w:pPr>
      <w:r>
        <w:rPr>
          <w:i/>
        </w:rPr>
        <w:br w:type="page"/>
      </w:r>
    </w:p>
    <w:p w:rsidR="00957943" w:rsidRPr="00605DA3" w:rsidRDefault="00957943" w:rsidP="00957943">
      <w:pPr>
        <w:pStyle w:val="Heading4"/>
        <w:rPr>
          <w:i w:val="0"/>
        </w:rPr>
      </w:pPr>
      <w:r w:rsidRPr="00605DA3">
        <w:rPr>
          <w:i w:val="0"/>
        </w:rPr>
        <w:lastRenderedPageBreak/>
        <w:t>DUSC consideration</w:t>
      </w:r>
    </w:p>
    <w:p w:rsidR="00432538" w:rsidRPr="00432538" w:rsidRDefault="00432538" w:rsidP="00432538">
      <w:pPr>
        <w:spacing w:line="276" w:lineRule="auto"/>
      </w:pPr>
      <w:r w:rsidRPr="00432538">
        <w:t>DUSC noted that:</w:t>
      </w:r>
    </w:p>
    <w:p w:rsidR="00432538" w:rsidRPr="00432538" w:rsidRDefault="00432538" w:rsidP="00432538">
      <w:pPr>
        <w:pStyle w:val="ListParagraph"/>
        <w:numPr>
          <w:ilvl w:val="0"/>
          <w:numId w:val="28"/>
        </w:numPr>
        <w:spacing w:after="0" w:line="276" w:lineRule="auto"/>
      </w:pPr>
      <w:r w:rsidRPr="00432538">
        <w:rPr>
          <w:lang w:val="en-US"/>
        </w:rPr>
        <w:t>The number of patients initiating erlotinib or gefitinib was similar to predicted in Year 1 and lower than expected in the Year 2 after the restriction extension on 1 January 2014 to include first-line patients.</w:t>
      </w:r>
    </w:p>
    <w:p w:rsidR="00432538" w:rsidRPr="00432538" w:rsidRDefault="00CF1D29" w:rsidP="00432538">
      <w:pPr>
        <w:pStyle w:val="ListParagraph"/>
        <w:numPr>
          <w:ilvl w:val="0"/>
          <w:numId w:val="28"/>
        </w:numPr>
        <w:spacing w:after="0" w:line="276" w:lineRule="auto"/>
      </w:pPr>
      <w:r>
        <w:t>T</w:t>
      </w:r>
      <w:r w:rsidRPr="00432538">
        <w:t xml:space="preserve">here </w:t>
      </w:r>
      <w:r w:rsidR="00432538" w:rsidRPr="00432538">
        <w:t>were access programs prior to the change in listing on 1 January 2014, therefore higher “initial” use in 2014 was likely due to grandfathering arrangements. Median length on TKI treatment for first-line use was similar to predicted from data available to date.</w:t>
      </w:r>
    </w:p>
    <w:p w:rsidR="00432538" w:rsidRPr="00432538" w:rsidRDefault="00432538" w:rsidP="00432538">
      <w:pPr>
        <w:pStyle w:val="ListParagraph"/>
        <w:numPr>
          <w:ilvl w:val="0"/>
          <w:numId w:val="28"/>
        </w:numPr>
        <w:spacing w:after="0" w:line="276" w:lineRule="auto"/>
      </w:pPr>
      <w:r w:rsidRPr="00432538">
        <w:t>Observed prevalence of EGFR mutations (17.9%) was similar to predicted (15%).</w:t>
      </w:r>
    </w:p>
    <w:p w:rsidR="00432538" w:rsidRPr="00432538" w:rsidRDefault="00432538" w:rsidP="00432538">
      <w:pPr>
        <w:pStyle w:val="ListParagraph"/>
        <w:numPr>
          <w:ilvl w:val="0"/>
          <w:numId w:val="28"/>
        </w:numPr>
        <w:spacing w:line="276" w:lineRule="auto"/>
        <w:ind w:left="357" w:hanging="357"/>
      </w:pPr>
      <w:r w:rsidRPr="00432538">
        <w:t>7.4% of patients initiating TKI therapy in 2014 had supplies of chemotherapy between supplies of TKI indicating use beyond progression or in combination with chemotherapy. A Sponsor considered that the usage of TKIs beyond progression of disease is likely to have decreased since the report analysis was conducted because immunotherapies have become available (through trials and access programs) for previously treated NSCLC. DUSC noted that immunotherapies are not currently indicated for first line treatment of locally advanced or metastatic NSCLC in patients with tumour EGFR gene mutations but nivolumab may be used after progression on or after targeted therapy.</w:t>
      </w:r>
    </w:p>
    <w:p w:rsidR="00432538" w:rsidRPr="00A12517" w:rsidRDefault="00432538" w:rsidP="00A12517">
      <w:pPr>
        <w:pStyle w:val="Heading4"/>
        <w:rPr>
          <w:i w:val="0"/>
        </w:rPr>
      </w:pPr>
      <w:r w:rsidRPr="00A12517">
        <w:rPr>
          <w:i w:val="0"/>
        </w:rPr>
        <w:t>DUSC Actions</w:t>
      </w:r>
    </w:p>
    <w:p w:rsidR="00432538" w:rsidRDefault="00432538" w:rsidP="00432538">
      <w:r w:rsidRPr="001C1075">
        <w:t>Refer the report</w:t>
      </w:r>
      <w:r>
        <w:t>, Sponsor responses and DUSC minutes</w:t>
      </w:r>
      <w:r w:rsidRPr="001C1075">
        <w:t xml:space="preserve"> to </w:t>
      </w:r>
      <w:r>
        <w:t xml:space="preserve">the </w:t>
      </w:r>
      <w:r w:rsidRPr="001C1075">
        <w:t>PBAC.</w:t>
      </w:r>
    </w:p>
    <w:p w:rsidR="00127506" w:rsidRPr="00365B75" w:rsidRDefault="00127506" w:rsidP="00127506">
      <w:pPr>
        <w:spacing w:before="240"/>
        <w:outlineLvl w:val="3"/>
        <w:rPr>
          <w:rFonts w:ascii="Calibri" w:eastAsia="MS Mincho" w:hAnsi="Calibri" w:cs="Times New Roman"/>
          <w:b/>
          <w:sz w:val="32"/>
          <w:szCs w:val="32"/>
        </w:rPr>
      </w:pPr>
      <w:r w:rsidRPr="00365B75">
        <w:rPr>
          <w:rFonts w:ascii="Calibri" w:eastAsia="MS Mincho" w:hAnsi="Calibri" w:cs="Times New Roman"/>
          <w:b/>
          <w:sz w:val="32"/>
          <w:szCs w:val="32"/>
        </w:rPr>
        <w:t>Context for analysis</w:t>
      </w:r>
    </w:p>
    <w:p w:rsidR="00127506" w:rsidRPr="00365B75" w:rsidRDefault="00127506" w:rsidP="00127506">
      <w:pPr>
        <w:rPr>
          <w:rFonts w:ascii="Calibri" w:eastAsia="MS Mincho" w:hAnsi="Calibri" w:cs="Times New Roman"/>
        </w:rPr>
      </w:pPr>
      <w:r w:rsidRPr="00365B75">
        <w:rPr>
          <w:rFonts w:ascii="Calibri" w:eastAsia="MS Mincho" w:hAnsi="Calibri" w:cs="Times New Roman"/>
        </w:rPr>
        <w:t>The DUSC is a Sub Committee of the Pharmaceutical Benefits Advisory Committee (PBAC). The DUSC assesses estimates on projected usage and financial cost of medicines.</w:t>
      </w:r>
    </w:p>
    <w:p w:rsidR="00127506" w:rsidRPr="00365B75" w:rsidRDefault="00127506" w:rsidP="00127506">
      <w:pPr>
        <w:rPr>
          <w:rFonts w:ascii="Calibri" w:eastAsia="MS Mincho" w:hAnsi="Calibri" w:cs="Times New Roman"/>
        </w:rPr>
      </w:pPr>
      <w:r w:rsidRPr="00365B75">
        <w:rPr>
          <w:rFonts w:ascii="Calibri" w:eastAsia="MS Mincho" w:hAnsi="Calibri" w:cs="Times New Roman"/>
        </w:rP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127506" w:rsidRPr="00365B75" w:rsidRDefault="00127506" w:rsidP="00127506">
      <w:pPr>
        <w:rPr>
          <w:rFonts w:ascii="Calibri" w:eastAsia="MS Mincho" w:hAnsi="Calibri" w:cs="Times New Roman"/>
        </w:rPr>
      </w:pPr>
      <w:r w:rsidRPr="00365B75">
        <w:rPr>
          <w:rFonts w:ascii="Calibri" w:eastAsia="MS Mincho" w:hAnsi="Calibri" w:cs="Times New Roman"/>
        </w:rP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127506" w:rsidRPr="00365B75" w:rsidRDefault="00127506" w:rsidP="00127506">
      <w:pPr>
        <w:rPr>
          <w:rFonts w:ascii="Calibri" w:eastAsia="MS Mincho" w:hAnsi="Calibri" w:cs="Times New Roman"/>
        </w:rPr>
      </w:pPr>
      <w:r w:rsidRPr="00365B75">
        <w:rPr>
          <w:rFonts w:ascii="Calibri" w:eastAsia="MS Mincho" w:hAnsi="Calibri" w:cs="Times New Roman"/>
        </w:rPr>
        <w:t>The utilisation analysis report was provided to the pharmaceutical sponsors of each drug and comments on the report were provided to DUSC prior to its consideration of the analysis.</w:t>
      </w:r>
    </w:p>
    <w:p w:rsidR="00127506" w:rsidRPr="00365B75" w:rsidRDefault="00127506" w:rsidP="00127506">
      <w:pPr>
        <w:spacing w:before="240"/>
        <w:outlineLvl w:val="3"/>
        <w:rPr>
          <w:rFonts w:ascii="Calibri" w:eastAsia="MS Mincho" w:hAnsi="Calibri" w:cs="Times New Roman"/>
          <w:b/>
          <w:sz w:val="32"/>
          <w:szCs w:val="32"/>
        </w:rPr>
      </w:pPr>
      <w:r w:rsidRPr="00365B75">
        <w:rPr>
          <w:rFonts w:ascii="Calibri" w:eastAsia="MS Mincho" w:hAnsi="Calibri" w:cs="Times New Roman"/>
          <w:b/>
          <w:sz w:val="32"/>
          <w:szCs w:val="32"/>
        </w:rPr>
        <w:lastRenderedPageBreak/>
        <w:t>Sponsors’ comments</w:t>
      </w:r>
    </w:p>
    <w:p w:rsidR="00DB5136" w:rsidRDefault="00127506" w:rsidP="00127506">
      <w:r w:rsidRPr="00C54275">
        <w:rPr>
          <w:rFonts w:ascii="Calibri" w:hAnsi="Calibri"/>
        </w:rPr>
        <w:t>AstraZeneca Pty Ltd</w:t>
      </w:r>
      <w:r>
        <w:rPr>
          <w:rFonts w:ascii="Calibri" w:hAnsi="Calibri"/>
        </w:rPr>
        <w:t xml:space="preserve"> (Gefitinib)</w:t>
      </w:r>
      <w:r w:rsidR="00957943">
        <w:rPr>
          <w:rFonts w:ascii="Calibri" w:hAnsi="Calibri"/>
        </w:rPr>
        <w:t>:</w:t>
      </w:r>
      <w:r w:rsidR="00273B90">
        <w:rPr>
          <w:rFonts w:ascii="Calibri" w:hAnsi="Calibri"/>
        </w:rPr>
        <w:t xml:space="preserve"> </w:t>
      </w:r>
      <w:r w:rsidR="00273B90" w:rsidRPr="00273B90">
        <w:t>The sponsor has no comment.</w:t>
      </w:r>
    </w:p>
    <w:p w:rsidR="00DB5136" w:rsidRDefault="00127506" w:rsidP="00127506">
      <w:r w:rsidRPr="001C487D">
        <w:t>Roche Products Pty Ltd</w:t>
      </w:r>
      <w:r>
        <w:t xml:space="preserve"> (Erlotinib)</w:t>
      </w:r>
      <w:r w:rsidR="00957943">
        <w:t>:</w:t>
      </w:r>
      <w:r w:rsidR="00273B90">
        <w:t xml:space="preserve"> </w:t>
      </w:r>
      <w:r w:rsidR="00273B90" w:rsidRPr="00273B90">
        <w:t>The sponsor has no comment.</w:t>
      </w:r>
    </w:p>
    <w:p w:rsidR="00127506" w:rsidRPr="00365B75" w:rsidRDefault="00127506" w:rsidP="00127506">
      <w:pPr>
        <w:spacing w:before="240"/>
        <w:outlineLvl w:val="3"/>
        <w:rPr>
          <w:rFonts w:ascii="Calibri" w:eastAsia="MS Mincho" w:hAnsi="Calibri" w:cs="Times New Roman"/>
          <w:b/>
          <w:sz w:val="32"/>
          <w:szCs w:val="32"/>
        </w:rPr>
      </w:pPr>
      <w:r w:rsidRPr="00365B75">
        <w:rPr>
          <w:rFonts w:ascii="Calibri" w:eastAsia="MS Mincho" w:hAnsi="Calibri" w:cs="Times New Roman"/>
          <w:b/>
          <w:sz w:val="32"/>
          <w:szCs w:val="32"/>
        </w:rPr>
        <w:t>Disclaimer</w:t>
      </w:r>
    </w:p>
    <w:p w:rsidR="00127506" w:rsidRPr="00365B75" w:rsidRDefault="00127506" w:rsidP="00127506">
      <w:pPr>
        <w:rPr>
          <w:rFonts w:ascii="Calibri" w:eastAsia="MS Mincho" w:hAnsi="Calibri" w:cs="Times New Roman"/>
        </w:rPr>
      </w:pPr>
      <w:r w:rsidRPr="00365B75">
        <w:rPr>
          <w:rFonts w:ascii="Calibri" w:eastAsia="MS Mincho" w:hAnsi="Calibri" w:cs="Times New Roman"/>
        </w:rP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127506" w:rsidRPr="00365B75" w:rsidRDefault="00127506" w:rsidP="00127506">
      <w:pPr>
        <w:rPr>
          <w:rFonts w:ascii="Calibri" w:eastAsia="MS Mincho" w:hAnsi="Calibri" w:cs="Times New Roman"/>
        </w:rPr>
      </w:pPr>
      <w:r w:rsidRPr="00365B75">
        <w:rPr>
          <w:rFonts w:ascii="Calibri" w:eastAsia="MS Mincho" w:hAnsi="Calibri" w:cs="Times New Roman"/>
        </w:rP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127506" w:rsidRPr="00365B75" w:rsidRDefault="00127506" w:rsidP="00127506">
      <w:pPr>
        <w:rPr>
          <w:rFonts w:ascii="Calibri" w:eastAsia="MS Mincho" w:hAnsi="Calibri" w:cs="Times New Roman"/>
        </w:rPr>
      </w:pPr>
      <w:r w:rsidRPr="00365B75">
        <w:rPr>
          <w:rFonts w:ascii="Calibri" w:eastAsia="MS Mincho" w:hAnsi="Calibri" w:cs="Times New Roman"/>
        </w:rPr>
        <w:t xml:space="preserve">To the extent provided by law, DoH makes no warranties or representations as to accuracy or completeness of information contained in this report. </w:t>
      </w:r>
    </w:p>
    <w:p w:rsidR="00127506" w:rsidRPr="00365B75" w:rsidRDefault="00127506" w:rsidP="00127506">
      <w:pPr>
        <w:rPr>
          <w:rFonts w:ascii="Calibri" w:eastAsia="MS Mincho" w:hAnsi="Calibri" w:cs="Times New Roman"/>
        </w:rPr>
      </w:pPr>
      <w:r w:rsidRPr="00365B75">
        <w:rPr>
          <w:rFonts w:ascii="Calibri" w:eastAsia="MS Mincho" w:hAnsi="Calibri" w:cs="Times New Roman"/>
        </w:rP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D4060E" w:rsidRDefault="00D4060E">
      <w:pPr>
        <w:spacing w:line="276" w:lineRule="auto"/>
        <w:rPr>
          <w:rFonts w:eastAsiaTheme="majorEastAsia" w:cstheme="majorBidi"/>
          <w:b/>
          <w:bCs/>
          <w:sz w:val="32"/>
          <w:szCs w:val="32"/>
        </w:rPr>
      </w:pPr>
      <w:r>
        <w:br w:type="page"/>
      </w:r>
    </w:p>
    <w:p w:rsidR="00B803BB" w:rsidRDefault="00B803BB" w:rsidP="00D4060E">
      <w:pPr>
        <w:pStyle w:val="Heading1"/>
      </w:pPr>
      <w:r>
        <w:lastRenderedPageBreak/>
        <w:t>Appendix A</w:t>
      </w:r>
      <w:r w:rsidR="00D4060E">
        <w:t xml:space="preserve">: </w:t>
      </w:r>
      <w:r>
        <w:t>L</w:t>
      </w:r>
      <w:r w:rsidRPr="00675BB1">
        <w:t>isting</w:t>
      </w:r>
      <w:r>
        <w:t xml:space="preserve"> History</w:t>
      </w:r>
      <w:r w:rsidRPr="00675BB1">
        <w:t xml:space="preserve"> on PBS</w:t>
      </w:r>
    </w:p>
    <w:tbl>
      <w:tblPr>
        <w:tblStyle w:val="TableGrid"/>
        <w:tblW w:w="9039" w:type="dxa"/>
        <w:tblLayout w:type="fixed"/>
        <w:tblLook w:val="04A0" w:firstRow="1" w:lastRow="0" w:firstColumn="1" w:lastColumn="0" w:noHBand="0" w:noVBand="1"/>
        <w:tblCaption w:val="Appendix A: Listing History on PBS"/>
      </w:tblPr>
      <w:tblGrid>
        <w:gridCol w:w="969"/>
        <w:gridCol w:w="2683"/>
        <w:gridCol w:w="5387"/>
      </w:tblGrid>
      <w:tr w:rsidR="00B803BB" w:rsidRPr="00A35800" w:rsidTr="00D4060E">
        <w:trPr>
          <w:trHeight w:val="346"/>
          <w:tblHeader/>
        </w:trPr>
        <w:tc>
          <w:tcPr>
            <w:tcW w:w="969" w:type="dxa"/>
            <w:shd w:val="clear" w:color="auto" w:fill="BFBFBF" w:themeFill="background1" w:themeFillShade="BF"/>
          </w:tcPr>
          <w:p w:rsidR="00B803BB" w:rsidRPr="00A35800" w:rsidRDefault="00B803BB" w:rsidP="00FD1EA3">
            <w:pPr>
              <w:pStyle w:val="Tableheading"/>
              <w:rPr>
                <w:sz w:val="20"/>
                <w:szCs w:val="20"/>
              </w:rPr>
            </w:pPr>
            <w:r>
              <w:rPr>
                <w:sz w:val="20"/>
                <w:szCs w:val="20"/>
              </w:rPr>
              <w:t>Date</w:t>
            </w:r>
          </w:p>
        </w:tc>
        <w:tc>
          <w:tcPr>
            <w:tcW w:w="2683" w:type="dxa"/>
            <w:shd w:val="clear" w:color="auto" w:fill="BFBFBF" w:themeFill="background1" w:themeFillShade="BF"/>
          </w:tcPr>
          <w:p w:rsidR="00B803BB" w:rsidRPr="00A35800" w:rsidRDefault="00B803BB" w:rsidP="00FD1EA3">
            <w:pPr>
              <w:pStyle w:val="Tableheading"/>
              <w:rPr>
                <w:sz w:val="20"/>
                <w:szCs w:val="20"/>
              </w:rPr>
            </w:pPr>
            <w:r>
              <w:rPr>
                <w:sz w:val="20"/>
                <w:szCs w:val="20"/>
              </w:rPr>
              <w:t>Medicine and PBS item codes</w:t>
            </w:r>
          </w:p>
        </w:tc>
        <w:tc>
          <w:tcPr>
            <w:tcW w:w="5387" w:type="dxa"/>
            <w:shd w:val="clear" w:color="auto" w:fill="BFBFBF" w:themeFill="background1" w:themeFillShade="BF"/>
          </w:tcPr>
          <w:p w:rsidR="00B803BB" w:rsidRPr="00A35800" w:rsidRDefault="00B803BB" w:rsidP="00FD1EA3">
            <w:pPr>
              <w:pStyle w:val="Tableheading"/>
              <w:rPr>
                <w:sz w:val="20"/>
                <w:szCs w:val="20"/>
              </w:rPr>
            </w:pPr>
            <w:r>
              <w:rPr>
                <w:sz w:val="20"/>
                <w:szCs w:val="20"/>
              </w:rPr>
              <w:t>Listing, amendment or extension to listing (abridged)</w:t>
            </w:r>
            <w:r w:rsidRPr="00A35800">
              <w:rPr>
                <w:sz w:val="20"/>
                <w:szCs w:val="20"/>
              </w:rPr>
              <w:t xml:space="preserve">. </w:t>
            </w:r>
          </w:p>
        </w:tc>
      </w:tr>
      <w:tr w:rsidR="00B803BB" w:rsidRPr="00A35800" w:rsidTr="00D4060E">
        <w:trPr>
          <w:trHeight w:val="552"/>
        </w:trPr>
        <w:tc>
          <w:tcPr>
            <w:tcW w:w="969" w:type="dxa"/>
          </w:tcPr>
          <w:p w:rsidR="00B803BB" w:rsidRPr="00097DC9" w:rsidRDefault="00B803BB" w:rsidP="00FD1EA3">
            <w:pPr>
              <w:pStyle w:val="Tablewriting"/>
            </w:pPr>
            <w:r>
              <w:t>1 Dec 2004</w:t>
            </w:r>
          </w:p>
        </w:tc>
        <w:tc>
          <w:tcPr>
            <w:tcW w:w="2683" w:type="dxa"/>
          </w:tcPr>
          <w:p w:rsidR="00B803BB" w:rsidRDefault="00B803BB" w:rsidP="00FD1EA3">
            <w:pPr>
              <w:pStyle w:val="Tablewriting"/>
            </w:pPr>
            <w:r>
              <w:t>Gefitinib tablets (Iressa</w:t>
            </w:r>
            <w:r w:rsidRPr="000D52D4">
              <w:rPr>
                <w:vertAlign w:val="superscript"/>
              </w:rPr>
              <w:sym w:font="Symbol" w:char="F0E2"/>
            </w:r>
            <w:r>
              <w:t>)</w:t>
            </w:r>
          </w:p>
          <w:p w:rsidR="00B803BB" w:rsidRDefault="00B803BB" w:rsidP="00FD1EA3">
            <w:pPr>
              <w:pStyle w:val="Tablewriting"/>
            </w:pPr>
            <w:r>
              <w:t>250mg (8769M)</w:t>
            </w:r>
          </w:p>
          <w:p w:rsidR="00B803BB" w:rsidRDefault="00B803BB" w:rsidP="00FD1EA3">
            <w:pPr>
              <w:pStyle w:val="Tablewriting"/>
            </w:pPr>
            <w:r>
              <w:t>Max Qty: 30</w:t>
            </w:r>
          </w:p>
          <w:p w:rsidR="00B803BB" w:rsidRDefault="00B803BB" w:rsidP="00FD1EA3">
            <w:pPr>
              <w:pStyle w:val="Tablewriting"/>
            </w:pPr>
            <w:r>
              <w:t>Max repeats: 1</w:t>
            </w:r>
          </w:p>
        </w:tc>
        <w:tc>
          <w:tcPr>
            <w:tcW w:w="5387" w:type="dxa"/>
          </w:tcPr>
          <w:p w:rsidR="00B803BB" w:rsidRDefault="00B803BB" w:rsidP="00FD1EA3">
            <w:pPr>
              <w:pStyle w:val="Tablewriting"/>
            </w:pPr>
            <w:r>
              <w:t xml:space="preserve">Listed as  monotherapy for patients with  </w:t>
            </w:r>
          </w:p>
          <w:p w:rsidR="00B803BB" w:rsidRDefault="00B803BB" w:rsidP="00FD1EA3">
            <w:pPr>
              <w:pStyle w:val="Tablewriting"/>
              <w:numPr>
                <w:ilvl w:val="0"/>
                <w:numId w:val="10"/>
              </w:numPr>
              <w:ind w:left="360"/>
            </w:pPr>
            <w:r>
              <w:t>locally advanced or metastatic NSCLC where:</w:t>
            </w:r>
          </w:p>
          <w:p w:rsidR="00B803BB" w:rsidRDefault="00B803BB" w:rsidP="00FD1EA3">
            <w:pPr>
              <w:pStyle w:val="Tablewriting"/>
              <w:ind w:left="360"/>
            </w:pPr>
            <w:r>
              <w:t>1) disease progression has occurred following treatment with at least one chemotherapy agent; and</w:t>
            </w:r>
          </w:p>
          <w:p w:rsidR="00542A96" w:rsidRDefault="00B803BB" w:rsidP="00542A96">
            <w:pPr>
              <w:pStyle w:val="Tablewriting"/>
              <w:ind w:left="360"/>
            </w:pPr>
            <w:r>
              <w:t>2) there is evidence that the patient has an activating mutation(s) of the EGFR receptor gene in tumour material.</w:t>
            </w:r>
            <w:r w:rsidR="00542A96">
              <w:t xml:space="preserve"> </w:t>
            </w:r>
            <w:r w:rsidR="00542A96" w:rsidRPr="007A5988">
              <w:t>The mutation(s) must be demonstrated by analysis of the DNA sequence of the EGFR gene.</w:t>
            </w:r>
          </w:p>
          <w:p w:rsidR="00B803BB" w:rsidRDefault="00B803BB" w:rsidP="00FD1EA3">
            <w:pPr>
              <w:pStyle w:val="Tablewriting"/>
              <w:numPr>
                <w:ilvl w:val="0"/>
                <w:numId w:val="11"/>
              </w:numPr>
              <w:ind w:left="360"/>
            </w:pPr>
            <w:r>
              <w:t>WHO performance status of 2 or less</w:t>
            </w:r>
          </w:p>
          <w:p w:rsidR="00B803BB" w:rsidRDefault="00B803BB" w:rsidP="00FD1EA3">
            <w:pPr>
              <w:pStyle w:val="Tablewriting"/>
            </w:pPr>
            <w:r w:rsidRPr="0059536A">
              <w:t xml:space="preserve">The Authority Required application was required to be made in writing until 1 July 2012, after which it was telephone approval. </w:t>
            </w:r>
          </w:p>
        </w:tc>
      </w:tr>
      <w:tr w:rsidR="00B803BB" w:rsidRPr="00A35800" w:rsidTr="00D4060E">
        <w:trPr>
          <w:trHeight w:val="552"/>
          <w:tblHeader/>
        </w:trPr>
        <w:tc>
          <w:tcPr>
            <w:tcW w:w="969" w:type="dxa"/>
            <w:shd w:val="clear" w:color="auto" w:fill="auto"/>
          </w:tcPr>
          <w:p w:rsidR="00B803BB" w:rsidRPr="00097DC9" w:rsidRDefault="00B803BB" w:rsidP="00FD1EA3">
            <w:pPr>
              <w:pStyle w:val="Tablewriting"/>
            </w:pPr>
            <w:r w:rsidRPr="00097DC9">
              <w:t>1 August 2008</w:t>
            </w:r>
          </w:p>
        </w:tc>
        <w:tc>
          <w:tcPr>
            <w:tcW w:w="2683" w:type="dxa"/>
            <w:shd w:val="clear" w:color="auto" w:fill="auto"/>
          </w:tcPr>
          <w:p w:rsidR="00B803BB" w:rsidRDefault="00B803BB" w:rsidP="00FD1EA3">
            <w:pPr>
              <w:pStyle w:val="Tablewriting"/>
            </w:pPr>
            <w:r>
              <w:t>Erlotinib tablets (Tarceva</w:t>
            </w:r>
            <w:r w:rsidRPr="000D52D4">
              <w:rPr>
                <w:vertAlign w:val="superscript"/>
              </w:rPr>
              <w:sym w:font="Symbol" w:char="F0E2"/>
            </w:r>
            <w:r>
              <w:t>)</w:t>
            </w:r>
          </w:p>
          <w:p w:rsidR="00B803BB" w:rsidRDefault="00B803BB" w:rsidP="00FD1EA3">
            <w:pPr>
              <w:pStyle w:val="Tablewriting"/>
            </w:pPr>
            <w:r>
              <w:t>25 mg (9166K), 100</w:t>
            </w:r>
            <w:r w:rsidR="000D52D4">
              <w:t xml:space="preserve"> </w:t>
            </w:r>
            <w:r>
              <w:t>mg (9167L), 150</w:t>
            </w:r>
            <w:r w:rsidR="000D52D4">
              <w:t xml:space="preserve"> </w:t>
            </w:r>
            <w:r>
              <w:t>mg (9168M)</w:t>
            </w:r>
          </w:p>
          <w:p w:rsidR="00B803BB" w:rsidRDefault="00B803BB" w:rsidP="00FD1EA3">
            <w:pPr>
              <w:pStyle w:val="Tablewriting"/>
            </w:pPr>
          </w:p>
          <w:p w:rsidR="00B803BB" w:rsidRDefault="00B803BB" w:rsidP="00FD1EA3">
            <w:pPr>
              <w:pStyle w:val="Tablewriting"/>
            </w:pPr>
            <w:r>
              <w:t>Max Qty: 30</w:t>
            </w:r>
          </w:p>
          <w:p w:rsidR="00B803BB" w:rsidRPr="00097DC9" w:rsidRDefault="00B803BB" w:rsidP="00FD1EA3">
            <w:pPr>
              <w:pStyle w:val="Tablewriting"/>
            </w:pPr>
            <w:r>
              <w:t>Max repeats:3</w:t>
            </w:r>
          </w:p>
        </w:tc>
        <w:tc>
          <w:tcPr>
            <w:tcW w:w="5387" w:type="dxa"/>
            <w:shd w:val="clear" w:color="auto" w:fill="auto"/>
          </w:tcPr>
          <w:p w:rsidR="00B803BB" w:rsidRDefault="00B803BB" w:rsidP="00FD1EA3">
            <w:pPr>
              <w:pStyle w:val="Tablewriting"/>
            </w:pPr>
            <w:r>
              <w:t xml:space="preserve">Listed* as monotherapy for patients with  </w:t>
            </w:r>
          </w:p>
          <w:p w:rsidR="00B803BB" w:rsidRDefault="00B803BB" w:rsidP="00FD1EA3">
            <w:pPr>
              <w:pStyle w:val="Tablewriting"/>
              <w:numPr>
                <w:ilvl w:val="0"/>
                <w:numId w:val="10"/>
              </w:numPr>
              <w:ind w:left="360"/>
            </w:pPr>
            <w:r>
              <w:t>locally advanced or metastatic (stage IIIB or IV)  NSCLC after prior treatment  with platinum</w:t>
            </w:r>
            <w:r>
              <w:noBreakHyphen/>
              <w:t>based chemotherapy, where:</w:t>
            </w:r>
          </w:p>
          <w:p w:rsidR="00B803BB" w:rsidRDefault="00B803BB" w:rsidP="00FD1EA3">
            <w:pPr>
              <w:pStyle w:val="Tablewriting"/>
              <w:ind w:left="360"/>
            </w:pPr>
            <w:r>
              <w:t>1a) disease progression occurred following treatment with docetaxel or pemetrexed; or</w:t>
            </w:r>
          </w:p>
          <w:p w:rsidR="00B803BB" w:rsidRDefault="00B803BB" w:rsidP="00FD1EA3">
            <w:pPr>
              <w:pStyle w:val="Tablewriting"/>
              <w:ind w:left="360"/>
            </w:pPr>
            <w:r>
              <w:t>1b) treatment with docetaxel or pemetrexed is either contraindicated or cannot be tolerated; and</w:t>
            </w:r>
          </w:p>
          <w:p w:rsidR="00B803BB" w:rsidRDefault="00B803BB" w:rsidP="00FD1EA3">
            <w:pPr>
              <w:pStyle w:val="Tablewriting"/>
              <w:ind w:left="360"/>
            </w:pPr>
            <w:r>
              <w:t>2) Further cytotoxic chemotherapy is not appropriate and WHO performance status of 3 or less</w:t>
            </w:r>
            <w:r w:rsidR="00C541F5" w:rsidDel="00C541F5">
              <w:t xml:space="preserve"> </w:t>
            </w:r>
          </w:p>
          <w:p w:rsidR="00B803BB" w:rsidRPr="00097DC9" w:rsidRDefault="00B803BB" w:rsidP="00FD1EA3">
            <w:pPr>
              <w:pStyle w:val="Tablewriting"/>
            </w:pPr>
            <w:r>
              <w:t>Written authority required</w:t>
            </w:r>
          </w:p>
        </w:tc>
      </w:tr>
      <w:tr w:rsidR="00542A96" w:rsidRPr="00A35800" w:rsidTr="00D4060E">
        <w:trPr>
          <w:trHeight w:val="552"/>
          <w:tblHeader/>
        </w:trPr>
        <w:tc>
          <w:tcPr>
            <w:tcW w:w="969" w:type="dxa"/>
            <w:shd w:val="clear" w:color="auto" w:fill="auto"/>
          </w:tcPr>
          <w:p w:rsidR="00542A96" w:rsidRDefault="00542A96" w:rsidP="006A0278">
            <w:pPr>
              <w:pStyle w:val="Tablewriting"/>
            </w:pPr>
            <w:r>
              <w:t>1 March 2010</w:t>
            </w:r>
          </w:p>
        </w:tc>
        <w:tc>
          <w:tcPr>
            <w:tcW w:w="2683" w:type="dxa"/>
            <w:shd w:val="clear" w:color="auto" w:fill="auto"/>
          </w:tcPr>
          <w:p w:rsidR="00542A96" w:rsidRDefault="00542A96" w:rsidP="006A0278">
            <w:pPr>
              <w:pStyle w:val="Tablewriting"/>
            </w:pPr>
            <w:r>
              <w:t xml:space="preserve">Gefitinib </w:t>
            </w:r>
          </w:p>
        </w:tc>
        <w:tc>
          <w:tcPr>
            <w:tcW w:w="5387" w:type="dxa"/>
            <w:shd w:val="clear" w:color="auto" w:fill="auto"/>
          </w:tcPr>
          <w:p w:rsidR="00542A96" w:rsidRDefault="00542A96" w:rsidP="006A0278">
            <w:pPr>
              <w:pStyle w:val="Tablewriting"/>
            </w:pPr>
            <w:r>
              <w:t>Removal of the criterion;</w:t>
            </w:r>
          </w:p>
          <w:p w:rsidR="00542A96" w:rsidRDefault="00542A96" w:rsidP="006A0278">
            <w:pPr>
              <w:pStyle w:val="Tablewriting"/>
              <w:numPr>
                <w:ilvl w:val="0"/>
                <w:numId w:val="11"/>
              </w:numPr>
              <w:ind w:left="360"/>
            </w:pPr>
            <w:r w:rsidRPr="007A5988">
              <w:t>The mutation(s) must be demonstrated by analysis of the DNA sequence of the EGFR gene.</w:t>
            </w:r>
          </w:p>
          <w:p w:rsidR="00542A96" w:rsidRPr="00542A96" w:rsidRDefault="00542A96" w:rsidP="006A0278">
            <w:pPr>
              <w:pStyle w:val="Tablewriting"/>
            </w:pPr>
            <w:r w:rsidRPr="00542A96">
              <w:t>This change was recommended at the November 2009 PBAC meeting due to the availability of alternative methods (</w:t>
            </w:r>
            <w:r w:rsidR="000D52D4" w:rsidRPr="00542A96">
              <w:t>e.g.</w:t>
            </w:r>
            <w:r w:rsidRPr="00542A96">
              <w:t xml:space="preserve"> PCR-based targeted assays) </w:t>
            </w:r>
          </w:p>
        </w:tc>
      </w:tr>
      <w:tr w:rsidR="00B803BB" w:rsidRPr="00A35800" w:rsidTr="00D4060E">
        <w:trPr>
          <w:trHeight w:val="552"/>
          <w:tblHeader/>
        </w:trPr>
        <w:tc>
          <w:tcPr>
            <w:tcW w:w="969" w:type="dxa"/>
            <w:shd w:val="clear" w:color="auto" w:fill="auto"/>
          </w:tcPr>
          <w:p w:rsidR="00B803BB" w:rsidRPr="00097DC9" w:rsidRDefault="00B803BB" w:rsidP="00FD1EA3">
            <w:pPr>
              <w:pStyle w:val="Tablewriting"/>
            </w:pPr>
            <w:r>
              <w:t>1 Jan 2014</w:t>
            </w:r>
          </w:p>
        </w:tc>
        <w:tc>
          <w:tcPr>
            <w:tcW w:w="2683" w:type="dxa"/>
            <w:shd w:val="clear" w:color="auto" w:fill="auto"/>
          </w:tcPr>
          <w:p w:rsidR="00B803BB" w:rsidRDefault="00B803BB" w:rsidP="00FD1EA3">
            <w:pPr>
              <w:pStyle w:val="Tablewriting"/>
            </w:pPr>
            <w:r>
              <w:t xml:space="preserve">Gefitinib </w:t>
            </w:r>
          </w:p>
        </w:tc>
        <w:tc>
          <w:tcPr>
            <w:tcW w:w="5387" w:type="dxa"/>
            <w:shd w:val="clear" w:color="auto" w:fill="auto"/>
          </w:tcPr>
          <w:p w:rsidR="00545BCF" w:rsidRDefault="00542A96" w:rsidP="00545BCF">
            <w:pPr>
              <w:pStyle w:val="Tablewriting"/>
              <w:numPr>
                <w:ilvl w:val="0"/>
                <w:numId w:val="10"/>
              </w:numPr>
              <w:ind w:left="360"/>
            </w:pPr>
            <w:r w:rsidRPr="00545BCF">
              <w:rPr>
                <w:b/>
              </w:rPr>
              <w:t xml:space="preserve">Expansion of listing to first line therapy </w:t>
            </w:r>
            <w:r w:rsidR="00545BCF">
              <w:br/>
            </w:r>
            <w:r w:rsidR="000D52D4">
              <w:t>i.e.</w:t>
            </w:r>
            <w:r w:rsidR="00545BCF">
              <w:t xml:space="preserve"> removal of the criterion “</w:t>
            </w:r>
            <w:r w:rsidR="00545BCF" w:rsidRPr="00545BCF">
              <w:t>where disease progression has occurred following treatment with at least 1 chemotherapy agent</w:t>
            </w:r>
            <w:r w:rsidR="00545BCF">
              <w:t>”</w:t>
            </w:r>
          </w:p>
          <w:p w:rsidR="00545BCF" w:rsidRDefault="00545BCF" w:rsidP="00545BCF">
            <w:pPr>
              <w:pStyle w:val="Tablewriting"/>
            </w:pPr>
            <w:r>
              <w:t>Addition of the criteria;</w:t>
            </w:r>
          </w:p>
          <w:p w:rsidR="00B803BB" w:rsidRDefault="00B803BB" w:rsidP="00FD1EA3">
            <w:pPr>
              <w:pStyle w:val="Tablewriting"/>
              <w:numPr>
                <w:ilvl w:val="0"/>
                <w:numId w:val="10"/>
              </w:numPr>
              <w:ind w:left="360"/>
            </w:pPr>
            <w:r w:rsidRPr="0080756D">
              <w:t>Patient must not have received previous PBS-subsidised treatment with another epidermal growth factor receptor (EGFR) tyros</w:t>
            </w:r>
            <w:r>
              <w:t>ine kinase inhibitor (TKI); OR p</w:t>
            </w:r>
            <w:r w:rsidRPr="0080756D">
              <w:t xml:space="preserve">atient must have developed intolerance to another epidermal growth factor receptor (EGFR) tyrosine kinase inhibitor (TKI) of a severity necessitating </w:t>
            </w:r>
            <w:r>
              <w:t>permanent treatment withdrawal.</w:t>
            </w:r>
          </w:p>
          <w:p w:rsidR="007C66AD" w:rsidRDefault="007C66AD" w:rsidP="007C66AD">
            <w:pPr>
              <w:pStyle w:val="Tablewriting"/>
              <w:numPr>
                <w:ilvl w:val="0"/>
                <w:numId w:val="10"/>
              </w:numPr>
              <w:ind w:left="360"/>
            </w:pPr>
            <w:r w:rsidRPr="0080756D">
              <w:t xml:space="preserve">The condition must be non-squamous type non-small cell lung cancer (NSCLC) </w:t>
            </w:r>
            <w:r w:rsidRPr="007C66AD">
              <w:rPr>
                <w:b/>
              </w:rPr>
              <w:t>or not otherwise specified type NSCLC.</w:t>
            </w:r>
          </w:p>
        </w:tc>
      </w:tr>
      <w:tr w:rsidR="00B803BB" w:rsidRPr="00A35800" w:rsidTr="00D4060E">
        <w:trPr>
          <w:trHeight w:val="552"/>
          <w:tblHeader/>
        </w:trPr>
        <w:tc>
          <w:tcPr>
            <w:tcW w:w="969" w:type="dxa"/>
            <w:shd w:val="clear" w:color="auto" w:fill="auto"/>
          </w:tcPr>
          <w:p w:rsidR="00B803BB" w:rsidRDefault="00B803BB" w:rsidP="00FD1EA3">
            <w:pPr>
              <w:pStyle w:val="Tablewriting"/>
            </w:pPr>
            <w:r>
              <w:lastRenderedPageBreak/>
              <w:t>1 Jan 2014</w:t>
            </w:r>
          </w:p>
        </w:tc>
        <w:tc>
          <w:tcPr>
            <w:tcW w:w="2683" w:type="dxa"/>
            <w:shd w:val="clear" w:color="auto" w:fill="auto"/>
          </w:tcPr>
          <w:p w:rsidR="007C66AD" w:rsidRDefault="007C66AD" w:rsidP="007C66AD">
            <w:pPr>
              <w:pStyle w:val="Tablewriting"/>
            </w:pPr>
            <w:r>
              <w:t>Erlotinib</w:t>
            </w:r>
          </w:p>
          <w:p w:rsidR="0063713D" w:rsidRDefault="0063713D" w:rsidP="0063713D">
            <w:pPr>
              <w:pStyle w:val="Tablewriting"/>
            </w:pPr>
            <w:r>
              <w:t>6</w:t>
            </w:r>
            <w:r w:rsidR="007C66AD">
              <w:t xml:space="preserve"> new items added, </w:t>
            </w:r>
            <w:r w:rsidR="007C66AD" w:rsidRPr="00BA3541">
              <w:t>25 mg (</w:t>
            </w:r>
            <w:r w:rsidR="007C66AD">
              <w:t>10022L,10028T</w:t>
            </w:r>
            <w:r w:rsidR="007C66AD" w:rsidRPr="00BA3541">
              <w:t>), 100</w:t>
            </w:r>
            <w:r w:rsidR="000D52D4">
              <w:t xml:space="preserve"> </w:t>
            </w:r>
            <w:r w:rsidR="007C66AD" w:rsidRPr="00BA3541">
              <w:t>mg (</w:t>
            </w:r>
            <w:r w:rsidR="007C66AD">
              <w:t>10014C,10025P</w:t>
            </w:r>
            <w:r w:rsidR="007C66AD" w:rsidRPr="00BA3541">
              <w:t xml:space="preserve">), </w:t>
            </w:r>
            <w:r w:rsidR="000D52D4" w:rsidRPr="00BA3541">
              <w:t>and 150</w:t>
            </w:r>
            <w:r w:rsidR="000D52D4">
              <w:t xml:space="preserve"> </w:t>
            </w:r>
            <w:r w:rsidR="000D52D4" w:rsidRPr="00BA3541">
              <w:t>mg</w:t>
            </w:r>
            <w:r w:rsidR="007C66AD" w:rsidRPr="00BA3541">
              <w:t xml:space="preserve"> (</w:t>
            </w:r>
            <w:r w:rsidR="007C66AD">
              <w:t>10019H,10020J</w:t>
            </w:r>
            <w:r w:rsidR="007C66AD" w:rsidRPr="00BA3541">
              <w:t>)</w:t>
            </w:r>
            <w:r w:rsidR="007C66AD">
              <w:t xml:space="preserve">. </w:t>
            </w:r>
          </w:p>
          <w:p w:rsidR="0063713D" w:rsidRDefault="0063713D" w:rsidP="0063713D">
            <w:pPr>
              <w:pStyle w:val="Tablewriting"/>
            </w:pPr>
          </w:p>
          <w:p w:rsidR="00B803BB" w:rsidRDefault="007C66AD" w:rsidP="0063713D">
            <w:pPr>
              <w:pStyle w:val="Tablewriting"/>
            </w:pPr>
            <w:r>
              <w:t>The previous 3 items (9166K, 9167L, 9168M) continued until 1 August 2014</w:t>
            </w:r>
          </w:p>
        </w:tc>
        <w:tc>
          <w:tcPr>
            <w:tcW w:w="5387" w:type="dxa"/>
            <w:shd w:val="clear" w:color="auto" w:fill="auto"/>
          </w:tcPr>
          <w:p w:rsidR="00B803BB" w:rsidRDefault="00545BCF" w:rsidP="00FD1EA3">
            <w:pPr>
              <w:pStyle w:val="Tablewriting"/>
            </w:pPr>
            <w:r>
              <w:t>The same three criteria changes as for gefitinib (above), plus a</w:t>
            </w:r>
            <w:r w:rsidR="00B803BB">
              <w:t>ddition of the criteria;</w:t>
            </w:r>
          </w:p>
          <w:p w:rsidR="00B803BB" w:rsidRDefault="00B803BB" w:rsidP="00FD1EA3">
            <w:pPr>
              <w:pStyle w:val="Tablewriting"/>
              <w:numPr>
                <w:ilvl w:val="0"/>
                <w:numId w:val="10"/>
              </w:numPr>
              <w:ind w:left="360"/>
            </w:pPr>
            <w:r w:rsidRPr="00076769">
              <w:t xml:space="preserve">Population criteria:  Patient must have evidence of an </w:t>
            </w:r>
            <w:r w:rsidRPr="007C66AD">
              <w:rPr>
                <w:b/>
              </w:rPr>
              <w:t xml:space="preserve">activating epidermal growth factor receptor (EGFR) gene mutation </w:t>
            </w:r>
            <w:r w:rsidRPr="00076769">
              <w:t>known to confer sensitivity to treatment with EGFR tyrosine kinase inhibitors in tumour material.</w:t>
            </w:r>
          </w:p>
          <w:p w:rsidR="00B803BB" w:rsidRDefault="00B803BB" w:rsidP="00FD1EA3">
            <w:pPr>
              <w:pStyle w:val="Tablewriting"/>
              <w:numPr>
                <w:ilvl w:val="0"/>
                <w:numId w:val="10"/>
              </w:numPr>
              <w:ind w:left="360"/>
            </w:pPr>
            <w:r w:rsidRPr="00076769">
              <w:t xml:space="preserve">Patient must have a WHO performance status of </w:t>
            </w:r>
            <w:r w:rsidRPr="00076769">
              <w:rPr>
                <w:b/>
              </w:rPr>
              <w:t>2 or less</w:t>
            </w:r>
            <w:r w:rsidRPr="00076769">
              <w:t>.</w:t>
            </w:r>
          </w:p>
          <w:p w:rsidR="00B803BB" w:rsidRDefault="00B803BB" w:rsidP="00FD1EA3">
            <w:pPr>
              <w:pStyle w:val="Tablewriting"/>
            </w:pPr>
            <w:r>
              <w:t>Written authority no longer required</w:t>
            </w:r>
          </w:p>
          <w:p w:rsidR="0063713D" w:rsidRDefault="00762E08" w:rsidP="00912382">
            <w:pPr>
              <w:pStyle w:val="Tablewriting"/>
            </w:pPr>
            <w:r>
              <w:t>The items 10019H, 10025P, 10028T are continuing treatment items for grandfathered patients. That is, a p</w:t>
            </w:r>
            <w:r w:rsidRPr="00912382">
              <w:t xml:space="preserve">atient must have previously been issued with an authority prescription for this drug prior to 1 </w:t>
            </w:r>
            <w:r>
              <w:t>January</w:t>
            </w:r>
            <w:r w:rsidRPr="00912382">
              <w:t xml:space="preserve"> 2014</w:t>
            </w:r>
            <w:r>
              <w:t xml:space="preserve">. This allowed EGFR </w:t>
            </w:r>
            <w:r w:rsidR="009B2226">
              <w:t>wild type</w:t>
            </w:r>
            <w:r>
              <w:t xml:space="preserve"> patients or patients with unknown EGFR status and who started erlotinib prior to 1 January 2014 to receive continuing treatment.</w:t>
            </w:r>
          </w:p>
          <w:p w:rsidR="006A0278" w:rsidRDefault="006A0278" w:rsidP="00912382">
            <w:pPr>
              <w:pStyle w:val="Tablewriting"/>
            </w:pPr>
            <w:r>
              <w:t>The restriction for items 9166K, 9167L</w:t>
            </w:r>
            <w:r w:rsidR="009B2226">
              <w:t xml:space="preserve"> and </w:t>
            </w:r>
            <w:r>
              <w:t>9168M also cha</w:t>
            </w:r>
            <w:r w:rsidR="008B45ED">
              <w:t>nged on 1 January 2014 from having</w:t>
            </w:r>
            <w:r>
              <w:t xml:space="preserve"> no reference to EGFR status to having the population criteria.</w:t>
            </w:r>
          </w:p>
          <w:p w:rsidR="006A0278" w:rsidRDefault="006A0278" w:rsidP="006A0278">
            <w:pPr>
              <w:pStyle w:val="Tablewriting"/>
              <w:numPr>
                <w:ilvl w:val="0"/>
                <w:numId w:val="10"/>
              </w:numPr>
              <w:ind w:left="360"/>
            </w:pPr>
            <w:r w:rsidRPr="006A0278">
              <w:t>Patient must have a wild type epidermal growth factor receptor (EGFR) gene; OR Patient must have an epidermal growth factor receptor (EGFR) gene of unknown type.</w:t>
            </w:r>
          </w:p>
          <w:p w:rsidR="006A0278" w:rsidRDefault="008B45ED" w:rsidP="00545BCF">
            <w:pPr>
              <w:pStyle w:val="Tablewriting"/>
            </w:pPr>
            <w:r>
              <w:t xml:space="preserve">This change </w:t>
            </w:r>
            <w:r w:rsidR="006A0278">
              <w:t>effectively removed assess to these items for EGFR positive p</w:t>
            </w:r>
            <w:r w:rsidR="00545BCF">
              <w:t>atients. These patients would use the new items 10022L, 10014C and 10019H.</w:t>
            </w:r>
          </w:p>
        </w:tc>
      </w:tr>
      <w:tr w:rsidR="0063713D" w:rsidRPr="00A35800" w:rsidTr="00D4060E">
        <w:trPr>
          <w:trHeight w:val="552"/>
          <w:tblHeader/>
        </w:trPr>
        <w:tc>
          <w:tcPr>
            <w:tcW w:w="969" w:type="dxa"/>
            <w:shd w:val="clear" w:color="auto" w:fill="auto"/>
          </w:tcPr>
          <w:p w:rsidR="0063713D" w:rsidRDefault="0063713D" w:rsidP="006A0278">
            <w:pPr>
              <w:pStyle w:val="Tablewriting"/>
            </w:pPr>
            <w:r>
              <w:t>1 August 2014</w:t>
            </w:r>
          </w:p>
        </w:tc>
        <w:tc>
          <w:tcPr>
            <w:tcW w:w="2683" w:type="dxa"/>
            <w:shd w:val="clear" w:color="auto" w:fill="auto"/>
          </w:tcPr>
          <w:p w:rsidR="0063713D" w:rsidRDefault="0063713D" w:rsidP="006A0278">
            <w:pPr>
              <w:pStyle w:val="Tablewriting"/>
            </w:pPr>
            <w:r>
              <w:t>Erlotinib</w:t>
            </w:r>
          </w:p>
          <w:p w:rsidR="0063713D" w:rsidRDefault="0063713D" w:rsidP="00D5626B">
            <w:pPr>
              <w:pStyle w:val="Tablewriting"/>
            </w:pPr>
            <w:r>
              <w:t xml:space="preserve">Only the </w:t>
            </w:r>
            <w:r w:rsidRPr="00C221A3">
              <w:t xml:space="preserve">3 </w:t>
            </w:r>
            <w:r>
              <w:t xml:space="preserve">continuing treatment </w:t>
            </w:r>
            <w:r w:rsidRPr="00C221A3">
              <w:t>items (</w:t>
            </w:r>
            <w:r>
              <w:t>10019H, 10025P, 10028T) had the following  restriction change.</w:t>
            </w:r>
          </w:p>
        </w:tc>
        <w:tc>
          <w:tcPr>
            <w:tcW w:w="5387" w:type="dxa"/>
            <w:shd w:val="clear" w:color="auto" w:fill="auto"/>
          </w:tcPr>
          <w:p w:rsidR="0063713D" w:rsidRDefault="0063713D" w:rsidP="00D5626B">
            <w:pPr>
              <w:pStyle w:val="Tablewriting"/>
            </w:pPr>
            <w:r>
              <w:t>Addition of the criteria;</w:t>
            </w:r>
          </w:p>
          <w:p w:rsidR="0063713D" w:rsidRDefault="0063713D" w:rsidP="00D5626B">
            <w:pPr>
              <w:pStyle w:val="Tablewriting"/>
              <w:numPr>
                <w:ilvl w:val="0"/>
                <w:numId w:val="10"/>
              </w:numPr>
              <w:ind w:left="360"/>
            </w:pPr>
            <w:r w:rsidRPr="00D5626B">
              <w:t>Patient must have previously been issued with an authority prescription for this drug prior to 1 August 2014</w:t>
            </w:r>
          </w:p>
          <w:p w:rsidR="0063713D" w:rsidRDefault="00912382" w:rsidP="006A0278">
            <w:pPr>
              <w:pStyle w:val="Tablewriting"/>
            </w:pPr>
            <w:r>
              <w:t xml:space="preserve">This was an extension of the grandfathering period </w:t>
            </w:r>
            <w:r w:rsidR="009B2226">
              <w:t>cut-off</w:t>
            </w:r>
            <w:r>
              <w:t xml:space="preserve"> date to 1 August 2014.</w:t>
            </w:r>
          </w:p>
        </w:tc>
      </w:tr>
    </w:tbl>
    <w:p w:rsidR="00B803BB" w:rsidRDefault="00B803BB" w:rsidP="00B803BB">
      <w:pPr>
        <w:spacing w:line="276" w:lineRule="auto"/>
        <w:rPr>
          <w:sz w:val="20"/>
          <w:szCs w:val="20"/>
        </w:rPr>
      </w:pPr>
      <w:r w:rsidRPr="00076769">
        <w:rPr>
          <w:sz w:val="20"/>
          <w:szCs w:val="20"/>
        </w:rPr>
        <w:t>*There was also a grandfather restriction for patients who had accessed erlotinib through the access program prior to 1 August 2008.</w:t>
      </w:r>
    </w:p>
    <w:p w:rsidR="00D4060E" w:rsidRPr="00076769" w:rsidRDefault="00D4060E" w:rsidP="00B803BB">
      <w:pPr>
        <w:spacing w:line="276" w:lineRule="auto"/>
        <w:rPr>
          <w:b/>
          <w:i/>
          <w:sz w:val="20"/>
          <w:szCs w:val="20"/>
        </w:rPr>
      </w:pPr>
    </w:p>
    <w:sectPr w:rsidR="00D4060E" w:rsidRPr="00076769" w:rsidSect="00DD188C">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503" w:rsidRDefault="000E0503" w:rsidP="00A35800">
      <w:r>
        <w:separator/>
      </w:r>
    </w:p>
  </w:endnote>
  <w:endnote w:type="continuationSeparator" w:id="0">
    <w:p w:rsidR="000E0503" w:rsidRDefault="000E0503"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D29" w:rsidRDefault="00CF1D29"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CF1D29" w:rsidRDefault="00CF1D29"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rsidR="00CF1D29" w:rsidRPr="000E72C6" w:rsidRDefault="00CF1D29" w:rsidP="00127506">
            <w:pPr>
              <w:pStyle w:val="Footer"/>
              <w:jc w:val="center"/>
              <w:rPr>
                <w:i/>
                <w:sz w:val="20"/>
              </w:rPr>
            </w:pPr>
            <w:r>
              <w:rPr>
                <w:i/>
                <w:sz w:val="20"/>
              </w:rPr>
              <w:t>Public Release Document, February 2017 DUSC Meeting</w:t>
            </w:r>
          </w:p>
          <w:p w:rsidR="00CF1D29" w:rsidRDefault="00CF1D29"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8C1564">
              <w:rPr>
                <w:bCs/>
                <w:i/>
                <w:noProof/>
                <w:sz w:val="20"/>
              </w:rPr>
              <w:t>1</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8C1564">
              <w:rPr>
                <w:bCs/>
                <w:i/>
                <w:noProof/>
                <w:sz w:val="20"/>
              </w:rPr>
              <w:t>25</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D29" w:rsidRDefault="00CF1D29" w:rsidP="007A5733">
    <w:pPr>
      <w:pStyle w:val="Footer"/>
      <w:jc w:val="center"/>
      <w:rPr>
        <w:rStyle w:val="PageNumber"/>
      </w:rPr>
    </w:pPr>
    <w:r>
      <w:rPr>
        <w:rStyle w:val="PageNumber"/>
      </w:rPr>
      <w:t>Committee-in-Confidence</w:t>
    </w:r>
  </w:p>
  <w:p w:rsidR="00CF1D29" w:rsidRDefault="00CF1D29"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503" w:rsidRDefault="000E0503" w:rsidP="00A35800">
      <w:r>
        <w:separator/>
      </w:r>
    </w:p>
  </w:footnote>
  <w:footnote w:type="continuationSeparator" w:id="0">
    <w:p w:rsidR="000E0503" w:rsidRDefault="000E0503" w:rsidP="00A35800">
      <w:r>
        <w:continuationSeparator/>
      </w:r>
    </w:p>
  </w:footnote>
  <w:footnote w:id="1">
    <w:p w:rsidR="00CF1D29" w:rsidRDefault="00CF1D29">
      <w:pPr>
        <w:pStyle w:val="FootnoteText"/>
      </w:pPr>
      <w:r>
        <w:rPr>
          <w:rStyle w:val="FootnoteReference"/>
        </w:rPr>
        <w:footnoteRef/>
      </w:r>
      <w:r>
        <w:t xml:space="preserve"> Pharmaceutical Benefits Advisory Committee Public Summary Document for erlotinib July 2013: Available at </w:t>
      </w:r>
      <w:hyperlink r:id="rId1" w:history="1">
        <w:r w:rsidRPr="00020BD7">
          <w:rPr>
            <w:rStyle w:val="Hyperlink"/>
          </w:rPr>
          <w:t>http://www.pbs.gov.au/info/industry/listing/elements/pbac-meetings/psd/2013-07/erlotinib</w:t>
        </w:r>
      </w:hyperlink>
      <w:r>
        <w:t xml:space="preserve"> </w:t>
      </w:r>
    </w:p>
  </w:footnote>
  <w:footnote w:id="2">
    <w:p w:rsidR="00CF1D29" w:rsidRDefault="00CF1D29">
      <w:pPr>
        <w:pStyle w:val="FootnoteText"/>
      </w:pPr>
      <w:r>
        <w:rPr>
          <w:rStyle w:val="FootnoteReference"/>
        </w:rPr>
        <w:footnoteRef/>
      </w:r>
      <w:r>
        <w:t xml:space="preserve"> Pharmaceutical Benefits Advisory Committee Public Summary Document for erlotinib March 2014: Available at </w:t>
      </w:r>
      <w:hyperlink r:id="rId2" w:history="1">
        <w:r w:rsidRPr="00020BD7">
          <w:rPr>
            <w:rStyle w:val="Hyperlink"/>
          </w:rPr>
          <w:t>http://www.pbs.gov.au/info/industry/listing/elements/pbac-meetings/psd/2014-03/erlotinib</w:t>
        </w:r>
      </w:hyperlink>
      <w:r>
        <w:t xml:space="preserve"> </w:t>
      </w:r>
    </w:p>
  </w:footnote>
  <w:footnote w:id="3">
    <w:p w:rsidR="00CF1D29" w:rsidRDefault="00CF1D29">
      <w:pPr>
        <w:pStyle w:val="FootnoteText"/>
      </w:pPr>
      <w:r>
        <w:rPr>
          <w:rStyle w:val="FootnoteReference"/>
        </w:rPr>
        <w:footnoteRef/>
      </w:r>
      <w:r>
        <w:t xml:space="preserve"> </w:t>
      </w:r>
      <w:r w:rsidRPr="00A14DD2">
        <w:t>A test of tumour tissue from a patient diagnosed with non-small cell lung cancer, shown to have non-squamous histology or histology not otherwise specified, requested by, or on behalf of, a specialist or consultant physician, to determine if the requirements relating to epidermal growth factor receptor (EGFR) gene status for access to erlotinib or gefitinib under the Pharmaceutical Benefits Scheme (PBS) are fulfilled.</w:t>
      </w:r>
    </w:p>
  </w:footnote>
  <w:footnote w:id="4">
    <w:p w:rsidR="00CF1D29" w:rsidRDefault="00CF1D29">
      <w:pPr>
        <w:pStyle w:val="FootnoteText"/>
      </w:pPr>
      <w:r>
        <w:rPr>
          <w:rStyle w:val="FootnoteReference"/>
        </w:rPr>
        <w:footnoteRef/>
      </w:r>
      <w:r>
        <w:t xml:space="preserve"> Medicines Safety Update April 2016. Therapeutic Goods Administration.  </w:t>
      </w:r>
    </w:p>
    <w:p w:rsidR="00CF1D29" w:rsidRDefault="008C1564">
      <w:pPr>
        <w:pStyle w:val="FootnoteText"/>
      </w:pPr>
      <w:hyperlink r:id="rId3" w:history="1">
        <w:r w:rsidR="00CF1D29" w:rsidRPr="00020BD7">
          <w:rPr>
            <w:rStyle w:val="Hyperlink"/>
          </w:rPr>
          <w:t>https://www.tga.gov.au/sites/default/files/medicines-safety-update-volume-7-number-2-april-2016.pdf</w:t>
        </w:r>
      </w:hyperlink>
      <w:r w:rsidR="00CF1D29">
        <w:t xml:space="preserve"> </w:t>
      </w:r>
    </w:p>
  </w:footnote>
  <w:footnote w:id="5">
    <w:p w:rsidR="00CF1D29" w:rsidRDefault="00CF1D29">
      <w:pPr>
        <w:pStyle w:val="FootnoteText"/>
      </w:pPr>
      <w:r>
        <w:rPr>
          <w:rStyle w:val="FootnoteReference"/>
        </w:rPr>
        <w:footnoteRef/>
      </w:r>
      <w:r>
        <w:t xml:space="preserve"> </w:t>
      </w:r>
      <w:hyperlink r:id="rId4" w:history="1">
        <w:r w:rsidRPr="00E63121">
          <w:rPr>
            <w:rStyle w:val="Hyperlink"/>
          </w:rPr>
          <w:t>AIHW</w:t>
        </w:r>
      </w:hyperlink>
      <w:r>
        <w:t>, Commonwealth of Australia 2016</w:t>
      </w:r>
    </w:p>
  </w:footnote>
  <w:footnote w:id="6">
    <w:p w:rsidR="00CF1D29" w:rsidRDefault="00CF1D29">
      <w:pPr>
        <w:pStyle w:val="FootnoteText"/>
      </w:pPr>
      <w:r>
        <w:rPr>
          <w:rStyle w:val="FootnoteReference"/>
        </w:rPr>
        <w:footnoteRef/>
      </w:r>
      <w:r>
        <w:t xml:space="preserve"> </w:t>
      </w:r>
      <w:hyperlink r:id="rId5" w:history="1">
        <w:r w:rsidRPr="00B8000B">
          <w:rPr>
            <w:rStyle w:val="Hyperlink"/>
          </w:rPr>
          <w:t>Australian Bureau of Statistics</w:t>
        </w:r>
      </w:hyperlink>
      <w:r>
        <w:t>, Commonwealth of Australia, 2016.</w:t>
      </w:r>
    </w:p>
  </w:footnote>
  <w:footnote w:id="7">
    <w:p w:rsidR="00CF1D29" w:rsidRDefault="00CF1D29">
      <w:pPr>
        <w:pStyle w:val="FootnoteText"/>
      </w:pPr>
      <w:r>
        <w:rPr>
          <w:rStyle w:val="FootnoteReference"/>
        </w:rPr>
        <w:footnoteRef/>
      </w:r>
      <w:r>
        <w:t xml:space="preserve"> </w:t>
      </w:r>
      <w:r w:rsidRPr="00BC5AE2">
        <w:t>PBS statistics</w:t>
      </w:r>
      <w:r>
        <w:t>. Australian Government Department of Human Services Medicare. Canberra. Available from &lt;</w:t>
      </w:r>
      <w:hyperlink r:id="rId6" w:history="1">
        <w:r>
          <w:rPr>
            <w:rStyle w:val="Hyperlink"/>
          </w:rPr>
          <w:t>http://www.medicareaustralia.gov.au/provider/pbs/stats.jsp</w:t>
        </w:r>
      </w:hyperlink>
      <w:r>
        <w:t>&gt;.</w:t>
      </w:r>
    </w:p>
  </w:footnote>
  <w:footnote w:id="8">
    <w:p w:rsidR="00CF1D29" w:rsidRDefault="00CF1D29" w:rsidP="00E30061">
      <w:pPr>
        <w:pStyle w:val="FootnoteText"/>
      </w:pPr>
      <w:r>
        <w:rPr>
          <w:rStyle w:val="FootnoteReference"/>
        </w:rPr>
        <w:footnoteRef/>
      </w:r>
      <w:r>
        <w:t xml:space="preserve"> </w:t>
      </w:r>
      <w:r w:rsidRPr="00A14DD2">
        <w:t>A test of tumour tissue from a patient diagnosed with non-small cell lung cancer, shown to have non-squamous histology or histology not otherwise specified, requested by, or on behalf of, a specialist or consultant physician, to determine if the requirements relating to epidermal growth factor receptor (EGFR) gene status for access to erlotinib or gefitinib under the Pharmaceutical Benefits Scheme (PBS) are fulfilled.</w:t>
      </w:r>
    </w:p>
  </w:footnote>
  <w:footnote w:id="9">
    <w:p w:rsidR="00CF1D29" w:rsidRDefault="00CF1D29" w:rsidP="003D3EAA">
      <w:pPr>
        <w:pStyle w:val="FootnoteText"/>
      </w:pPr>
      <w:r>
        <w:rPr>
          <w:rStyle w:val="FootnoteReference"/>
        </w:rPr>
        <w:footnoteRef/>
      </w:r>
      <w:r>
        <w:t xml:space="preserve"> Based on MSAC advice.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503" w:rsidRDefault="000E05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503" w:rsidRDefault="000E05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503" w:rsidRDefault="000E05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1E0A"/>
    <w:multiLevelType w:val="hybridMultilevel"/>
    <w:tmpl w:val="730AD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780D32"/>
    <w:multiLevelType w:val="hybridMultilevel"/>
    <w:tmpl w:val="86FE1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BD66E0"/>
    <w:multiLevelType w:val="hybridMultilevel"/>
    <w:tmpl w:val="ECEEF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EC0B77"/>
    <w:multiLevelType w:val="hybridMultilevel"/>
    <w:tmpl w:val="28BE8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BC0F5B"/>
    <w:multiLevelType w:val="hybridMultilevel"/>
    <w:tmpl w:val="79AA09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97F6085"/>
    <w:multiLevelType w:val="hybridMultilevel"/>
    <w:tmpl w:val="ECC264EE"/>
    <w:lvl w:ilvl="0" w:tplc="4162A170">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9D2A7A"/>
    <w:multiLevelType w:val="hybridMultilevel"/>
    <w:tmpl w:val="8ABA729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E6C46EA"/>
    <w:multiLevelType w:val="hybridMultilevel"/>
    <w:tmpl w:val="78889CAC"/>
    <w:lvl w:ilvl="0" w:tplc="B84E18F8">
      <w:start w:val="25"/>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787902"/>
    <w:multiLevelType w:val="hybridMultilevel"/>
    <w:tmpl w:val="2F703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D16212"/>
    <w:multiLevelType w:val="hybridMultilevel"/>
    <w:tmpl w:val="24FC4A2A"/>
    <w:lvl w:ilvl="0" w:tplc="B84E18F8">
      <w:start w:val="25"/>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4700BD"/>
    <w:multiLevelType w:val="hybridMultilevel"/>
    <w:tmpl w:val="211EE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236AF3"/>
    <w:multiLevelType w:val="multilevel"/>
    <w:tmpl w:val="999A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23C6B72"/>
    <w:multiLevelType w:val="hybridMultilevel"/>
    <w:tmpl w:val="6A6E75A8"/>
    <w:lvl w:ilvl="0" w:tplc="2758CC14">
      <w:start w:val="1"/>
      <w:numFmt w:val="bullet"/>
      <w:pStyle w:val="PBAC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9523EE7"/>
    <w:multiLevelType w:val="hybridMultilevel"/>
    <w:tmpl w:val="B28AF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7D15C0C"/>
    <w:multiLevelType w:val="multilevel"/>
    <w:tmpl w:val="ECD4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89672A9"/>
    <w:multiLevelType w:val="hybridMultilevel"/>
    <w:tmpl w:val="30B27CE0"/>
    <w:lvl w:ilvl="0" w:tplc="63540160">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992B7B"/>
    <w:multiLevelType w:val="hybridMultilevel"/>
    <w:tmpl w:val="A6163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F0D7C4B"/>
    <w:multiLevelType w:val="hybridMultilevel"/>
    <w:tmpl w:val="230C0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638416B"/>
    <w:multiLevelType w:val="multilevel"/>
    <w:tmpl w:val="C456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8043383"/>
    <w:multiLevelType w:val="hybridMultilevel"/>
    <w:tmpl w:val="C5A6FD3A"/>
    <w:lvl w:ilvl="0" w:tplc="99E0B432">
      <w:start w:val="15"/>
      <w:numFmt w:val="bullet"/>
      <w:lvlText w:val="-"/>
      <w:lvlJc w:val="left"/>
      <w:pPr>
        <w:ind w:left="360" w:hanging="360"/>
      </w:pPr>
      <w:rPr>
        <w:rFonts w:ascii="Calibri" w:eastAsiaTheme="minorEastAsia" w:hAnsi="Calibri" w:cstheme="minorBidi"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F1F475D"/>
    <w:multiLevelType w:val="hybridMultilevel"/>
    <w:tmpl w:val="B28659B0"/>
    <w:lvl w:ilvl="0" w:tplc="99E0B432">
      <w:start w:val="15"/>
      <w:numFmt w:val="bullet"/>
      <w:lvlText w:val="-"/>
      <w:lvlJc w:val="left"/>
      <w:pPr>
        <w:ind w:left="720" w:hanging="360"/>
      </w:pPr>
      <w:rPr>
        <w:rFonts w:ascii="Calibri" w:eastAsiaTheme="minorEastAsia" w:hAnsi="Calibri" w:cstheme="minorBidi" w:hint="default"/>
      </w:rPr>
    </w:lvl>
    <w:lvl w:ilvl="1" w:tplc="4F12CE0A">
      <w:numFmt w:val="bullet"/>
      <w:lvlText w:val=""/>
      <w:lvlJc w:val="left"/>
      <w:pPr>
        <w:ind w:left="1440" w:hanging="360"/>
      </w:pPr>
      <w:rPr>
        <w:rFonts w:ascii="Calibri" w:eastAsiaTheme="minorEastAsia"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522970"/>
    <w:multiLevelType w:val="hybridMultilevel"/>
    <w:tmpl w:val="E1866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723B203D"/>
    <w:multiLevelType w:val="hybridMultilevel"/>
    <w:tmpl w:val="DF14A1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2880EB7"/>
    <w:multiLevelType w:val="hybridMultilevel"/>
    <w:tmpl w:val="EBBE9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68A530A"/>
    <w:multiLevelType w:val="hybridMultilevel"/>
    <w:tmpl w:val="BA0275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BCE5BD8"/>
    <w:multiLevelType w:val="multilevel"/>
    <w:tmpl w:val="6E9C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9"/>
  </w:num>
  <w:num w:numId="3">
    <w:abstractNumId w:val="9"/>
  </w:num>
  <w:num w:numId="4">
    <w:abstractNumId w:val="27"/>
  </w:num>
  <w:num w:numId="5">
    <w:abstractNumId w:val="17"/>
  </w:num>
  <w:num w:numId="6">
    <w:abstractNumId w:val="8"/>
  </w:num>
  <w:num w:numId="7">
    <w:abstractNumId w:val="16"/>
  </w:num>
  <w:num w:numId="8">
    <w:abstractNumId w:val="12"/>
  </w:num>
  <w:num w:numId="9">
    <w:abstractNumId w:val="20"/>
  </w:num>
  <w:num w:numId="10">
    <w:abstractNumId w:val="5"/>
  </w:num>
  <w:num w:numId="11">
    <w:abstractNumId w:val="7"/>
  </w:num>
  <w:num w:numId="12">
    <w:abstractNumId w:val="10"/>
  </w:num>
  <w:num w:numId="13">
    <w:abstractNumId w:val="22"/>
  </w:num>
  <w:num w:numId="14">
    <w:abstractNumId w:val="18"/>
  </w:num>
  <w:num w:numId="15">
    <w:abstractNumId w:val="21"/>
  </w:num>
  <w:num w:numId="16">
    <w:abstractNumId w:val="6"/>
  </w:num>
  <w:num w:numId="17">
    <w:abstractNumId w:val="3"/>
  </w:num>
  <w:num w:numId="18">
    <w:abstractNumId w:val="15"/>
  </w:num>
  <w:num w:numId="19">
    <w:abstractNumId w:val="24"/>
  </w:num>
  <w:num w:numId="20">
    <w:abstractNumId w:val="4"/>
  </w:num>
  <w:num w:numId="21">
    <w:abstractNumId w:val="2"/>
  </w:num>
  <w:num w:numId="22">
    <w:abstractNumId w:val="14"/>
  </w:num>
  <w:num w:numId="23">
    <w:abstractNumId w:val="1"/>
  </w:num>
  <w:num w:numId="24">
    <w:abstractNumId w:val="23"/>
  </w:num>
  <w:num w:numId="25">
    <w:abstractNumId w:val="0"/>
  </w:num>
  <w:num w:numId="26">
    <w:abstractNumId w:val="11"/>
  </w:num>
  <w:num w:numId="27">
    <w:abstractNumId w:val="1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removePersonalInformation/>
  <w:removeDateAndTime/>
  <w:defaultTabStop w:val="720"/>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0EB0"/>
    <w:rsid w:val="0000529A"/>
    <w:rsid w:val="00007E85"/>
    <w:rsid w:val="00013465"/>
    <w:rsid w:val="00015A81"/>
    <w:rsid w:val="00015D4F"/>
    <w:rsid w:val="0002099E"/>
    <w:rsid w:val="000226B3"/>
    <w:rsid w:val="00024549"/>
    <w:rsid w:val="00033A8A"/>
    <w:rsid w:val="000354A9"/>
    <w:rsid w:val="000404CA"/>
    <w:rsid w:val="00040C91"/>
    <w:rsid w:val="000449FA"/>
    <w:rsid w:val="000454BF"/>
    <w:rsid w:val="00052215"/>
    <w:rsid w:val="000544B6"/>
    <w:rsid w:val="00055009"/>
    <w:rsid w:val="0005523B"/>
    <w:rsid w:val="000604AF"/>
    <w:rsid w:val="00071894"/>
    <w:rsid w:val="000719CE"/>
    <w:rsid w:val="000720F1"/>
    <w:rsid w:val="00072464"/>
    <w:rsid w:val="000741A0"/>
    <w:rsid w:val="00074C65"/>
    <w:rsid w:val="00076769"/>
    <w:rsid w:val="00084171"/>
    <w:rsid w:val="000848E1"/>
    <w:rsid w:val="00086C11"/>
    <w:rsid w:val="00086C14"/>
    <w:rsid w:val="00091D9E"/>
    <w:rsid w:val="000933DF"/>
    <w:rsid w:val="00094DCF"/>
    <w:rsid w:val="00094F6A"/>
    <w:rsid w:val="00097DC9"/>
    <w:rsid w:val="000A0226"/>
    <w:rsid w:val="000A4E85"/>
    <w:rsid w:val="000A510C"/>
    <w:rsid w:val="000A63E9"/>
    <w:rsid w:val="000A6964"/>
    <w:rsid w:val="000A6CFD"/>
    <w:rsid w:val="000A7007"/>
    <w:rsid w:val="000A7016"/>
    <w:rsid w:val="000A70A5"/>
    <w:rsid w:val="000B0982"/>
    <w:rsid w:val="000B126B"/>
    <w:rsid w:val="000B1F00"/>
    <w:rsid w:val="000B2A9E"/>
    <w:rsid w:val="000B3FB6"/>
    <w:rsid w:val="000B64B9"/>
    <w:rsid w:val="000B796C"/>
    <w:rsid w:val="000C46BB"/>
    <w:rsid w:val="000C4D9D"/>
    <w:rsid w:val="000C76DD"/>
    <w:rsid w:val="000C7C4B"/>
    <w:rsid w:val="000C7D8B"/>
    <w:rsid w:val="000D2851"/>
    <w:rsid w:val="000D4115"/>
    <w:rsid w:val="000D4BDE"/>
    <w:rsid w:val="000D52D4"/>
    <w:rsid w:val="000D5725"/>
    <w:rsid w:val="000E0386"/>
    <w:rsid w:val="000E0503"/>
    <w:rsid w:val="000E470E"/>
    <w:rsid w:val="000E485D"/>
    <w:rsid w:val="000E72C6"/>
    <w:rsid w:val="000F1893"/>
    <w:rsid w:val="000F1CCE"/>
    <w:rsid w:val="000F1DE8"/>
    <w:rsid w:val="000F2F51"/>
    <w:rsid w:val="000F455F"/>
    <w:rsid w:val="00102013"/>
    <w:rsid w:val="0010484F"/>
    <w:rsid w:val="00113CF8"/>
    <w:rsid w:val="00113D74"/>
    <w:rsid w:val="001150C4"/>
    <w:rsid w:val="001153A6"/>
    <w:rsid w:val="001159F6"/>
    <w:rsid w:val="0011759D"/>
    <w:rsid w:val="00117C5C"/>
    <w:rsid w:val="001200F6"/>
    <w:rsid w:val="00120852"/>
    <w:rsid w:val="00120C01"/>
    <w:rsid w:val="001228D3"/>
    <w:rsid w:val="001255DD"/>
    <w:rsid w:val="00127506"/>
    <w:rsid w:val="001310AE"/>
    <w:rsid w:val="00133A10"/>
    <w:rsid w:val="00140119"/>
    <w:rsid w:val="001420B3"/>
    <w:rsid w:val="001460C4"/>
    <w:rsid w:val="00152E43"/>
    <w:rsid w:val="00154197"/>
    <w:rsid w:val="00156323"/>
    <w:rsid w:val="0015691C"/>
    <w:rsid w:val="00160C43"/>
    <w:rsid w:val="001621F7"/>
    <w:rsid w:val="001624D7"/>
    <w:rsid w:val="001625C5"/>
    <w:rsid w:val="00163194"/>
    <w:rsid w:val="0016763B"/>
    <w:rsid w:val="00171139"/>
    <w:rsid w:val="00171576"/>
    <w:rsid w:val="00171C3C"/>
    <w:rsid w:val="001721E8"/>
    <w:rsid w:val="0017328D"/>
    <w:rsid w:val="00176A41"/>
    <w:rsid w:val="00177B86"/>
    <w:rsid w:val="00177F51"/>
    <w:rsid w:val="00182585"/>
    <w:rsid w:val="00182A74"/>
    <w:rsid w:val="001848EE"/>
    <w:rsid w:val="00191182"/>
    <w:rsid w:val="0019664D"/>
    <w:rsid w:val="001A1331"/>
    <w:rsid w:val="001A2753"/>
    <w:rsid w:val="001A31AE"/>
    <w:rsid w:val="001A3A56"/>
    <w:rsid w:val="001A6103"/>
    <w:rsid w:val="001A6AFD"/>
    <w:rsid w:val="001B2BE7"/>
    <w:rsid w:val="001B3FF9"/>
    <w:rsid w:val="001B5D37"/>
    <w:rsid w:val="001B74B4"/>
    <w:rsid w:val="001C2940"/>
    <w:rsid w:val="001C4016"/>
    <w:rsid w:val="001C4125"/>
    <w:rsid w:val="001C487D"/>
    <w:rsid w:val="001C4A09"/>
    <w:rsid w:val="001C548D"/>
    <w:rsid w:val="001C6A5D"/>
    <w:rsid w:val="001D2536"/>
    <w:rsid w:val="001D44F7"/>
    <w:rsid w:val="001D49FD"/>
    <w:rsid w:val="001E31A6"/>
    <w:rsid w:val="001E42C7"/>
    <w:rsid w:val="001E4CAB"/>
    <w:rsid w:val="001E61DA"/>
    <w:rsid w:val="001F2F3E"/>
    <w:rsid w:val="001F390E"/>
    <w:rsid w:val="001F4906"/>
    <w:rsid w:val="001F5E3C"/>
    <w:rsid w:val="001F7C4A"/>
    <w:rsid w:val="0020086D"/>
    <w:rsid w:val="00200DC5"/>
    <w:rsid w:val="00205140"/>
    <w:rsid w:val="00205329"/>
    <w:rsid w:val="0020578A"/>
    <w:rsid w:val="0020602D"/>
    <w:rsid w:val="00207631"/>
    <w:rsid w:val="00211B8F"/>
    <w:rsid w:val="00211D1F"/>
    <w:rsid w:val="00214013"/>
    <w:rsid w:val="00220FC1"/>
    <w:rsid w:val="00221703"/>
    <w:rsid w:val="00222E9A"/>
    <w:rsid w:val="002231A2"/>
    <w:rsid w:val="0022611F"/>
    <w:rsid w:val="00226C0B"/>
    <w:rsid w:val="0023179D"/>
    <w:rsid w:val="002371E8"/>
    <w:rsid w:val="00244701"/>
    <w:rsid w:val="00244E58"/>
    <w:rsid w:val="0024668B"/>
    <w:rsid w:val="00252C77"/>
    <w:rsid w:val="0025389D"/>
    <w:rsid w:val="00254E02"/>
    <w:rsid w:val="00260BA3"/>
    <w:rsid w:val="002625FA"/>
    <w:rsid w:val="0026265F"/>
    <w:rsid w:val="00265A6C"/>
    <w:rsid w:val="00271B39"/>
    <w:rsid w:val="00272303"/>
    <w:rsid w:val="00272903"/>
    <w:rsid w:val="00272B03"/>
    <w:rsid w:val="00273B90"/>
    <w:rsid w:val="00274F46"/>
    <w:rsid w:val="00283142"/>
    <w:rsid w:val="002845F0"/>
    <w:rsid w:val="0028492D"/>
    <w:rsid w:val="00286404"/>
    <w:rsid w:val="00286C3A"/>
    <w:rsid w:val="002930F5"/>
    <w:rsid w:val="00295016"/>
    <w:rsid w:val="0029782D"/>
    <w:rsid w:val="002A06B7"/>
    <w:rsid w:val="002A43F4"/>
    <w:rsid w:val="002B0B3F"/>
    <w:rsid w:val="002B5E61"/>
    <w:rsid w:val="002C1413"/>
    <w:rsid w:val="002C4885"/>
    <w:rsid w:val="002C581D"/>
    <w:rsid w:val="002C5A84"/>
    <w:rsid w:val="002C6E0C"/>
    <w:rsid w:val="002D144A"/>
    <w:rsid w:val="002D2A38"/>
    <w:rsid w:val="002D3472"/>
    <w:rsid w:val="002E19A3"/>
    <w:rsid w:val="002E212B"/>
    <w:rsid w:val="002E2576"/>
    <w:rsid w:val="002E3337"/>
    <w:rsid w:val="002E6D03"/>
    <w:rsid w:val="002F488B"/>
    <w:rsid w:val="002F49A8"/>
    <w:rsid w:val="002F5933"/>
    <w:rsid w:val="002F5E66"/>
    <w:rsid w:val="002F61CA"/>
    <w:rsid w:val="002F64B7"/>
    <w:rsid w:val="0030010D"/>
    <w:rsid w:val="00302675"/>
    <w:rsid w:val="003132F2"/>
    <w:rsid w:val="00317D37"/>
    <w:rsid w:val="003227D2"/>
    <w:rsid w:val="00324F7B"/>
    <w:rsid w:val="0033504C"/>
    <w:rsid w:val="00336816"/>
    <w:rsid w:val="003370D0"/>
    <w:rsid w:val="00337355"/>
    <w:rsid w:val="00337BD2"/>
    <w:rsid w:val="003402E4"/>
    <w:rsid w:val="00340F95"/>
    <w:rsid w:val="00341FB6"/>
    <w:rsid w:val="003430D0"/>
    <w:rsid w:val="00344EA4"/>
    <w:rsid w:val="00345D80"/>
    <w:rsid w:val="003531ED"/>
    <w:rsid w:val="00360B9A"/>
    <w:rsid w:val="003651E1"/>
    <w:rsid w:val="003702C6"/>
    <w:rsid w:val="00370B0D"/>
    <w:rsid w:val="0037610F"/>
    <w:rsid w:val="00380F72"/>
    <w:rsid w:val="00381558"/>
    <w:rsid w:val="003837EC"/>
    <w:rsid w:val="00383B6E"/>
    <w:rsid w:val="00384151"/>
    <w:rsid w:val="00385AF0"/>
    <w:rsid w:val="00385E68"/>
    <w:rsid w:val="0038706F"/>
    <w:rsid w:val="0039017F"/>
    <w:rsid w:val="00393F8C"/>
    <w:rsid w:val="0039462A"/>
    <w:rsid w:val="00394AEE"/>
    <w:rsid w:val="00394F47"/>
    <w:rsid w:val="00395808"/>
    <w:rsid w:val="003970B4"/>
    <w:rsid w:val="003A6766"/>
    <w:rsid w:val="003B31E4"/>
    <w:rsid w:val="003B4043"/>
    <w:rsid w:val="003B691D"/>
    <w:rsid w:val="003C148E"/>
    <w:rsid w:val="003C2A64"/>
    <w:rsid w:val="003C2D98"/>
    <w:rsid w:val="003C3B92"/>
    <w:rsid w:val="003C7210"/>
    <w:rsid w:val="003D3A96"/>
    <w:rsid w:val="003D3B9C"/>
    <w:rsid w:val="003D3EAA"/>
    <w:rsid w:val="003D4B46"/>
    <w:rsid w:val="003E1CBC"/>
    <w:rsid w:val="003E5A0E"/>
    <w:rsid w:val="003E661B"/>
    <w:rsid w:val="003E7E72"/>
    <w:rsid w:val="00400F0B"/>
    <w:rsid w:val="00403541"/>
    <w:rsid w:val="00404F03"/>
    <w:rsid w:val="00412051"/>
    <w:rsid w:val="00413060"/>
    <w:rsid w:val="00417A4F"/>
    <w:rsid w:val="0042257F"/>
    <w:rsid w:val="0042308B"/>
    <w:rsid w:val="00423B94"/>
    <w:rsid w:val="0042599B"/>
    <w:rsid w:val="004316BA"/>
    <w:rsid w:val="00432538"/>
    <w:rsid w:val="00435BC9"/>
    <w:rsid w:val="004404E0"/>
    <w:rsid w:val="0044399F"/>
    <w:rsid w:val="0044696B"/>
    <w:rsid w:val="0045357C"/>
    <w:rsid w:val="00453815"/>
    <w:rsid w:val="00453B0A"/>
    <w:rsid w:val="0045681C"/>
    <w:rsid w:val="0046160E"/>
    <w:rsid w:val="00462C19"/>
    <w:rsid w:val="00463731"/>
    <w:rsid w:val="0046400A"/>
    <w:rsid w:val="00464DB9"/>
    <w:rsid w:val="00467B25"/>
    <w:rsid w:val="004721F2"/>
    <w:rsid w:val="00474803"/>
    <w:rsid w:val="004776D2"/>
    <w:rsid w:val="00481108"/>
    <w:rsid w:val="00483465"/>
    <w:rsid w:val="00485F6C"/>
    <w:rsid w:val="00486A9A"/>
    <w:rsid w:val="0049042B"/>
    <w:rsid w:val="00495473"/>
    <w:rsid w:val="0049647D"/>
    <w:rsid w:val="004A458E"/>
    <w:rsid w:val="004B070F"/>
    <w:rsid w:val="004B23E7"/>
    <w:rsid w:val="004B306F"/>
    <w:rsid w:val="004C234E"/>
    <w:rsid w:val="004C3186"/>
    <w:rsid w:val="004C4252"/>
    <w:rsid w:val="004C5042"/>
    <w:rsid w:val="004C5F28"/>
    <w:rsid w:val="004C64E2"/>
    <w:rsid w:val="004D0BEA"/>
    <w:rsid w:val="004D3B3B"/>
    <w:rsid w:val="004D5FEC"/>
    <w:rsid w:val="004D65A0"/>
    <w:rsid w:val="004E3D73"/>
    <w:rsid w:val="004E4422"/>
    <w:rsid w:val="004E5C76"/>
    <w:rsid w:val="004E5D89"/>
    <w:rsid w:val="004F29E2"/>
    <w:rsid w:val="004F401B"/>
    <w:rsid w:val="004F5DD7"/>
    <w:rsid w:val="0050268F"/>
    <w:rsid w:val="005028BE"/>
    <w:rsid w:val="00503998"/>
    <w:rsid w:val="00504FF5"/>
    <w:rsid w:val="0050623B"/>
    <w:rsid w:val="005068B6"/>
    <w:rsid w:val="00522F16"/>
    <w:rsid w:val="00523181"/>
    <w:rsid w:val="00523800"/>
    <w:rsid w:val="00524D13"/>
    <w:rsid w:val="00525072"/>
    <w:rsid w:val="00526A66"/>
    <w:rsid w:val="00527124"/>
    <w:rsid w:val="005339F6"/>
    <w:rsid w:val="00534FE0"/>
    <w:rsid w:val="00542A96"/>
    <w:rsid w:val="00545467"/>
    <w:rsid w:val="00545BCF"/>
    <w:rsid w:val="005474AC"/>
    <w:rsid w:val="005552CD"/>
    <w:rsid w:val="00556072"/>
    <w:rsid w:val="00563CA0"/>
    <w:rsid w:val="00564A57"/>
    <w:rsid w:val="00567711"/>
    <w:rsid w:val="00576B18"/>
    <w:rsid w:val="00576F13"/>
    <w:rsid w:val="00587724"/>
    <w:rsid w:val="00591512"/>
    <w:rsid w:val="0059536A"/>
    <w:rsid w:val="0059731C"/>
    <w:rsid w:val="005A0CF4"/>
    <w:rsid w:val="005A13C5"/>
    <w:rsid w:val="005A257D"/>
    <w:rsid w:val="005A2A79"/>
    <w:rsid w:val="005A36E5"/>
    <w:rsid w:val="005A589C"/>
    <w:rsid w:val="005A7370"/>
    <w:rsid w:val="005A73B2"/>
    <w:rsid w:val="005B2D91"/>
    <w:rsid w:val="005B48B4"/>
    <w:rsid w:val="005B61D3"/>
    <w:rsid w:val="005B717B"/>
    <w:rsid w:val="005C2799"/>
    <w:rsid w:val="005C38B1"/>
    <w:rsid w:val="005C4F23"/>
    <w:rsid w:val="005C6661"/>
    <w:rsid w:val="005C6E3B"/>
    <w:rsid w:val="005D15D3"/>
    <w:rsid w:val="005D3AAB"/>
    <w:rsid w:val="005D474B"/>
    <w:rsid w:val="005E0822"/>
    <w:rsid w:val="005E085C"/>
    <w:rsid w:val="005E0874"/>
    <w:rsid w:val="005E147D"/>
    <w:rsid w:val="005E22C2"/>
    <w:rsid w:val="005E57BB"/>
    <w:rsid w:val="005F0017"/>
    <w:rsid w:val="005F02C4"/>
    <w:rsid w:val="005F3719"/>
    <w:rsid w:val="0060064C"/>
    <w:rsid w:val="006014F1"/>
    <w:rsid w:val="00607701"/>
    <w:rsid w:val="0061357B"/>
    <w:rsid w:val="00614A7D"/>
    <w:rsid w:val="006234D9"/>
    <w:rsid w:val="0062521D"/>
    <w:rsid w:val="006306EF"/>
    <w:rsid w:val="00635C26"/>
    <w:rsid w:val="0063631C"/>
    <w:rsid w:val="0063713D"/>
    <w:rsid w:val="00637154"/>
    <w:rsid w:val="0063757B"/>
    <w:rsid w:val="006377CE"/>
    <w:rsid w:val="00637DC7"/>
    <w:rsid w:val="00640085"/>
    <w:rsid w:val="00641C53"/>
    <w:rsid w:val="006474B2"/>
    <w:rsid w:val="006537D9"/>
    <w:rsid w:val="00654161"/>
    <w:rsid w:val="00655CC5"/>
    <w:rsid w:val="00660F1D"/>
    <w:rsid w:val="00664A48"/>
    <w:rsid w:val="00665CFB"/>
    <w:rsid w:val="00665DEF"/>
    <w:rsid w:val="006722DB"/>
    <w:rsid w:val="00675BB1"/>
    <w:rsid w:val="00676AE3"/>
    <w:rsid w:val="006775F1"/>
    <w:rsid w:val="00692AA7"/>
    <w:rsid w:val="00693EC5"/>
    <w:rsid w:val="00694940"/>
    <w:rsid w:val="006978EE"/>
    <w:rsid w:val="00697FEC"/>
    <w:rsid w:val="006A0278"/>
    <w:rsid w:val="006A09A3"/>
    <w:rsid w:val="006A175F"/>
    <w:rsid w:val="006A1948"/>
    <w:rsid w:val="006A44F5"/>
    <w:rsid w:val="006A5D07"/>
    <w:rsid w:val="006B1C5E"/>
    <w:rsid w:val="006B28AD"/>
    <w:rsid w:val="006B4537"/>
    <w:rsid w:val="006B4D9C"/>
    <w:rsid w:val="006B5F85"/>
    <w:rsid w:val="006B6929"/>
    <w:rsid w:val="006B709B"/>
    <w:rsid w:val="006B7104"/>
    <w:rsid w:val="006C0E29"/>
    <w:rsid w:val="006C1889"/>
    <w:rsid w:val="006C31AF"/>
    <w:rsid w:val="006C54AF"/>
    <w:rsid w:val="006C63C4"/>
    <w:rsid w:val="006D194F"/>
    <w:rsid w:val="006D49D1"/>
    <w:rsid w:val="006D58FA"/>
    <w:rsid w:val="006D6364"/>
    <w:rsid w:val="006E0181"/>
    <w:rsid w:val="006E1C84"/>
    <w:rsid w:val="006E3418"/>
    <w:rsid w:val="006E6D80"/>
    <w:rsid w:val="006F15F7"/>
    <w:rsid w:val="006F60CC"/>
    <w:rsid w:val="00700547"/>
    <w:rsid w:val="00700C0E"/>
    <w:rsid w:val="00703DA5"/>
    <w:rsid w:val="00705B9F"/>
    <w:rsid w:val="00705D25"/>
    <w:rsid w:val="00705DAD"/>
    <w:rsid w:val="00711F21"/>
    <w:rsid w:val="00711F5D"/>
    <w:rsid w:val="007215DE"/>
    <w:rsid w:val="007247B9"/>
    <w:rsid w:val="007256E1"/>
    <w:rsid w:val="00725EFC"/>
    <w:rsid w:val="00727D85"/>
    <w:rsid w:val="0073152C"/>
    <w:rsid w:val="00733AB0"/>
    <w:rsid w:val="007346C7"/>
    <w:rsid w:val="00735430"/>
    <w:rsid w:val="00736041"/>
    <w:rsid w:val="0073684F"/>
    <w:rsid w:val="007408C7"/>
    <w:rsid w:val="00741289"/>
    <w:rsid w:val="00741332"/>
    <w:rsid w:val="00741411"/>
    <w:rsid w:val="00742C26"/>
    <w:rsid w:val="00744F56"/>
    <w:rsid w:val="007465DA"/>
    <w:rsid w:val="00746996"/>
    <w:rsid w:val="00747C3E"/>
    <w:rsid w:val="00752C7F"/>
    <w:rsid w:val="00753F1E"/>
    <w:rsid w:val="00754697"/>
    <w:rsid w:val="00755E45"/>
    <w:rsid w:val="0075639F"/>
    <w:rsid w:val="00756C49"/>
    <w:rsid w:val="00761422"/>
    <w:rsid w:val="00762E08"/>
    <w:rsid w:val="007640DA"/>
    <w:rsid w:val="00773B69"/>
    <w:rsid w:val="00776399"/>
    <w:rsid w:val="00776598"/>
    <w:rsid w:val="00776E20"/>
    <w:rsid w:val="00777EB7"/>
    <w:rsid w:val="007804C7"/>
    <w:rsid w:val="00780AAF"/>
    <w:rsid w:val="00780C81"/>
    <w:rsid w:val="00780F32"/>
    <w:rsid w:val="007854A0"/>
    <w:rsid w:val="00785BF8"/>
    <w:rsid w:val="0078777F"/>
    <w:rsid w:val="00791672"/>
    <w:rsid w:val="007916B4"/>
    <w:rsid w:val="0079291A"/>
    <w:rsid w:val="00792948"/>
    <w:rsid w:val="00792D06"/>
    <w:rsid w:val="0079327F"/>
    <w:rsid w:val="007968E6"/>
    <w:rsid w:val="00796E84"/>
    <w:rsid w:val="007A0AC8"/>
    <w:rsid w:val="007A3ADE"/>
    <w:rsid w:val="007A5733"/>
    <w:rsid w:val="007A5774"/>
    <w:rsid w:val="007A5B4C"/>
    <w:rsid w:val="007A5C5B"/>
    <w:rsid w:val="007C58CB"/>
    <w:rsid w:val="007C623B"/>
    <w:rsid w:val="007C637A"/>
    <w:rsid w:val="007C66AD"/>
    <w:rsid w:val="007C78C6"/>
    <w:rsid w:val="007D26A5"/>
    <w:rsid w:val="007D2960"/>
    <w:rsid w:val="007D64A1"/>
    <w:rsid w:val="007E25C2"/>
    <w:rsid w:val="007E3361"/>
    <w:rsid w:val="007E4468"/>
    <w:rsid w:val="007F1572"/>
    <w:rsid w:val="007F3FE3"/>
    <w:rsid w:val="007F5BB0"/>
    <w:rsid w:val="007F6B57"/>
    <w:rsid w:val="007F729B"/>
    <w:rsid w:val="0080155E"/>
    <w:rsid w:val="00801E74"/>
    <w:rsid w:val="0080248B"/>
    <w:rsid w:val="008028D6"/>
    <w:rsid w:val="0080485E"/>
    <w:rsid w:val="00806848"/>
    <w:rsid w:val="008071E9"/>
    <w:rsid w:val="0080756D"/>
    <w:rsid w:val="008142B4"/>
    <w:rsid w:val="00820880"/>
    <w:rsid w:val="008262B3"/>
    <w:rsid w:val="00827FF4"/>
    <w:rsid w:val="00832324"/>
    <w:rsid w:val="00832636"/>
    <w:rsid w:val="00832985"/>
    <w:rsid w:val="008337B4"/>
    <w:rsid w:val="00835337"/>
    <w:rsid w:val="00836AF0"/>
    <w:rsid w:val="00842E6D"/>
    <w:rsid w:val="00846DCD"/>
    <w:rsid w:val="008506FD"/>
    <w:rsid w:val="00850FC7"/>
    <w:rsid w:val="00851D85"/>
    <w:rsid w:val="008572E0"/>
    <w:rsid w:val="00860626"/>
    <w:rsid w:val="00860CCB"/>
    <w:rsid w:val="0086147E"/>
    <w:rsid w:val="008626A3"/>
    <w:rsid w:val="008635E9"/>
    <w:rsid w:val="00864B35"/>
    <w:rsid w:val="00871295"/>
    <w:rsid w:val="00871EE9"/>
    <w:rsid w:val="008740A3"/>
    <w:rsid w:val="00876563"/>
    <w:rsid w:val="00877D0B"/>
    <w:rsid w:val="00881913"/>
    <w:rsid w:val="00883817"/>
    <w:rsid w:val="00892128"/>
    <w:rsid w:val="0089297B"/>
    <w:rsid w:val="00895882"/>
    <w:rsid w:val="008A0A03"/>
    <w:rsid w:val="008A3740"/>
    <w:rsid w:val="008A3B3D"/>
    <w:rsid w:val="008A5B13"/>
    <w:rsid w:val="008A6525"/>
    <w:rsid w:val="008A7BC4"/>
    <w:rsid w:val="008B2769"/>
    <w:rsid w:val="008B45ED"/>
    <w:rsid w:val="008B6DE9"/>
    <w:rsid w:val="008C1564"/>
    <w:rsid w:val="008C1AF0"/>
    <w:rsid w:val="008C277A"/>
    <w:rsid w:val="008C36CA"/>
    <w:rsid w:val="008D1084"/>
    <w:rsid w:val="008D194F"/>
    <w:rsid w:val="008D1CD8"/>
    <w:rsid w:val="008D613E"/>
    <w:rsid w:val="008E12CA"/>
    <w:rsid w:val="008E3F8C"/>
    <w:rsid w:val="008E4B68"/>
    <w:rsid w:val="008E672A"/>
    <w:rsid w:val="008F5ABD"/>
    <w:rsid w:val="009003CF"/>
    <w:rsid w:val="0090060C"/>
    <w:rsid w:val="00901699"/>
    <w:rsid w:val="00901DAF"/>
    <w:rsid w:val="00902FD0"/>
    <w:rsid w:val="009053D3"/>
    <w:rsid w:val="0090691F"/>
    <w:rsid w:val="009101B7"/>
    <w:rsid w:val="00911F31"/>
    <w:rsid w:val="00912382"/>
    <w:rsid w:val="00917A7F"/>
    <w:rsid w:val="00920959"/>
    <w:rsid w:val="00922C54"/>
    <w:rsid w:val="009231EB"/>
    <w:rsid w:val="00927543"/>
    <w:rsid w:val="00930B41"/>
    <w:rsid w:val="0093111F"/>
    <w:rsid w:val="009315B1"/>
    <w:rsid w:val="009337F3"/>
    <w:rsid w:val="00935689"/>
    <w:rsid w:val="00936399"/>
    <w:rsid w:val="00944229"/>
    <w:rsid w:val="00947016"/>
    <w:rsid w:val="00950916"/>
    <w:rsid w:val="00952891"/>
    <w:rsid w:val="0095303B"/>
    <w:rsid w:val="009548C6"/>
    <w:rsid w:val="00957943"/>
    <w:rsid w:val="009655F0"/>
    <w:rsid w:val="009663B6"/>
    <w:rsid w:val="00967326"/>
    <w:rsid w:val="00971F40"/>
    <w:rsid w:val="00974816"/>
    <w:rsid w:val="00974A47"/>
    <w:rsid w:val="00980286"/>
    <w:rsid w:val="00985673"/>
    <w:rsid w:val="00990DCF"/>
    <w:rsid w:val="00991BBB"/>
    <w:rsid w:val="00995F6A"/>
    <w:rsid w:val="009A4CD6"/>
    <w:rsid w:val="009A537C"/>
    <w:rsid w:val="009A7955"/>
    <w:rsid w:val="009A7C17"/>
    <w:rsid w:val="009B2226"/>
    <w:rsid w:val="009B4F54"/>
    <w:rsid w:val="009C0886"/>
    <w:rsid w:val="009C19EE"/>
    <w:rsid w:val="009C28D0"/>
    <w:rsid w:val="009C34EC"/>
    <w:rsid w:val="009C35F2"/>
    <w:rsid w:val="009C3640"/>
    <w:rsid w:val="009C36AA"/>
    <w:rsid w:val="009C6030"/>
    <w:rsid w:val="009C7782"/>
    <w:rsid w:val="009D1ED5"/>
    <w:rsid w:val="009D4C13"/>
    <w:rsid w:val="009E12F0"/>
    <w:rsid w:val="009E21A7"/>
    <w:rsid w:val="009E4812"/>
    <w:rsid w:val="009E4E2E"/>
    <w:rsid w:val="009F1D68"/>
    <w:rsid w:val="009F6FBF"/>
    <w:rsid w:val="00A00A44"/>
    <w:rsid w:val="00A0113C"/>
    <w:rsid w:val="00A02614"/>
    <w:rsid w:val="00A035ED"/>
    <w:rsid w:val="00A04256"/>
    <w:rsid w:val="00A05057"/>
    <w:rsid w:val="00A07B3F"/>
    <w:rsid w:val="00A103ED"/>
    <w:rsid w:val="00A12517"/>
    <w:rsid w:val="00A13C60"/>
    <w:rsid w:val="00A14DD2"/>
    <w:rsid w:val="00A20CD6"/>
    <w:rsid w:val="00A21772"/>
    <w:rsid w:val="00A21A8E"/>
    <w:rsid w:val="00A22EF7"/>
    <w:rsid w:val="00A2662C"/>
    <w:rsid w:val="00A31C04"/>
    <w:rsid w:val="00A32B90"/>
    <w:rsid w:val="00A3380E"/>
    <w:rsid w:val="00A341A3"/>
    <w:rsid w:val="00A3432B"/>
    <w:rsid w:val="00A35800"/>
    <w:rsid w:val="00A37F75"/>
    <w:rsid w:val="00A450D0"/>
    <w:rsid w:val="00A52918"/>
    <w:rsid w:val="00A547B3"/>
    <w:rsid w:val="00A5650F"/>
    <w:rsid w:val="00A62685"/>
    <w:rsid w:val="00A65CB3"/>
    <w:rsid w:val="00A70714"/>
    <w:rsid w:val="00A70E82"/>
    <w:rsid w:val="00A7236A"/>
    <w:rsid w:val="00A771C9"/>
    <w:rsid w:val="00A84CAD"/>
    <w:rsid w:val="00A8563F"/>
    <w:rsid w:val="00A86B1E"/>
    <w:rsid w:val="00A87F93"/>
    <w:rsid w:val="00A90E50"/>
    <w:rsid w:val="00A9198D"/>
    <w:rsid w:val="00A95FA5"/>
    <w:rsid w:val="00A966C9"/>
    <w:rsid w:val="00A96D92"/>
    <w:rsid w:val="00AA5F38"/>
    <w:rsid w:val="00AA6B07"/>
    <w:rsid w:val="00AA770F"/>
    <w:rsid w:val="00AB236F"/>
    <w:rsid w:val="00AB3733"/>
    <w:rsid w:val="00AB4938"/>
    <w:rsid w:val="00AB6C12"/>
    <w:rsid w:val="00AB7897"/>
    <w:rsid w:val="00AC5054"/>
    <w:rsid w:val="00AC57A2"/>
    <w:rsid w:val="00AD46B5"/>
    <w:rsid w:val="00AD5EC1"/>
    <w:rsid w:val="00AE2495"/>
    <w:rsid w:val="00AE4BAC"/>
    <w:rsid w:val="00AE51C2"/>
    <w:rsid w:val="00AE6560"/>
    <w:rsid w:val="00AE7D49"/>
    <w:rsid w:val="00AF1715"/>
    <w:rsid w:val="00AF33D7"/>
    <w:rsid w:val="00AF3F4C"/>
    <w:rsid w:val="00B034FC"/>
    <w:rsid w:val="00B05310"/>
    <w:rsid w:val="00B06030"/>
    <w:rsid w:val="00B070C6"/>
    <w:rsid w:val="00B104C1"/>
    <w:rsid w:val="00B10A0B"/>
    <w:rsid w:val="00B10D87"/>
    <w:rsid w:val="00B1105F"/>
    <w:rsid w:val="00B117C2"/>
    <w:rsid w:val="00B133C0"/>
    <w:rsid w:val="00B13679"/>
    <w:rsid w:val="00B13816"/>
    <w:rsid w:val="00B155E9"/>
    <w:rsid w:val="00B169A6"/>
    <w:rsid w:val="00B175F9"/>
    <w:rsid w:val="00B22D2E"/>
    <w:rsid w:val="00B249CD"/>
    <w:rsid w:val="00B24BC8"/>
    <w:rsid w:val="00B30D85"/>
    <w:rsid w:val="00B35A4A"/>
    <w:rsid w:val="00B36EDE"/>
    <w:rsid w:val="00B4447A"/>
    <w:rsid w:val="00B464C2"/>
    <w:rsid w:val="00B50955"/>
    <w:rsid w:val="00B51881"/>
    <w:rsid w:val="00B544EC"/>
    <w:rsid w:val="00B574B7"/>
    <w:rsid w:val="00B6016F"/>
    <w:rsid w:val="00B60FCA"/>
    <w:rsid w:val="00B61B27"/>
    <w:rsid w:val="00B63FD7"/>
    <w:rsid w:val="00B77DB8"/>
    <w:rsid w:val="00B8000B"/>
    <w:rsid w:val="00B803BB"/>
    <w:rsid w:val="00B816D9"/>
    <w:rsid w:val="00B84313"/>
    <w:rsid w:val="00B85DF3"/>
    <w:rsid w:val="00B87D88"/>
    <w:rsid w:val="00B9120F"/>
    <w:rsid w:val="00B92074"/>
    <w:rsid w:val="00B9216C"/>
    <w:rsid w:val="00B924A4"/>
    <w:rsid w:val="00BA09BC"/>
    <w:rsid w:val="00BA3541"/>
    <w:rsid w:val="00BA4169"/>
    <w:rsid w:val="00BA4DEB"/>
    <w:rsid w:val="00BB08BA"/>
    <w:rsid w:val="00BB0D1A"/>
    <w:rsid w:val="00BB1D3B"/>
    <w:rsid w:val="00BB3F77"/>
    <w:rsid w:val="00BB7891"/>
    <w:rsid w:val="00BC2DB5"/>
    <w:rsid w:val="00BC35ED"/>
    <w:rsid w:val="00BC5B3A"/>
    <w:rsid w:val="00BD1167"/>
    <w:rsid w:val="00BD3E60"/>
    <w:rsid w:val="00BD420B"/>
    <w:rsid w:val="00BE205A"/>
    <w:rsid w:val="00BE236A"/>
    <w:rsid w:val="00BE3802"/>
    <w:rsid w:val="00BE4EDE"/>
    <w:rsid w:val="00BE7632"/>
    <w:rsid w:val="00BF1C82"/>
    <w:rsid w:val="00BF238E"/>
    <w:rsid w:val="00BF2F4A"/>
    <w:rsid w:val="00BF544D"/>
    <w:rsid w:val="00C0076F"/>
    <w:rsid w:val="00C0301C"/>
    <w:rsid w:val="00C050B6"/>
    <w:rsid w:val="00C05DE4"/>
    <w:rsid w:val="00C06F82"/>
    <w:rsid w:val="00C10D30"/>
    <w:rsid w:val="00C10F12"/>
    <w:rsid w:val="00C12CC1"/>
    <w:rsid w:val="00C157D0"/>
    <w:rsid w:val="00C17FDC"/>
    <w:rsid w:val="00C221A3"/>
    <w:rsid w:val="00C22553"/>
    <w:rsid w:val="00C245EA"/>
    <w:rsid w:val="00C256F6"/>
    <w:rsid w:val="00C27342"/>
    <w:rsid w:val="00C3097E"/>
    <w:rsid w:val="00C330BB"/>
    <w:rsid w:val="00C35ECC"/>
    <w:rsid w:val="00C361A8"/>
    <w:rsid w:val="00C41246"/>
    <w:rsid w:val="00C430FB"/>
    <w:rsid w:val="00C43622"/>
    <w:rsid w:val="00C43D1E"/>
    <w:rsid w:val="00C45138"/>
    <w:rsid w:val="00C45E5F"/>
    <w:rsid w:val="00C46291"/>
    <w:rsid w:val="00C46C95"/>
    <w:rsid w:val="00C47E42"/>
    <w:rsid w:val="00C51F17"/>
    <w:rsid w:val="00C541F5"/>
    <w:rsid w:val="00C54275"/>
    <w:rsid w:val="00C61A08"/>
    <w:rsid w:val="00C62139"/>
    <w:rsid w:val="00C62CA4"/>
    <w:rsid w:val="00C63412"/>
    <w:rsid w:val="00C7107F"/>
    <w:rsid w:val="00C714D0"/>
    <w:rsid w:val="00C71603"/>
    <w:rsid w:val="00C73A96"/>
    <w:rsid w:val="00C75F1B"/>
    <w:rsid w:val="00C75FFE"/>
    <w:rsid w:val="00C76146"/>
    <w:rsid w:val="00C82A4A"/>
    <w:rsid w:val="00C90EF4"/>
    <w:rsid w:val="00CA015A"/>
    <w:rsid w:val="00CA3017"/>
    <w:rsid w:val="00CA4DF6"/>
    <w:rsid w:val="00CA5674"/>
    <w:rsid w:val="00CA57A8"/>
    <w:rsid w:val="00CB2743"/>
    <w:rsid w:val="00CB446B"/>
    <w:rsid w:val="00CB4D76"/>
    <w:rsid w:val="00CC1AA3"/>
    <w:rsid w:val="00CC1E42"/>
    <w:rsid w:val="00CC49EB"/>
    <w:rsid w:val="00CC7500"/>
    <w:rsid w:val="00CD4486"/>
    <w:rsid w:val="00CD6D53"/>
    <w:rsid w:val="00CD7F52"/>
    <w:rsid w:val="00CE2509"/>
    <w:rsid w:val="00CE6BF0"/>
    <w:rsid w:val="00CF1D29"/>
    <w:rsid w:val="00CF5E22"/>
    <w:rsid w:val="00CF6278"/>
    <w:rsid w:val="00CF7565"/>
    <w:rsid w:val="00D00502"/>
    <w:rsid w:val="00D03DBE"/>
    <w:rsid w:val="00D06508"/>
    <w:rsid w:val="00D06A44"/>
    <w:rsid w:val="00D1150D"/>
    <w:rsid w:val="00D13822"/>
    <w:rsid w:val="00D151EB"/>
    <w:rsid w:val="00D20E62"/>
    <w:rsid w:val="00D21F8A"/>
    <w:rsid w:val="00D269F4"/>
    <w:rsid w:val="00D300E0"/>
    <w:rsid w:val="00D31410"/>
    <w:rsid w:val="00D355E7"/>
    <w:rsid w:val="00D374CD"/>
    <w:rsid w:val="00D4060E"/>
    <w:rsid w:val="00D4445B"/>
    <w:rsid w:val="00D4547E"/>
    <w:rsid w:val="00D51CE8"/>
    <w:rsid w:val="00D53207"/>
    <w:rsid w:val="00D53ABD"/>
    <w:rsid w:val="00D55CBB"/>
    <w:rsid w:val="00D5626B"/>
    <w:rsid w:val="00D57381"/>
    <w:rsid w:val="00D60CF4"/>
    <w:rsid w:val="00D650CE"/>
    <w:rsid w:val="00D67654"/>
    <w:rsid w:val="00D67A58"/>
    <w:rsid w:val="00D71719"/>
    <w:rsid w:val="00D71D18"/>
    <w:rsid w:val="00D737B9"/>
    <w:rsid w:val="00D74BC7"/>
    <w:rsid w:val="00D750BB"/>
    <w:rsid w:val="00D776DA"/>
    <w:rsid w:val="00D81A50"/>
    <w:rsid w:val="00D822D6"/>
    <w:rsid w:val="00D825E0"/>
    <w:rsid w:val="00D8758B"/>
    <w:rsid w:val="00D90413"/>
    <w:rsid w:val="00D92A60"/>
    <w:rsid w:val="00D942B3"/>
    <w:rsid w:val="00D94863"/>
    <w:rsid w:val="00D956CC"/>
    <w:rsid w:val="00D964FD"/>
    <w:rsid w:val="00DA1D6E"/>
    <w:rsid w:val="00DA352D"/>
    <w:rsid w:val="00DA364D"/>
    <w:rsid w:val="00DA5788"/>
    <w:rsid w:val="00DA5AA8"/>
    <w:rsid w:val="00DA646F"/>
    <w:rsid w:val="00DA7D09"/>
    <w:rsid w:val="00DB1519"/>
    <w:rsid w:val="00DB2118"/>
    <w:rsid w:val="00DB403F"/>
    <w:rsid w:val="00DB5136"/>
    <w:rsid w:val="00DB6757"/>
    <w:rsid w:val="00DB7AB9"/>
    <w:rsid w:val="00DB7E1F"/>
    <w:rsid w:val="00DB7F9C"/>
    <w:rsid w:val="00DC1F4D"/>
    <w:rsid w:val="00DC2630"/>
    <w:rsid w:val="00DC49E9"/>
    <w:rsid w:val="00DC55E4"/>
    <w:rsid w:val="00DC7D71"/>
    <w:rsid w:val="00DD08FD"/>
    <w:rsid w:val="00DD14C8"/>
    <w:rsid w:val="00DD188C"/>
    <w:rsid w:val="00DD195B"/>
    <w:rsid w:val="00DD1981"/>
    <w:rsid w:val="00DD1A57"/>
    <w:rsid w:val="00DD29A3"/>
    <w:rsid w:val="00DD4377"/>
    <w:rsid w:val="00DD48EE"/>
    <w:rsid w:val="00DD4E14"/>
    <w:rsid w:val="00DE0B96"/>
    <w:rsid w:val="00DE10B9"/>
    <w:rsid w:val="00DF0446"/>
    <w:rsid w:val="00DF06B9"/>
    <w:rsid w:val="00DF08C0"/>
    <w:rsid w:val="00DF0B13"/>
    <w:rsid w:val="00DF2EB8"/>
    <w:rsid w:val="00DF4A94"/>
    <w:rsid w:val="00DF500A"/>
    <w:rsid w:val="00DF6003"/>
    <w:rsid w:val="00E00095"/>
    <w:rsid w:val="00E0155F"/>
    <w:rsid w:val="00E02D24"/>
    <w:rsid w:val="00E02E5A"/>
    <w:rsid w:val="00E039ED"/>
    <w:rsid w:val="00E066C3"/>
    <w:rsid w:val="00E072E6"/>
    <w:rsid w:val="00E10D8C"/>
    <w:rsid w:val="00E132E0"/>
    <w:rsid w:val="00E1353A"/>
    <w:rsid w:val="00E13787"/>
    <w:rsid w:val="00E1564B"/>
    <w:rsid w:val="00E208A0"/>
    <w:rsid w:val="00E23E4C"/>
    <w:rsid w:val="00E246EC"/>
    <w:rsid w:val="00E25B49"/>
    <w:rsid w:val="00E279C0"/>
    <w:rsid w:val="00E30061"/>
    <w:rsid w:val="00E31730"/>
    <w:rsid w:val="00E328B3"/>
    <w:rsid w:val="00E371EA"/>
    <w:rsid w:val="00E40896"/>
    <w:rsid w:val="00E45C54"/>
    <w:rsid w:val="00E45D1B"/>
    <w:rsid w:val="00E468C2"/>
    <w:rsid w:val="00E476EB"/>
    <w:rsid w:val="00E476FE"/>
    <w:rsid w:val="00E53BA2"/>
    <w:rsid w:val="00E56842"/>
    <w:rsid w:val="00E63121"/>
    <w:rsid w:val="00E64429"/>
    <w:rsid w:val="00E6494C"/>
    <w:rsid w:val="00E664BE"/>
    <w:rsid w:val="00E677DD"/>
    <w:rsid w:val="00E7594B"/>
    <w:rsid w:val="00E823AA"/>
    <w:rsid w:val="00E83558"/>
    <w:rsid w:val="00E8776D"/>
    <w:rsid w:val="00E902AF"/>
    <w:rsid w:val="00E9288F"/>
    <w:rsid w:val="00E937BE"/>
    <w:rsid w:val="00E97AFF"/>
    <w:rsid w:val="00EA0467"/>
    <w:rsid w:val="00EB16F7"/>
    <w:rsid w:val="00EB4688"/>
    <w:rsid w:val="00EB6100"/>
    <w:rsid w:val="00EB6C07"/>
    <w:rsid w:val="00EC028D"/>
    <w:rsid w:val="00EC1120"/>
    <w:rsid w:val="00EC1FEA"/>
    <w:rsid w:val="00EC3393"/>
    <w:rsid w:val="00EC712F"/>
    <w:rsid w:val="00ED2446"/>
    <w:rsid w:val="00ED5E97"/>
    <w:rsid w:val="00ED633B"/>
    <w:rsid w:val="00ED748B"/>
    <w:rsid w:val="00EE3A57"/>
    <w:rsid w:val="00EE433B"/>
    <w:rsid w:val="00EE478C"/>
    <w:rsid w:val="00EE4FF4"/>
    <w:rsid w:val="00EE6489"/>
    <w:rsid w:val="00EE738B"/>
    <w:rsid w:val="00EF5A29"/>
    <w:rsid w:val="00EF69E4"/>
    <w:rsid w:val="00F009FF"/>
    <w:rsid w:val="00F02089"/>
    <w:rsid w:val="00F0486E"/>
    <w:rsid w:val="00F05D94"/>
    <w:rsid w:val="00F1132C"/>
    <w:rsid w:val="00F15DD5"/>
    <w:rsid w:val="00F166F0"/>
    <w:rsid w:val="00F17D4B"/>
    <w:rsid w:val="00F23139"/>
    <w:rsid w:val="00F23C57"/>
    <w:rsid w:val="00F279A5"/>
    <w:rsid w:val="00F279EF"/>
    <w:rsid w:val="00F3043E"/>
    <w:rsid w:val="00F36A75"/>
    <w:rsid w:val="00F41D78"/>
    <w:rsid w:val="00F44281"/>
    <w:rsid w:val="00F46B93"/>
    <w:rsid w:val="00F47E19"/>
    <w:rsid w:val="00F52264"/>
    <w:rsid w:val="00F52AA8"/>
    <w:rsid w:val="00F63260"/>
    <w:rsid w:val="00F64170"/>
    <w:rsid w:val="00F648B3"/>
    <w:rsid w:val="00F66CD5"/>
    <w:rsid w:val="00F67A9A"/>
    <w:rsid w:val="00F70F4E"/>
    <w:rsid w:val="00F73113"/>
    <w:rsid w:val="00F75072"/>
    <w:rsid w:val="00F75CB9"/>
    <w:rsid w:val="00F75FC4"/>
    <w:rsid w:val="00F84CC6"/>
    <w:rsid w:val="00F85981"/>
    <w:rsid w:val="00F86398"/>
    <w:rsid w:val="00F863BE"/>
    <w:rsid w:val="00F87263"/>
    <w:rsid w:val="00F90D69"/>
    <w:rsid w:val="00F90F21"/>
    <w:rsid w:val="00F913A3"/>
    <w:rsid w:val="00F93725"/>
    <w:rsid w:val="00FA2354"/>
    <w:rsid w:val="00FA4890"/>
    <w:rsid w:val="00FA4FAD"/>
    <w:rsid w:val="00FA72AF"/>
    <w:rsid w:val="00FB040B"/>
    <w:rsid w:val="00FB2A87"/>
    <w:rsid w:val="00FB405D"/>
    <w:rsid w:val="00FB4795"/>
    <w:rsid w:val="00FB77FA"/>
    <w:rsid w:val="00FB7C99"/>
    <w:rsid w:val="00FC3C70"/>
    <w:rsid w:val="00FC476D"/>
    <w:rsid w:val="00FC4A73"/>
    <w:rsid w:val="00FC559C"/>
    <w:rsid w:val="00FC5765"/>
    <w:rsid w:val="00FC62C6"/>
    <w:rsid w:val="00FC7F0D"/>
    <w:rsid w:val="00FD1EA3"/>
    <w:rsid w:val="00FD25FE"/>
    <w:rsid w:val="00FD38C3"/>
    <w:rsid w:val="00FD4A3C"/>
    <w:rsid w:val="00FE02CF"/>
    <w:rsid w:val="00FE3F51"/>
    <w:rsid w:val="00FE5D34"/>
    <w:rsid w:val="00FE645A"/>
    <w:rsid w:val="00FE64E0"/>
    <w:rsid w:val="00FE79E0"/>
    <w:rsid w:val="00FF1887"/>
    <w:rsid w:val="00FF18BC"/>
    <w:rsid w:val="00FF6102"/>
    <w:rsid w:val="00FF789D"/>
  </w:rsids>
  <m:mathPr>
    <m:mathFont m:val="Cambria Math"/>
    <m:brkBin m:val="before"/>
    <m:brkBinSub m:val="--"/>
    <m:smallFrac m:val="0"/>
    <m:dispDef/>
    <m:lMargin m:val="0"/>
    <m:rMargin m:val="0"/>
    <m:defJc m:val="centerGroup"/>
    <m:wrapIndent m:val="1440"/>
    <m:intLim m:val="subSup"/>
    <m:naryLim m:val="undOvr"/>
  </m:mathPr>
  <w:attachedSchema w:val="http://schema.highwire.org/NLM/Journal"/>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46B"/>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FollowedHyperlink">
    <w:name w:val="FollowedHyperlink"/>
    <w:basedOn w:val="DefaultParagraphFont"/>
    <w:uiPriority w:val="99"/>
    <w:semiHidden/>
    <w:unhideWhenUsed/>
    <w:rsid w:val="00211D1F"/>
    <w:rPr>
      <w:color w:val="800080" w:themeColor="followedHyperlink"/>
      <w:u w:val="single"/>
    </w:rPr>
  </w:style>
  <w:style w:type="paragraph" w:styleId="NormalWeb">
    <w:name w:val="Normal (Web)"/>
    <w:basedOn w:val="Normal"/>
    <w:uiPriority w:val="99"/>
    <w:semiHidden/>
    <w:unhideWhenUsed/>
    <w:rsid w:val="00AF3F4C"/>
    <w:rPr>
      <w:rFonts w:ascii="Times New Roman" w:hAnsi="Times New Roman" w:cs="Times New Roman"/>
    </w:rPr>
  </w:style>
  <w:style w:type="character" w:customStyle="1" w:styleId="prod-title">
    <w:name w:val="prod-title"/>
    <w:basedOn w:val="DefaultParagraphFont"/>
    <w:rsid w:val="00AE51C2"/>
  </w:style>
  <w:style w:type="character" w:customStyle="1" w:styleId="apple-converted-space">
    <w:name w:val="apple-converted-space"/>
    <w:basedOn w:val="DefaultParagraphFont"/>
    <w:rsid w:val="00AE51C2"/>
  </w:style>
  <w:style w:type="character" w:customStyle="1" w:styleId="published-date">
    <w:name w:val="published-date"/>
    <w:basedOn w:val="DefaultParagraphFont"/>
    <w:rsid w:val="00AE51C2"/>
  </w:style>
  <w:style w:type="paragraph" w:styleId="EndnoteText">
    <w:name w:val="endnote text"/>
    <w:basedOn w:val="Normal"/>
    <w:link w:val="EndnoteTextChar"/>
    <w:uiPriority w:val="99"/>
    <w:semiHidden/>
    <w:unhideWhenUsed/>
    <w:rsid w:val="00881913"/>
    <w:pPr>
      <w:spacing w:after="0"/>
    </w:pPr>
    <w:rPr>
      <w:sz w:val="20"/>
      <w:szCs w:val="20"/>
    </w:rPr>
  </w:style>
  <w:style w:type="character" w:customStyle="1" w:styleId="EndnoteTextChar">
    <w:name w:val="Endnote Text Char"/>
    <w:basedOn w:val="DefaultParagraphFont"/>
    <w:link w:val="EndnoteText"/>
    <w:uiPriority w:val="99"/>
    <w:semiHidden/>
    <w:rsid w:val="00881913"/>
    <w:rPr>
      <w:sz w:val="20"/>
      <w:szCs w:val="20"/>
    </w:rPr>
  </w:style>
  <w:style w:type="character" w:styleId="EndnoteReference">
    <w:name w:val="endnote reference"/>
    <w:basedOn w:val="DefaultParagraphFont"/>
    <w:uiPriority w:val="99"/>
    <w:semiHidden/>
    <w:unhideWhenUsed/>
    <w:rsid w:val="00881913"/>
    <w:rPr>
      <w:vertAlign w:val="superscript"/>
    </w:rPr>
  </w:style>
  <w:style w:type="paragraph" w:styleId="Revision">
    <w:name w:val="Revision"/>
    <w:hidden/>
    <w:uiPriority w:val="99"/>
    <w:semiHidden/>
    <w:rsid w:val="00881913"/>
    <w:pPr>
      <w:spacing w:after="0" w:line="240" w:lineRule="auto"/>
    </w:pPr>
    <w:rPr>
      <w:sz w:val="24"/>
      <w:szCs w:val="24"/>
    </w:rPr>
  </w:style>
  <w:style w:type="character" w:customStyle="1" w:styleId="item-code">
    <w:name w:val="item-code"/>
    <w:basedOn w:val="DefaultParagraphFont"/>
    <w:rsid w:val="00C54275"/>
  </w:style>
  <w:style w:type="character" w:customStyle="1" w:styleId="legend-item">
    <w:name w:val="legend-item"/>
    <w:basedOn w:val="DefaultParagraphFont"/>
    <w:rsid w:val="00C54275"/>
  </w:style>
  <w:style w:type="character" w:customStyle="1" w:styleId="drug-name">
    <w:name w:val="drug-name"/>
    <w:basedOn w:val="DefaultParagraphFont"/>
    <w:rsid w:val="00C54275"/>
  </w:style>
  <w:style w:type="character" w:customStyle="1" w:styleId="form-strength">
    <w:name w:val="form-strength"/>
    <w:basedOn w:val="DefaultParagraphFont"/>
    <w:rsid w:val="00C54275"/>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aption Char Char,c"/>
    <w:basedOn w:val="Normal"/>
    <w:next w:val="Normal"/>
    <w:link w:val="CaptionChar"/>
    <w:qFormat/>
    <w:rsid w:val="009E4812"/>
    <w:pPr>
      <w:widowControl w:val="0"/>
      <w:spacing w:after="0"/>
      <w:jc w:val="both"/>
    </w:pPr>
    <w:rPr>
      <w:rFonts w:ascii="Arial" w:eastAsia="Times New Roman" w:hAnsi="Arial" w:cs="Times New Roman"/>
      <w:i/>
      <w:iCs/>
      <w:snapToGrid w:val="0"/>
      <w:sz w:val="20"/>
      <w:szCs w:val="20"/>
      <w:lang w:eastAsia="en-US"/>
    </w:rPr>
  </w:style>
  <w:style w:type="paragraph" w:customStyle="1" w:styleId="Tabletext">
    <w:name w:val="Table text"/>
    <w:basedOn w:val="Normal"/>
    <w:link w:val="TabletextChar1"/>
    <w:qFormat/>
    <w:rsid w:val="009E4812"/>
    <w:pPr>
      <w:spacing w:after="0"/>
    </w:pPr>
    <w:rPr>
      <w:rFonts w:ascii="Arial" w:eastAsia="Times New Roman" w:hAnsi="Arial" w:cs="Times New Roman"/>
      <w:sz w:val="20"/>
      <w:szCs w:val="20"/>
      <w:lang w:val="x-none" w:eastAsia="en-US"/>
    </w:rPr>
  </w:style>
  <w:style w:type="paragraph" w:customStyle="1" w:styleId="Tablenotes">
    <w:name w:val="Table notes"/>
    <w:basedOn w:val="Normal"/>
    <w:link w:val="TablenotesChar"/>
    <w:qFormat/>
    <w:rsid w:val="009E4812"/>
    <w:pPr>
      <w:widowControl w:val="0"/>
      <w:spacing w:after="240"/>
      <w:contextualSpacing/>
      <w:jc w:val="both"/>
    </w:pPr>
    <w:rPr>
      <w:rFonts w:ascii="Arial" w:eastAsia="Times New Roman" w:hAnsi="Arial" w:cs="Times New Roman"/>
      <w:snapToGrid w:val="0"/>
      <w:sz w:val="20"/>
      <w:szCs w:val="20"/>
      <w:lang w:val="x-none" w:eastAsia="en-US"/>
    </w:rPr>
  </w:style>
  <w:style w:type="character" w:customStyle="1" w:styleId="TablenotesChar">
    <w:name w:val="Table notes Char"/>
    <w:link w:val="Tablenotes"/>
    <w:rsid w:val="009E4812"/>
    <w:rPr>
      <w:rFonts w:ascii="Arial" w:eastAsia="Times New Roman" w:hAnsi="Arial" w:cs="Times New Roman"/>
      <w:snapToGrid w:val="0"/>
      <w:sz w:val="20"/>
      <w:szCs w:val="20"/>
      <w:lang w:val="x-none"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rsid w:val="009E4812"/>
    <w:rPr>
      <w:rFonts w:ascii="Arial" w:eastAsia="Times New Roman" w:hAnsi="Arial" w:cs="Times New Roman"/>
      <w:i/>
      <w:iCs/>
      <w:snapToGrid w:val="0"/>
      <w:sz w:val="20"/>
      <w:szCs w:val="20"/>
      <w:lang w:eastAsia="en-US"/>
    </w:rPr>
  </w:style>
  <w:style w:type="character" w:customStyle="1" w:styleId="TabletextChar1">
    <w:name w:val="Table text Char1"/>
    <w:link w:val="Tabletext"/>
    <w:rsid w:val="009E4812"/>
    <w:rPr>
      <w:rFonts w:ascii="Arial" w:eastAsia="Times New Roman" w:hAnsi="Arial" w:cs="Times New Roman"/>
      <w:sz w:val="20"/>
      <w:szCs w:val="20"/>
      <w:lang w:val="x-none" w:eastAsia="en-US"/>
    </w:rPr>
  </w:style>
  <w:style w:type="paragraph" w:customStyle="1" w:styleId="PBACBullets">
    <w:name w:val="PBAC Bullets"/>
    <w:basedOn w:val="Normal"/>
    <w:qFormat/>
    <w:rsid w:val="00127506"/>
    <w:pPr>
      <w:numPr>
        <w:numId w:val="27"/>
      </w:numPr>
      <w:spacing w:before="240" w:after="60"/>
      <w:ind w:left="357" w:hanging="357"/>
    </w:pPr>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46B"/>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FollowedHyperlink">
    <w:name w:val="FollowedHyperlink"/>
    <w:basedOn w:val="DefaultParagraphFont"/>
    <w:uiPriority w:val="99"/>
    <w:semiHidden/>
    <w:unhideWhenUsed/>
    <w:rsid w:val="00211D1F"/>
    <w:rPr>
      <w:color w:val="800080" w:themeColor="followedHyperlink"/>
      <w:u w:val="single"/>
    </w:rPr>
  </w:style>
  <w:style w:type="paragraph" w:styleId="NormalWeb">
    <w:name w:val="Normal (Web)"/>
    <w:basedOn w:val="Normal"/>
    <w:uiPriority w:val="99"/>
    <w:semiHidden/>
    <w:unhideWhenUsed/>
    <w:rsid w:val="00AF3F4C"/>
    <w:rPr>
      <w:rFonts w:ascii="Times New Roman" w:hAnsi="Times New Roman" w:cs="Times New Roman"/>
    </w:rPr>
  </w:style>
  <w:style w:type="character" w:customStyle="1" w:styleId="prod-title">
    <w:name w:val="prod-title"/>
    <w:basedOn w:val="DefaultParagraphFont"/>
    <w:rsid w:val="00AE51C2"/>
  </w:style>
  <w:style w:type="character" w:customStyle="1" w:styleId="apple-converted-space">
    <w:name w:val="apple-converted-space"/>
    <w:basedOn w:val="DefaultParagraphFont"/>
    <w:rsid w:val="00AE51C2"/>
  </w:style>
  <w:style w:type="character" w:customStyle="1" w:styleId="published-date">
    <w:name w:val="published-date"/>
    <w:basedOn w:val="DefaultParagraphFont"/>
    <w:rsid w:val="00AE51C2"/>
  </w:style>
  <w:style w:type="paragraph" w:styleId="EndnoteText">
    <w:name w:val="endnote text"/>
    <w:basedOn w:val="Normal"/>
    <w:link w:val="EndnoteTextChar"/>
    <w:uiPriority w:val="99"/>
    <w:semiHidden/>
    <w:unhideWhenUsed/>
    <w:rsid w:val="00881913"/>
    <w:pPr>
      <w:spacing w:after="0"/>
    </w:pPr>
    <w:rPr>
      <w:sz w:val="20"/>
      <w:szCs w:val="20"/>
    </w:rPr>
  </w:style>
  <w:style w:type="character" w:customStyle="1" w:styleId="EndnoteTextChar">
    <w:name w:val="Endnote Text Char"/>
    <w:basedOn w:val="DefaultParagraphFont"/>
    <w:link w:val="EndnoteText"/>
    <w:uiPriority w:val="99"/>
    <w:semiHidden/>
    <w:rsid w:val="00881913"/>
    <w:rPr>
      <w:sz w:val="20"/>
      <w:szCs w:val="20"/>
    </w:rPr>
  </w:style>
  <w:style w:type="character" w:styleId="EndnoteReference">
    <w:name w:val="endnote reference"/>
    <w:basedOn w:val="DefaultParagraphFont"/>
    <w:uiPriority w:val="99"/>
    <w:semiHidden/>
    <w:unhideWhenUsed/>
    <w:rsid w:val="00881913"/>
    <w:rPr>
      <w:vertAlign w:val="superscript"/>
    </w:rPr>
  </w:style>
  <w:style w:type="paragraph" w:styleId="Revision">
    <w:name w:val="Revision"/>
    <w:hidden/>
    <w:uiPriority w:val="99"/>
    <w:semiHidden/>
    <w:rsid w:val="00881913"/>
    <w:pPr>
      <w:spacing w:after="0" w:line="240" w:lineRule="auto"/>
    </w:pPr>
    <w:rPr>
      <w:sz w:val="24"/>
      <w:szCs w:val="24"/>
    </w:rPr>
  </w:style>
  <w:style w:type="character" w:customStyle="1" w:styleId="item-code">
    <w:name w:val="item-code"/>
    <w:basedOn w:val="DefaultParagraphFont"/>
    <w:rsid w:val="00C54275"/>
  </w:style>
  <w:style w:type="character" w:customStyle="1" w:styleId="legend-item">
    <w:name w:val="legend-item"/>
    <w:basedOn w:val="DefaultParagraphFont"/>
    <w:rsid w:val="00C54275"/>
  </w:style>
  <w:style w:type="character" w:customStyle="1" w:styleId="drug-name">
    <w:name w:val="drug-name"/>
    <w:basedOn w:val="DefaultParagraphFont"/>
    <w:rsid w:val="00C54275"/>
  </w:style>
  <w:style w:type="character" w:customStyle="1" w:styleId="form-strength">
    <w:name w:val="form-strength"/>
    <w:basedOn w:val="DefaultParagraphFont"/>
    <w:rsid w:val="00C54275"/>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aption Char Char,c"/>
    <w:basedOn w:val="Normal"/>
    <w:next w:val="Normal"/>
    <w:link w:val="CaptionChar"/>
    <w:qFormat/>
    <w:rsid w:val="009E4812"/>
    <w:pPr>
      <w:widowControl w:val="0"/>
      <w:spacing w:after="0"/>
      <w:jc w:val="both"/>
    </w:pPr>
    <w:rPr>
      <w:rFonts w:ascii="Arial" w:eastAsia="Times New Roman" w:hAnsi="Arial" w:cs="Times New Roman"/>
      <w:i/>
      <w:iCs/>
      <w:snapToGrid w:val="0"/>
      <w:sz w:val="20"/>
      <w:szCs w:val="20"/>
      <w:lang w:eastAsia="en-US"/>
    </w:rPr>
  </w:style>
  <w:style w:type="paragraph" w:customStyle="1" w:styleId="Tabletext">
    <w:name w:val="Table text"/>
    <w:basedOn w:val="Normal"/>
    <w:link w:val="TabletextChar1"/>
    <w:qFormat/>
    <w:rsid w:val="009E4812"/>
    <w:pPr>
      <w:spacing w:after="0"/>
    </w:pPr>
    <w:rPr>
      <w:rFonts w:ascii="Arial" w:eastAsia="Times New Roman" w:hAnsi="Arial" w:cs="Times New Roman"/>
      <w:sz w:val="20"/>
      <w:szCs w:val="20"/>
      <w:lang w:val="x-none" w:eastAsia="en-US"/>
    </w:rPr>
  </w:style>
  <w:style w:type="paragraph" w:customStyle="1" w:styleId="Tablenotes">
    <w:name w:val="Table notes"/>
    <w:basedOn w:val="Normal"/>
    <w:link w:val="TablenotesChar"/>
    <w:qFormat/>
    <w:rsid w:val="009E4812"/>
    <w:pPr>
      <w:widowControl w:val="0"/>
      <w:spacing w:after="240"/>
      <w:contextualSpacing/>
      <w:jc w:val="both"/>
    </w:pPr>
    <w:rPr>
      <w:rFonts w:ascii="Arial" w:eastAsia="Times New Roman" w:hAnsi="Arial" w:cs="Times New Roman"/>
      <w:snapToGrid w:val="0"/>
      <w:sz w:val="20"/>
      <w:szCs w:val="20"/>
      <w:lang w:val="x-none" w:eastAsia="en-US"/>
    </w:rPr>
  </w:style>
  <w:style w:type="character" w:customStyle="1" w:styleId="TablenotesChar">
    <w:name w:val="Table notes Char"/>
    <w:link w:val="Tablenotes"/>
    <w:rsid w:val="009E4812"/>
    <w:rPr>
      <w:rFonts w:ascii="Arial" w:eastAsia="Times New Roman" w:hAnsi="Arial" w:cs="Times New Roman"/>
      <w:snapToGrid w:val="0"/>
      <w:sz w:val="20"/>
      <w:szCs w:val="20"/>
      <w:lang w:val="x-none"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rsid w:val="009E4812"/>
    <w:rPr>
      <w:rFonts w:ascii="Arial" w:eastAsia="Times New Roman" w:hAnsi="Arial" w:cs="Times New Roman"/>
      <w:i/>
      <w:iCs/>
      <w:snapToGrid w:val="0"/>
      <w:sz w:val="20"/>
      <w:szCs w:val="20"/>
      <w:lang w:eastAsia="en-US"/>
    </w:rPr>
  </w:style>
  <w:style w:type="character" w:customStyle="1" w:styleId="TabletextChar1">
    <w:name w:val="Table text Char1"/>
    <w:link w:val="Tabletext"/>
    <w:rsid w:val="009E4812"/>
    <w:rPr>
      <w:rFonts w:ascii="Arial" w:eastAsia="Times New Roman" w:hAnsi="Arial" w:cs="Times New Roman"/>
      <w:sz w:val="20"/>
      <w:szCs w:val="20"/>
      <w:lang w:val="x-none" w:eastAsia="en-US"/>
    </w:rPr>
  </w:style>
  <w:style w:type="paragraph" w:customStyle="1" w:styleId="PBACBullets">
    <w:name w:val="PBAC Bullets"/>
    <w:basedOn w:val="Normal"/>
    <w:qFormat/>
    <w:rsid w:val="00127506"/>
    <w:pPr>
      <w:numPr>
        <w:numId w:val="27"/>
      </w:numPr>
      <w:spacing w:before="240" w:after="60"/>
      <w:ind w:left="357" w:hanging="357"/>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5627">
      <w:bodyDiv w:val="1"/>
      <w:marLeft w:val="0"/>
      <w:marRight w:val="0"/>
      <w:marTop w:val="0"/>
      <w:marBottom w:val="0"/>
      <w:divBdr>
        <w:top w:val="none" w:sz="0" w:space="0" w:color="auto"/>
        <w:left w:val="none" w:sz="0" w:space="0" w:color="auto"/>
        <w:bottom w:val="none" w:sz="0" w:space="0" w:color="auto"/>
        <w:right w:val="none" w:sz="0" w:space="0" w:color="auto"/>
      </w:divBdr>
    </w:div>
    <w:div w:id="156924910">
      <w:bodyDiv w:val="1"/>
      <w:marLeft w:val="0"/>
      <w:marRight w:val="0"/>
      <w:marTop w:val="0"/>
      <w:marBottom w:val="0"/>
      <w:divBdr>
        <w:top w:val="none" w:sz="0" w:space="0" w:color="auto"/>
        <w:left w:val="none" w:sz="0" w:space="0" w:color="auto"/>
        <w:bottom w:val="none" w:sz="0" w:space="0" w:color="auto"/>
        <w:right w:val="none" w:sz="0" w:space="0" w:color="auto"/>
      </w:divBdr>
    </w:div>
    <w:div w:id="184946766">
      <w:bodyDiv w:val="1"/>
      <w:marLeft w:val="0"/>
      <w:marRight w:val="0"/>
      <w:marTop w:val="0"/>
      <w:marBottom w:val="0"/>
      <w:divBdr>
        <w:top w:val="none" w:sz="0" w:space="0" w:color="auto"/>
        <w:left w:val="none" w:sz="0" w:space="0" w:color="auto"/>
        <w:bottom w:val="none" w:sz="0" w:space="0" w:color="auto"/>
        <w:right w:val="none" w:sz="0" w:space="0" w:color="auto"/>
      </w:divBdr>
    </w:div>
    <w:div w:id="185140037">
      <w:bodyDiv w:val="1"/>
      <w:marLeft w:val="0"/>
      <w:marRight w:val="0"/>
      <w:marTop w:val="0"/>
      <w:marBottom w:val="0"/>
      <w:divBdr>
        <w:top w:val="none" w:sz="0" w:space="0" w:color="auto"/>
        <w:left w:val="none" w:sz="0" w:space="0" w:color="auto"/>
        <w:bottom w:val="none" w:sz="0" w:space="0" w:color="auto"/>
        <w:right w:val="none" w:sz="0" w:space="0" w:color="auto"/>
      </w:divBdr>
    </w:div>
    <w:div w:id="233702926">
      <w:bodyDiv w:val="1"/>
      <w:marLeft w:val="0"/>
      <w:marRight w:val="0"/>
      <w:marTop w:val="0"/>
      <w:marBottom w:val="0"/>
      <w:divBdr>
        <w:top w:val="none" w:sz="0" w:space="0" w:color="auto"/>
        <w:left w:val="none" w:sz="0" w:space="0" w:color="auto"/>
        <w:bottom w:val="none" w:sz="0" w:space="0" w:color="auto"/>
        <w:right w:val="none" w:sz="0" w:space="0" w:color="auto"/>
      </w:divBdr>
    </w:div>
    <w:div w:id="237789300">
      <w:bodyDiv w:val="1"/>
      <w:marLeft w:val="0"/>
      <w:marRight w:val="0"/>
      <w:marTop w:val="0"/>
      <w:marBottom w:val="0"/>
      <w:divBdr>
        <w:top w:val="none" w:sz="0" w:space="0" w:color="auto"/>
        <w:left w:val="none" w:sz="0" w:space="0" w:color="auto"/>
        <w:bottom w:val="none" w:sz="0" w:space="0" w:color="auto"/>
        <w:right w:val="none" w:sz="0" w:space="0" w:color="auto"/>
      </w:divBdr>
    </w:div>
    <w:div w:id="281769672">
      <w:bodyDiv w:val="1"/>
      <w:marLeft w:val="0"/>
      <w:marRight w:val="0"/>
      <w:marTop w:val="0"/>
      <w:marBottom w:val="0"/>
      <w:divBdr>
        <w:top w:val="none" w:sz="0" w:space="0" w:color="auto"/>
        <w:left w:val="none" w:sz="0" w:space="0" w:color="auto"/>
        <w:bottom w:val="none" w:sz="0" w:space="0" w:color="auto"/>
        <w:right w:val="none" w:sz="0" w:space="0" w:color="auto"/>
      </w:divBdr>
    </w:div>
    <w:div w:id="354231260">
      <w:bodyDiv w:val="1"/>
      <w:marLeft w:val="0"/>
      <w:marRight w:val="0"/>
      <w:marTop w:val="0"/>
      <w:marBottom w:val="0"/>
      <w:divBdr>
        <w:top w:val="none" w:sz="0" w:space="0" w:color="auto"/>
        <w:left w:val="none" w:sz="0" w:space="0" w:color="auto"/>
        <w:bottom w:val="none" w:sz="0" w:space="0" w:color="auto"/>
        <w:right w:val="none" w:sz="0" w:space="0" w:color="auto"/>
      </w:divBdr>
      <w:divsChild>
        <w:div w:id="642198391">
          <w:marLeft w:val="0"/>
          <w:marRight w:val="0"/>
          <w:marTop w:val="0"/>
          <w:marBottom w:val="0"/>
          <w:divBdr>
            <w:top w:val="none" w:sz="0" w:space="0" w:color="auto"/>
            <w:left w:val="none" w:sz="0" w:space="0" w:color="auto"/>
            <w:bottom w:val="none" w:sz="0" w:space="0" w:color="auto"/>
            <w:right w:val="none" w:sz="0" w:space="0" w:color="auto"/>
          </w:divBdr>
          <w:divsChild>
            <w:div w:id="826745205">
              <w:marLeft w:val="0"/>
              <w:marRight w:val="0"/>
              <w:marTop w:val="0"/>
              <w:marBottom w:val="0"/>
              <w:divBdr>
                <w:top w:val="none" w:sz="0" w:space="0" w:color="auto"/>
                <w:left w:val="none" w:sz="0" w:space="0" w:color="auto"/>
                <w:bottom w:val="none" w:sz="0" w:space="0" w:color="auto"/>
                <w:right w:val="none" w:sz="0" w:space="0" w:color="auto"/>
              </w:divBdr>
              <w:divsChild>
                <w:div w:id="2132434985">
                  <w:marLeft w:val="0"/>
                  <w:marRight w:val="0"/>
                  <w:marTop w:val="0"/>
                  <w:marBottom w:val="0"/>
                  <w:divBdr>
                    <w:top w:val="none" w:sz="0" w:space="0" w:color="auto"/>
                    <w:left w:val="none" w:sz="0" w:space="0" w:color="auto"/>
                    <w:bottom w:val="none" w:sz="0" w:space="0" w:color="auto"/>
                    <w:right w:val="none" w:sz="0" w:space="0" w:color="auto"/>
                  </w:divBdr>
                  <w:divsChild>
                    <w:div w:id="95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43644">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47089543">
      <w:bodyDiv w:val="1"/>
      <w:marLeft w:val="0"/>
      <w:marRight w:val="0"/>
      <w:marTop w:val="0"/>
      <w:marBottom w:val="0"/>
      <w:divBdr>
        <w:top w:val="none" w:sz="0" w:space="0" w:color="auto"/>
        <w:left w:val="none" w:sz="0" w:space="0" w:color="auto"/>
        <w:bottom w:val="none" w:sz="0" w:space="0" w:color="auto"/>
        <w:right w:val="none" w:sz="0" w:space="0" w:color="auto"/>
      </w:divBdr>
    </w:div>
    <w:div w:id="455756789">
      <w:bodyDiv w:val="1"/>
      <w:marLeft w:val="0"/>
      <w:marRight w:val="0"/>
      <w:marTop w:val="0"/>
      <w:marBottom w:val="0"/>
      <w:divBdr>
        <w:top w:val="none" w:sz="0" w:space="0" w:color="auto"/>
        <w:left w:val="none" w:sz="0" w:space="0" w:color="auto"/>
        <w:bottom w:val="none" w:sz="0" w:space="0" w:color="auto"/>
        <w:right w:val="none" w:sz="0" w:space="0" w:color="auto"/>
      </w:divBdr>
    </w:div>
    <w:div w:id="464009380">
      <w:bodyDiv w:val="1"/>
      <w:marLeft w:val="0"/>
      <w:marRight w:val="0"/>
      <w:marTop w:val="0"/>
      <w:marBottom w:val="0"/>
      <w:divBdr>
        <w:top w:val="none" w:sz="0" w:space="0" w:color="auto"/>
        <w:left w:val="none" w:sz="0" w:space="0" w:color="auto"/>
        <w:bottom w:val="none" w:sz="0" w:space="0" w:color="auto"/>
        <w:right w:val="none" w:sz="0" w:space="0" w:color="auto"/>
      </w:divBdr>
    </w:div>
    <w:div w:id="489712443">
      <w:bodyDiv w:val="1"/>
      <w:marLeft w:val="0"/>
      <w:marRight w:val="0"/>
      <w:marTop w:val="0"/>
      <w:marBottom w:val="0"/>
      <w:divBdr>
        <w:top w:val="none" w:sz="0" w:space="0" w:color="auto"/>
        <w:left w:val="none" w:sz="0" w:space="0" w:color="auto"/>
        <w:bottom w:val="none" w:sz="0" w:space="0" w:color="auto"/>
        <w:right w:val="none" w:sz="0" w:space="0" w:color="auto"/>
      </w:divBdr>
    </w:div>
    <w:div w:id="558443337">
      <w:bodyDiv w:val="1"/>
      <w:marLeft w:val="0"/>
      <w:marRight w:val="0"/>
      <w:marTop w:val="0"/>
      <w:marBottom w:val="0"/>
      <w:divBdr>
        <w:top w:val="none" w:sz="0" w:space="0" w:color="auto"/>
        <w:left w:val="none" w:sz="0" w:space="0" w:color="auto"/>
        <w:bottom w:val="none" w:sz="0" w:space="0" w:color="auto"/>
        <w:right w:val="none" w:sz="0" w:space="0" w:color="auto"/>
      </w:divBdr>
    </w:div>
    <w:div w:id="732890772">
      <w:bodyDiv w:val="1"/>
      <w:marLeft w:val="0"/>
      <w:marRight w:val="0"/>
      <w:marTop w:val="0"/>
      <w:marBottom w:val="0"/>
      <w:divBdr>
        <w:top w:val="none" w:sz="0" w:space="0" w:color="auto"/>
        <w:left w:val="none" w:sz="0" w:space="0" w:color="auto"/>
        <w:bottom w:val="none" w:sz="0" w:space="0" w:color="auto"/>
        <w:right w:val="none" w:sz="0" w:space="0" w:color="auto"/>
      </w:divBdr>
      <w:divsChild>
        <w:div w:id="769161839">
          <w:marLeft w:val="0"/>
          <w:marRight w:val="0"/>
          <w:marTop w:val="0"/>
          <w:marBottom w:val="0"/>
          <w:divBdr>
            <w:top w:val="none" w:sz="0" w:space="0" w:color="auto"/>
            <w:left w:val="none" w:sz="0" w:space="0" w:color="auto"/>
            <w:bottom w:val="none" w:sz="0" w:space="0" w:color="auto"/>
            <w:right w:val="none" w:sz="0" w:space="0" w:color="auto"/>
          </w:divBdr>
          <w:divsChild>
            <w:div w:id="1236622514">
              <w:marLeft w:val="0"/>
              <w:marRight w:val="0"/>
              <w:marTop w:val="0"/>
              <w:marBottom w:val="0"/>
              <w:divBdr>
                <w:top w:val="none" w:sz="0" w:space="0" w:color="auto"/>
                <w:left w:val="none" w:sz="0" w:space="0" w:color="auto"/>
                <w:bottom w:val="none" w:sz="0" w:space="0" w:color="auto"/>
                <w:right w:val="none" w:sz="0" w:space="0" w:color="auto"/>
              </w:divBdr>
              <w:divsChild>
                <w:div w:id="944310151">
                  <w:marLeft w:val="0"/>
                  <w:marRight w:val="0"/>
                  <w:marTop w:val="0"/>
                  <w:marBottom w:val="0"/>
                  <w:divBdr>
                    <w:top w:val="none" w:sz="0" w:space="0" w:color="auto"/>
                    <w:left w:val="none" w:sz="0" w:space="0" w:color="auto"/>
                    <w:bottom w:val="none" w:sz="0" w:space="0" w:color="auto"/>
                    <w:right w:val="none" w:sz="0" w:space="0" w:color="auto"/>
                  </w:divBdr>
                  <w:divsChild>
                    <w:div w:id="272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72760">
      <w:bodyDiv w:val="1"/>
      <w:marLeft w:val="0"/>
      <w:marRight w:val="0"/>
      <w:marTop w:val="0"/>
      <w:marBottom w:val="0"/>
      <w:divBdr>
        <w:top w:val="none" w:sz="0" w:space="0" w:color="auto"/>
        <w:left w:val="none" w:sz="0" w:space="0" w:color="auto"/>
        <w:bottom w:val="none" w:sz="0" w:space="0" w:color="auto"/>
        <w:right w:val="none" w:sz="0" w:space="0" w:color="auto"/>
      </w:divBdr>
      <w:divsChild>
        <w:div w:id="1260286872">
          <w:marLeft w:val="0"/>
          <w:marRight w:val="0"/>
          <w:marTop w:val="0"/>
          <w:marBottom w:val="0"/>
          <w:divBdr>
            <w:top w:val="none" w:sz="0" w:space="0" w:color="auto"/>
            <w:left w:val="none" w:sz="0" w:space="0" w:color="auto"/>
            <w:bottom w:val="none" w:sz="0" w:space="0" w:color="auto"/>
            <w:right w:val="none" w:sz="0" w:space="0" w:color="auto"/>
          </w:divBdr>
          <w:divsChild>
            <w:div w:id="566304108">
              <w:marLeft w:val="0"/>
              <w:marRight w:val="0"/>
              <w:marTop w:val="0"/>
              <w:marBottom w:val="0"/>
              <w:divBdr>
                <w:top w:val="none" w:sz="0" w:space="0" w:color="auto"/>
                <w:left w:val="none" w:sz="0" w:space="0" w:color="auto"/>
                <w:bottom w:val="none" w:sz="0" w:space="0" w:color="auto"/>
                <w:right w:val="none" w:sz="0" w:space="0" w:color="auto"/>
              </w:divBdr>
              <w:divsChild>
                <w:div w:id="1556425852">
                  <w:marLeft w:val="0"/>
                  <w:marRight w:val="0"/>
                  <w:marTop w:val="0"/>
                  <w:marBottom w:val="0"/>
                  <w:divBdr>
                    <w:top w:val="none" w:sz="0" w:space="0" w:color="auto"/>
                    <w:left w:val="none" w:sz="0" w:space="0" w:color="auto"/>
                    <w:bottom w:val="none" w:sz="0" w:space="0" w:color="auto"/>
                    <w:right w:val="none" w:sz="0" w:space="0" w:color="auto"/>
                  </w:divBdr>
                  <w:divsChild>
                    <w:div w:id="776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1671">
      <w:bodyDiv w:val="1"/>
      <w:marLeft w:val="0"/>
      <w:marRight w:val="0"/>
      <w:marTop w:val="0"/>
      <w:marBottom w:val="0"/>
      <w:divBdr>
        <w:top w:val="none" w:sz="0" w:space="0" w:color="auto"/>
        <w:left w:val="none" w:sz="0" w:space="0" w:color="auto"/>
        <w:bottom w:val="none" w:sz="0" w:space="0" w:color="auto"/>
        <w:right w:val="none" w:sz="0" w:space="0" w:color="auto"/>
      </w:divBdr>
    </w:div>
    <w:div w:id="796530489">
      <w:bodyDiv w:val="1"/>
      <w:marLeft w:val="0"/>
      <w:marRight w:val="0"/>
      <w:marTop w:val="0"/>
      <w:marBottom w:val="0"/>
      <w:divBdr>
        <w:top w:val="none" w:sz="0" w:space="0" w:color="auto"/>
        <w:left w:val="none" w:sz="0" w:space="0" w:color="auto"/>
        <w:bottom w:val="none" w:sz="0" w:space="0" w:color="auto"/>
        <w:right w:val="none" w:sz="0" w:space="0" w:color="auto"/>
      </w:divBdr>
    </w:div>
    <w:div w:id="807747363">
      <w:bodyDiv w:val="1"/>
      <w:marLeft w:val="0"/>
      <w:marRight w:val="0"/>
      <w:marTop w:val="0"/>
      <w:marBottom w:val="0"/>
      <w:divBdr>
        <w:top w:val="none" w:sz="0" w:space="0" w:color="auto"/>
        <w:left w:val="none" w:sz="0" w:space="0" w:color="auto"/>
        <w:bottom w:val="none" w:sz="0" w:space="0" w:color="auto"/>
        <w:right w:val="none" w:sz="0" w:space="0" w:color="auto"/>
      </w:divBdr>
      <w:divsChild>
        <w:div w:id="475298405">
          <w:marLeft w:val="0"/>
          <w:marRight w:val="0"/>
          <w:marTop w:val="0"/>
          <w:marBottom w:val="0"/>
          <w:divBdr>
            <w:top w:val="none" w:sz="0" w:space="0" w:color="auto"/>
            <w:left w:val="none" w:sz="0" w:space="0" w:color="auto"/>
            <w:bottom w:val="none" w:sz="0" w:space="0" w:color="auto"/>
            <w:right w:val="none" w:sz="0" w:space="0" w:color="auto"/>
          </w:divBdr>
          <w:divsChild>
            <w:div w:id="616645664">
              <w:marLeft w:val="0"/>
              <w:marRight w:val="0"/>
              <w:marTop w:val="0"/>
              <w:marBottom w:val="0"/>
              <w:divBdr>
                <w:top w:val="none" w:sz="0" w:space="0" w:color="auto"/>
                <w:left w:val="none" w:sz="0" w:space="0" w:color="auto"/>
                <w:bottom w:val="none" w:sz="0" w:space="0" w:color="auto"/>
                <w:right w:val="none" w:sz="0" w:space="0" w:color="auto"/>
              </w:divBdr>
              <w:divsChild>
                <w:div w:id="566040552">
                  <w:marLeft w:val="0"/>
                  <w:marRight w:val="0"/>
                  <w:marTop w:val="0"/>
                  <w:marBottom w:val="0"/>
                  <w:divBdr>
                    <w:top w:val="none" w:sz="0" w:space="0" w:color="auto"/>
                    <w:left w:val="none" w:sz="0" w:space="0" w:color="auto"/>
                    <w:bottom w:val="none" w:sz="0" w:space="0" w:color="auto"/>
                    <w:right w:val="none" w:sz="0" w:space="0" w:color="auto"/>
                  </w:divBdr>
                  <w:divsChild>
                    <w:div w:id="16816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697002">
      <w:bodyDiv w:val="1"/>
      <w:marLeft w:val="0"/>
      <w:marRight w:val="0"/>
      <w:marTop w:val="0"/>
      <w:marBottom w:val="0"/>
      <w:divBdr>
        <w:top w:val="none" w:sz="0" w:space="0" w:color="auto"/>
        <w:left w:val="none" w:sz="0" w:space="0" w:color="auto"/>
        <w:bottom w:val="none" w:sz="0" w:space="0" w:color="auto"/>
        <w:right w:val="none" w:sz="0" w:space="0" w:color="auto"/>
      </w:divBdr>
    </w:div>
    <w:div w:id="1017657734">
      <w:bodyDiv w:val="1"/>
      <w:marLeft w:val="0"/>
      <w:marRight w:val="0"/>
      <w:marTop w:val="0"/>
      <w:marBottom w:val="0"/>
      <w:divBdr>
        <w:top w:val="none" w:sz="0" w:space="0" w:color="auto"/>
        <w:left w:val="none" w:sz="0" w:space="0" w:color="auto"/>
        <w:bottom w:val="none" w:sz="0" w:space="0" w:color="auto"/>
        <w:right w:val="none" w:sz="0" w:space="0" w:color="auto"/>
      </w:divBdr>
    </w:div>
    <w:div w:id="1024210754">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86558011">
      <w:bodyDiv w:val="1"/>
      <w:marLeft w:val="0"/>
      <w:marRight w:val="0"/>
      <w:marTop w:val="0"/>
      <w:marBottom w:val="0"/>
      <w:divBdr>
        <w:top w:val="none" w:sz="0" w:space="0" w:color="auto"/>
        <w:left w:val="none" w:sz="0" w:space="0" w:color="auto"/>
        <w:bottom w:val="none" w:sz="0" w:space="0" w:color="auto"/>
        <w:right w:val="none" w:sz="0" w:space="0" w:color="auto"/>
      </w:divBdr>
    </w:div>
    <w:div w:id="1254127630">
      <w:bodyDiv w:val="1"/>
      <w:marLeft w:val="0"/>
      <w:marRight w:val="0"/>
      <w:marTop w:val="0"/>
      <w:marBottom w:val="0"/>
      <w:divBdr>
        <w:top w:val="none" w:sz="0" w:space="0" w:color="auto"/>
        <w:left w:val="none" w:sz="0" w:space="0" w:color="auto"/>
        <w:bottom w:val="none" w:sz="0" w:space="0" w:color="auto"/>
        <w:right w:val="none" w:sz="0" w:space="0" w:color="auto"/>
      </w:divBdr>
    </w:div>
    <w:div w:id="1257714308">
      <w:bodyDiv w:val="1"/>
      <w:marLeft w:val="0"/>
      <w:marRight w:val="0"/>
      <w:marTop w:val="0"/>
      <w:marBottom w:val="0"/>
      <w:divBdr>
        <w:top w:val="none" w:sz="0" w:space="0" w:color="auto"/>
        <w:left w:val="none" w:sz="0" w:space="0" w:color="auto"/>
        <w:bottom w:val="none" w:sz="0" w:space="0" w:color="auto"/>
        <w:right w:val="none" w:sz="0" w:space="0" w:color="auto"/>
      </w:divBdr>
    </w:div>
    <w:div w:id="1271861288">
      <w:bodyDiv w:val="1"/>
      <w:marLeft w:val="0"/>
      <w:marRight w:val="0"/>
      <w:marTop w:val="0"/>
      <w:marBottom w:val="0"/>
      <w:divBdr>
        <w:top w:val="none" w:sz="0" w:space="0" w:color="auto"/>
        <w:left w:val="none" w:sz="0" w:space="0" w:color="auto"/>
        <w:bottom w:val="none" w:sz="0" w:space="0" w:color="auto"/>
        <w:right w:val="none" w:sz="0" w:space="0" w:color="auto"/>
      </w:divBdr>
      <w:divsChild>
        <w:div w:id="1946302930">
          <w:marLeft w:val="0"/>
          <w:marRight w:val="0"/>
          <w:marTop w:val="0"/>
          <w:marBottom w:val="0"/>
          <w:divBdr>
            <w:top w:val="none" w:sz="0" w:space="0" w:color="auto"/>
            <w:left w:val="none" w:sz="0" w:space="0" w:color="auto"/>
            <w:bottom w:val="none" w:sz="0" w:space="0" w:color="auto"/>
            <w:right w:val="none" w:sz="0" w:space="0" w:color="auto"/>
          </w:divBdr>
          <w:divsChild>
            <w:div w:id="4166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32455">
      <w:bodyDiv w:val="1"/>
      <w:marLeft w:val="0"/>
      <w:marRight w:val="0"/>
      <w:marTop w:val="0"/>
      <w:marBottom w:val="0"/>
      <w:divBdr>
        <w:top w:val="none" w:sz="0" w:space="0" w:color="auto"/>
        <w:left w:val="none" w:sz="0" w:space="0" w:color="auto"/>
        <w:bottom w:val="none" w:sz="0" w:space="0" w:color="auto"/>
        <w:right w:val="none" w:sz="0" w:space="0" w:color="auto"/>
      </w:divBdr>
    </w:div>
    <w:div w:id="1361202628">
      <w:bodyDiv w:val="1"/>
      <w:marLeft w:val="0"/>
      <w:marRight w:val="0"/>
      <w:marTop w:val="0"/>
      <w:marBottom w:val="0"/>
      <w:divBdr>
        <w:top w:val="none" w:sz="0" w:space="0" w:color="auto"/>
        <w:left w:val="none" w:sz="0" w:space="0" w:color="auto"/>
        <w:bottom w:val="none" w:sz="0" w:space="0" w:color="auto"/>
        <w:right w:val="none" w:sz="0" w:space="0" w:color="auto"/>
      </w:divBdr>
    </w:div>
    <w:div w:id="1410736317">
      <w:bodyDiv w:val="1"/>
      <w:marLeft w:val="0"/>
      <w:marRight w:val="0"/>
      <w:marTop w:val="0"/>
      <w:marBottom w:val="0"/>
      <w:divBdr>
        <w:top w:val="none" w:sz="0" w:space="0" w:color="auto"/>
        <w:left w:val="none" w:sz="0" w:space="0" w:color="auto"/>
        <w:bottom w:val="none" w:sz="0" w:space="0" w:color="auto"/>
        <w:right w:val="none" w:sz="0" w:space="0" w:color="auto"/>
      </w:divBdr>
    </w:div>
    <w:div w:id="1434395241">
      <w:bodyDiv w:val="1"/>
      <w:marLeft w:val="0"/>
      <w:marRight w:val="0"/>
      <w:marTop w:val="0"/>
      <w:marBottom w:val="0"/>
      <w:divBdr>
        <w:top w:val="none" w:sz="0" w:space="0" w:color="auto"/>
        <w:left w:val="none" w:sz="0" w:space="0" w:color="auto"/>
        <w:bottom w:val="none" w:sz="0" w:space="0" w:color="auto"/>
        <w:right w:val="none" w:sz="0" w:space="0" w:color="auto"/>
      </w:divBdr>
      <w:divsChild>
        <w:div w:id="99230792">
          <w:marLeft w:val="0"/>
          <w:marRight w:val="0"/>
          <w:marTop w:val="0"/>
          <w:marBottom w:val="0"/>
          <w:divBdr>
            <w:top w:val="none" w:sz="0" w:space="0" w:color="auto"/>
            <w:left w:val="none" w:sz="0" w:space="0" w:color="auto"/>
            <w:bottom w:val="none" w:sz="0" w:space="0" w:color="auto"/>
            <w:right w:val="none" w:sz="0" w:space="0" w:color="auto"/>
          </w:divBdr>
          <w:divsChild>
            <w:div w:id="1652176860">
              <w:marLeft w:val="0"/>
              <w:marRight w:val="0"/>
              <w:marTop w:val="0"/>
              <w:marBottom w:val="0"/>
              <w:divBdr>
                <w:top w:val="none" w:sz="0" w:space="0" w:color="auto"/>
                <w:left w:val="none" w:sz="0" w:space="0" w:color="auto"/>
                <w:bottom w:val="none" w:sz="0" w:space="0" w:color="auto"/>
                <w:right w:val="none" w:sz="0" w:space="0" w:color="auto"/>
              </w:divBdr>
            </w:div>
          </w:divsChild>
        </w:div>
        <w:div w:id="118573425">
          <w:marLeft w:val="0"/>
          <w:marRight w:val="0"/>
          <w:marTop w:val="0"/>
          <w:marBottom w:val="0"/>
          <w:divBdr>
            <w:top w:val="none" w:sz="0" w:space="0" w:color="C4DEEE"/>
            <w:left w:val="none" w:sz="0" w:space="8" w:color="C4DEEE"/>
            <w:bottom w:val="none" w:sz="0" w:space="0" w:color="C4DEEE"/>
            <w:right w:val="none" w:sz="0" w:space="0" w:color="C4DEEE"/>
          </w:divBdr>
        </w:div>
      </w:divsChild>
    </w:div>
    <w:div w:id="1674606848">
      <w:bodyDiv w:val="1"/>
      <w:marLeft w:val="0"/>
      <w:marRight w:val="0"/>
      <w:marTop w:val="0"/>
      <w:marBottom w:val="0"/>
      <w:divBdr>
        <w:top w:val="none" w:sz="0" w:space="0" w:color="auto"/>
        <w:left w:val="none" w:sz="0" w:space="0" w:color="auto"/>
        <w:bottom w:val="none" w:sz="0" w:space="0" w:color="auto"/>
        <w:right w:val="none" w:sz="0" w:space="0" w:color="auto"/>
      </w:divBdr>
      <w:divsChild>
        <w:div w:id="1642468012">
          <w:marLeft w:val="0"/>
          <w:marRight w:val="0"/>
          <w:marTop w:val="0"/>
          <w:marBottom w:val="0"/>
          <w:divBdr>
            <w:top w:val="none" w:sz="0" w:space="0" w:color="auto"/>
            <w:left w:val="none" w:sz="0" w:space="0" w:color="auto"/>
            <w:bottom w:val="none" w:sz="0" w:space="0" w:color="auto"/>
            <w:right w:val="none" w:sz="0" w:space="0" w:color="auto"/>
          </w:divBdr>
          <w:divsChild>
            <w:div w:id="161287465">
              <w:marLeft w:val="0"/>
              <w:marRight w:val="0"/>
              <w:marTop w:val="0"/>
              <w:marBottom w:val="0"/>
              <w:divBdr>
                <w:top w:val="none" w:sz="0" w:space="0" w:color="auto"/>
                <w:left w:val="none" w:sz="0" w:space="0" w:color="auto"/>
                <w:bottom w:val="none" w:sz="0" w:space="0" w:color="auto"/>
                <w:right w:val="none" w:sz="0" w:space="0" w:color="auto"/>
              </w:divBdr>
            </w:div>
          </w:divsChild>
        </w:div>
        <w:div w:id="220754476">
          <w:marLeft w:val="0"/>
          <w:marRight w:val="0"/>
          <w:marTop w:val="0"/>
          <w:marBottom w:val="0"/>
          <w:divBdr>
            <w:top w:val="none" w:sz="0" w:space="0" w:color="C4DEEE"/>
            <w:left w:val="none" w:sz="0" w:space="8" w:color="C4DEEE"/>
            <w:bottom w:val="none" w:sz="0" w:space="0" w:color="C4DEEE"/>
            <w:right w:val="none" w:sz="0" w:space="0" w:color="C4DEEE"/>
          </w:divBdr>
        </w:div>
      </w:divsChild>
    </w:div>
    <w:div w:id="1702902616">
      <w:bodyDiv w:val="1"/>
      <w:marLeft w:val="0"/>
      <w:marRight w:val="0"/>
      <w:marTop w:val="0"/>
      <w:marBottom w:val="0"/>
      <w:divBdr>
        <w:top w:val="none" w:sz="0" w:space="0" w:color="auto"/>
        <w:left w:val="none" w:sz="0" w:space="0" w:color="auto"/>
        <w:bottom w:val="none" w:sz="0" w:space="0" w:color="auto"/>
        <w:right w:val="none" w:sz="0" w:space="0" w:color="auto"/>
      </w:divBdr>
    </w:div>
    <w:div w:id="1708411059">
      <w:bodyDiv w:val="1"/>
      <w:marLeft w:val="0"/>
      <w:marRight w:val="0"/>
      <w:marTop w:val="0"/>
      <w:marBottom w:val="0"/>
      <w:divBdr>
        <w:top w:val="none" w:sz="0" w:space="0" w:color="auto"/>
        <w:left w:val="none" w:sz="0" w:space="0" w:color="auto"/>
        <w:bottom w:val="none" w:sz="0" w:space="0" w:color="auto"/>
        <w:right w:val="none" w:sz="0" w:space="0" w:color="auto"/>
      </w:divBdr>
    </w:div>
    <w:div w:id="1714378732">
      <w:bodyDiv w:val="1"/>
      <w:marLeft w:val="0"/>
      <w:marRight w:val="0"/>
      <w:marTop w:val="0"/>
      <w:marBottom w:val="0"/>
      <w:divBdr>
        <w:top w:val="none" w:sz="0" w:space="0" w:color="auto"/>
        <w:left w:val="none" w:sz="0" w:space="0" w:color="auto"/>
        <w:bottom w:val="none" w:sz="0" w:space="0" w:color="auto"/>
        <w:right w:val="none" w:sz="0" w:space="0" w:color="auto"/>
      </w:divBdr>
      <w:divsChild>
        <w:div w:id="248004201">
          <w:marLeft w:val="0"/>
          <w:marRight w:val="0"/>
          <w:marTop w:val="0"/>
          <w:marBottom w:val="0"/>
          <w:divBdr>
            <w:top w:val="none" w:sz="0" w:space="0" w:color="auto"/>
            <w:left w:val="none" w:sz="0" w:space="0" w:color="auto"/>
            <w:bottom w:val="none" w:sz="0" w:space="0" w:color="auto"/>
            <w:right w:val="none" w:sz="0" w:space="0" w:color="auto"/>
          </w:divBdr>
          <w:divsChild>
            <w:div w:id="1125077095">
              <w:marLeft w:val="0"/>
              <w:marRight w:val="0"/>
              <w:marTop w:val="0"/>
              <w:marBottom w:val="0"/>
              <w:divBdr>
                <w:top w:val="none" w:sz="0" w:space="0" w:color="auto"/>
                <w:left w:val="none" w:sz="0" w:space="0" w:color="auto"/>
                <w:bottom w:val="none" w:sz="0" w:space="0" w:color="auto"/>
                <w:right w:val="none" w:sz="0" w:space="0" w:color="auto"/>
              </w:divBdr>
              <w:divsChild>
                <w:div w:id="1124539466">
                  <w:marLeft w:val="0"/>
                  <w:marRight w:val="0"/>
                  <w:marTop w:val="0"/>
                  <w:marBottom w:val="0"/>
                  <w:divBdr>
                    <w:top w:val="none" w:sz="0" w:space="0" w:color="auto"/>
                    <w:left w:val="none" w:sz="0" w:space="0" w:color="auto"/>
                    <w:bottom w:val="none" w:sz="0" w:space="0" w:color="auto"/>
                    <w:right w:val="none" w:sz="0" w:space="0" w:color="auto"/>
                  </w:divBdr>
                  <w:divsChild>
                    <w:div w:id="7393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4300">
      <w:bodyDiv w:val="1"/>
      <w:marLeft w:val="0"/>
      <w:marRight w:val="0"/>
      <w:marTop w:val="0"/>
      <w:marBottom w:val="0"/>
      <w:divBdr>
        <w:top w:val="none" w:sz="0" w:space="0" w:color="auto"/>
        <w:left w:val="none" w:sz="0" w:space="0" w:color="auto"/>
        <w:bottom w:val="none" w:sz="0" w:space="0" w:color="auto"/>
        <w:right w:val="none" w:sz="0" w:space="0" w:color="auto"/>
      </w:divBdr>
    </w:div>
    <w:div w:id="1758750958">
      <w:bodyDiv w:val="1"/>
      <w:marLeft w:val="0"/>
      <w:marRight w:val="0"/>
      <w:marTop w:val="0"/>
      <w:marBottom w:val="0"/>
      <w:divBdr>
        <w:top w:val="none" w:sz="0" w:space="0" w:color="auto"/>
        <w:left w:val="none" w:sz="0" w:space="0" w:color="auto"/>
        <w:bottom w:val="none" w:sz="0" w:space="0" w:color="auto"/>
        <w:right w:val="none" w:sz="0" w:space="0" w:color="auto"/>
      </w:divBdr>
      <w:divsChild>
        <w:div w:id="1899127811">
          <w:marLeft w:val="0"/>
          <w:marRight w:val="0"/>
          <w:marTop w:val="0"/>
          <w:marBottom w:val="0"/>
          <w:divBdr>
            <w:top w:val="none" w:sz="0" w:space="0" w:color="auto"/>
            <w:left w:val="none" w:sz="0" w:space="0" w:color="auto"/>
            <w:bottom w:val="none" w:sz="0" w:space="0" w:color="auto"/>
            <w:right w:val="none" w:sz="0" w:space="0" w:color="auto"/>
          </w:divBdr>
          <w:divsChild>
            <w:div w:id="1379163365">
              <w:marLeft w:val="0"/>
              <w:marRight w:val="0"/>
              <w:marTop w:val="0"/>
              <w:marBottom w:val="0"/>
              <w:divBdr>
                <w:top w:val="none" w:sz="0" w:space="0" w:color="auto"/>
                <w:left w:val="none" w:sz="0" w:space="0" w:color="auto"/>
                <w:bottom w:val="none" w:sz="0" w:space="0" w:color="auto"/>
                <w:right w:val="none" w:sz="0" w:space="0" w:color="auto"/>
              </w:divBdr>
              <w:divsChild>
                <w:div w:id="209806855">
                  <w:marLeft w:val="0"/>
                  <w:marRight w:val="0"/>
                  <w:marTop w:val="0"/>
                  <w:marBottom w:val="0"/>
                  <w:divBdr>
                    <w:top w:val="none" w:sz="0" w:space="0" w:color="auto"/>
                    <w:left w:val="none" w:sz="0" w:space="0" w:color="auto"/>
                    <w:bottom w:val="none" w:sz="0" w:space="0" w:color="auto"/>
                    <w:right w:val="none" w:sz="0" w:space="0" w:color="auto"/>
                  </w:divBdr>
                  <w:divsChild>
                    <w:div w:id="18105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133753">
      <w:bodyDiv w:val="1"/>
      <w:marLeft w:val="0"/>
      <w:marRight w:val="0"/>
      <w:marTop w:val="0"/>
      <w:marBottom w:val="0"/>
      <w:divBdr>
        <w:top w:val="none" w:sz="0" w:space="0" w:color="auto"/>
        <w:left w:val="none" w:sz="0" w:space="0" w:color="auto"/>
        <w:bottom w:val="none" w:sz="0" w:space="0" w:color="auto"/>
        <w:right w:val="none" w:sz="0" w:space="0" w:color="auto"/>
      </w:divBdr>
    </w:div>
    <w:div w:id="1778138118">
      <w:bodyDiv w:val="1"/>
      <w:marLeft w:val="0"/>
      <w:marRight w:val="0"/>
      <w:marTop w:val="0"/>
      <w:marBottom w:val="0"/>
      <w:divBdr>
        <w:top w:val="none" w:sz="0" w:space="0" w:color="auto"/>
        <w:left w:val="none" w:sz="0" w:space="0" w:color="auto"/>
        <w:bottom w:val="none" w:sz="0" w:space="0" w:color="auto"/>
        <w:right w:val="none" w:sz="0" w:space="0" w:color="auto"/>
      </w:divBdr>
      <w:divsChild>
        <w:div w:id="363094162">
          <w:marLeft w:val="0"/>
          <w:marRight w:val="0"/>
          <w:marTop w:val="0"/>
          <w:marBottom w:val="0"/>
          <w:divBdr>
            <w:top w:val="none" w:sz="0" w:space="0" w:color="auto"/>
            <w:left w:val="none" w:sz="0" w:space="0" w:color="auto"/>
            <w:bottom w:val="none" w:sz="0" w:space="0" w:color="auto"/>
            <w:right w:val="none" w:sz="0" w:space="0" w:color="auto"/>
          </w:divBdr>
          <w:divsChild>
            <w:div w:id="207689166">
              <w:marLeft w:val="0"/>
              <w:marRight w:val="0"/>
              <w:marTop w:val="0"/>
              <w:marBottom w:val="0"/>
              <w:divBdr>
                <w:top w:val="none" w:sz="0" w:space="0" w:color="auto"/>
                <w:left w:val="none" w:sz="0" w:space="0" w:color="auto"/>
                <w:bottom w:val="none" w:sz="0" w:space="0" w:color="auto"/>
                <w:right w:val="none" w:sz="0" w:space="0" w:color="auto"/>
              </w:divBdr>
              <w:divsChild>
                <w:div w:id="2028752952">
                  <w:marLeft w:val="0"/>
                  <w:marRight w:val="0"/>
                  <w:marTop w:val="0"/>
                  <w:marBottom w:val="0"/>
                  <w:divBdr>
                    <w:top w:val="none" w:sz="0" w:space="0" w:color="auto"/>
                    <w:left w:val="none" w:sz="0" w:space="0" w:color="auto"/>
                    <w:bottom w:val="none" w:sz="0" w:space="0" w:color="auto"/>
                    <w:right w:val="none" w:sz="0" w:space="0" w:color="auto"/>
                  </w:divBdr>
                  <w:divsChild>
                    <w:div w:id="73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6740">
      <w:bodyDiv w:val="1"/>
      <w:marLeft w:val="0"/>
      <w:marRight w:val="0"/>
      <w:marTop w:val="0"/>
      <w:marBottom w:val="0"/>
      <w:divBdr>
        <w:top w:val="none" w:sz="0" w:space="0" w:color="auto"/>
        <w:left w:val="none" w:sz="0" w:space="0" w:color="auto"/>
        <w:bottom w:val="none" w:sz="0" w:space="0" w:color="auto"/>
        <w:right w:val="none" w:sz="0" w:space="0" w:color="auto"/>
      </w:divBdr>
    </w:div>
    <w:div w:id="1795520786">
      <w:bodyDiv w:val="1"/>
      <w:marLeft w:val="0"/>
      <w:marRight w:val="0"/>
      <w:marTop w:val="0"/>
      <w:marBottom w:val="0"/>
      <w:divBdr>
        <w:top w:val="none" w:sz="0" w:space="0" w:color="auto"/>
        <w:left w:val="none" w:sz="0" w:space="0" w:color="auto"/>
        <w:bottom w:val="none" w:sz="0" w:space="0" w:color="auto"/>
        <w:right w:val="none" w:sz="0" w:space="0" w:color="auto"/>
      </w:divBdr>
    </w:div>
    <w:div w:id="1932155681">
      <w:bodyDiv w:val="1"/>
      <w:marLeft w:val="0"/>
      <w:marRight w:val="0"/>
      <w:marTop w:val="0"/>
      <w:marBottom w:val="0"/>
      <w:divBdr>
        <w:top w:val="none" w:sz="0" w:space="0" w:color="auto"/>
        <w:left w:val="none" w:sz="0" w:space="0" w:color="auto"/>
        <w:bottom w:val="none" w:sz="0" w:space="0" w:color="auto"/>
        <w:right w:val="none" w:sz="0" w:space="0" w:color="auto"/>
      </w:divBdr>
    </w:div>
    <w:div w:id="2058355166">
      <w:bodyDiv w:val="1"/>
      <w:marLeft w:val="0"/>
      <w:marRight w:val="0"/>
      <w:marTop w:val="0"/>
      <w:marBottom w:val="0"/>
      <w:divBdr>
        <w:top w:val="none" w:sz="0" w:space="0" w:color="auto"/>
        <w:left w:val="none" w:sz="0" w:space="0" w:color="auto"/>
        <w:bottom w:val="none" w:sz="0" w:space="0" w:color="auto"/>
        <w:right w:val="none" w:sz="0" w:space="0" w:color="auto"/>
      </w:divBdr>
    </w:div>
    <w:div w:id="2080325801">
      <w:bodyDiv w:val="1"/>
      <w:marLeft w:val="0"/>
      <w:marRight w:val="0"/>
      <w:marTop w:val="0"/>
      <w:marBottom w:val="0"/>
      <w:divBdr>
        <w:top w:val="none" w:sz="0" w:space="0" w:color="auto"/>
        <w:left w:val="none" w:sz="0" w:space="0" w:color="auto"/>
        <w:bottom w:val="none" w:sz="0" w:space="0" w:color="auto"/>
        <w:right w:val="none" w:sz="0" w:space="0" w:color="auto"/>
      </w:divBdr>
      <w:divsChild>
        <w:div w:id="1416242795">
          <w:marLeft w:val="0"/>
          <w:marRight w:val="0"/>
          <w:marTop w:val="0"/>
          <w:marBottom w:val="0"/>
          <w:divBdr>
            <w:top w:val="none" w:sz="0" w:space="0" w:color="auto"/>
            <w:left w:val="none" w:sz="0" w:space="0" w:color="auto"/>
            <w:bottom w:val="none" w:sz="0" w:space="0" w:color="auto"/>
            <w:right w:val="none" w:sz="0" w:space="0" w:color="auto"/>
          </w:divBdr>
          <w:divsChild>
            <w:div w:id="1513837189">
              <w:marLeft w:val="0"/>
              <w:marRight w:val="0"/>
              <w:marTop w:val="0"/>
              <w:marBottom w:val="0"/>
              <w:divBdr>
                <w:top w:val="none" w:sz="0" w:space="0" w:color="auto"/>
                <w:left w:val="none" w:sz="0" w:space="0" w:color="auto"/>
                <w:bottom w:val="none" w:sz="0" w:space="0" w:color="auto"/>
                <w:right w:val="none" w:sz="0" w:space="0" w:color="auto"/>
              </w:divBdr>
              <w:divsChild>
                <w:div w:id="1754543303">
                  <w:marLeft w:val="0"/>
                  <w:marRight w:val="0"/>
                  <w:marTop w:val="0"/>
                  <w:marBottom w:val="0"/>
                  <w:divBdr>
                    <w:top w:val="none" w:sz="0" w:space="0" w:color="auto"/>
                    <w:left w:val="none" w:sz="0" w:space="0" w:color="auto"/>
                    <w:bottom w:val="none" w:sz="0" w:space="0" w:color="auto"/>
                    <w:right w:val="none" w:sz="0" w:space="0" w:color="auto"/>
                  </w:divBdr>
                  <w:divsChild>
                    <w:div w:id="15785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3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tga.gov.au/sites/default/files/medicines-safety-update-volume-7-number-2-april-2016.pdf" TargetMode="External"/><Relationship Id="rId2" Type="http://schemas.openxmlformats.org/officeDocument/2006/relationships/hyperlink" Target="http://www.pbs.gov.au/info/industry/listing/elements/pbac-meetings/psd/2014-03/erlotinib" TargetMode="External"/><Relationship Id="rId1" Type="http://schemas.openxmlformats.org/officeDocument/2006/relationships/hyperlink" Target="http://www.pbs.gov.au/info/industry/listing/elements/pbac-meetings/psd/2013-07/erlotinib" TargetMode="External"/><Relationship Id="rId6" Type="http://schemas.openxmlformats.org/officeDocument/2006/relationships/hyperlink" Target="http://www.medicareaustralia.gov.au/provider/pbs/stats.jsp" TargetMode="External"/><Relationship Id="rId5" Type="http://schemas.openxmlformats.org/officeDocument/2006/relationships/hyperlink" Target="http://www.abs.gov.au/ausstats/abs@.nsf/Lookup/by%20Subject/3303.0~2015~Main%20Features~Cancer%20within%20Australia's%20leading%20causes%20of%20death~6" TargetMode="External"/><Relationship Id="rId4" Type="http://schemas.openxmlformats.org/officeDocument/2006/relationships/hyperlink" Target="http://www.aihw.gov.au/cancer/lun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groupdata\sites\CO1\CO\PBD\PEB\EVAL\DUSC\DUSC%20Database%20and%20other%20utilisation%20data\Data%20Requests\Requests%202016\D985%20-%20TKI%20PvA%20data%20for%20Feb%202017%20DUSC\D985%20-%20TKI%20data%20-%20script%20&amp;%20ben%20summar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groupdata\sites\CO1\CO\PBD\PEB\EVAL\DUSC\DUSC%20Database%20and%20other%20utilisation%20data\Data%20Requests\Requests%202016\D985%20-%20TKI%20PvA%20data%20for%20Feb%202017%20DUSC\D985%20-%20TKI%20data%20-%20script%20&amp;%20ben%20summar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ral.health\dfsgroupdata\sites\CO1\CO\PBD\PEB\EVAL\DUSC\DUSC%20Database%20and%20other%20utilisation%20data\Data%20Requests\Requests%202016\D985%20-%20TKI%20PvA%20data%20for%20Feb%202017%20DUSC\D985_PATCNTBY_DRUG_N_SUPP_Q_SU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ntral.health\dfsgroupdata\sites\CO1\CO\PBD\PEB\EVAL\DUSC\DUSC%20Database%20and%20other%20utilisation%20data\Data%20Requests\Requests%202016\D985%20-%20TKI%20PvA%20data%20for%20Feb%202017%20DUSC\D985_PATCNTBY_DRUG_N_SUPP_Q_SU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entral.health\dfsgroupdata\sites\CO1\CO\PBD\PEB\EVAL\DUSC\DUSC%20Database%20and%20other%20utilisation%20data\Data%20Requests\Requests%202016\D985%20-%20TKI%20PvA%20data%20for%20Feb%202017%20DUSC\D985%20SEQ_INIT_FREQ%20-%20v3%20chemo=L01%20only%20+%20TKI%20init%20y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[D985 - TKI data - script &amp; ben summary.xlsx]Sheet4 (2)!PivotTable1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s>
    <c:plotArea>
      <c:layout/>
      <c:lineChart>
        <c:grouping val="standard"/>
        <c:varyColors val="0"/>
        <c:ser>
          <c:idx val="0"/>
          <c:order val="0"/>
          <c:tx>
            <c:strRef>
              <c:f>'Sheet4 (2)'!$B$1:$B$2</c:f>
              <c:strCache>
                <c:ptCount val="1"/>
                <c:pt idx="0">
                  <c:v>ERLOTINIB</c:v>
                </c:pt>
              </c:strCache>
            </c:strRef>
          </c:tx>
          <c:cat>
            <c:strRef>
              <c:f>'Sheet4 (2)'!$A$3:$A$51</c:f>
              <c:strCache>
                <c:ptCount val="48"/>
                <c:pt idx="0">
                  <c:v> 2004Q4</c:v>
                </c:pt>
                <c:pt idx="1">
                  <c:v> 2005Q1</c:v>
                </c:pt>
                <c:pt idx="2">
                  <c:v> 2005Q2</c:v>
                </c:pt>
                <c:pt idx="3">
                  <c:v> 2005Q3</c:v>
                </c:pt>
                <c:pt idx="4">
                  <c:v> 2005Q4</c:v>
                </c:pt>
                <c:pt idx="5">
                  <c:v> 2006Q1</c:v>
                </c:pt>
                <c:pt idx="6">
                  <c:v> 2006Q2</c:v>
                </c:pt>
                <c:pt idx="7">
                  <c:v> 2006Q3</c:v>
                </c:pt>
                <c:pt idx="8">
                  <c:v> 2006Q4</c:v>
                </c:pt>
                <c:pt idx="9">
                  <c:v> 2007Q1</c:v>
                </c:pt>
                <c:pt idx="10">
                  <c:v> 2007Q2</c:v>
                </c:pt>
                <c:pt idx="11">
                  <c:v> 2007Q3</c:v>
                </c:pt>
                <c:pt idx="12">
                  <c:v> 2007Q4</c:v>
                </c:pt>
                <c:pt idx="13">
                  <c:v> 2008Q1</c:v>
                </c:pt>
                <c:pt idx="14">
                  <c:v> 2008Q2</c:v>
                </c:pt>
                <c:pt idx="15">
                  <c:v> 2008Q3</c:v>
                </c:pt>
                <c:pt idx="16">
                  <c:v> 2008Q4</c:v>
                </c:pt>
                <c:pt idx="17">
                  <c:v> 2009Q1</c:v>
                </c:pt>
                <c:pt idx="18">
                  <c:v> 2009Q2</c:v>
                </c:pt>
                <c:pt idx="19">
                  <c:v> 2009Q3</c:v>
                </c:pt>
                <c:pt idx="20">
                  <c:v> 2009Q4</c:v>
                </c:pt>
                <c:pt idx="21">
                  <c:v> 2010Q1</c:v>
                </c:pt>
                <c:pt idx="22">
                  <c:v> 2010Q2</c:v>
                </c:pt>
                <c:pt idx="23">
                  <c:v> 2010Q3</c:v>
                </c:pt>
                <c:pt idx="24">
                  <c:v> 2010Q4</c:v>
                </c:pt>
                <c:pt idx="25">
                  <c:v> 2011Q1</c:v>
                </c:pt>
                <c:pt idx="26">
                  <c:v> 2011Q2</c:v>
                </c:pt>
                <c:pt idx="27">
                  <c:v> 2011Q3</c:v>
                </c:pt>
                <c:pt idx="28">
                  <c:v> 2011Q4</c:v>
                </c:pt>
                <c:pt idx="29">
                  <c:v> 2012Q1</c:v>
                </c:pt>
                <c:pt idx="30">
                  <c:v> 2012Q2</c:v>
                </c:pt>
                <c:pt idx="31">
                  <c:v> 2012Q3</c:v>
                </c:pt>
                <c:pt idx="32">
                  <c:v> 2012Q4</c:v>
                </c:pt>
                <c:pt idx="33">
                  <c:v> 2013Q1</c:v>
                </c:pt>
                <c:pt idx="34">
                  <c:v> 2013Q2</c:v>
                </c:pt>
                <c:pt idx="35">
                  <c:v> 2013Q3</c:v>
                </c:pt>
                <c:pt idx="36">
                  <c:v> 2013Q4</c:v>
                </c:pt>
                <c:pt idx="37">
                  <c:v> 2014Q1</c:v>
                </c:pt>
                <c:pt idx="38">
                  <c:v> 2014Q2</c:v>
                </c:pt>
                <c:pt idx="39">
                  <c:v> 2014Q3</c:v>
                </c:pt>
                <c:pt idx="40">
                  <c:v> 2014Q4</c:v>
                </c:pt>
                <c:pt idx="41">
                  <c:v> 2015Q1</c:v>
                </c:pt>
                <c:pt idx="42">
                  <c:v> 2015Q2</c:v>
                </c:pt>
                <c:pt idx="43">
                  <c:v> 2015Q3</c:v>
                </c:pt>
                <c:pt idx="44">
                  <c:v> 2015Q4</c:v>
                </c:pt>
                <c:pt idx="45">
                  <c:v> 2016Q1</c:v>
                </c:pt>
                <c:pt idx="46">
                  <c:v> 2016Q2</c:v>
                </c:pt>
                <c:pt idx="47">
                  <c:v> 2016Q3</c:v>
                </c:pt>
              </c:strCache>
            </c:strRef>
          </c:cat>
          <c:val>
            <c:numRef>
              <c:f>'Sheet4 (2)'!$B$3:$B$51</c:f>
              <c:numCache>
                <c:formatCode>General</c:formatCode>
                <c:ptCount val="48"/>
                <c:pt idx="15">
                  <c:v>580</c:v>
                </c:pt>
                <c:pt idx="16">
                  <c:v>1091</c:v>
                </c:pt>
                <c:pt idx="17">
                  <c:v>1020</c:v>
                </c:pt>
                <c:pt idx="18">
                  <c:v>1114</c:v>
                </c:pt>
                <c:pt idx="19">
                  <c:v>1199</c:v>
                </c:pt>
                <c:pt idx="20">
                  <c:v>1401</c:v>
                </c:pt>
                <c:pt idx="21">
                  <c:v>1333</c:v>
                </c:pt>
                <c:pt idx="22">
                  <c:v>1375</c:v>
                </c:pt>
                <c:pt idx="23">
                  <c:v>1472</c:v>
                </c:pt>
                <c:pt idx="24">
                  <c:v>1571</c:v>
                </c:pt>
                <c:pt idx="25">
                  <c:v>1497</c:v>
                </c:pt>
                <c:pt idx="26">
                  <c:v>1696</c:v>
                </c:pt>
                <c:pt idx="27">
                  <c:v>1710</c:v>
                </c:pt>
                <c:pt idx="28">
                  <c:v>1673</c:v>
                </c:pt>
                <c:pt idx="29">
                  <c:v>1555</c:v>
                </c:pt>
                <c:pt idx="30">
                  <c:v>1671</c:v>
                </c:pt>
                <c:pt idx="31">
                  <c:v>1620</c:v>
                </c:pt>
                <c:pt idx="32">
                  <c:v>1649</c:v>
                </c:pt>
                <c:pt idx="33">
                  <c:v>1389</c:v>
                </c:pt>
                <c:pt idx="34">
                  <c:v>1492</c:v>
                </c:pt>
                <c:pt idx="35">
                  <c:v>1528</c:v>
                </c:pt>
                <c:pt idx="36">
                  <c:v>1467</c:v>
                </c:pt>
                <c:pt idx="37">
                  <c:v>1639</c:v>
                </c:pt>
                <c:pt idx="38">
                  <c:v>1697</c:v>
                </c:pt>
                <c:pt idx="39">
                  <c:v>1653</c:v>
                </c:pt>
                <c:pt idx="40">
                  <c:v>1586</c:v>
                </c:pt>
                <c:pt idx="41">
                  <c:v>1348</c:v>
                </c:pt>
                <c:pt idx="42">
                  <c:v>1353</c:v>
                </c:pt>
                <c:pt idx="43">
                  <c:v>1370</c:v>
                </c:pt>
                <c:pt idx="44">
                  <c:v>1384</c:v>
                </c:pt>
                <c:pt idx="45">
                  <c:v>1344</c:v>
                </c:pt>
                <c:pt idx="46">
                  <c:v>1394</c:v>
                </c:pt>
                <c:pt idx="47">
                  <c:v>1454</c:v>
                </c:pt>
              </c:numCache>
            </c:numRef>
          </c:val>
          <c:smooth val="0"/>
        </c:ser>
        <c:ser>
          <c:idx val="1"/>
          <c:order val="1"/>
          <c:tx>
            <c:strRef>
              <c:f>'Sheet4 (2)'!$C$1:$C$2</c:f>
              <c:strCache>
                <c:ptCount val="1"/>
                <c:pt idx="0">
                  <c:v>GEFITINIB</c:v>
                </c:pt>
              </c:strCache>
            </c:strRef>
          </c:tx>
          <c:cat>
            <c:strRef>
              <c:f>'Sheet4 (2)'!$A$3:$A$51</c:f>
              <c:strCache>
                <c:ptCount val="48"/>
                <c:pt idx="0">
                  <c:v> 2004Q4</c:v>
                </c:pt>
                <c:pt idx="1">
                  <c:v> 2005Q1</c:v>
                </c:pt>
                <c:pt idx="2">
                  <c:v> 2005Q2</c:v>
                </c:pt>
                <c:pt idx="3">
                  <c:v> 2005Q3</c:v>
                </c:pt>
                <c:pt idx="4">
                  <c:v> 2005Q4</c:v>
                </c:pt>
                <c:pt idx="5">
                  <c:v> 2006Q1</c:v>
                </c:pt>
                <c:pt idx="6">
                  <c:v> 2006Q2</c:v>
                </c:pt>
                <c:pt idx="7">
                  <c:v> 2006Q3</c:v>
                </c:pt>
                <c:pt idx="8">
                  <c:v> 2006Q4</c:v>
                </c:pt>
                <c:pt idx="9">
                  <c:v> 2007Q1</c:v>
                </c:pt>
                <c:pt idx="10">
                  <c:v> 2007Q2</c:v>
                </c:pt>
                <c:pt idx="11">
                  <c:v> 2007Q3</c:v>
                </c:pt>
                <c:pt idx="12">
                  <c:v> 2007Q4</c:v>
                </c:pt>
                <c:pt idx="13">
                  <c:v> 2008Q1</c:v>
                </c:pt>
                <c:pt idx="14">
                  <c:v> 2008Q2</c:v>
                </c:pt>
                <c:pt idx="15">
                  <c:v> 2008Q3</c:v>
                </c:pt>
                <c:pt idx="16">
                  <c:v> 2008Q4</c:v>
                </c:pt>
                <c:pt idx="17">
                  <c:v> 2009Q1</c:v>
                </c:pt>
                <c:pt idx="18">
                  <c:v> 2009Q2</c:v>
                </c:pt>
                <c:pt idx="19">
                  <c:v> 2009Q3</c:v>
                </c:pt>
                <c:pt idx="20">
                  <c:v> 2009Q4</c:v>
                </c:pt>
                <c:pt idx="21">
                  <c:v> 2010Q1</c:v>
                </c:pt>
                <c:pt idx="22">
                  <c:v> 2010Q2</c:v>
                </c:pt>
                <c:pt idx="23">
                  <c:v> 2010Q3</c:v>
                </c:pt>
                <c:pt idx="24">
                  <c:v> 2010Q4</c:v>
                </c:pt>
                <c:pt idx="25">
                  <c:v> 2011Q1</c:v>
                </c:pt>
                <c:pt idx="26">
                  <c:v> 2011Q2</c:v>
                </c:pt>
                <c:pt idx="27">
                  <c:v> 2011Q3</c:v>
                </c:pt>
                <c:pt idx="28">
                  <c:v> 2011Q4</c:v>
                </c:pt>
                <c:pt idx="29">
                  <c:v> 2012Q1</c:v>
                </c:pt>
                <c:pt idx="30">
                  <c:v> 2012Q2</c:v>
                </c:pt>
                <c:pt idx="31">
                  <c:v> 2012Q3</c:v>
                </c:pt>
                <c:pt idx="32">
                  <c:v> 2012Q4</c:v>
                </c:pt>
                <c:pt idx="33">
                  <c:v> 2013Q1</c:v>
                </c:pt>
                <c:pt idx="34">
                  <c:v> 2013Q2</c:v>
                </c:pt>
                <c:pt idx="35">
                  <c:v> 2013Q3</c:v>
                </c:pt>
                <c:pt idx="36">
                  <c:v> 2013Q4</c:v>
                </c:pt>
                <c:pt idx="37">
                  <c:v> 2014Q1</c:v>
                </c:pt>
                <c:pt idx="38">
                  <c:v> 2014Q2</c:v>
                </c:pt>
                <c:pt idx="39">
                  <c:v> 2014Q3</c:v>
                </c:pt>
                <c:pt idx="40">
                  <c:v> 2014Q4</c:v>
                </c:pt>
                <c:pt idx="41">
                  <c:v> 2015Q1</c:v>
                </c:pt>
                <c:pt idx="42">
                  <c:v> 2015Q2</c:v>
                </c:pt>
                <c:pt idx="43">
                  <c:v> 2015Q3</c:v>
                </c:pt>
                <c:pt idx="44">
                  <c:v> 2015Q4</c:v>
                </c:pt>
                <c:pt idx="45">
                  <c:v> 2016Q1</c:v>
                </c:pt>
                <c:pt idx="46">
                  <c:v> 2016Q2</c:v>
                </c:pt>
                <c:pt idx="47">
                  <c:v> 2016Q3</c:v>
                </c:pt>
              </c:strCache>
            </c:strRef>
          </c:cat>
          <c:val>
            <c:numRef>
              <c:f>'Sheet4 (2)'!$C$3:$C$51</c:f>
              <c:numCache>
                <c:formatCode>General</c:formatCode>
                <c:ptCount val="48"/>
                <c:pt idx="0">
                  <c:v>1</c:v>
                </c:pt>
                <c:pt idx="1">
                  <c:v>29</c:v>
                </c:pt>
                <c:pt idx="2">
                  <c:v>70</c:v>
                </c:pt>
                <c:pt idx="3">
                  <c:v>77</c:v>
                </c:pt>
                <c:pt idx="4">
                  <c:v>95</c:v>
                </c:pt>
                <c:pt idx="5">
                  <c:v>108</c:v>
                </c:pt>
                <c:pt idx="6">
                  <c:v>118</c:v>
                </c:pt>
                <c:pt idx="7">
                  <c:v>138</c:v>
                </c:pt>
                <c:pt idx="8">
                  <c:v>135</c:v>
                </c:pt>
                <c:pt idx="9">
                  <c:v>134</c:v>
                </c:pt>
                <c:pt idx="10">
                  <c:v>129</c:v>
                </c:pt>
                <c:pt idx="11">
                  <c:v>115</c:v>
                </c:pt>
                <c:pt idx="12">
                  <c:v>120</c:v>
                </c:pt>
                <c:pt idx="13">
                  <c:v>119</c:v>
                </c:pt>
                <c:pt idx="14">
                  <c:v>131</c:v>
                </c:pt>
                <c:pt idx="15">
                  <c:v>112</c:v>
                </c:pt>
                <c:pt idx="16">
                  <c:v>111</c:v>
                </c:pt>
                <c:pt idx="17">
                  <c:v>77</c:v>
                </c:pt>
                <c:pt idx="18">
                  <c:v>75</c:v>
                </c:pt>
                <c:pt idx="19">
                  <c:v>73</c:v>
                </c:pt>
                <c:pt idx="20">
                  <c:v>69</c:v>
                </c:pt>
                <c:pt idx="21">
                  <c:v>71</c:v>
                </c:pt>
                <c:pt idx="22">
                  <c:v>62</c:v>
                </c:pt>
                <c:pt idx="23">
                  <c:v>68</c:v>
                </c:pt>
                <c:pt idx="24">
                  <c:v>88</c:v>
                </c:pt>
                <c:pt idx="25">
                  <c:v>85</c:v>
                </c:pt>
                <c:pt idx="26">
                  <c:v>79</c:v>
                </c:pt>
                <c:pt idx="27">
                  <c:v>89</c:v>
                </c:pt>
                <c:pt idx="28">
                  <c:v>84</c:v>
                </c:pt>
                <c:pt idx="29">
                  <c:v>84</c:v>
                </c:pt>
                <c:pt idx="30">
                  <c:v>83</c:v>
                </c:pt>
                <c:pt idx="31">
                  <c:v>85</c:v>
                </c:pt>
                <c:pt idx="32">
                  <c:v>91</c:v>
                </c:pt>
                <c:pt idx="33">
                  <c:v>113</c:v>
                </c:pt>
                <c:pt idx="34">
                  <c:v>119</c:v>
                </c:pt>
                <c:pt idx="35">
                  <c:v>122</c:v>
                </c:pt>
                <c:pt idx="36">
                  <c:v>122</c:v>
                </c:pt>
                <c:pt idx="37">
                  <c:v>466</c:v>
                </c:pt>
                <c:pt idx="38">
                  <c:v>536</c:v>
                </c:pt>
                <c:pt idx="39">
                  <c:v>501</c:v>
                </c:pt>
                <c:pt idx="40">
                  <c:v>541</c:v>
                </c:pt>
                <c:pt idx="41">
                  <c:v>488</c:v>
                </c:pt>
                <c:pt idx="42">
                  <c:v>541</c:v>
                </c:pt>
                <c:pt idx="43">
                  <c:v>530</c:v>
                </c:pt>
                <c:pt idx="44">
                  <c:v>571</c:v>
                </c:pt>
                <c:pt idx="45">
                  <c:v>501</c:v>
                </c:pt>
                <c:pt idx="46">
                  <c:v>521</c:v>
                </c:pt>
                <c:pt idx="47">
                  <c:v>572</c:v>
                </c:pt>
              </c:numCache>
            </c:numRef>
          </c:val>
          <c:smooth val="0"/>
        </c:ser>
        <c:ser>
          <c:idx val="2"/>
          <c:order val="2"/>
          <c:tx>
            <c:strRef>
              <c:f>'Sheet4 (2)'!$D$1:$D$2</c:f>
              <c:strCache>
                <c:ptCount val="1"/>
                <c:pt idx="0">
                  <c:v>Total</c:v>
                </c:pt>
              </c:strCache>
            </c:strRef>
          </c:tx>
          <c:cat>
            <c:strRef>
              <c:f>'Sheet4 (2)'!$A$3:$A$51</c:f>
              <c:strCache>
                <c:ptCount val="48"/>
                <c:pt idx="0">
                  <c:v> 2004Q4</c:v>
                </c:pt>
                <c:pt idx="1">
                  <c:v> 2005Q1</c:v>
                </c:pt>
                <c:pt idx="2">
                  <c:v> 2005Q2</c:v>
                </c:pt>
                <c:pt idx="3">
                  <c:v> 2005Q3</c:v>
                </c:pt>
                <c:pt idx="4">
                  <c:v> 2005Q4</c:v>
                </c:pt>
                <c:pt idx="5">
                  <c:v> 2006Q1</c:v>
                </c:pt>
                <c:pt idx="6">
                  <c:v> 2006Q2</c:v>
                </c:pt>
                <c:pt idx="7">
                  <c:v> 2006Q3</c:v>
                </c:pt>
                <c:pt idx="8">
                  <c:v> 2006Q4</c:v>
                </c:pt>
                <c:pt idx="9">
                  <c:v> 2007Q1</c:v>
                </c:pt>
                <c:pt idx="10">
                  <c:v> 2007Q2</c:v>
                </c:pt>
                <c:pt idx="11">
                  <c:v> 2007Q3</c:v>
                </c:pt>
                <c:pt idx="12">
                  <c:v> 2007Q4</c:v>
                </c:pt>
                <c:pt idx="13">
                  <c:v> 2008Q1</c:v>
                </c:pt>
                <c:pt idx="14">
                  <c:v> 2008Q2</c:v>
                </c:pt>
                <c:pt idx="15">
                  <c:v> 2008Q3</c:v>
                </c:pt>
                <c:pt idx="16">
                  <c:v> 2008Q4</c:v>
                </c:pt>
                <c:pt idx="17">
                  <c:v> 2009Q1</c:v>
                </c:pt>
                <c:pt idx="18">
                  <c:v> 2009Q2</c:v>
                </c:pt>
                <c:pt idx="19">
                  <c:v> 2009Q3</c:v>
                </c:pt>
                <c:pt idx="20">
                  <c:v> 2009Q4</c:v>
                </c:pt>
                <c:pt idx="21">
                  <c:v> 2010Q1</c:v>
                </c:pt>
                <c:pt idx="22">
                  <c:v> 2010Q2</c:v>
                </c:pt>
                <c:pt idx="23">
                  <c:v> 2010Q3</c:v>
                </c:pt>
                <c:pt idx="24">
                  <c:v> 2010Q4</c:v>
                </c:pt>
                <c:pt idx="25">
                  <c:v> 2011Q1</c:v>
                </c:pt>
                <c:pt idx="26">
                  <c:v> 2011Q2</c:v>
                </c:pt>
                <c:pt idx="27">
                  <c:v> 2011Q3</c:v>
                </c:pt>
                <c:pt idx="28">
                  <c:v> 2011Q4</c:v>
                </c:pt>
                <c:pt idx="29">
                  <c:v> 2012Q1</c:v>
                </c:pt>
                <c:pt idx="30">
                  <c:v> 2012Q2</c:v>
                </c:pt>
                <c:pt idx="31">
                  <c:v> 2012Q3</c:v>
                </c:pt>
                <c:pt idx="32">
                  <c:v> 2012Q4</c:v>
                </c:pt>
                <c:pt idx="33">
                  <c:v> 2013Q1</c:v>
                </c:pt>
                <c:pt idx="34">
                  <c:v> 2013Q2</c:v>
                </c:pt>
                <c:pt idx="35">
                  <c:v> 2013Q3</c:v>
                </c:pt>
                <c:pt idx="36">
                  <c:v> 2013Q4</c:v>
                </c:pt>
                <c:pt idx="37">
                  <c:v> 2014Q1</c:v>
                </c:pt>
                <c:pt idx="38">
                  <c:v> 2014Q2</c:v>
                </c:pt>
                <c:pt idx="39">
                  <c:v> 2014Q3</c:v>
                </c:pt>
                <c:pt idx="40">
                  <c:v> 2014Q4</c:v>
                </c:pt>
                <c:pt idx="41">
                  <c:v> 2015Q1</c:v>
                </c:pt>
                <c:pt idx="42">
                  <c:v> 2015Q2</c:v>
                </c:pt>
                <c:pt idx="43">
                  <c:v> 2015Q3</c:v>
                </c:pt>
                <c:pt idx="44">
                  <c:v> 2015Q4</c:v>
                </c:pt>
                <c:pt idx="45">
                  <c:v> 2016Q1</c:v>
                </c:pt>
                <c:pt idx="46">
                  <c:v> 2016Q2</c:v>
                </c:pt>
                <c:pt idx="47">
                  <c:v> 2016Q3</c:v>
                </c:pt>
              </c:strCache>
            </c:strRef>
          </c:cat>
          <c:val>
            <c:numRef>
              <c:f>'Sheet4 (2)'!$D$3:$D$51</c:f>
              <c:numCache>
                <c:formatCode>General</c:formatCode>
                <c:ptCount val="48"/>
                <c:pt idx="0">
                  <c:v>1</c:v>
                </c:pt>
                <c:pt idx="1">
                  <c:v>29</c:v>
                </c:pt>
                <c:pt idx="2">
                  <c:v>70</c:v>
                </c:pt>
                <c:pt idx="3">
                  <c:v>77</c:v>
                </c:pt>
                <c:pt idx="4">
                  <c:v>95</c:v>
                </c:pt>
                <c:pt idx="5">
                  <c:v>108</c:v>
                </c:pt>
                <c:pt idx="6">
                  <c:v>118</c:v>
                </c:pt>
                <c:pt idx="7">
                  <c:v>138</c:v>
                </c:pt>
                <c:pt idx="8">
                  <c:v>135</c:v>
                </c:pt>
                <c:pt idx="9">
                  <c:v>134</c:v>
                </c:pt>
                <c:pt idx="10">
                  <c:v>129</c:v>
                </c:pt>
                <c:pt idx="11">
                  <c:v>115</c:v>
                </c:pt>
                <c:pt idx="12">
                  <c:v>120</c:v>
                </c:pt>
                <c:pt idx="13">
                  <c:v>119</c:v>
                </c:pt>
                <c:pt idx="14">
                  <c:v>131</c:v>
                </c:pt>
                <c:pt idx="15">
                  <c:v>692</c:v>
                </c:pt>
                <c:pt idx="16">
                  <c:v>1202</c:v>
                </c:pt>
                <c:pt idx="17">
                  <c:v>1097</c:v>
                </c:pt>
                <c:pt idx="18">
                  <c:v>1189</c:v>
                </c:pt>
                <c:pt idx="19">
                  <c:v>1272</c:v>
                </c:pt>
                <c:pt idx="20">
                  <c:v>1470</c:v>
                </c:pt>
                <c:pt idx="21">
                  <c:v>1404</c:v>
                </c:pt>
                <c:pt idx="22">
                  <c:v>1437</c:v>
                </c:pt>
                <c:pt idx="23">
                  <c:v>1540</c:v>
                </c:pt>
                <c:pt idx="24">
                  <c:v>1659</c:v>
                </c:pt>
                <c:pt idx="25">
                  <c:v>1582</c:v>
                </c:pt>
                <c:pt idx="26">
                  <c:v>1775</c:v>
                </c:pt>
                <c:pt idx="27">
                  <c:v>1799</c:v>
                </c:pt>
                <c:pt idx="28">
                  <c:v>1757</c:v>
                </c:pt>
                <c:pt idx="29">
                  <c:v>1639</c:v>
                </c:pt>
                <c:pt idx="30">
                  <c:v>1754</c:v>
                </c:pt>
                <c:pt idx="31">
                  <c:v>1705</c:v>
                </c:pt>
                <c:pt idx="32">
                  <c:v>1740</c:v>
                </c:pt>
                <c:pt idx="33">
                  <c:v>1502</c:v>
                </c:pt>
                <c:pt idx="34">
                  <c:v>1611</c:v>
                </c:pt>
                <c:pt idx="35">
                  <c:v>1650</c:v>
                </c:pt>
                <c:pt idx="36">
                  <c:v>1589</c:v>
                </c:pt>
                <c:pt idx="37">
                  <c:v>2105</c:v>
                </c:pt>
                <c:pt idx="38">
                  <c:v>2233</c:v>
                </c:pt>
                <c:pt idx="39">
                  <c:v>2154</c:v>
                </c:pt>
                <c:pt idx="40">
                  <c:v>2127</c:v>
                </c:pt>
                <c:pt idx="41">
                  <c:v>1836</c:v>
                </c:pt>
                <c:pt idx="42">
                  <c:v>1894</c:v>
                </c:pt>
                <c:pt idx="43">
                  <c:v>1900</c:v>
                </c:pt>
                <c:pt idx="44">
                  <c:v>1955</c:v>
                </c:pt>
                <c:pt idx="45">
                  <c:v>1845</c:v>
                </c:pt>
                <c:pt idx="46">
                  <c:v>1915</c:v>
                </c:pt>
                <c:pt idx="47">
                  <c:v>2026</c:v>
                </c:pt>
              </c:numCache>
            </c:numRef>
          </c:val>
          <c:smooth val="0"/>
        </c:ser>
        <c:dLbls>
          <c:showLegendKey val="0"/>
          <c:showVal val="0"/>
          <c:showCatName val="0"/>
          <c:showSerName val="0"/>
          <c:showPercent val="0"/>
          <c:showBubbleSize val="0"/>
        </c:dLbls>
        <c:marker val="1"/>
        <c:smooth val="0"/>
        <c:axId val="235797120"/>
        <c:axId val="236786048"/>
      </c:lineChart>
      <c:catAx>
        <c:axId val="235797120"/>
        <c:scaling>
          <c:orientation val="minMax"/>
        </c:scaling>
        <c:delete val="0"/>
        <c:axPos val="b"/>
        <c:majorTickMark val="none"/>
        <c:minorTickMark val="none"/>
        <c:tickLblPos val="nextTo"/>
        <c:crossAx val="236786048"/>
        <c:crosses val="autoZero"/>
        <c:auto val="1"/>
        <c:lblAlgn val="ctr"/>
        <c:lblOffset val="100"/>
        <c:noMultiLvlLbl val="0"/>
      </c:catAx>
      <c:valAx>
        <c:axId val="236786048"/>
        <c:scaling>
          <c:orientation val="minMax"/>
        </c:scaling>
        <c:delete val="0"/>
        <c:axPos val="l"/>
        <c:majorGridlines/>
        <c:title>
          <c:tx>
            <c:rich>
              <a:bodyPr/>
              <a:lstStyle/>
              <a:p>
                <a:pPr>
                  <a:defRPr b="0"/>
                </a:pPr>
                <a:r>
                  <a:rPr lang="en-AU" b="0"/>
                  <a:t>Prescriptions</a:t>
                </a:r>
              </a:p>
            </c:rich>
          </c:tx>
          <c:overlay val="0"/>
        </c:title>
        <c:numFmt formatCode="#,##0" sourceLinked="0"/>
        <c:majorTickMark val="none"/>
        <c:minorTickMark val="none"/>
        <c:tickLblPos val="nextTo"/>
        <c:crossAx val="235797120"/>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[D985 - TKI data - script &amp; ben summary.xlsx]Sheet4 (4)!PivotTable1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pivotFmt>
      <c:pivotFmt>
        <c:idx val="10"/>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marker>
          <c:symbol val="none"/>
        </c:marker>
      </c:pivotFmt>
      <c:pivotFmt>
        <c:idx val="70"/>
        <c:marker>
          <c:symbol val="none"/>
        </c:marker>
      </c:pivotFmt>
      <c:pivotFmt>
        <c:idx val="71"/>
        <c:marker>
          <c:symbol val="none"/>
        </c:marker>
      </c:pivotFmt>
      <c:pivotFmt>
        <c:idx val="72"/>
        <c:marker>
          <c:symbol val="none"/>
        </c:marker>
      </c:pivotFmt>
      <c:pivotFmt>
        <c:idx val="73"/>
        <c:marker>
          <c:symbol val="none"/>
        </c:marker>
      </c:pivotFmt>
      <c:pivotFmt>
        <c:idx val="74"/>
      </c:pivotFmt>
      <c:pivotFmt>
        <c:idx val="75"/>
      </c:pivotFmt>
      <c:pivotFmt>
        <c:idx val="76"/>
      </c:pivotFmt>
      <c:pivotFmt>
        <c:idx val="77"/>
      </c:pivotFmt>
      <c:pivotFmt>
        <c:idx val="78"/>
      </c:pivotFmt>
      <c:pivotFmt>
        <c:idx val="79"/>
      </c:pivotFmt>
      <c:pivotFmt>
        <c:idx val="80"/>
      </c:pivotFmt>
      <c:pivotFmt>
        <c:idx val="81"/>
      </c:pivotFmt>
    </c:pivotFmts>
    <c:plotArea>
      <c:layout>
        <c:manualLayout>
          <c:layoutTarget val="inner"/>
          <c:xMode val="edge"/>
          <c:yMode val="edge"/>
          <c:x val="0.13341141009479085"/>
          <c:y val="3.7998115212423966E-2"/>
          <c:w val="0.60031143978669632"/>
          <c:h val="0.80050679604167663"/>
        </c:manualLayout>
      </c:layout>
      <c:lineChart>
        <c:grouping val="standard"/>
        <c:varyColors val="0"/>
        <c:ser>
          <c:idx val="0"/>
          <c:order val="0"/>
          <c:tx>
            <c:strRef>
              <c:f>'Sheet4 (4)'!$B$1:$B$3</c:f>
              <c:strCache>
                <c:ptCount val="1"/>
                <c:pt idx="0">
                  <c:v>ERLOTINIB - Tablet 150 mg (as hydrochloride)</c:v>
                </c:pt>
              </c:strCache>
            </c:strRef>
          </c:tx>
          <c:cat>
            <c:strRef>
              <c:f>'Sheet4 (4)'!$A$4:$A$52</c:f>
              <c:strCache>
                <c:ptCount val="48"/>
                <c:pt idx="0">
                  <c:v> 2004Q4</c:v>
                </c:pt>
                <c:pt idx="1">
                  <c:v> 2005Q1</c:v>
                </c:pt>
                <c:pt idx="2">
                  <c:v> 2005Q2</c:v>
                </c:pt>
                <c:pt idx="3">
                  <c:v> 2005Q3</c:v>
                </c:pt>
                <c:pt idx="4">
                  <c:v> 2005Q4</c:v>
                </c:pt>
                <c:pt idx="5">
                  <c:v> 2006Q1</c:v>
                </c:pt>
                <c:pt idx="6">
                  <c:v> 2006Q2</c:v>
                </c:pt>
                <c:pt idx="7">
                  <c:v> 2006Q3</c:v>
                </c:pt>
                <c:pt idx="8">
                  <c:v> 2006Q4</c:v>
                </c:pt>
                <c:pt idx="9">
                  <c:v> 2007Q1</c:v>
                </c:pt>
                <c:pt idx="10">
                  <c:v> 2007Q2</c:v>
                </c:pt>
                <c:pt idx="11">
                  <c:v> 2007Q3</c:v>
                </c:pt>
                <c:pt idx="12">
                  <c:v> 2007Q4</c:v>
                </c:pt>
                <c:pt idx="13">
                  <c:v> 2008Q1</c:v>
                </c:pt>
                <c:pt idx="14">
                  <c:v> 2008Q2</c:v>
                </c:pt>
                <c:pt idx="15">
                  <c:v> 2008Q3</c:v>
                </c:pt>
                <c:pt idx="16">
                  <c:v> 2008Q4</c:v>
                </c:pt>
                <c:pt idx="17">
                  <c:v> 2009Q1</c:v>
                </c:pt>
                <c:pt idx="18">
                  <c:v> 2009Q2</c:v>
                </c:pt>
                <c:pt idx="19">
                  <c:v> 2009Q3</c:v>
                </c:pt>
                <c:pt idx="20">
                  <c:v> 2009Q4</c:v>
                </c:pt>
                <c:pt idx="21">
                  <c:v> 2010Q1</c:v>
                </c:pt>
                <c:pt idx="22">
                  <c:v> 2010Q2</c:v>
                </c:pt>
                <c:pt idx="23">
                  <c:v> 2010Q3</c:v>
                </c:pt>
                <c:pt idx="24">
                  <c:v> 2010Q4</c:v>
                </c:pt>
                <c:pt idx="25">
                  <c:v> 2011Q1</c:v>
                </c:pt>
                <c:pt idx="26">
                  <c:v> 2011Q2</c:v>
                </c:pt>
                <c:pt idx="27">
                  <c:v> 2011Q3</c:v>
                </c:pt>
                <c:pt idx="28">
                  <c:v> 2011Q4</c:v>
                </c:pt>
                <c:pt idx="29">
                  <c:v> 2012Q1</c:v>
                </c:pt>
                <c:pt idx="30">
                  <c:v> 2012Q2</c:v>
                </c:pt>
                <c:pt idx="31">
                  <c:v> 2012Q3</c:v>
                </c:pt>
                <c:pt idx="32">
                  <c:v> 2012Q4</c:v>
                </c:pt>
                <c:pt idx="33">
                  <c:v> 2013Q1</c:v>
                </c:pt>
                <c:pt idx="34">
                  <c:v> 2013Q2</c:v>
                </c:pt>
                <c:pt idx="35">
                  <c:v> 2013Q3</c:v>
                </c:pt>
                <c:pt idx="36">
                  <c:v> 2013Q4</c:v>
                </c:pt>
                <c:pt idx="37">
                  <c:v> 2014Q1</c:v>
                </c:pt>
                <c:pt idx="38">
                  <c:v> 2014Q2</c:v>
                </c:pt>
                <c:pt idx="39">
                  <c:v> 2014Q3</c:v>
                </c:pt>
                <c:pt idx="40">
                  <c:v> 2014Q4</c:v>
                </c:pt>
                <c:pt idx="41">
                  <c:v> 2015Q1</c:v>
                </c:pt>
                <c:pt idx="42">
                  <c:v> 2015Q2</c:v>
                </c:pt>
                <c:pt idx="43">
                  <c:v> 2015Q3</c:v>
                </c:pt>
                <c:pt idx="44">
                  <c:v> 2015Q4</c:v>
                </c:pt>
                <c:pt idx="45">
                  <c:v> 2016Q1</c:v>
                </c:pt>
                <c:pt idx="46">
                  <c:v> 2016Q2</c:v>
                </c:pt>
                <c:pt idx="47">
                  <c:v> 2016Q3</c:v>
                </c:pt>
              </c:strCache>
            </c:strRef>
          </c:cat>
          <c:val>
            <c:numRef>
              <c:f>'Sheet4 (4)'!$B$4:$B$52</c:f>
              <c:numCache>
                <c:formatCode>General</c:formatCode>
                <c:ptCount val="48"/>
                <c:pt idx="15">
                  <c:v>489</c:v>
                </c:pt>
                <c:pt idx="16">
                  <c:v>868</c:v>
                </c:pt>
                <c:pt idx="17">
                  <c:v>814</c:v>
                </c:pt>
                <c:pt idx="18">
                  <c:v>870</c:v>
                </c:pt>
                <c:pt idx="19">
                  <c:v>917</c:v>
                </c:pt>
                <c:pt idx="20">
                  <c:v>1050</c:v>
                </c:pt>
                <c:pt idx="21">
                  <c:v>991</c:v>
                </c:pt>
                <c:pt idx="22">
                  <c:v>1001</c:v>
                </c:pt>
                <c:pt idx="23">
                  <c:v>1105</c:v>
                </c:pt>
                <c:pt idx="24">
                  <c:v>1153</c:v>
                </c:pt>
                <c:pt idx="25">
                  <c:v>1074</c:v>
                </c:pt>
                <c:pt idx="26">
                  <c:v>1188</c:v>
                </c:pt>
                <c:pt idx="27">
                  <c:v>1251</c:v>
                </c:pt>
                <c:pt idx="28">
                  <c:v>1154</c:v>
                </c:pt>
                <c:pt idx="29">
                  <c:v>1090</c:v>
                </c:pt>
                <c:pt idx="30">
                  <c:v>1117</c:v>
                </c:pt>
                <c:pt idx="31">
                  <c:v>1090</c:v>
                </c:pt>
                <c:pt idx="32">
                  <c:v>1112</c:v>
                </c:pt>
                <c:pt idx="33">
                  <c:v>960</c:v>
                </c:pt>
                <c:pt idx="34">
                  <c:v>986</c:v>
                </c:pt>
                <c:pt idx="35">
                  <c:v>1008</c:v>
                </c:pt>
                <c:pt idx="36">
                  <c:v>961</c:v>
                </c:pt>
                <c:pt idx="37">
                  <c:v>1091</c:v>
                </c:pt>
                <c:pt idx="38">
                  <c:v>1138</c:v>
                </c:pt>
                <c:pt idx="39">
                  <c:v>1073</c:v>
                </c:pt>
                <c:pt idx="40">
                  <c:v>1014</c:v>
                </c:pt>
                <c:pt idx="41">
                  <c:v>838</c:v>
                </c:pt>
                <c:pt idx="42">
                  <c:v>875</c:v>
                </c:pt>
                <c:pt idx="43">
                  <c:v>880</c:v>
                </c:pt>
                <c:pt idx="44">
                  <c:v>915</c:v>
                </c:pt>
                <c:pt idx="45">
                  <c:v>909</c:v>
                </c:pt>
                <c:pt idx="46">
                  <c:v>920</c:v>
                </c:pt>
                <c:pt idx="47">
                  <c:v>933</c:v>
                </c:pt>
              </c:numCache>
            </c:numRef>
          </c:val>
          <c:smooth val="0"/>
        </c:ser>
        <c:ser>
          <c:idx val="1"/>
          <c:order val="1"/>
          <c:tx>
            <c:strRef>
              <c:f>'Sheet4 (4)'!$C$1:$C$3</c:f>
              <c:strCache>
                <c:ptCount val="1"/>
                <c:pt idx="0">
                  <c:v>ERLOTINIB - Tablet 100 mg (as hydrochloride)</c:v>
                </c:pt>
              </c:strCache>
            </c:strRef>
          </c:tx>
          <c:cat>
            <c:strRef>
              <c:f>'Sheet4 (4)'!$A$4:$A$52</c:f>
              <c:strCache>
                <c:ptCount val="48"/>
                <c:pt idx="0">
                  <c:v> 2004Q4</c:v>
                </c:pt>
                <c:pt idx="1">
                  <c:v> 2005Q1</c:v>
                </c:pt>
                <c:pt idx="2">
                  <c:v> 2005Q2</c:v>
                </c:pt>
                <c:pt idx="3">
                  <c:v> 2005Q3</c:v>
                </c:pt>
                <c:pt idx="4">
                  <c:v> 2005Q4</c:v>
                </c:pt>
                <c:pt idx="5">
                  <c:v> 2006Q1</c:v>
                </c:pt>
                <c:pt idx="6">
                  <c:v> 2006Q2</c:v>
                </c:pt>
                <c:pt idx="7">
                  <c:v> 2006Q3</c:v>
                </c:pt>
                <c:pt idx="8">
                  <c:v> 2006Q4</c:v>
                </c:pt>
                <c:pt idx="9">
                  <c:v> 2007Q1</c:v>
                </c:pt>
                <c:pt idx="10">
                  <c:v> 2007Q2</c:v>
                </c:pt>
                <c:pt idx="11">
                  <c:v> 2007Q3</c:v>
                </c:pt>
                <c:pt idx="12">
                  <c:v> 2007Q4</c:v>
                </c:pt>
                <c:pt idx="13">
                  <c:v> 2008Q1</c:v>
                </c:pt>
                <c:pt idx="14">
                  <c:v> 2008Q2</c:v>
                </c:pt>
                <c:pt idx="15">
                  <c:v> 2008Q3</c:v>
                </c:pt>
                <c:pt idx="16">
                  <c:v> 2008Q4</c:v>
                </c:pt>
                <c:pt idx="17">
                  <c:v> 2009Q1</c:v>
                </c:pt>
                <c:pt idx="18">
                  <c:v> 2009Q2</c:v>
                </c:pt>
                <c:pt idx="19">
                  <c:v> 2009Q3</c:v>
                </c:pt>
                <c:pt idx="20">
                  <c:v> 2009Q4</c:v>
                </c:pt>
                <c:pt idx="21">
                  <c:v> 2010Q1</c:v>
                </c:pt>
                <c:pt idx="22">
                  <c:v> 2010Q2</c:v>
                </c:pt>
                <c:pt idx="23">
                  <c:v> 2010Q3</c:v>
                </c:pt>
                <c:pt idx="24">
                  <c:v> 2010Q4</c:v>
                </c:pt>
                <c:pt idx="25">
                  <c:v> 2011Q1</c:v>
                </c:pt>
                <c:pt idx="26">
                  <c:v> 2011Q2</c:v>
                </c:pt>
                <c:pt idx="27">
                  <c:v> 2011Q3</c:v>
                </c:pt>
                <c:pt idx="28">
                  <c:v> 2011Q4</c:v>
                </c:pt>
                <c:pt idx="29">
                  <c:v> 2012Q1</c:v>
                </c:pt>
                <c:pt idx="30">
                  <c:v> 2012Q2</c:v>
                </c:pt>
                <c:pt idx="31">
                  <c:v> 2012Q3</c:v>
                </c:pt>
                <c:pt idx="32">
                  <c:v> 2012Q4</c:v>
                </c:pt>
                <c:pt idx="33">
                  <c:v> 2013Q1</c:v>
                </c:pt>
                <c:pt idx="34">
                  <c:v> 2013Q2</c:v>
                </c:pt>
                <c:pt idx="35">
                  <c:v> 2013Q3</c:v>
                </c:pt>
                <c:pt idx="36">
                  <c:v> 2013Q4</c:v>
                </c:pt>
                <c:pt idx="37">
                  <c:v> 2014Q1</c:v>
                </c:pt>
                <c:pt idx="38">
                  <c:v> 2014Q2</c:v>
                </c:pt>
                <c:pt idx="39">
                  <c:v> 2014Q3</c:v>
                </c:pt>
                <c:pt idx="40">
                  <c:v> 2014Q4</c:v>
                </c:pt>
                <c:pt idx="41">
                  <c:v> 2015Q1</c:v>
                </c:pt>
                <c:pt idx="42">
                  <c:v> 2015Q2</c:v>
                </c:pt>
                <c:pt idx="43">
                  <c:v> 2015Q3</c:v>
                </c:pt>
                <c:pt idx="44">
                  <c:v> 2015Q4</c:v>
                </c:pt>
                <c:pt idx="45">
                  <c:v> 2016Q1</c:v>
                </c:pt>
                <c:pt idx="46">
                  <c:v> 2016Q2</c:v>
                </c:pt>
                <c:pt idx="47">
                  <c:v> 2016Q3</c:v>
                </c:pt>
              </c:strCache>
            </c:strRef>
          </c:cat>
          <c:val>
            <c:numRef>
              <c:f>'Sheet4 (4)'!$C$4:$C$52</c:f>
              <c:numCache>
                <c:formatCode>General</c:formatCode>
                <c:ptCount val="48"/>
                <c:pt idx="15">
                  <c:v>79</c:v>
                </c:pt>
                <c:pt idx="16">
                  <c:v>204</c:v>
                </c:pt>
                <c:pt idx="17">
                  <c:v>183</c:v>
                </c:pt>
                <c:pt idx="18">
                  <c:v>211</c:v>
                </c:pt>
                <c:pt idx="19">
                  <c:v>234</c:v>
                </c:pt>
                <c:pt idx="20">
                  <c:v>299</c:v>
                </c:pt>
                <c:pt idx="21">
                  <c:v>261</c:v>
                </c:pt>
                <c:pt idx="22">
                  <c:v>293</c:v>
                </c:pt>
                <c:pt idx="23">
                  <c:v>281</c:v>
                </c:pt>
                <c:pt idx="24">
                  <c:v>325</c:v>
                </c:pt>
                <c:pt idx="25">
                  <c:v>321</c:v>
                </c:pt>
                <c:pt idx="26">
                  <c:v>391</c:v>
                </c:pt>
                <c:pt idx="27">
                  <c:v>360</c:v>
                </c:pt>
                <c:pt idx="28">
                  <c:v>410</c:v>
                </c:pt>
                <c:pt idx="29">
                  <c:v>380</c:v>
                </c:pt>
                <c:pt idx="30">
                  <c:v>433</c:v>
                </c:pt>
                <c:pt idx="31">
                  <c:v>420</c:v>
                </c:pt>
                <c:pt idx="32">
                  <c:v>423</c:v>
                </c:pt>
                <c:pt idx="33">
                  <c:v>342</c:v>
                </c:pt>
                <c:pt idx="34">
                  <c:v>413</c:v>
                </c:pt>
                <c:pt idx="35">
                  <c:v>433</c:v>
                </c:pt>
                <c:pt idx="36">
                  <c:v>408</c:v>
                </c:pt>
                <c:pt idx="37">
                  <c:v>443</c:v>
                </c:pt>
                <c:pt idx="38">
                  <c:v>445</c:v>
                </c:pt>
                <c:pt idx="39">
                  <c:v>441</c:v>
                </c:pt>
                <c:pt idx="40">
                  <c:v>435</c:v>
                </c:pt>
                <c:pt idx="41">
                  <c:v>404</c:v>
                </c:pt>
                <c:pt idx="42">
                  <c:v>391</c:v>
                </c:pt>
                <c:pt idx="43">
                  <c:v>386</c:v>
                </c:pt>
                <c:pt idx="44">
                  <c:v>360</c:v>
                </c:pt>
                <c:pt idx="45">
                  <c:v>350</c:v>
                </c:pt>
                <c:pt idx="46">
                  <c:v>385</c:v>
                </c:pt>
                <c:pt idx="47">
                  <c:v>408</c:v>
                </c:pt>
              </c:numCache>
            </c:numRef>
          </c:val>
          <c:smooth val="0"/>
        </c:ser>
        <c:ser>
          <c:idx val="2"/>
          <c:order val="2"/>
          <c:tx>
            <c:strRef>
              <c:f>'Sheet4 (4)'!$D$1:$D$3</c:f>
              <c:strCache>
                <c:ptCount val="1"/>
                <c:pt idx="0">
                  <c:v>ERLOTINIB - Tablet 25 mg (as hydrochloride)</c:v>
                </c:pt>
              </c:strCache>
            </c:strRef>
          </c:tx>
          <c:cat>
            <c:strRef>
              <c:f>'Sheet4 (4)'!$A$4:$A$52</c:f>
              <c:strCache>
                <c:ptCount val="48"/>
                <c:pt idx="0">
                  <c:v> 2004Q4</c:v>
                </c:pt>
                <c:pt idx="1">
                  <c:v> 2005Q1</c:v>
                </c:pt>
                <c:pt idx="2">
                  <c:v> 2005Q2</c:v>
                </c:pt>
                <c:pt idx="3">
                  <c:v> 2005Q3</c:v>
                </c:pt>
                <c:pt idx="4">
                  <c:v> 2005Q4</c:v>
                </c:pt>
                <c:pt idx="5">
                  <c:v> 2006Q1</c:v>
                </c:pt>
                <c:pt idx="6">
                  <c:v> 2006Q2</c:v>
                </c:pt>
                <c:pt idx="7">
                  <c:v> 2006Q3</c:v>
                </c:pt>
                <c:pt idx="8">
                  <c:v> 2006Q4</c:v>
                </c:pt>
                <c:pt idx="9">
                  <c:v> 2007Q1</c:v>
                </c:pt>
                <c:pt idx="10">
                  <c:v> 2007Q2</c:v>
                </c:pt>
                <c:pt idx="11">
                  <c:v> 2007Q3</c:v>
                </c:pt>
                <c:pt idx="12">
                  <c:v> 2007Q4</c:v>
                </c:pt>
                <c:pt idx="13">
                  <c:v> 2008Q1</c:v>
                </c:pt>
                <c:pt idx="14">
                  <c:v> 2008Q2</c:v>
                </c:pt>
                <c:pt idx="15">
                  <c:v> 2008Q3</c:v>
                </c:pt>
                <c:pt idx="16">
                  <c:v> 2008Q4</c:v>
                </c:pt>
                <c:pt idx="17">
                  <c:v> 2009Q1</c:v>
                </c:pt>
                <c:pt idx="18">
                  <c:v> 2009Q2</c:v>
                </c:pt>
                <c:pt idx="19">
                  <c:v> 2009Q3</c:v>
                </c:pt>
                <c:pt idx="20">
                  <c:v> 2009Q4</c:v>
                </c:pt>
                <c:pt idx="21">
                  <c:v> 2010Q1</c:v>
                </c:pt>
                <c:pt idx="22">
                  <c:v> 2010Q2</c:v>
                </c:pt>
                <c:pt idx="23">
                  <c:v> 2010Q3</c:v>
                </c:pt>
                <c:pt idx="24">
                  <c:v> 2010Q4</c:v>
                </c:pt>
                <c:pt idx="25">
                  <c:v> 2011Q1</c:v>
                </c:pt>
                <c:pt idx="26">
                  <c:v> 2011Q2</c:v>
                </c:pt>
                <c:pt idx="27">
                  <c:v> 2011Q3</c:v>
                </c:pt>
                <c:pt idx="28">
                  <c:v> 2011Q4</c:v>
                </c:pt>
                <c:pt idx="29">
                  <c:v> 2012Q1</c:v>
                </c:pt>
                <c:pt idx="30">
                  <c:v> 2012Q2</c:v>
                </c:pt>
                <c:pt idx="31">
                  <c:v> 2012Q3</c:v>
                </c:pt>
                <c:pt idx="32">
                  <c:v> 2012Q4</c:v>
                </c:pt>
                <c:pt idx="33">
                  <c:v> 2013Q1</c:v>
                </c:pt>
                <c:pt idx="34">
                  <c:v> 2013Q2</c:v>
                </c:pt>
                <c:pt idx="35">
                  <c:v> 2013Q3</c:v>
                </c:pt>
                <c:pt idx="36">
                  <c:v> 2013Q4</c:v>
                </c:pt>
                <c:pt idx="37">
                  <c:v> 2014Q1</c:v>
                </c:pt>
                <c:pt idx="38">
                  <c:v> 2014Q2</c:v>
                </c:pt>
                <c:pt idx="39">
                  <c:v> 2014Q3</c:v>
                </c:pt>
                <c:pt idx="40">
                  <c:v> 2014Q4</c:v>
                </c:pt>
                <c:pt idx="41">
                  <c:v> 2015Q1</c:v>
                </c:pt>
                <c:pt idx="42">
                  <c:v> 2015Q2</c:v>
                </c:pt>
                <c:pt idx="43">
                  <c:v> 2015Q3</c:v>
                </c:pt>
                <c:pt idx="44">
                  <c:v> 2015Q4</c:v>
                </c:pt>
                <c:pt idx="45">
                  <c:v> 2016Q1</c:v>
                </c:pt>
                <c:pt idx="46">
                  <c:v> 2016Q2</c:v>
                </c:pt>
                <c:pt idx="47">
                  <c:v> 2016Q3</c:v>
                </c:pt>
              </c:strCache>
            </c:strRef>
          </c:cat>
          <c:val>
            <c:numRef>
              <c:f>'Sheet4 (4)'!$D$4:$D$52</c:f>
              <c:numCache>
                <c:formatCode>General</c:formatCode>
                <c:ptCount val="48"/>
                <c:pt idx="15">
                  <c:v>12</c:v>
                </c:pt>
                <c:pt idx="16">
                  <c:v>19</c:v>
                </c:pt>
                <c:pt idx="17">
                  <c:v>23</c:v>
                </c:pt>
                <c:pt idx="18">
                  <c:v>33</c:v>
                </c:pt>
                <c:pt idx="19">
                  <c:v>48</c:v>
                </c:pt>
                <c:pt idx="20">
                  <c:v>52</c:v>
                </c:pt>
                <c:pt idx="21">
                  <c:v>81</c:v>
                </c:pt>
                <c:pt idx="22">
                  <c:v>81</c:v>
                </c:pt>
                <c:pt idx="23">
                  <c:v>86</c:v>
                </c:pt>
                <c:pt idx="24">
                  <c:v>93</c:v>
                </c:pt>
                <c:pt idx="25">
                  <c:v>102</c:v>
                </c:pt>
                <c:pt idx="26">
                  <c:v>117</c:v>
                </c:pt>
                <c:pt idx="27">
                  <c:v>99</c:v>
                </c:pt>
                <c:pt idx="28">
                  <c:v>109</c:v>
                </c:pt>
                <c:pt idx="29">
                  <c:v>85</c:v>
                </c:pt>
                <c:pt idx="30">
                  <c:v>121</c:v>
                </c:pt>
                <c:pt idx="31">
                  <c:v>110</c:v>
                </c:pt>
                <c:pt idx="32">
                  <c:v>114</c:v>
                </c:pt>
                <c:pt idx="33">
                  <c:v>87</c:v>
                </c:pt>
                <c:pt idx="34">
                  <c:v>93</c:v>
                </c:pt>
                <c:pt idx="35">
                  <c:v>87</c:v>
                </c:pt>
                <c:pt idx="36">
                  <c:v>98</c:v>
                </c:pt>
                <c:pt idx="37">
                  <c:v>105</c:v>
                </c:pt>
                <c:pt idx="38">
                  <c:v>114</c:v>
                </c:pt>
                <c:pt idx="39">
                  <c:v>139</c:v>
                </c:pt>
                <c:pt idx="40">
                  <c:v>137</c:v>
                </c:pt>
                <c:pt idx="41">
                  <c:v>106</c:v>
                </c:pt>
                <c:pt idx="42">
                  <c:v>87</c:v>
                </c:pt>
                <c:pt idx="43">
                  <c:v>104</c:v>
                </c:pt>
                <c:pt idx="44">
                  <c:v>109</c:v>
                </c:pt>
                <c:pt idx="45">
                  <c:v>85</c:v>
                </c:pt>
                <c:pt idx="46">
                  <c:v>89</c:v>
                </c:pt>
                <c:pt idx="47">
                  <c:v>113</c:v>
                </c:pt>
              </c:numCache>
            </c:numRef>
          </c:val>
          <c:smooth val="0"/>
        </c:ser>
        <c:ser>
          <c:idx val="3"/>
          <c:order val="3"/>
          <c:tx>
            <c:strRef>
              <c:f>'Sheet4 (4)'!$F$1:$F$3</c:f>
              <c:strCache>
                <c:ptCount val="1"/>
                <c:pt idx="0">
                  <c:v>GEFITINIB - Tablet 250 mg</c:v>
                </c:pt>
              </c:strCache>
            </c:strRef>
          </c:tx>
          <c:cat>
            <c:strRef>
              <c:f>'Sheet4 (4)'!$A$4:$A$52</c:f>
              <c:strCache>
                <c:ptCount val="48"/>
                <c:pt idx="0">
                  <c:v> 2004Q4</c:v>
                </c:pt>
                <c:pt idx="1">
                  <c:v> 2005Q1</c:v>
                </c:pt>
                <c:pt idx="2">
                  <c:v> 2005Q2</c:v>
                </c:pt>
                <c:pt idx="3">
                  <c:v> 2005Q3</c:v>
                </c:pt>
                <c:pt idx="4">
                  <c:v> 2005Q4</c:v>
                </c:pt>
                <c:pt idx="5">
                  <c:v> 2006Q1</c:v>
                </c:pt>
                <c:pt idx="6">
                  <c:v> 2006Q2</c:v>
                </c:pt>
                <c:pt idx="7">
                  <c:v> 2006Q3</c:v>
                </c:pt>
                <c:pt idx="8">
                  <c:v> 2006Q4</c:v>
                </c:pt>
                <c:pt idx="9">
                  <c:v> 2007Q1</c:v>
                </c:pt>
                <c:pt idx="10">
                  <c:v> 2007Q2</c:v>
                </c:pt>
                <c:pt idx="11">
                  <c:v> 2007Q3</c:v>
                </c:pt>
                <c:pt idx="12">
                  <c:v> 2007Q4</c:v>
                </c:pt>
                <c:pt idx="13">
                  <c:v> 2008Q1</c:v>
                </c:pt>
                <c:pt idx="14">
                  <c:v> 2008Q2</c:v>
                </c:pt>
                <c:pt idx="15">
                  <c:v> 2008Q3</c:v>
                </c:pt>
                <c:pt idx="16">
                  <c:v> 2008Q4</c:v>
                </c:pt>
                <c:pt idx="17">
                  <c:v> 2009Q1</c:v>
                </c:pt>
                <c:pt idx="18">
                  <c:v> 2009Q2</c:v>
                </c:pt>
                <c:pt idx="19">
                  <c:v> 2009Q3</c:v>
                </c:pt>
                <c:pt idx="20">
                  <c:v> 2009Q4</c:v>
                </c:pt>
                <c:pt idx="21">
                  <c:v> 2010Q1</c:v>
                </c:pt>
                <c:pt idx="22">
                  <c:v> 2010Q2</c:v>
                </c:pt>
                <c:pt idx="23">
                  <c:v> 2010Q3</c:v>
                </c:pt>
                <c:pt idx="24">
                  <c:v> 2010Q4</c:v>
                </c:pt>
                <c:pt idx="25">
                  <c:v> 2011Q1</c:v>
                </c:pt>
                <c:pt idx="26">
                  <c:v> 2011Q2</c:v>
                </c:pt>
                <c:pt idx="27">
                  <c:v> 2011Q3</c:v>
                </c:pt>
                <c:pt idx="28">
                  <c:v> 2011Q4</c:v>
                </c:pt>
                <c:pt idx="29">
                  <c:v> 2012Q1</c:v>
                </c:pt>
                <c:pt idx="30">
                  <c:v> 2012Q2</c:v>
                </c:pt>
                <c:pt idx="31">
                  <c:v> 2012Q3</c:v>
                </c:pt>
                <c:pt idx="32">
                  <c:v> 2012Q4</c:v>
                </c:pt>
                <c:pt idx="33">
                  <c:v> 2013Q1</c:v>
                </c:pt>
                <c:pt idx="34">
                  <c:v> 2013Q2</c:v>
                </c:pt>
                <c:pt idx="35">
                  <c:v> 2013Q3</c:v>
                </c:pt>
                <c:pt idx="36">
                  <c:v> 2013Q4</c:v>
                </c:pt>
                <c:pt idx="37">
                  <c:v> 2014Q1</c:v>
                </c:pt>
                <c:pt idx="38">
                  <c:v> 2014Q2</c:v>
                </c:pt>
                <c:pt idx="39">
                  <c:v> 2014Q3</c:v>
                </c:pt>
                <c:pt idx="40">
                  <c:v> 2014Q4</c:v>
                </c:pt>
                <c:pt idx="41">
                  <c:v> 2015Q1</c:v>
                </c:pt>
                <c:pt idx="42">
                  <c:v> 2015Q2</c:v>
                </c:pt>
                <c:pt idx="43">
                  <c:v> 2015Q3</c:v>
                </c:pt>
                <c:pt idx="44">
                  <c:v> 2015Q4</c:v>
                </c:pt>
                <c:pt idx="45">
                  <c:v> 2016Q1</c:v>
                </c:pt>
                <c:pt idx="46">
                  <c:v> 2016Q2</c:v>
                </c:pt>
                <c:pt idx="47">
                  <c:v> 2016Q3</c:v>
                </c:pt>
              </c:strCache>
            </c:strRef>
          </c:cat>
          <c:val>
            <c:numRef>
              <c:f>'Sheet4 (4)'!$F$4:$F$52</c:f>
              <c:numCache>
                <c:formatCode>General</c:formatCode>
                <c:ptCount val="48"/>
                <c:pt idx="0">
                  <c:v>1</c:v>
                </c:pt>
                <c:pt idx="1">
                  <c:v>29</c:v>
                </c:pt>
                <c:pt idx="2">
                  <c:v>70</c:v>
                </c:pt>
                <c:pt idx="3">
                  <c:v>77</c:v>
                </c:pt>
                <c:pt idx="4">
                  <c:v>95</c:v>
                </c:pt>
                <c:pt idx="5">
                  <c:v>108</c:v>
                </c:pt>
                <c:pt idx="6">
                  <c:v>118</c:v>
                </c:pt>
                <c:pt idx="7">
                  <c:v>138</c:v>
                </c:pt>
                <c:pt idx="8">
                  <c:v>135</c:v>
                </c:pt>
                <c:pt idx="9">
                  <c:v>134</c:v>
                </c:pt>
                <c:pt idx="10">
                  <c:v>129</c:v>
                </c:pt>
                <c:pt idx="11">
                  <c:v>115</c:v>
                </c:pt>
                <c:pt idx="12">
                  <c:v>120</c:v>
                </c:pt>
                <c:pt idx="13">
                  <c:v>119</c:v>
                </c:pt>
                <c:pt idx="14">
                  <c:v>131</c:v>
                </c:pt>
                <c:pt idx="15">
                  <c:v>112</c:v>
                </c:pt>
                <c:pt idx="16">
                  <c:v>111</c:v>
                </c:pt>
                <c:pt idx="17">
                  <c:v>77</c:v>
                </c:pt>
                <c:pt idx="18">
                  <c:v>75</c:v>
                </c:pt>
                <c:pt idx="19">
                  <c:v>73</c:v>
                </c:pt>
                <c:pt idx="20">
                  <c:v>69</c:v>
                </c:pt>
                <c:pt idx="21">
                  <c:v>71</c:v>
                </c:pt>
                <c:pt idx="22">
                  <c:v>62</c:v>
                </c:pt>
                <c:pt idx="23">
                  <c:v>68</c:v>
                </c:pt>
                <c:pt idx="24">
                  <c:v>88</c:v>
                </c:pt>
                <c:pt idx="25">
                  <c:v>85</c:v>
                </c:pt>
                <c:pt idx="26">
                  <c:v>79</c:v>
                </c:pt>
                <c:pt idx="27">
                  <c:v>89</c:v>
                </c:pt>
                <c:pt idx="28">
                  <c:v>84</c:v>
                </c:pt>
                <c:pt idx="29">
                  <c:v>84</c:v>
                </c:pt>
                <c:pt idx="30">
                  <c:v>83</c:v>
                </c:pt>
                <c:pt idx="31">
                  <c:v>85</c:v>
                </c:pt>
                <c:pt idx="32">
                  <c:v>91</c:v>
                </c:pt>
                <c:pt idx="33">
                  <c:v>113</c:v>
                </c:pt>
                <c:pt idx="34">
                  <c:v>119</c:v>
                </c:pt>
                <c:pt idx="35">
                  <c:v>122</c:v>
                </c:pt>
                <c:pt idx="36">
                  <c:v>122</c:v>
                </c:pt>
                <c:pt idx="37">
                  <c:v>466</c:v>
                </c:pt>
                <c:pt idx="38">
                  <c:v>536</c:v>
                </c:pt>
                <c:pt idx="39">
                  <c:v>501</c:v>
                </c:pt>
                <c:pt idx="40">
                  <c:v>541</c:v>
                </c:pt>
                <c:pt idx="41">
                  <c:v>488</c:v>
                </c:pt>
                <c:pt idx="42">
                  <c:v>541</c:v>
                </c:pt>
                <c:pt idx="43">
                  <c:v>530</c:v>
                </c:pt>
                <c:pt idx="44">
                  <c:v>571</c:v>
                </c:pt>
                <c:pt idx="45">
                  <c:v>501</c:v>
                </c:pt>
                <c:pt idx="46">
                  <c:v>521</c:v>
                </c:pt>
                <c:pt idx="47">
                  <c:v>572</c:v>
                </c:pt>
              </c:numCache>
            </c:numRef>
          </c:val>
          <c:smooth val="0"/>
        </c:ser>
        <c:dLbls>
          <c:showLegendKey val="0"/>
          <c:showVal val="0"/>
          <c:showCatName val="0"/>
          <c:showSerName val="0"/>
          <c:showPercent val="0"/>
          <c:showBubbleSize val="0"/>
        </c:dLbls>
        <c:marker val="1"/>
        <c:smooth val="0"/>
        <c:axId val="239166592"/>
        <c:axId val="239168128"/>
      </c:lineChart>
      <c:catAx>
        <c:axId val="239166592"/>
        <c:scaling>
          <c:orientation val="minMax"/>
        </c:scaling>
        <c:delete val="0"/>
        <c:axPos val="b"/>
        <c:majorTickMark val="none"/>
        <c:minorTickMark val="none"/>
        <c:tickLblPos val="nextTo"/>
        <c:crossAx val="239168128"/>
        <c:crosses val="autoZero"/>
        <c:auto val="1"/>
        <c:lblAlgn val="ctr"/>
        <c:lblOffset val="100"/>
        <c:noMultiLvlLbl val="0"/>
      </c:catAx>
      <c:valAx>
        <c:axId val="239168128"/>
        <c:scaling>
          <c:orientation val="minMax"/>
        </c:scaling>
        <c:delete val="0"/>
        <c:axPos val="l"/>
        <c:majorGridlines/>
        <c:title>
          <c:tx>
            <c:rich>
              <a:bodyPr/>
              <a:lstStyle/>
              <a:p>
                <a:pPr>
                  <a:defRPr b="0"/>
                </a:pPr>
                <a:r>
                  <a:rPr lang="en-US" b="0"/>
                  <a:t>Prescriptions</a:t>
                </a:r>
              </a:p>
            </c:rich>
          </c:tx>
          <c:overlay val="0"/>
        </c:title>
        <c:numFmt formatCode="#,##0" sourceLinked="0"/>
        <c:majorTickMark val="none"/>
        <c:minorTickMark val="none"/>
        <c:tickLblPos val="nextTo"/>
        <c:crossAx val="239166592"/>
        <c:crosses val="autoZero"/>
        <c:crossBetween val="between"/>
      </c:valAx>
    </c:plotArea>
    <c:legend>
      <c:legendPos val="r"/>
      <c:layout>
        <c:manualLayout>
          <c:xMode val="edge"/>
          <c:yMode val="edge"/>
          <c:x val="0.74928358828700914"/>
          <c:y val="0.11546358738650492"/>
          <c:w val="0.23731898422823305"/>
          <c:h val="0.78447693910928828"/>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[D985_PATCNTBY_DRUG_N_SUPP_Q_SUM.xlsx]Sheet1!PivotTable2</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pivotFmt>
      <c:pivotFmt>
        <c:idx val="14"/>
        <c:marker>
          <c:symbol val="none"/>
        </c:marker>
      </c:pivotFmt>
      <c:pivotFmt>
        <c:idx val="15"/>
        <c:marker>
          <c:symbol val="none"/>
        </c:marker>
      </c:pivotFmt>
      <c:pivotFmt>
        <c:idx val="16"/>
      </c:pivotFmt>
      <c:pivotFmt>
        <c:idx val="17"/>
        <c:marker>
          <c:symbol val="none"/>
        </c:marker>
      </c:pivotFmt>
      <c:pivotFmt>
        <c:idx val="18"/>
      </c:pivotFmt>
      <c:pivotFmt>
        <c:idx val="19"/>
        <c:marker>
          <c:symbol val="none"/>
        </c:marker>
      </c:pivotFmt>
      <c:pivotFmt>
        <c:idx val="20"/>
      </c:pivotFmt>
      <c:pivotFmt>
        <c:idx val="21"/>
      </c:pivotFmt>
      <c:pivotFmt>
        <c:idx val="22"/>
      </c:pivotFmt>
      <c:pivotFmt>
        <c:idx val="23"/>
      </c:pivotFmt>
    </c:pivotFmts>
    <c:plotArea>
      <c:layout>
        <c:manualLayout>
          <c:layoutTarget val="inner"/>
          <c:xMode val="edge"/>
          <c:yMode val="edge"/>
          <c:x val="0.1278572426967339"/>
          <c:y val="2.7729362371797982E-2"/>
          <c:w val="0.63470603756335997"/>
          <c:h val="0.80051631123111666"/>
        </c:manualLayout>
      </c:layout>
      <c:lineChart>
        <c:grouping val="standard"/>
        <c:varyColors val="0"/>
        <c:ser>
          <c:idx val="0"/>
          <c:order val="0"/>
          <c:tx>
            <c:strRef>
              <c:f>Sheet1!$B$1:$B$2</c:f>
              <c:strCache>
                <c:ptCount val="1"/>
                <c:pt idx="0">
                  <c:v>Prevalent TKI patients</c:v>
                </c:pt>
              </c:strCache>
            </c:strRef>
          </c:tx>
          <c:cat>
            <c:strRef>
              <c:f>Sheet1!$A$3:$A$51</c:f>
              <c:strCache>
                <c:ptCount val="48"/>
                <c:pt idx="0">
                  <c:v> 2004Q4</c:v>
                </c:pt>
                <c:pt idx="1">
                  <c:v> 2005Q1</c:v>
                </c:pt>
                <c:pt idx="2">
                  <c:v> 2005Q2</c:v>
                </c:pt>
                <c:pt idx="3">
                  <c:v> 2005Q3</c:v>
                </c:pt>
                <c:pt idx="4">
                  <c:v> 2005Q4</c:v>
                </c:pt>
                <c:pt idx="5">
                  <c:v> 2006Q1</c:v>
                </c:pt>
                <c:pt idx="6">
                  <c:v> 2006Q2</c:v>
                </c:pt>
                <c:pt idx="7">
                  <c:v> 2006Q3</c:v>
                </c:pt>
                <c:pt idx="8">
                  <c:v> 2006Q4</c:v>
                </c:pt>
                <c:pt idx="9">
                  <c:v> 2007Q1</c:v>
                </c:pt>
                <c:pt idx="10">
                  <c:v> 2007Q2</c:v>
                </c:pt>
                <c:pt idx="11">
                  <c:v> 2007Q3</c:v>
                </c:pt>
                <c:pt idx="12">
                  <c:v> 2007Q4</c:v>
                </c:pt>
                <c:pt idx="13">
                  <c:v> 2008Q1</c:v>
                </c:pt>
                <c:pt idx="14">
                  <c:v> 2008Q2</c:v>
                </c:pt>
                <c:pt idx="15">
                  <c:v> 2008Q3</c:v>
                </c:pt>
                <c:pt idx="16">
                  <c:v> 2008Q4</c:v>
                </c:pt>
                <c:pt idx="17">
                  <c:v> 2009Q1</c:v>
                </c:pt>
                <c:pt idx="18">
                  <c:v> 2009Q2</c:v>
                </c:pt>
                <c:pt idx="19">
                  <c:v> 2009Q3</c:v>
                </c:pt>
                <c:pt idx="20">
                  <c:v> 2009Q4</c:v>
                </c:pt>
                <c:pt idx="21">
                  <c:v> 2010Q1</c:v>
                </c:pt>
                <c:pt idx="22">
                  <c:v> 2010Q2</c:v>
                </c:pt>
                <c:pt idx="23">
                  <c:v> 2010Q3</c:v>
                </c:pt>
                <c:pt idx="24">
                  <c:v> 2010Q4</c:v>
                </c:pt>
                <c:pt idx="25">
                  <c:v> 2011Q1</c:v>
                </c:pt>
                <c:pt idx="26">
                  <c:v> 2011Q2</c:v>
                </c:pt>
                <c:pt idx="27">
                  <c:v> 2011Q3</c:v>
                </c:pt>
                <c:pt idx="28">
                  <c:v> 2011Q4</c:v>
                </c:pt>
                <c:pt idx="29">
                  <c:v> 2012Q1</c:v>
                </c:pt>
                <c:pt idx="30">
                  <c:v> 2012Q2</c:v>
                </c:pt>
                <c:pt idx="31">
                  <c:v> 2012Q3</c:v>
                </c:pt>
                <c:pt idx="32">
                  <c:v> 2012Q4</c:v>
                </c:pt>
                <c:pt idx="33">
                  <c:v> 2013Q1</c:v>
                </c:pt>
                <c:pt idx="34">
                  <c:v> 2013Q2</c:v>
                </c:pt>
                <c:pt idx="35">
                  <c:v> 2013Q3</c:v>
                </c:pt>
                <c:pt idx="36">
                  <c:v> 2013Q4</c:v>
                </c:pt>
                <c:pt idx="37">
                  <c:v> 2014Q1</c:v>
                </c:pt>
                <c:pt idx="38">
                  <c:v> 2014Q2</c:v>
                </c:pt>
                <c:pt idx="39">
                  <c:v> 2014Q3</c:v>
                </c:pt>
                <c:pt idx="40">
                  <c:v> 2014Q4</c:v>
                </c:pt>
                <c:pt idx="41">
                  <c:v> 2015Q1</c:v>
                </c:pt>
                <c:pt idx="42">
                  <c:v> 2015Q2</c:v>
                </c:pt>
                <c:pt idx="43">
                  <c:v> 2015Q3</c:v>
                </c:pt>
                <c:pt idx="44">
                  <c:v> 2015Q4</c:v>
                </c:pt>
                <c:pt idx="45">
                  <c:v> 2016Q1</c:v>
                </c:pt>
                <c:pt idx="46">
                  <c:v> 2016Q2</c:v>
                </c:pt>
                <c:pt idx="47">
                  <c:v> 2016Q3</c:v>
                </c:pt>
              </c:strCache>
            </c:strRef>
          </c:cat>
          <c:val>
            <c:numRef>
              <c:f>Sheet1!$B$3:$B$51</c:f>
              <c:numCache>
                <c:formatCode>General</c:formatCode>
                <c:ptCount val="48"/>
                <c:pt idx="0">
                  <c:v>1</c:v>
                </c:pt>
                <c:pt idx="1">
                  <c:v>16</c:v>
                </c:pt>
                <c:pt idx="2">
                  <c:v>32</c:v>
                </c:pt>
                <c:pt idx="3">
                  <c:v>34</c:v>
                </c:pt>
                <c:pt idx="4">
                  <c:v>38</c:v>
                </c:pt>
                <c:pt idx="5">
                  <c:v>42</c:v>
                </c:pt>
                <c:pt idx="6">
                  <c:v>47</c:v>
                </c:pt>
                <c:pt idx="7">
                  <c:v>55</c:v>
                </c:pt>
                <c:pt idx="8">
                  <c:v>52</c:v>
                </c:pt>
                <c:pt idx="9">
                  <c:v>52</c:v>
                </c:pt>
                <c:pt idx="10">
                  <c:v>51</c:v>
                </c:pt>
                <c:pt idx="11">
                  <c:v>52</c:v>
                </c:pt>
                <c:pt idx="12">
                  <c:v>50</c:v>
                </c:pt>
                <c:pt idx="13">
                  <c:v>47</c:v>
                </c:pt>
                <c:pt idx="14">
                  <c:v>49</c:v>
                </c:pt>
                <c:pt idx="15">
                  <c:v>387</c:v>
                </c:pt>
                <c:pt idx="16">
                  <c:v>546</c:v>
                </c:pt>
                <c:pt idx="17">
                  <c:v>539</c:v>
                </c:pt>
                <c:pt idx="18">
                  <c:v>555</c:v>
                </c:pt>
                <c:pt idx="19">
                  <c:v>572</c:v>
                </c:pt>
                <c:pt idx="20">
                  <c:v>641</c:v>
                </c:pt>
                <c:pt idx="21">
                  <c:v>661</c:v>
                </c:pt>
                <c:pt idx="22">
                  <c:v>655</c:v>
                </c:pt>
                <c:pt idx="23">
                  <c:v>703</c:v>
                </c:pt>
                <c:pt idx="24">
                  <c:v>715</c:v>
                </c:pt>
                <c:pt idx="25">
                  <c:v>736</c:v>
                </c:pt>
                <c:pt idx="26">
                  <c:v>797</c:v>
                </c:pt>
                <c:pt idx="27">
                  <c:v>784</c:v>
                </c:pt>
                <c:pt idx="28">
                  <c:v>768</c:v>
                </c:pt>
                <c:pt idx="29">
                  <c:v>742</c:v>
                </c:pt>
                <c:pt idx="30">
                  <c:v>743</c:v>
                </c:pt>
                <c:pt idx="31">
                  <c:v>741</c:v>
                </c:pt>
                <c:pt idx="32">
                  <c:v>713</c:v>
                </c:pt>
                <c:pt idx="33">
                  <c:v>665</c:v>
                </c:pt>
                <c:pt idx="34">
                  <c:v>673</c:v>
                </c:pt>
                <c:pt idx="35">
                  <c:v>675</c:v>
                </c:pt>
                <c:pt idx="36">
                  <c:v>624</c:v>
                </c:pt>
                <c:pt idx="37">
                  <c:v>875</c:v>
                </c:pt>
                <c:pt idx="38">
                  <c:v>847</c:v>
                </c:pt>
                <c:pt idx="39">
                  <c:v>811</c:v>
                </c:pt>
                <c:pt idx="40">
                  <c:v>759</c:v>
                </c:pt>
                <c:pt idx="41">
                  <c:v>688</c:v>
                </c:pt>
                <c:pt idx="42">
                  <c:v>703</c:v>
                </c:pt>
                <c:pt idx="43">
                  <c:v>723</c:v>
                </c:pt>
                <c:pt idx="44">
                  <c:v>701</c:v>
                </c:pt>
                <c:pt idx="45">
                  <c:v>702</c:v>
                </c:pt>
                <c:pt idx="46">
                  <c:v>727</c:v>
                </c:pt>
                <c:pt idx="47">
                  <c:v>757</c:v>
                </c:pt>
              </c:numCache>
            </c:numRef>
          </c:val>
          <c:smooth val="0"/>
        </c:ser>
        <c:ser>
          <c:idx val="1"/>
          <c:order val="1"/>
          <c:tx>
            <c:strRef>
              <c:f>Sheet1!$C$1:$C$2</c:f>
              <c:strCache>
                <c:ptCount val="1"/>
                <c:pt idx="0">
                  <c:v>Initiating TKI patients - no prior TKI script since Dec 2004</c:v>
                </c:pt>
              </c:strCache>
            </c:strRef>
          </c:tx>
          <c:cat>
            <c:strRef>
              <c:f>Sheet1!$A$3:$A$51</c:f>
              <c:strCache>
                <c:ptCount val="48"/>
                <c:pt idx="0">
                  <c:v> 2004Q4</c:v>
                </c:pt>
                <c:pt idx="1">
                  <c:v> 2005Q1</c:v>
                </c:pt>
                <c:pt idx="2">
                  <c:v> 2005Q2</c:v>
                </c:pt>
                <c:pt idx="3">
                  <c:v> 2005Q3</c:v>
                </c:pt>
                <c:pt idx="4">
                  <c:v> 2005Q4</c:v>
                </c:pt>
                <c:pt idx="5">
                  <c:v> 2006Q1</c:v>
                </c:pt>
                <c:pt idx="6">
                  <c:v> 2006Q2</c:v>
                </c:pt>
                <c:pt idx="7">
                  <c:v> 2006Q3</c:v>
                </c:pt>
                <c:pt idx="8">
                  <c:v> 2006Q4</c:v>
                </c:pt>
                <c:pt idx="9">
                  <c:v> 2007Q1</c:v>
                </c:pt>
                <c:pt idx="10">
                  <c:v> 2007Q2</c:v>
                </c:pt>
                <c:pt idx="11">
                  <c:v> 2007Q3</c:v>
                </c:pt>
                <c:pt idx="12">
                  <c:v> 2007Q4</c:v>
                </c:pt>
                <c:pt idx="13">
                  <c:v> 2008Q1</c:v>
                </c:pt>
                <c:pt idx="14">
                  <c:v> 2008Q2</c:v>
                </c:pt>
                <c:pt idx="15">
                  <c:v> 2008Q3</c:v>
                </c:pt>
                <c:pt idx="16">
                  <c:v> 2008Q4</c:v>
                </c:pt>
                <c:pt idx="17">
                  <c:v> 2009Q1</c:v>
                </c:pt>
                <c:pt idx="18">
                  <c:v> 2009Q2</c:v>
                </c:pt>
                <c:pt idx="19">
                  <c:v> 2009Q3</c:v>
                </c:pt>
                <c:pt idx="20">
                  <c:v> 2009Q4</c:v>
                </c:pt>
                <c:pt idx="21">
                  <c:v> 2010Q1</c:v>
                </c:pt>
                <c:pt idx="22">
                  <c:v> 2010Q2</c:v>
                </c:pt>
                <c:pt idx="23">
                  <c:v> 2010Q3</c:v>
                </c:pt>
                <c:pt idx="24">
                  <c:v> 2010Q4</c:v>
                </c:pt>
                <c:pt idx="25">
                  <c:v> 2011Q1</c:v>
                </c:pt>
                <c:pt idx="26">
                  <c:v> 2011Q2</c:v>
                </c:pt>
                <c:pt idx="27">
                  <c:v> 2011Q3</c:v>
                </c:pt>
                <c:pt idx="28">
                  <c:v> 2011Q4</c:v>
                </c:pt>
                <c:pt idx="29">
                  <c:v> 2012Q1</c:v>
                </c:pt>
                <c:pt idx="30">
                  <c:v> 2012Q2</c:v>
                </c:pt>
                <c:pt idx="31">
                  <c:v> 2012Q3</c:v>
                </c:pt>
                <c:pt idx="32">
                  <c:v> 2012Q4</c:v>
                </c:pt>
                <c:pt idx="33">
                  <c:v> 2013Q1</c:v>
                </c:pt>
                <c:pt idx="34">
                  <c:v> 2013Q2</c:v>
                </c:pt>
                <c:pt idx="35">
                  <c:v> 2013Q3</c:v>
                </c:pt>
                <c:pt idx="36">
                  <c:v> 2013Q4</c:v>
                </c:pt>
                <c:pt idx="37">
                  <c:v> 2014Q1</c:v>
                </c:pt>
                <c:pt idx="38">
                  <c:v> 2014Q2</c:v>
                </c:pt>
                <c:pt idx="39">
                  <c:v> 2014Q3</c:v>
                </c:pt>
                <c:pt idx="40">
                  <c:v> 2014Q4</c:v>
                </c:pt>
                <c:pt idx="41">
                  <c:v> 2015Q1</c:v>
                </c:pt>
                <c:pt idx="42">
                  <c:v> 2015Q2</c:v>
                </c:pt>
                <c:pt idx="43">
                  <c:v> 2015Q3</c:v>
                </c:pt>
                <c:pt idx="44">
                  <c:v> 2015Q4</c:v>
                </c:pt>
                <c:pt idx="45">
                  <c:v> 2016Q1</c:v>
                </c:pt>
                <c:pt idx="46">
                  <c:v> 2016Q2</c:v>
                </c:pt>
                <c:pt idx="47">
                  <c:v> 2016Q3</c:v>
                </c:pt>
              </c:strCache>
            </c:strRef>
          </c:cat>
          <c:val>
            <c:numRef>
              <c:f>Sheet1!$C$3:$C$51</c:f>
              <c:numCache>
                <c:formatCode>General</c:formatCode>
                <c:ptCount val="48"/>
                <c:pt idx="0">
                  <c:v>1</c:v>
                </c:pt>
                <c:pt idx="1">
                  <c:v>16</c:v>
                </c:pt>
                <c:pt idx="2">
                  <c:v>19</c:v>
                </c:pt>
                <c:pt idx="3">
                  <c:v>10</c:v>
                </c:pt>
                <c:pt idx="4">
                  <c:v>14</c:v>
                </c:pt>
                <c:pt idx="5">
                  <c:v>14</c:v>
                </c:pt>
                <c:pt idx="6">
                  <c:v>12</c:v>
                </c:pt>
                <c:pt idx="7">
                  <c:v>17</c:v>
                </c:pt>
                <c:pt idx="8">
                  <c:v>7</c:v>
                </c:pt>
                <c:pt idx="9">
                  <c:v>13</c:v>
                </c:pt>
                <c:pt idx="10">
                  <c:v>6</c:v>
                </c:pt>
                <c:pt idx="11">
                  <c:v>13</c:v>
                </c:pt>
                <c:pt idx="12">
                  <c:v>12</c:v>
                </c:pt>
                <c:pt idx="13">
                  <c:v>7</c:v>
                </c:pt>
                <c:pt idx="14">
                  <c:v>7</c:v>
                </c:pt>
                <c:pt idx="15">
                  <c:v>345</c:v>
                </c:pt>
                <c:pt idx="16">
                  <c:v>291</c:v>
                </c:pt>
                <c:pt idx="17">
                  <c:v>248</c:v>
                </c:pt>
                <c:pt idx="18">
                  <c:v>254</c:v>
                </c:pt>
                <c:pt idx="19">
                  <c:v>239</c:v>
                </c:pt>
                <c:pt idx="20">
                  <c:v>298</c:v>
                </c:pt>
                <c:pt idx="21">
                  <c:v>282</c:v>
                </c:pt>
                <c:pt idx="22">
                  <c:v>259</c:v>
                </c:pt>
                <c:pt idx="23">
                  <c:v>309</c:v>
                </c:pt>
                <c:pt idx="24">
                  <c:v>277</c:v>
                </c:pt>
                <c:pt idx="25">
                  <c:v>337</c:v>
                </c:pt>
                <c:pt idx="26">
                  <c:v>349</c:v>
                </c:pt>
                <c:pt idx="27">
                  <c:v>306</c:v>
                </c:pt>
                <c:pt idx="28">
                  <c:v>283</c:v>
                </c:pt>
                <c:pt idx="29">
                  <c:v>310</c:v>
                </c:pt>
                <c:pt idx="30">
                  <c:v>275</c:v>
                </c:pt>
                <c:pt idx="31">
                  <c:v>269</c:v>
                </c:pt>
                <c:pt idx="32">
                  <c:v>233</c:v>
                </c:pt>
                <c:pt idx="33">
                  <c:v>239</c:v>
                </c:pt>
                <c:pt idx="34">
                  <c:v>223</c:v>
                </c:pt>
                <c:pt idx="35">
                  <c:v>224</c:v>
                </c:pt>
                <c:pt idx="36">
                  <c:v>194</c:v>
                </c:pt>
                <c:pt idx="37">
                  <c:v>441</c:v>
                </c:pt>
                <c:pt idx="38">
                  <c:v>184</c:v>
                </c:pt>
                <c:pt idx="39">
                  <c:v>151</c:v>
                </c:pt>
                <c:pt idx="40">
                  <c:v>132</c:v>
                </c:pt>
                <c:pt idx="41">
                  <c:v>93</c:v>
                </c:pt>
                <c:pt idx="42">
                  <c:v>121</c:v>
                </c:pt>
                <c:pt idx="43">
                  <c:v>143</c:v>
                </c:pt>
                <c:pt idx="44">
                  <c:v>115</c:v>
                </c:pt>
                <c:pt idx="45">
                  <c:v>135</c:v>
                </c:pt>
                <c:pt idx="46">
                  <c:v>137</c:v>
                </c:pt>
                <c:pt idx="47">
                  <c:v>154</c:v>
                </c:pt>
              </c:numCache>
            </c:numRef>
          </c:val>
          <c:smooth val="0"/>
        </c:ser>
        <c:dLbls>
          <c:showLegendKey val="0"/>
          <c:showVal val="0"/>
          <c:showCatName val="0"/>
          <c:showSerName val="0"/>
          <c:showPercent val="0"/>
          <c:showBubbleSize val="0"/>
        </c:dLbls>
        <c:marker val="1"/>
        <c:smooth val="0"/>
        <c:axId val="239202688"/>
        <c:axId val="239204224"/>
      </c:lineChart>
      <c:catAx>
        <c:axId val="239202688"/>
        <c:scaling>
          <c:orientation val="minMax"/>
        </c:scaling>
        <c:delete val="0"/>
        <c:axPos val="b"/>
        <c:majorTickMark val="none"/>
        <c:minorTickMark val="none"/>
        <c:tickLblPos val="nextTo"/>
        <c:crossAx val="239204224"/>
        <c:crosses val="autoZero"/>
        <c:auto val="1"/>
        <c:lblAlgn val="ctr"/>
        <c:lblOffset val="100"/>
        <c:noMultiLvlLbl val="0"/>
      </c:catAx>
      <c:valAx>
        <c:axId val="239204224"/>
        <c:scaling>
          <c:orientation val="minMax"/>
        </c:scaling>
        <c:delete val="0"/>
        <c:axPos val="l"/>
        <c:majorGridlines/>
        <c:title>
          <c:tx>
            <c:rich>
              <a:bodyPr/>
              <a:lstStyle/>
              <a:p>
                <a:pPr>
                  <a:defRPr b="0"/>
                </a:pPr>
                <a:r>
                  <a:rPr lang="en-US" b="0"/>
                  <a:t>Patients</a:t>
                </a:r>
              </a:p>
            </c:rich>
          </c:tx>
          <c:overlay val="0"/>
        </c:title>
        <c:numFmt formatCode="General" sourceLinked="1"/>
        <c:majorTickMark val="none"/>
        <c:minorTickMark val="none"/>
        <c:tickLblPos val="nextTo"/>
        <c:crossAx val="239202688"/>
        <c:crosses val="autoZero"/>
        <c:crossBetween val="between"/>
      </c:valAx>
    </c:plotArea>
    <c:legend>
      <c:legendPos val="r"/>
      <c:layout>
        <c:manualLayout>
          <c:xMode val="edge"/>
          <c:yMode val="edge"/>
          <c:x val="0.77163325815789374"/>
          <c:y val="0.22868096567510043"/>
          <c:w val="0.21062714164802507"/>
          <c:h val="0.33970960727828609"/>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[D985_PATCNTBY_DRUG_N_SUPP_Q_SUM.xlsx]Sheet1 (2)!PivotTable2</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pivotFmt>
      <c:pivotFmt>
        <c:idx val="26"/>
      </c:pivotFmt>
      <c:pivotFmt>
        <c:idx val="27"/>
      </c:pivotFmt>
      <c:pivotFmt>
        <c:idx val="28"/>
      </c:pivotFmt>
      <c:pivotFmt>
        <c:idx val="29"/>
      </c:pivotFmt>
      <c:pivotFmt>
        <c:idx val="30"/>
      </c:pivotFmt>
      <c:pivotFmt>
        <c:idx val="31"/>
      </c:pivotFmt>
      <c:pivotFmt>
        <c:idx val="32"/>
      </c:pivotFmt>
    </c:pivotFmts>
    <c:plotArea>
      <c:layout>
        <c:manualLayout>
          <c:layoutTarget val="inner"/>
          <c:xMode val="edge"/>
          <c:yMode val="edge"/>
          <c:x val="0.11652165566566035"/>
          <c:y val="3.799812545240034E-2"/>
          <c:w val="0.61337291316129994"/>
          <c:h val="0.80050674228096552"/>
        </c:manualLayout>
      </c:layout>
      <c:lineChart>
        <c:grouping val="standard"/>
        <c:varyColors val="0"/>
        <c:ser>
          <c:idx val="0"/>
          <c:order val="0"/>
          <c:tx>
            <c:strRef>
              <c:f>'Sheet1 (2)'!$B$1:$B$3</c:f>
              <c:strCache>
                <c:ptCount val="1"/>
                <c:pt idx="0">
                  <c:v>prevalent patients - ERLOTINIB</c:v>
                </c:pt>
              </c:strCache>
            </c:strRef>
          </c:tx>
          <c:cat>
            <c:strRef>
              <c:f>'Sheet1 (2)'!$A$4:$A$52</c:f>
              <c:strCache>
                <c:ptCount val="48"/>
                <c:pt idx="0">
                  <c:v> 2004Q4</c:v>
                </c:pt>
                <c:pt idx="1">
                  <c:v> 2005Q1</c:v>
                </c:pt>
                <c:pt idx="2">
                  <c:v> 2005Q2</c:v>
                </c:pt>
                <c:pt idx="3">
                  <c:v> 2005Q3</c:v>
                </c:pt>
                <c:pt idx="4">
                  <c:v> 2005Q4</c:v>
                </c:pt>
                <c:pt idx="5">
                  <c:v> 2006Q1</c:v>
                </c:pt>
                <c:pt idx="6">
                  <c:v> 2006Q2</c:v>
                </c:pt>
                <c:pt idx="7">
                  <c:v> 2006Q3</c:v>
                </c:pt>
                <c:pt idx="8">
                  <c:v> 2006Q4</c:v>
                </c:pt>
                <c:pt idx="9">
                  <c:v> 2007Q1</c:v>
                </c:pt>
                <c:pt idx="10">
                  <c:v> 2007Q2</c:v>
                </c:pt>
                <c:pt idx="11">
                  <c:v> 2007Q3</c:v>
                </c:pt>
                <c:pt idx="12">
                  <c:v> 2007Q4</c:v>
                </c:pt>
                <c:pt idx="13">
                  <c:v> 2008Q1</c:v>
                </c:pt>
                <c:pt idx="14">
                  <c:v> 2008Q2</c:v>
                </c:pt>
                <c:pt idx="15">
                  <c:v> 2008Q3</c:v>
                </c:pt>
                <c:pt idx="16">
                  <c:v> 2008Q4</c:v>
                </c:pt>
                <c:pt idx="17">
                  <c:v> 2009Q1</c:v>
                </c:pt>
                <c:pt idx="18">
                  <c:v> 2009Q2</c:v>
                </c:pt>
                <c:pt idx="19">
                  <c:v> 2009Q3</c:v>
                </c:pt>
                <c:pt idx="20">
                  <c:v> 2009Q4</c:v>
                </c:pt>
                <c:pt idx="21">
                  <c:v> 2010Q1</c:v>
                </c:pt>
                <c:pt idx="22">
                  <c:v> 2010Q2</c:v>
                </c:pt>
                <c:pt idx="23">
                  <c:v> 2010Q3</c:v>
                </c:pt>
                <c:pt idx="24">
                  <c:v> 2010Q4</c:v>
                </c:pt>
                <c:pt idx="25">
                  <c:v> 2011Q1</c:v>
                </c:pt>
                <c:pt idx="26">
                  <c:v> 2011Q2</c:v>
                </c:pt>
                <c:pt idx="27">
                  <c:v> 2011Q3</c:v>
                </c:pt>
                <c:pt idx="28">
                  <c:v> 2011Q4</c:v>
                </c:pt>
                <c:pt idx="29">
                  <c:v> 2012Q1</c:v>
                </c:pt>
                <c:pt idx="30">
                  <c:v> 2012Q2</c:v>
                </c:pt>
                <c:pt idx="31">
                  <c:v> 2012Q3</c:v>
                </c:pt>
                <c:pt idx="32">
                  <c:v> 2012Q4</c:v>
                </c:pt>
                <c:pt idx="33">
                  <c:v> 2013Q1</c:v>
                </c:pt>
                <c:pt idx="34">
                  <c:v> 2013Q2</c:v>
                </c:pt>
                <c:pt idx="35">
                  <c:v> 2013Q3</c:v>
                </c:pt>
                <c:pt idx="36">
                  <c:v> 2013Q4</c:v>
                </c:pt>
                <c:pt idx="37">
                  <c:v> 2014Q1</c:v>
                </c:pt>
                <c:pt idx="38">
                  <c:v> 2014Q2</c:v>
                </c:pt>
                <c:pt idx="39">
                  <c:v> 2014Q3</c:v>
                </c:pt>
                <c:pt idx="40">
                  <c:v> 2014Q4</c:v>
                </c:pt>
                <c:pt idx="41">
                  <c:v> 2015Q1</c:v>
                </c:pt>
                <c:pt idx="42">
                  <c:v> 2015Q2</c:v>
                </c:pt>
                <c:pt idx="43">
                  <c:v> 2015Q3</c:v>
                </c:pt>
                <c:pt idx="44">
                  <c:v> 2015Q4</c:v>
                </c:pt>
                <c:pt idx="45">
                  <c:v> 2016Q1</c:v>
                </c:pt>
                <c:pt idx="46">
                  <c:v> 2016Q2</c:v>
                </c:pt>
                <c:pt idx="47">
                  <c:v> 2016Q3</c:v>
                </c:pt>
              </c:strCache>
            </c:strRef>
          </c:cat>
          <c:val>
            <c:numRef>
              <c:f>'Sheet1 (2)'!$B$4:$B$52</c:f>
              <c:numCache>
                <c:formatCode>General</c:formatCode>
                <c:ptCount val="48"/>
                <c:pt idx="15">
                  <c:v>347</c:v>
                </c:pt>
                <c:pt idx="16">
                  <c:v>505</c:v>
                </c:pt>
                <c:pt idx="17">
                  <c:v>510</c:v>
                </c:pt>
                <c:pt idx="18">
                  <c:v>531</c:v>
                </c:pt>
                <c:pt idx="19">
                  <c:v>548</c:v>
                </c:pt>
                <c:pt idx="20">
                  <c:v>616</c:v>
                </c:pt>
                <c:pt idx="21">
                  <c:v>637</c:v>
                </c:pt>
                <c:pt idx="22">
                  <c:v>630</c:v>
                </c:pt>
                <c:pt idx="23">
                  <c:v>679</c:v>
                </c:pt>
                <c:pt idx="24">
                  <c:v>680</c:v>
                </c:pt>
                <c:pt idx="25">
                  <c:v>705</c:v>
                </c:pt>
                <c:pt idx="26">
                  <c:v>764</c:v>
                </c:pt>
                <c:pt idx="27">
                  <c:v>752</c:v>
                </c:pt>
                <c:pt idx="28">
                  <c:v>735</c:v>
                </c:pt>
                <c:pt idx="29">
                  <c:v>712</c:v>
                </c:pt>
                <c:pt idx="30">
                  <c:v>713</c:v>
                </c:pt>
                <c:pt idx="31">
                  <c:v>710</c:v>
                </c:pt>
                <c:pt idx="32">
                  <c:v>675</c:v>
                </c:pt>
                <c:pt idx="33">
                  <c:v>616</c:v>
                </c:pt>
                <c:pt idx="34">
                  <c:v>630</c:v>
                </c:pt>
                <c:pt idx="35">
                  <c:v>630</c:v>
                </c:pt>
                <c:pt idx="36">
                  <c:v>584</c:v>
                </c:pt>
                <c:pt idx="37">
                  <c:v>688</c:v>
                </c:pt>
                <c:pt idx="38">
                  <c:v>648</c:v>
                </c:pt>
                <c:pt idx="39">
                  <c:v>625</c:v>
                </c:pt>
                <c:pt idx="40">
                  <c:v>564</c:v>
                </c:pt>
                <c:pt idx="41">
                  <c:v>503</c:v>
                </c:pt>
                <c:pt idx="42">
                  <c:v>506</c:v>
                </c:pt>
                <c:pt idx="43">
                  <c:v>516</c:v>
                </c:pt>
                <c:pt idx="44">
                  <c:v>497</c:v>
                </c:pt>
                <c:pt idx="45">
                  <c:v>508</c:v>
                </c:pt>
                <c:pt idx="46">
                  <c:v>516</c:v>
                </c:pt>
                <c:pt idx="47">
                  <c:v>546</c:v>
                </c:pt>
              </c:numCache>
            </c:numRef>
          </c:val>
          <c:smooth val="0"/>
        </c:ser>
        <c:ser>
          <c:idx val="1"/>
          <c:order val="1"/>
          <c:tx>
            <c:strRef>
              <c:f>'Sheet1 (2)'!$C$1:$C$3</c:f>
              <c:strCache>
                <c:ptCount val="1"/>
                <c:pt idx="0">
                  <c:v>prevalent patients - GEFITINIB</c:v>
                </c:pt>
              </c:strCache>
            </c:strRef>
          </c:tx>
          <c:cat>
            <c:strRef>
              <c:f>'Sheet1 (2)'!$A$4:$A$52</c:f>
              <c:strCache>
                <c:ptCount val="48"/>
                <c:pt idx="0">
                  <c:v> 2004Q4</c:v>
                </c:pt>
                <c:pt idx="1">
                  <c:v> 2005Q1</c:v>
                </c:pt>
                <c:pt idx="2">
                  <c:v> 2005Q2</c:v>
                </c:pt>
                <c:pt idx="3">
                  <c:v> 2005Q3</c:v>
                </c:pt>
                <c:pt idx="4">
                  <c:v> 2005Q4</c:v>
                </c:pt>
                <c:pt idx="5">
                  <c:v> 2006Q1</c:v>
                </c:pt>
                <c:pt idx="6">
                  <c:v> 2006Q2</c:v>
                </c:pt>
                <c:pt idx="7">
                  <c:v> 2006Q3</c:v>
                </c:pt>
                <c:pt idx="8">
                  <c:v> 2006Q4</c:v>
                </c:pt>
                <c:pt idx="9">
                  <c:v> 2007Q1</c:v>
                </c:pt>
                <c:pt idx="10">
                  <c:v> 2007Q2</c:v>
                </c:pt>
                <c:pt idx="11">
                  <c:v> 2007Q3</c:v>
                </c:pt>
                <c:pt idx="12">
                  <c:v> 2007Q4</c:v>
                </c:pt>
                <c:pt idx="13">
                  <c:v> 2008Q1</c:v>
                </c:pt>
                <c:pt idx="14">
                  <c:v> 2008Q2</c:v>
                </c:pt>
                <c:pt idx="15">
                  <c:v> 2008Q3</c:v>
                </c:pt>
                <c:pt idx="16">
                  <c:v> 2008Q4</c:v>
                </c:pt>
                <c:pt idx="17">
                  <c:v> 2009Q1</c:v>
                </c:pt>
                <c:pt idx="18">
                  <c:v> 2009Q2</c:v>
                </c:pt>
                <c:pt idx="19">
                  <c:v> 2009Q3</c:v>
                </c:pt>
                <c:pt idx="20">
                  <c:v> 2009Q4</c:v>
                </c:pt>
                <c:pt idx="21">
                  <c:v> 2010Q1</c:v>
                </c:pt>
                <c:pt idx="22">
                  <c:v> 2010Q2</c:v>
                </c:pt>
                <c:pt idx="23">
                  <c:v> 2010Q3</c:v>
                </c:pt>
                <c:pt idx="24">
                  <c:v> 2010Q4</c:v>
                </c:pt>
                <c:pt idx="25">
                  <c:v> 2011Q1</c:v>
                </c:pt>
                <c:pt idx="26">
                  <c:v> 2011Q2</c:v>
                </c:pt>
                <c:pt idx="27">
                  <c:v> 2011Q3</c:v>
                </c:pt>
                <c:pt idx="28">
                  <c:v> 2011Q4</c:v>
                </c:pt>
                <c:pt idx="29">
                  <c:v> 2012Q1</c:v>
                </c:pt>
                <c:pt idx="30">
                  <c:v> 2012Q2</c:v>
                </c:pt>
                <c:pt idx="31">
                  <c:v> 2012Q3</c:v>
                </c:pt>
                <c:pt idx="32">
                  <c:v> 2012Q4</c:v>
                </c:pt>
                <c:pt idx="33">
                  <c:v> 2013Q1</c:v>
                </c:pt>
                <c:pt idx="34">
                  <c:v> 2013Q2</c:v>
                </c:pt>
                <c:pt idx="35">
                  <c:v> 2013Q3</c:v>
                </c:pt>
                <c:pt idx="36">
                  <c:v> 2013Q4</c:v>
                </c:pt>
                <c:pt idx="37">
                  <c:v> 2014Q1</c:v>
                </c:pt>
                <c:pt idx="38">
                  <c:v> 2014Q2</c:v>
                </c:pt>
                <c:pt idx="39">
                  <c:v> 2014Q3</c:v>
                </c:pt>
                <c:pt idx="40">
                  <c:v> 2014Q4</c:v>
                </c:pt>
                <c:pt idx="41">
                  <c:v> 2015Q1</c:v>
                </c:pt>
                <c:pt idx="42">
                  <c:v> 2015Q2</c:v>
                </c:pt>
                <c:pt idx="43">
                  <c:v> 2015Q3</c:v>
                </c:pt>
                <c:pt idx="44">
                  <c:v> 2015Q4</c:v>
                </c:pt>
                <c:pt idx="45">
                  <c:v> 2016Q1</c:v>
                </c:pt>
                <c:pt idx="46">
                  <c:v> 2016Q2</c:v>
                </c:pt>
                <c:pt idx="47">
                  <c:v> 2016Q3</c:v>
                </c:pt>
              </c:strCache>
            </c:strRef>
          </c:cat>
          <c:val>
            <c:numRef>
              <c:f>'Sheet1 (2)'!$C$4:$C$52</c:f>
              <c:numCache>
                <c:formatCode>General</c:formatCode>
                <c:ptCount val="48"/>
                <c:pt idx="0">
                  <c:v>1</c:v>
                </c:pt>
                <c:pt idx="1">
                  <c:v>16</c:v>
                </c:pt>
                <c:pt idx="2">
                  <c:v>32</c:v>
                </c:pt>
                <c:pt idx="3">
                  <c:v>34</c:v>
                </c:pt>
                <c:pt idx="4">
                  <c:v>38</c:v>
                </c:pt>
                <c:pt idx="5">
                  <c:v>42</c:v>
                </c:pt>
                <c:pt idx="6">
                  <c:v>47</c:v>
                </c:pt>
                <c:pt idx="7">
                  <c:v>55</c:v>
                </c:pt>
                <c:pt idx="8">
                  <c:v>52</c:v>
                </c:pt>
                <c:pt idx="9">
                  <c:v>52</c:v>
                </c:pt>
                <c:pt idx="10">
                  <c:v>51</c:v>
                </c:pt>
                <c:pt idx="11">
                  <c:v>52</c:v>
                </c:pt>
                <c:pt idx="12">
                  <c:v>50</c:v>
                </c:pt>
                <c:pt idx="13">
                  <c:v>47</c:v>
                </c:pt>
                <c:pt idx="14">
                  <c:v>49</c:v>
                </c:pt>
                <c:pt idx="15">
                  <c:v>42</c:v>
                </c:pt>
                <c:pt idx="16">
                  <c:v>41</c:v>
                </c:pt>
                <c:pt idx="17">
                  <c:v>32</c:v>
                </c:pt>
                <c:pt idx="18">
                  <c:v>27</c:v>
                </c:pt>
                <c:pt idx="19">
                  <c:v>26</c:v>
                </c:pt>
                <c:pt idx="20">
                  <c:v>27</c:v>
                </c:pt>
                <c:pt idx="21">
                  <c:v>25</c:v>
                </c:pt>
                <c:pt idx="22">
                  <c:v>25</c:v>
                </c:pt>
                <c:pt idx="23">
                  <c:v>27</c:v>
                </c:pt>
                <c:pt idx="24">
                  <c:v>36</c:v>
                </c:pt>
                <c:pt idx="25">
                  <c:v>32</c:v>
                </c:pt>
                <c:pt idx="26">
                  <c:v>34</c:v>
                </c:pt>
                <c:pt idx="27">
                  <c:v>32</c:v>
                </c:pt>
                <c:pt idx="28">
                  <c:v>34</c:v>
                </c:pt>
                <c:pt idx="29">
                  <c:v>31</c:v>
                </c:pt>
                <c:pt idx="30">
                  <c:v>30</c:v>
                </c:pt>
                <c:pt idx="31">
                  <c:v>31</c:v>
                </c:pt>
                <c:pt idx="32">
                  <c:v>39</c:v>
                </c:pt>
                <c:pt idx="33">
                  <c:v>50</c:v>
                </c:pt>
                <c:pt idx="34">
                  <c:v>44</c:v>
                </c:pt>
                <c:pt idx="35">
                  <c:v>45</c:v>
                </c:pt>
                <c:pt idx="36">
                  <c:v>42</c:v>
                </c:pt>
                <c:pt idx="37">
                  <c:v>191</c:v>
                </c:pt>
                <c:pt idx="38">
                  <c:v>202</c:v>
                </c:pt>
                <c:pt idx="39">
                  <c:v>191</c:v>
                </c:pt>
                <c:pt idx="40">
                  <c:v>197</c:v>
                </c:pt>
                <c:pt idx="41">
                  <c:v>191</c:v>
                </c:pt>
                <c:pt idx="42">
                  <c:v>202</c:v>
                </c:pt>
                <c:pt idx="43">
                  <c:v>215</c:v>
                </c:pt>
                <c:pt idx="44">
                  <c:v>208</c:v>
                </c:pt>
                <c:pt idx="45">
                  <c:v>198</c:v>
                </c:pt>
                <c:pt idx="46">
                  <c:v>218</c:v>
                </c:pt>
                <c:pt idx="47">
                  <c:v>218</c:v>
                </c:pt>
              </c:numCache>
            </c:numRef>
          </c:val>
          <c:smooth val="0"/>
        </c:ser>
        <c:ser>
          <c:idx val="2"/>
          <c:order val="2"/>
          <c:tx>
            <c:strRef>
              <c:f>'Sheet1 (2)'!$D$1:$D$3</c:f>
              <c:strCache>
                <c:ptCount val="1"/>
                <c:pt idx="0">
                  <c:v>initiating patients - no script since listing - ERLOTINIB</c:v>
                </c:pt>
              </c:strCache>
            </c:strRef>
          </c:tx>
          <c:cat>
            <c:strRef>
              <c:f>'Sheet1 (2)'!$A$4:$A$52</c:f>
              <c:strCache>
                <c:ptCount val="48"/>
                <c:pt idx="0">
                  <c:v> 2004Q4</c:v>
                </c:pt>
                <c:pt idx="1">
                  <c:v> 2005Q1</c:v>
                </c:pt>
                <c:pt idx="2">
                  <c:v> 2005Q2</c:v>
                </c:pt>
                <c:pt idx="3">
                  <c:v> 2005Q3</c:v>
                </c:pt>
                <c:pt idx="4">
                  <c:v> 2005Q4</c:v>
                </c:pt>
                <c:pt idx="5">
                  <c:v> 2006Q1</c:v>
                </c:pt>
                <c:pt idx="6">
                  <c:v> 2006Q2</c:v>
                </c:pt>
                <c:pt idx="7">
                  <c:v> 2006Q3</c:v>
                </c:pt>
                <c:pt idx="8">
                  <c:v> 2006Q4</c:v>
                </c:pt>
                <c:pt idx="9">
                  <c:v> 2007Q1</c:v>
                </c:pt>
                <c:pt idx="10">
                  <c:v> 2007Q2</c:v>
                </c:pt>
                <c:pt idx="11">
                  <c:v> 2007Q3</c:v>
                </c:pt>
                <c:pt idx="12">
                  <c:v> 2007Q4</c:v>
                </c:pt>
                <c:pt idx="13">
                  <c:v> 2008Q1</c:v>
                </c:pt>
                <c:pt idx="14">
                  <c:v> 2008Q2</c:v>
                </c:pt>
                <c:pt idx="15">
                  <c:v> 2008Q3</c:v>
                </c:pt>
                <c:pt idx="16">
                  <c:v> 2008Q4</c:v>
                </c:pt>
                <c:pt idx="17">
                  <c:v> 2009Q1</c:v>
                </c:pt>
                <c:pt idx="18">
                  <c:v> 2009Q2</c:v>
                </c:pt>
                <c:pt idx="19">
                  <c:v> 2009Q3</c:v>
                </c:pt>
                <c:pt idx="20">
                  <c:v> 2009Q4</c:v>
                </c:pt>
                <c:pt idx="21">
                  <c:v> 2010Q1</c:v>
                </c:pt>
                <c:pt idx="22">
                  <c:v> 2010Q2</c:v>
                </c:pt>
                <c:pt idx="23">
                  <c:v> 2010Q3</c:v>
                </c:pt>
                <c:pt idx="24">
                  <c:v> 2010Q4</c:v>
                </c:pt>
                <c:pt idx="25">
                  <c:v> 2011Q1</c:v>
                </c:pt>
                <c:pt idx="26">
                  <c:v> 2011Q2</c:v>
                </c:pt>
                <c:pt idx="27">
                  <c:v> 2011Q3</c:v>
                </c:pt>
                <c:pt idx="28">
                  <c:v> 2011Q4</c:v>
                </c:pt>
                <c:pt idx="29">
                  <c:v> 2012Q1</c:v>
                </c:pt>
                <c:pt idx="30">
                  <c:v> 2012Q2</c:v>
                </c:pt>
                <c:pt idx="31">
                  <c:v> 2012Q3</c:v>
                </c:pt>
                <c:pt idx="32">
                  <c:v> 2012Q4</c:v>
                </c:pt>
                <c:pt idx="33">
                  <c:v> 2013Q1</c:v>
                </c:pt>
                <c:pt idx="34">
                  <c:v> 2013Q2</c:v>
                </c:pt>
                <c:pt idx="35">
                  <c:v> 2013Q3</c:v>
                </c:pt>
                <c:pt idx="36">
                  <c:v> 2013Q4</c:v>
                </c:pt>
                <c:pt idx="37">
                  <c:v> 2014Q1</c:v>
                </c:pt>
                <c:pt idx="38">
                  <c:v> 2014Q2</c:v>
                </c:pt>
                <c:pt idx="39">
                  <c:v> 2014Q3</c:v>
                </c:pt>
                <c:pt idx="40">
                  <c:v> 2014Q4</c:v>
                </c:pt>
                <c:pt idx="41">
                  <c:v> 2015Q1</c:v>
                </c:pt>
                <c:pt idx="42">
                  <c:v> 2015Q2</c:v>
                </c:pt>
                <c:pt idx="43">
                  <c:v> 2015Q3</c:v>
                </c:pt>
                <c:pt idx="44">
                  <c:v> 2015Q4</c:v>
                </c:pt>
                <c:pt idx="45">
                  <c:v> 2016Q1</c:v>
                </c:pt>
                <c:pt idx="46">
                  <c:v> 2016Q2</c:v>
                </c:pt>
                <c:pt idx="47">
                  <c:v> 2016Q3</c:v>
                </c:pt>
              </c:strCache>
            </c:strRef>
          </c:cat>
          <c:val>
            <c:numRef>
              <c:f>'Sheet1 (2)'!$D$4:$D$52</c:f>
              <c:numCache>
                <c:formatCode>General</c:formatCode>
                <c:ptCount val="48"/>
                <c:pt idx="15">
                  <c:v>347</c:v>
                </c:pt>
                <c:pt idx="16">
                  <c:v>286</c:v>
                </c:pt>
                <c:pt idx="17">
                  <c:v>250</c:v>
                </c:pt>
                <c:pt idx="18">
                  <c:v>254</c:v>
                </c:pt>
                <c:pt idx="19">
                  <c:v>239</c:v>
                </c:pt>
                <c:pt idx="20">
                  <c:v>296</c:v>
                </c:pt>
                <c:pt idx="21">
                  <c:v>280</c:v>
                </c:pt>
                <c:pt idx="22">
                  <c:v>258</c:v>
                </c:pt>
                <c:pt idx="23">
                  <c:v>304</c:v>
                </c:pt>
                <c:pt idx="24">
                  <c:v>269</c:v>
                </c:pt>
                <c:pt idx="25">
                  <c:v>334</c:v>
                </c:pt>
                <c:pt idx="26">
                  <c:v>347</c:v>
                </c:pt>
                <c:pt idx="27">
                  <c:v>305</c:v>
                </c:pt>
                <c:pt idx="28">
                  <c:v>279</c:v>
                </c:pt>
                <c:pt idx="29">
                  <c:v>308</c:v>
                </c:pt>
                <c:pt idx="30">
                  <c:v>272</c:v>
                </c:pt>
                <c:pt idx="31">
                  <c:v>267</c:v>
                </c:pt>
                <c:pt idx="32">
                  <c:v>218</c:v>
                </c:pt>
                <c:pt idx="33">
                  <c:v>221</c:v>
                </c:pt>
                <c:pt idx="34">
                  <c:v>219</c:v>
                </c:pt>
                <c:pt idx="35">
                  <c:v>220</c:v>
                </c:pt>
                <c:pt idx="36">
                  <c:v>189</c:v>
                </c:pt>
                <c:pt idx="37">
                  <c:v>296</c:v>
                </c:pt>
                <c:pt idx="38">
                  <c:v>151</c:v>
                </c:pt>
                <c:pt idx="39">
                  <c:v>119</c:v>
                </c:pt>
                <c:pt idx="40">
                  <c:v>97</c:v>
                </c:pt>
                <c:pt idx="41">
                  <c:v>67</c:v>
                </c:pt>
                <c:pt idx="42">
                  <c:v>96</c:v>
                </c:pt>
                <c:pt idx="43">
                  <c:v>103</c:v>
                </c:pt>
                <c:pt idx="44">
                  <c:v>83</c:v>
                </c:pt>
                <c:pt idx="45">
                  <c:v>107</c:v>
                </c:pt>
                <c:pt idx="46">
                  <c:v>97</c:v>
                </c:pt>
                <c:pt idx="47">
                  <c:v>116</c:v>
                </c:pt>
              </c:numCache>
            </c:numRef>
          </c:val>
          <c:smooth val="0"/>
        </c:ser>
        <c:ser>
          <c:idx val="3"/>
          <c:order val="3"/>
          <c:tx>
            <c:strRef>
              <c:f>'Sheet1 (2)'!$E$1:$E$3</c:f>
              <c:strCache>
                <c:ptCount val="1"/>
                <c:pt idx="0">
                  <c:v>initiating patients - no script since listing - GEFITINIB</c:v>
                </c:pt>
              </c:strCache>
            </c:strRef>
          </c:tx>
          <c:cat>
            <c:strRef>
              <c:f>'Sheet1 (2)'!$A$4:$A$52</c:f>
              <c:strCache>
                <c:ptCount val="48"/>
                <c:pt idx="0">
                  <c:v> 2004Q4</c:v>
                </c:pt>
                <c:pt idx="1">
                  <c:v> 2005Q1</c:v>
                </c:pt>
                <c:pt idx="2">
                  <c:v> 2005Q2</c:v>
                </c:pt>
                <c:pt idx="3">
                  <c:v> 2005Q3</c:v>
                </c:pt>
                <c:pt idx="4">
                  <c:v> 2005Q4</c:v>
                </c:pt>
                <c:pt idx="5">
                  <c:v> 2006Q1</c:v>
                </c:pt>
                <c:pt idx="6">
                  <c:v> 2006Q2</c:v>
                </c:pt>
                <c:pt idx="7">
                  <c:v> 2006Q3</c:v>
                </c:pt>
                <c:pt idx="8">
                  <c:v> 2006Q4</c:v>
                </c:pt>
                <c:pt idx="9">
                  <c:v> 2007Q1</c:v>
                </c:pt>
                <c:pt idx="10">
                  <c:v> 2007Q2</c:v>
                </c:pt>
                <c:pt idx="11">
                  <c:v> 2007Q3</c:v>
                </c:pt>
                <c:pt idx="12">
                  <c:v> 2007Q4</c:v>
                </c:pt>
                <c:pt idx="13">
                  <c:v> 2008Q1</c:v>
                </c:pt>
                <c:pt idx="14">
                  <c:v> 2008Q2</c:v>
                </c:pt>
                <c:pt idx="15">
                  <c:v> 2008Q3</c:v>
                </c:pt>
                <c:pt idx="16">
                  <c:v> 2008Q4</c:v>
                </c:pt>
                <c:pt idx="17">
                  <c:v> 2009Q1</c:v>
                </c:pt>
                <c:pt idx="18">
                  <c:v> 2009Q2</c:v>
                </c:pt>
                <c:pt idx="19">
                  <c:v> 2009Q3</c:v>
                </c:pt>
                <c:pt idx="20">
                  <c:v> 2009Q4</c:v>
                </c:pt>
                <c:pt idx="21">
                  <c:v> 2010Q1</c:v>
                </c:pt>
                <c:pt idx="22">
                  <c:v> 2010Q2</c:v>
                </c:pt>
                <c:pt idx="23">
                  <c:v> 2010Q3</c:v>
                </c:pt>
                <c:pt idx="24">
                  <c:v> 2010Q4</c:v>
                </c:pt>
                <c:pt idx="25">
                  <c:v> 2011Q1</c:v>
                </c:pt>
                <c:pt idx="26">
                  <c:v> 2011Q2</c:v>
                </c:pt>
                <c:pt idx="27">
                  <c:v> 2011Q3</c:v>
                </c:pt>
                <c:pt idx="28">
                  <c:v> 2011Q4</c:v>
                </c:pt>
                <c:pt idx="29">
                  <c:v> 2012Q1</c:v>
                </c:pt>
                <c:pt idx="30">
                  <c:v> 2012Q2</c:v>
                </c:pt>
                <c:pt idx="31">
                  <c:v> 2012Q3</c:v>
                </c:pt>
                <c:pt idx="32">
                  <c:v> 2012Q4</c:v>
                </c:pt>
                <c:pt idx="33">
                  <c:v> 2013Q1</c:v>
                </c:pt>
                <c:pt idx="34">
                  <c:v> 2013Q2</c:v>
                </c:pt>
                <c:pt idx="35">
                  <c:v> 2013Q3</c:v>
                </c:pt>
                <c:pt idx="36">
                  <c:v> 2013Q4</c:v>
                </c:pt>
                <c:pt idx="37">
                  <c:v> 2014Q1</c:v>
                </c:pt>
                <c:pt idx="38">
                  <c:v> 2014Q2</c:v>
                </c:pt>
                <c:pt idx="39">
                  <c:v> 2014Q3</c:v>
                </c:pt>
                <c:pt idx="40">
                  <c:v> 2014Q4</c:v>
                </c:pt>
                <c:pt idx="41">
                  <c:v> 2015Q1</c:v>
                </c:pt>
                <c:pt idx="42">
                  <c:v> 2015Q2</c:v>
                </c:pt>
                <c:pt idx="43">
                  <c:v> 2015Q3</c:v>
                </c:pt>
                <c:pt idx="44">
                  <c:v> 2015Q4</c:v>
                </c:pt>
                <c:pt idx="45">
                  <c:v> 2016Q1</c:v>
                </c:pt>
                <c:pt idx="46">
                  <c:v> 2016Q2</c:v>
                </c:pt>
                <c:pt idx="47">
                  <c:v> 2016Q3</c:v>
                </c:pt>
              </c:strCache>
            </c:strRef>
          </c:cat>
          <c:val>
            <c:numRef>
              <c:f>'Sheet1 (2)'!$E$4:$E$52</c:f>
              <c:numCache>
                <c:formatCode>General</c:formatCode>
                <c:ptCount val="48"/>
                <c:pt idx="0">
                  <c:v>1</c:v>
                </c:pt>
                <c:pt idx="1">
                  <c:v>16</c:v>
                </c:pt>
                <c:pt idx="2">
                  <c:v>19</c:v>
                </c:pt>
                <c:pt idx="3">
                  <c:v>10</c:v>
                </c:pt>
                <c:pt idx="4">
                  <c:v>14</c:v>
                </c:pt>
                <c:pt idx="5">
                  <c:v>14</c:v>
                </c:pt>
                <c:pt idx="6">
                  <c:v>12</c:v>
                </c:pt>
                <c:pt idx="7">
                  <c:v>17</c:v>
                </c:pt>
                <c:pt idx="8">
                  <c:v>7</c:v>
                </c:pt>
                <c:pt idx="9">
                  <c:v>13</c:v>
                </c:pt>
                <c:pt idx="10">
                  <c:v>6</c:v>
                </c:pt>
                <c:pt idx="11">
                  <c:v>13</c:v>
                </c:pt>
                <c:pt idx="12">
                  <c:v>12</c:v>
                </c:pt>
                <c:pt idx="13">
                  <c:v>7</c:v>
                </c:pt>
                <c:pt idx="14">
                  <c:v>7</c:v>
                </c:pt>
                <c:pt idx="15">
                  <c:v>2</c:v>
                </c:pt>
                <c:pt idx="16">
                  <c:v>6</c:v>
                </c:pt>
                <c:pt idx="17">
                  <c:v>1</c:v>
                </c:pt>
                <c:pt idx="18">
                  <c:v>3</c:v>
                </c:pt>
                <c:pt idx="19">
                  <c:v>3</c:v>
                </c:pt>
                <c:pt idx="20">
                  <c:v>5</c:v>
                </c:pt>
                <c:pt idx="21">
                  <c:v>3</c:v>
                </c:pt>
                <c:pt idx="22">
                  <c:v>2</c:v>
                </c:pt>
                <c:pt idx="23">
                  <c:v>8</c:v>
                </c:pt>
                <c:pt idx="24">
                  <c:v>10</c:v>
                </c:pt>
                <c:pt idx="25">
                  <c:v>5</c:v>
                </c:pt>
                <c:pt idx="26">
                  <c:v>6</c:v>
                </c:pt>
                <c:pt idx="27">
                  <c:v>5</c:v>
                </c:pt>
                <c:pt idx="28">
                  <c:v>6</c:v>
                </c:pt>
                <c:pt idx="29">
                  <c:v>3</c:v>
                </c:pt>
                <c:pt idx="30">
                  <c:v>4</c:v>
                </c:pt>
                <c:pt idx="31">
                  <c:v>7</c:v>
                </c:pt>
                <c:pt idx="32">
                  <c:v>16</c:v>
                </c:pt>
                <c:pt idx="33">
                  <c:v>22</c:v>
                </c:pt>
                <c:pt idx="34">
                  <c:v>8</c:v>
                </c:pt>
                <c:pt idx="35">
                  <c:v>6</c:v>
                </c:pt>
                <c:pt idx="36">
                  <c:v>7</c:v>
                </c:pt>
                <c:pt idx="37">
                  <c:v>152</c:v>
                </c:pt>
                <c:pt idx="38">
                  <c:v>41</c:v>
                </c:pt>
                <c:pt idx="39">
                  <c:v>39</c:v>
                </c:pt>
                <c:pt idx="40">
                  <c:v>41</c:v>
                </c:pt>
                <c:pt idx="41">
                  <c:v>34</c:v>
                </c:pt>
                <c:pt idx="42">
                  <c:v>33</c:v>
                </c:pt>
                <c:pt idx="43">
                  <c:v>56</c:v>
                </c:pt>
                <c:pt idx="44">
                  <c:v>39</c:v>
                </c:pt>
                <c:pt idx="45">
                  <c:v>38</c:v>
                </c:pt>
                <c:pt idx="46">
                  <c:v>54</c:v>
                </c:pt>
                <c:pt idx="47">
                  <c:v>47</c:v>
                </c:pt>
              </c:numCache>
            </c:numRef>
          </c:val>
          <c:smooth val="0"/>
        </c:ser>
        <c:dLbls>
          <c:showLegendKey val="0"/>
          <c:showVal val="0"/>
          <c:showCatName val="0"/>
          <c:showSerName val="0"/>
          <c:showPercent val="0"/>
          <c:showBubbleSize val="0"/>
        </c:dLbls>
        <c:marker val="1"/>
        <c:smooth val="0"/>
        <c:axId val="239273856"/>
        <c:axId val="239275392"/>
      </c:lineChart>
      <c:catAx>
        <c:axId val="239273856"/>
        <c:scaling>
          <c:orientation val="minMax"/>
        </c:scaling>
        <c:delete val="0"/>
        <c:axPos val="b"/>
        <c:majorTickMark val="none"/>
        <c:minorTickMark val="none"/>
        <c:tickLblPos val="nextTo"/>
        <c:crossAx val="239275392"/>
        <c:crosses val="autoZero"/>
        <c:auto val="1"/>
        <c:lblAlgn val="ctr"/>
        <c:lblOffset val="100"/>
        <c:noMultiLvlLbl val="0"/>
      </c:catAx>
      <c:valAx>
        <c:axId val="239275392"/>
        <c:scaling>
          <c:orientation val="minMax"/>
          <c:max val="800"/>
        </c:scaling>
        <c:delete val="0"/>
        <c:axPos val="l"/>
        <c:majorGridlines/>
        <c:title>
          <c:tx>
            <c:rich>
              <a:bodyPr/>
              <a:lstStyle/>
              <a:p>
                <a:pPr>
                  <a:defRPr b="0"/>
                </a:pPr>
                <a:r>
                  <a:rPr lang="en-AU" b="0"/>
                  <a:t>Patients</a:t>
                </a:r>
              </a:p>
            </c:rich>
          </c:tx>
          <c:overlay val="0"/>
        </c:title>
        <c:numFmt formatCode="General" sourceLinked="1"/>
        <c:majorTickMark val="none"/>
        <c:minorTickMark val="none"/>
        <c:tickLblPos val="nextTo"/>
        <c:crossAx val="239273856"/>
        <c:crosses val="autoZero"/>
        <c:crossBetween val="between"/>
      </c:valAx>
    </c:plotArea>
    <c:legend>
      <c:legendPos val="r"/>
      <c:layout>
        <c:manualLayout>
          <c:xMode val="edge"/>
          <c:yMode val="edge"/>
          <c:x val="0.74992576078710271"/>
          <c:y val="0.21815867514168386"/>
          <c:w val="0.24828466136445004"/>
          <c:h val="0.54986010187012657"/>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[D985 SEQ_INIT_FREQ - v4 chemo=L01 only + pre &amp; post TKI.xlsx]Sheet4!PivotTable2</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s>
    <c:plotArea>
      <c:layout>
        <c:manualLayout>
          <c:layoutTarget val="inner"/>
          <c:xMode val="edge"/>
          <c:yMode val="edge"/>
          <c:x val="0.11993053269393805"/>
          <c:y val="3.788345709316028E-2"/>
          <c:w val="0.63473480909225966"/>
          <c:h val="0.83990382574501732"/>
        </c:manualLayout>
      </c:layout>
      <c:lineChart>
        <c:grouping val="standard"/>
        <c:varyColors val="0"/>
        <c:ser>
          <c:idx val="0"/>
          <c:order val="0"/>
          <c:tx>
            <c:strRef>
              <c:f>Sheet4!$B$1:$B$2</c:f>
              <c:strCache>
                <c:ptCount val="1"/>
                <c:pt idx="0">
                  <c:v>erlotinib first line</c:v>
                </c:pt>
              </c:strCache>
            </c:strRef>
          </c:tx>
          <c:marker>
            <c:symbol val="none"/>
          </c:marker>
          <c:cat>
            <c:strRef>
              <c:f>Sheet4!$A$3:$A$15</c:f>
              <c:strCach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strCache>
            </c:strRef>
          </c:cat>
          <c:val>
            <c:numRef>
              <c:f>Sheet4!$B$3:$B$15</c:f>
              <c:numCache>
                <c:formatCode>General</c:formatCode>
                <c:ptCount val="12"/>
                <c:pt idx="4">
                  <c:v>90</c:v>
                </c:pt>
                <c:pt idx="5">
                  <c:v>127</c:v>
                </c:pt>
                <c:pt idx="6">
                  <c:v>101</c:v>
                </c:pt>
                <c:pt idx="7">
                  <c:v>96</c:v>
                </c:pt>
                <c:pt idx="8">
                  <c:v>91</c:v>
                </c:pt>
                <c:pt idx="9">
                  <c:v>76</c:v>
                </c:pt>
                <c:pt idx="10">
                  <c:v>389</c:v>
                </c:pt>
                <c:pt idx="11">
                  <c:v>239</c:v>
                </c:pt>
              </c:numCache>
            </c:numRef>
          </c:val>
          <c:smooth val="0"/>
        </c:ser>
        <c:ser>
          <c:idx val="1"/>
          <c:order val="1"/>
          <c:tx>
            <c:strRef>
              <c:f>Sheet4!$C$1:$C$2</c:f>
              <c:strCache>
                <c:ptCount val="1"/>
                <c:pt idx="0">
                  <c:v>gefitinib first line</c:v>
                </c:pt>
              </c:strCache>
            </c:strRef>
          </c:tx>
          <c:marker>
            <c:symbol val="none"/>
          </c:marker>
          <c:cat>
            <c:strRef>
              <c:f>Sheet4!$A$3:$A$15</c:f>
              <c:strCach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strCache>
            </c:strRef>
          </c:cat>
          <c:val>
            <c:numRef>
              <c:f>Sheet4!$C$3:$C$15</c:f>
              <c:numCache>
                <c:formatCode>General</c:formatCode>
                <c:ptCount val="12"/>
                <c:pt idx="1">
                  <c:v>10</c:v>
                </c:pt>
                <c:pt idx="2">
                  <c:v>6</c:v>
                </c:pt>
                <c:pt idx="3">
                  <c:v>6</c:v>
                </c:pt>
                <c:pt idx="6">
                  <c:v>4</c:v>
                </c:pt>
                <c:pt idx="7">
                  <c:v>4</c:v>
                </c:pt>
                <c:pt idx="8">
                  <c:v>7</c:v>
                </c:pt>
                <c:pt idx="9">
                  <c:v>18</c:v>
                </c:pt>
                <c:pt idx="10">
                  <c:v>209</c:v>
                </c:pt>
                <c:pt idx="11">
                  <c:v>108</c:v>
                </c:pt>
              </c:numCache>
            </c:numRef>
          </c:val>
          <c:smooth val="0"/>
        </c:ser>
        <c:ser>
          <c:idx val="2"/>
          <c:order val="2"/>
          <c:tx>
            <c:strRef>
              <c:f>Sheet4!$D$1:$D$2</c:f>
              <c:strCache>
                <c:ptCount val="1"/>
                <c:pt idx="0">
                  <c:v>non-TKI L01 drug first line</c:v>
                </c:pt>
              </c:strCache>
            </c:strRef>
          </c:tx>
          <c:marker>
            <c:symbol val="none"/>
          </c:marker>
          <c:cat>
            <c:strRef>
              <c:f>Sheet4!$A$3:$A$15</c:f>
              <c:strCach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strCache>
            </c:strRef>
          </c:cat>
          <c:val>
            <c:numRef>
              <c:f>Sheet4!$D$3:$D$15</c:f>
              <c:numCache>
                <c:formatCode>General</c:formatCode>
                <c:ptCount val="12"/>
                <c:pt idx="0">
                  <c:v>1</c:v>
                </c:pt>
                <c:pt idx="1">
                  <c:v>49</c:v>
                </c:pt>
                <c:pt idx="2">
                  <c:v>44</c:v>
                </c:pt>
                <c:pt idx="3">
                  <c:v>38</c:v>
                </c:pt>
                <c:pt idx="4">
                  <c:v>560</c:v>
                </c:pt>
                <c:pt idx="5">
                  <c:v>912</c:v>
                </c:pt>
                <c:pt idx="6">
                  <c:v>1022</c:v>
                </c:pt>
                <c:pt idx="7">
                  <c:v>1175</c:v>
                </c:pt>
                <c:pt idx="8">
                  <c:v>989</c:v>
                </c:pt>
                <c:pt idx="9">
                  <c:v>786</c:v>
                </c:pt>
                <c:pt idx="10">
                  <c:v>310</c:v>
                </c:pt>
                <c:pt idx="11">
                  <c:v>125</c:v>
                </c:pt>
              </c:numCache>
            </c:numRef>
          </c:val>
          <c:smooth val="0"/>
        </c:ser>
        <c:dLbls>
          <c:showLegendKey val="0"/>
          <c:showVal val="0"/>
          <c:showCatName val="0"/>
          <c:showSerName val="0"/>
          <c:showPercent val="0"/>
          <c:showBubbleSize val="0"/>
        </c:dLbls>
        <c:marker val="1"/>
        <c:smooth val="0"/>
        <c:axId val="239302144"/>
        <c:axId val="239303680"/>
      </c:lineChart>
      <c:catAx>
        <c:axId val="239302144"/>
        <c:scaling>
          <c:orientation val="minMax"/>
        </c:scaling>
        <c:delete val="0"/>
        <c:axPos val="b"/>
        <c:majorTickMark val="none"/>
        <c:minorTickMark val="none"/>
        <c:tickLblPos val="nextTo"/>
        <c:crossAx val="239303680"/>
        <c:crosses val="autoZero"/>
        <c:auto val="1"/>
        <c:lblAlgn val="ctr"/>
        <c:lblOffset val="100"/>
        <c:noMultiLvlLbl val="0"/>
      </c:catAx>
      <c:valAx>
        <c:axId val="239303680"/>
        <c:scaling>
          <c:orientation val="minMax"/>
          <c:max val="1200"/>
        </c:scaling>
        <c:delete val="0"/>
        <c:axPos val="l"/>
        <c:majorGridlines/>
        <c:title>
          <c:tx>
            <c:rich>
              <a:bodyPr/>
              <a:lstStyle/>
              <a:p>
                <a:pPr>
                  <a:defRPr b="0"/>
                </a:pPr>
                <a:r>
                  <a:rPr lang="en-AU" b="0"/>
                  <a:t>Patients</a:t>
                </a:r>
              </a:p>
            </c:rich>
          </c:tx>
          <c:overlay val="0"/>
        </c:title>
        <c:numFmt formatCode="#,##0" sourceLinked="0"/>
        <c:majorTickMark val="none"/>
        <c:minorTickMark val="none"/>
        <c:tickLblPos val="nextTo"/>
        <c:crossAx val="239302144"/>
        <c:crosses val="autoZero"/>
        <c:crossBetween val="between"/>
      </c:valAx>
    </c:plotArea>
    <c:legend>
      <c:legendPos val="r"/>
      <c:layout>
        <c:manualLayout>
          <c:xMode val="edge"/>
          <c:yMode val="edge"/>
          <c:x val="0.76038750895482476"/>
          <c:y val="0.36085677687418261"/>
          <c:w val="0.21960076325498529"/>
          <c:h val="0.24311135375285398"/>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5B6B8-A64E-441F-88EB-18B2E135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7587</Words>
  <Characters>43247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2017-06-07T23:54:00Z</dcterms:created>
  <dcterms:modified xsi:type="dcterms:W3CDTF">2017-06-21T06:06:00Z</dcterms:modified>
</cp:coreProperties>
</file>