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17" w:rsidRDefault="00870265" w:rsidP="004939F6">
      <w:pPr>
        <w:pStyle w:val="Title"/>
      </w:pPr>
      <w:bookmarkStart w:id="0" w:name="_GoBack"/>
      <w:bookmarkEnd w:id="0"/>
      <w:r w:rsidRPr="00870265">
        <w:t>Botulinum toxin type A for chronic migraine</w:t>
      </w:r>
      <w:r w:rsidR="004939F6">
        <w:t>: 24 month predicted versus actual analysis</w:t>
      </w:r>
    </w:p>
    <w:p w:rsidR="00821C17" w:rsidRDefault="00821C17" w:rsidP="00813FF0">
      <w:pPr>
        <w:pStyle w:val="Heading1"/>
      </w:pPr>
      <w:r>
        <w:t>D</w:t>
      </w:r>
      <w:r w:rsidRPr="0063631C">
        <w:t xml:space="preserve">rug utilisation sub-committee </w:t>
      </w:r>
      <w:r>
        <w:t>(DUSC)</w:t>
      </w:r>
    </w:p>
    <w:p w:rsidR="00821C17" w:rsidRPr="00EA531B" w:rsidRDefault="004939F6" w:rsidP="00813FF0">
      <w:pPr>
        <w:pStyle w:val="Heading2"/>
        <w:rPr>
          <w:i/>
        </w:rPr>
      </w:pPr>
      <w:r w:rsidRPr="00EA531B">
        <w:rPr>
          <w:i/>
        </w:rPr>
        <w:t>June</w:t>
      </w:r>
      <w:r w:rsidR="00821C17" w:rsidRPr="00EA531B">
        <w:rPr>
          <w:i/>
        </w:rPr>
        <w:t xml:space="preserve"> 201</w:t>
      </w:r>
      <w:r w:rsidR="00EC7B8A" w:rsidRPr="00EA531B">
        <w:rPr>
          <w:i/>
        </w:rPr>
        <w:t>7</w:t>
      </w:r>
    </w:p>
    <w:p w:rsidR="00821C17" w:rsidRPr="008250BC" w:rsidRDefault="00821C17" w:rsidP="00813FF0">
      <w:pPr>
        <w:pStyle w:val="Heading3"/>
        <w:rPr>
          <w:i w:val="0"/>
          <w:sz w:val="32"/>
          <w:szCs w:val="32"/>
        </w:rPr>
      </w:pPr>
      <w:r w:rsidRPr="008250BC">
        <w:rPr>
          <w:i w:val="0"/>
          <w:sz w:val="32"/>
          <w:szCs w:val="32"/>
        </w:rPr>
        <w:t>Abstract</w:t>
      </w:r>
    </w:p>
    <w:p w:rsidR="00821C17" w:rsidRPr="008250BC" w:rsidRDefault="00821C17" w:rsidP="00813FF0">
      <w:pPr>
        <w:pStyle w:val="Heading2"/>
        <w:rPr>
          <w:i/>
        </w:rPr>
      </w:pPr>
      <w:r w:rsidRPr="008250BC">
        <w:rPr>
          <w:i/>
        </w:rPr>
        <w:t>Purpose</w:t>
      </w:r>
    </w:p>
    <w:p w:rsidR="009670A7" w:rsidRPr="00BB03D1" w:rsidRDefault="009670A7" w:rsidP="009670A7">
      <w:pPr>
        <w:spacing w:after="0"/>
        <w:rPr>
          <w:rFonts w:cs="Arial"/>
        </w:rPr>
      </w:pPr>
      <w:r w:rsidRPr="00BB03D1">
        <w:t xml:space="preserve">To compare the predicted and actual utilisation of </w:t>
      </w:r>
      <w:r w:rsidR="008B23EE">
        <w:rPr>
          <w:rFonts w:eastAsia="Times New Roman" w:cs="Arial"/>
          <w:color w:val="222222"/>
        </w:rPr>
        <w:t>b</w:t>
      </w:r>
      <w:r w:rsidR="00BB03D1" w:rsidRPr="00BB03D1">
        <w:rPr>
          <w:rFonts w:eastAsia="Times New Roman" w:cs="Arial"/>
          <w:color w:val="222222"/>
        </w:rPr>
        <w:t xml:space="preserve">otulinum toxin type A (Botox®) </w:t>
      </w:r>
      <w:r w:rsidRPr="00BB03D1">
        <w:t xml:space="preserve">for chronic migraine in adults since it was </w:t>
      </w:r>
      <w:r w:rsidR="00F96DCB">
        <w:t xml:space="preserve">PBS </w:t>
      </w:r>
      <w:r w:rsidRPr="00BB03D1">
        <w:t>listed for this indication in March 2014.</w:t>
      </w:r>
    </w:p>
    <w:p w:rsidR="002B3838" w:rsidRDefault="007C3AED" w:rsidP="002B3838">
      <w:pPr>
        <w:pStyle w:val="Heading2"/>
      </w:pPr>
      <w:r w:rsidRPr="002B3838">
        <w:rPr>
          <w:i/>
        </w:rPr>
        <w:t>Current PBS restriction</w:t>
      </w:r>
      <w:r w:rsidR="002B3838">
        <w:rPr>
          <w:i/>
        </w:rPr>
        <w:t xml:space="preserve"> for c</w:t>
      </w:r>
      <w:r w:rsidR="002B3838" w:rsidRPr="002B3838">
        <w:rPr>
          <w:i/>
        </w:rPr>
        <w:t>hronic migraine</w:t>
      </w:r>
    </w:p>
    <w:p w:rsidR="008B23EE" w:rsidRDefault="008B23EE" w:rsidP="002B3838">
      <w:r w:rsidRPr="009B2FEE">
        <w:rPr>
          <w:u w:val="single"/>
        </w:rPr>
        <w:t>Authority required (Streamlined</w:t>
      </w:r>
      <w:r>
        <w:t>)</w:t>
      </w:r>
    </w:p>
    <w:p w:rsidR="002B3838" w:rsidRDefault="002B3838" w:rsidP="002B3838">
      <w:r>
        <w:t>Patient</w:t>
      </w:r>
      <w:r w:rsidR="0074421C">
        <w:t>s</w:t>
      </w:r>
      <w:r>
        <w:t xml:space="preserve"> must have experienced an average of 15 or more headache days per month, with at least 8 days of migraine, over a period of at least 6 months, prior to commencement of treatment with botulinum toxin type A neurotoxin, AND;</w:t>
      </w:r>
    </w:p>
    <w:p w:rsidR="002B3838" w:rsidRDefault="002B3838" w:rsidP="002B3838">
      <w:r>
        <w:t>Patient</w:t>
      </w:r>
      <w:r w:rsidR="0074421C">
        <w:t>s</w:t>
      </w:r>
      <w:r>
        <w:t xml:space="preserve"> must have experienced an inadequate response, intolerance or a contraindication to at least three prophylactic migraine medications prior to commencement of treatment with botulinum toxin type A neurotoxin</w:t>
      </w:r>
      <w:r w:rsidR="00F96DCB">
        <w:t xml:space="preserve"> (p</w:t>
      </w:r>
      <w:r w:rsidR="00F96DCB" w:rsidRPr="006C4EAC">
        <w:t xml:space="preserve">rophylactic </w:t>
      </w:r>
      <w:r w:rsidR="006C4EAC" w:rsidRPr="006C4EAC">
        <w:t>migraine medications are propranolol, amitriptyline, methysergide, pizotifen, cyproheptadine or topiramate</w:t>
      </w:r>
      <w:r w:rsidR="00F96DCB">
        <w:t>)</w:t>
      </w:r>
      <w:r w:rsidR="006C4EAC">
        <w:t xml:space="preserve"> </w:t>
      </w:r>
      <w:r>
        <w:t xml:space="preserve"> AND;</w:t>
      </w:r>
    </w:p>
    <w:p w:rsidR="002B3838" w:rsidRDefault="002B3838" w:rsidP="002B3838">
      <w:r>
        <w:t>Patient</w:t>
      </w:r>
      <w:r w:rsidR="0074421C">
        <w:t>s</w:t>
      </w:r>
      <w:r>
        <w:t xml:space="preserve"> must be appropriately managed by his or her practitioner for medication overuse headache, prior to initiation of treatment with botulinum toxin</w:t>
      </w:r>
      <w:r w:rsidR="000229C4">
        <w:t xml:space="preserve"> AND;</w:t>
      </w:r>
    </w:p>
    <w:p w:rsidR="002B3838" w:rsidRDefault="002B3838" w:rsidP="002B3838">
      <w:r>
        <w:t>Patient</w:t>
      </w:r>
      <w:r w:rsidR="00F829E4">
        <w:t>s</w:t>
      </w:r>
      <w:r>
        <w:t xml:space="preserve"> must be aged 18 years or older</w:t>
      </w:r>
      <w:r w:rsidR="00F829E4">
        <w:t xml:space="preserve"> and m</w:t>
      </w:r>
      <w:r>
        <w:t>ust be treated by a neurologist.</w:t>
      </w:r>
    </w:p>
    <w:p w:rsidR="0007429A" w:rsidRDefault="000229C4" w:rsidP="000229C4">
      <w:r>
        <w:t>Patient</w:t>
      </w:r>
      <w:r w:rsidR="0074421C">
        <w:t>s</w:t>
      </w:r>
      <w:r>
        <w:t xml:space="preserve"> must have achieved and maintained a 50% or greater reduction from baseline in the number of headache days per month after two treatment cycles (each of 12 weeks duration) in order to be eligible for continuing PBS-subsidised treatment.</w:t>
      </w:r>
    </w:p>
    <w:p w:rsidR="000229C4" w:rsidRPr="009B2FEE" w:rsidRDefault="0007429A" w:rsidP="000229C4">
      <w:pPr>
        <w:rPr>
          <w:b/>
        </w:rPr>
      </w:pPr>
      <w:r>
        <w:rPr>
          <w:i/>
        </w:rPr>
        <w:t>Botox</w:t>
      </w:r>
      <w:r>
        <w:rPr>
          <w:i/>
        </w:rPr>
        <w:sym w:font="Symbol" w:char="F0E2"/>
      </w:r>
      <w:r>
        <w:rPr>
          <w:i/>
        </w:rPr>
        <w:t xml:space="preserve"> is the only</w:t>
      </w:r>
      <w:r w:rsidR="001812CA">
        <w:rPr>
          <w:i/>
        </w:rPr>
        <w:t xml:space="preserve"> botulinum toxin type  A </w:t>
      </w:r>
      <w:r>
        <w:rPr>
          <w:i/>
        </w:rPr>
        <w:t xml:space="preserve"> preparation </w:t>
      </w:r>
      <w:r w:rsidR="001812CA">
        <w:rPr>
          <w:i/>
        </w:rPr>
        <w:t xml:space="preserve">PBS </w:t>
      </w:r>
      <w:r>
        <w:rPr>
          <w:i/>
        </w:rPr>
        <w:t>subsidised for chronic migraine.</w:t>
      </w:r>
      <w:r w:rsidR="001812CA" w:rsidRPr="001812CA">
        <w:t xml:space="preserve"> </w:t>
      </w:r>
      <w:r w:rsidR="001812CA" w:rsidRPr="001812CA">
        <w:rPr>
          <w:i/>
        </w:rPr>
        <w:t>For brevity the term ‘botulinum toxin’ is used throughout this report</w:t>
      </w:r>
      <w:r w:rsidR="001812CA">
        <w:rPr>
          <w:i/>
        </w:rPr>
        <w:t>.</w:t>
      </w:r>
    </w:p>
    <w:p w:rsidR="00991E6F" w:rsidRDefault="00991E6F">
      <w:pPr>
        <w:spacing w:line="276" w:lineRule="auto"/>
        <w:rPr>
          <w:b/>
          <w:i/>
        </w:rPr>
      </w:pPr>
      <w:r>
        <w:rPr>
          <w:i/>
        </w:rPr>
        <w:br w:type="page"/>
      </w:r>
    </w:p>
    <w:p w:rsidR="005425A8" w:rsidRPr="00CB12A0" w:rsidRDefault="005425A8" w:rsidP="00813FF0">
      <w:pPr>
        <w:pStyle w:val="Heading2"/>
        <w:rPr>
          <w:i/>
        </w:rPr>
      </w:pPr>
      <w:r w:rsidRPr="00CB12A0">
        <w:rPr>
          <w:i/>
        </w:rPr>
        <w:lastRenderedPageBreak/>
        <w:t xml:space="preserve">Data </w:t>
      </w:r>
      <w:r w:rsidR="00911F66" w:rsidRPr="00CB12A0">
        <w:rPr>
          <w:i/>
        </w:rPr>
        <w:t>Source</w:t>
      </w:r>
      <w:r w:rsidR="00911F66">
        <w:rPr>
          <w:i/>
        </w:rPr>
        <w:t>s</w:t>
      </w:r>
    </w:p>
    <w:p w:rsidR="00CB12A0" w:rsidRDefault="00CB12A0" w:rsidP="00813FF0">
      <w:r>
        <w:t xml:space="preserve">Data to assess utilisation of </w:t>
      </w:r>
      <w:r w:rsidRPr="00CB12A0">
        <w:t xml:space="preserve">botulinum toxin </w:t>
      </w:r>
      <w:r>
        <w:t>for chronic migraine was obtained from three sources</w:t>
      </w:r>
      <w:r w:rsidR="0047510D">
        <w:t>:</w:t>
      </w:r>
    </w:p>
    <w:p w:rsidR="00CB12A0" w:rsidRPr="00CB12A0" w:rsidRDefault="00911F66" w:rsidP="00CB12A0">
      <w:pPr>
        <w:pStyle w:val="ListParagraph"/>
        <w:numPr>
          <w:ilvl w:val="0"/>
          <w:numId w:val="22"/>
        </w:numPr>
      </w:pPr>
      <w:r w:rsidRPr="004C3B77">
        <w:rPr>
          <w:rFonts w:ascii="Calibri" w:eastAsia="MS Mincho" w:hAnsi="Calibri" w:cs="Times New Roman"/>
        </w:rPr>
        <w:t>Department of Human Services</w:t>
      </w:r>
      <w:r w:rsidR="00DB5F47">
        <w:rPr>
          <w:rFonts w:ascii="Calibri" w:eastAsia="MS Mincho" w:hAnsi="Calibri" w:cs="Times New Roman"/>
        </w:rPr>
        <w:t xml:space="preserve"> (DHS)</w:t>
      </w:r>
      <w:r w:rsidRPr="004C3B77">
        <w:rPr>
          <w:rFonts w:ascii="Calibri" w:eastAsia="MS Mincho" w:hAnsi="Calibri" w:cs="Times New Roman"/>
        </w:rPr>
        <w:t xml:space="preserve"> - Complex Drugs (Tasmania</w:t>
      </w:r>
      <w:r>
        <w:rPr>
          <w:rFonts w:ascii="Calibri" w:eastAsia="MS Mincho" w:hAnsi="Calibri" w:cs="Times New Roman"/>
        </w:rPr>
        <w:t xml:space="preserve">) </w:t>
      </w:r>
      <w:r>
        <w:t xml:space="preserve">Section 100 </w:t>
      </w:r>
      <w:r w:rsidR="00CB12A0">
        <w:t>B</w:t>
      </w:r>
      <w:r w:rsidR="00CB12A0" w:rsidRPr="00CB12A0">
        <w:t xml:space="preserve">otulinum </w:t>
      </w:r>
      <w:r w:rsidR="00CB12A0">
        <w:t>T</w:t>
      </w:r>
      <w:r w:rsidR="00CB12A0" w:rsidRPr="00CB12A0">
        <w:t xml:space="preserve">oxin </w:t>
      </w:r>
      <w:r w:rsidR="00533E70">
        <w:t>P</w:t>
      </w:r>
      <w:r w:rsidR="00CB12A0">
        <w:t>rogram</w:t>
      </w:r>
      <w:r>
        <w:t xml:space="preserve"> reports</w:t>
      </w:r>
      <w:r w:rsidR="00DC23CA">
        <w:t xml:space="preserve"> </w:t>
      </w:r>
    </w:p>
    <w:p w:rsidR="00C65AC8" w:rsidRDefault="00911F66" w:rsidP="00813FF0">
      <w:pPr>
        <w:pStyle w:val="ListParagraph"/>
        <w:numPr>
          <w:ilvl w:val="0"/>
          <w:numId w:val="22"/>
        </w:numPr>
      </w:pPr>
      <w:r w:rsidRPr="00CB12A0">
        <w:t xml:space="preserve">DHS </w:t>
      </w:r>
      <w:r w:rsidR="001812CA">
        <w:t>P</w:t>
      </w:r>
      <w:r w:rsidR="00DB5F47">
        <w:t xml:space="preserve">harmaceutical </w:t>
      </w:r>
      <w:r w:rsidR="001812CA">
        <w:t>B</w:t>
      </w:r>
      <w:r w:rsidR="00DB5F47">
        <w:t xml:space="preserve">enefits </w:t>
      </w:r>
      <w:r w:rsidR="001812CA">
        <w:t>S</w:t>
      </w:r>
      <w:r w:rsidR="00DB5F47">
        <w:t>cheme (PBS)</w:t>
      </w:r>
      <w:r w:rsidR="001812CA">
        <w:t xml:space="preserve"> </w:t>
      </w:r>
      <w:r w:rsidRPr="00CB12A0">
        <w:t xml:space="preserve">prescription </w:t>
      </w:r>
      <w:r>
        <w:t xml:space="preserve">claims </w:t>
      </w:r>
      <w:r w:rsidRPr="00CB12A0">
        <w:t>data</w:t>
      </w:r>
    </w:p>
    <w:p w:rsidR="000229C4" w:rsidRDefault="00DB5F47" w:rsidP="00823F55">
      <w:pPr>
        <w:pStyle w:val="ListParagraph"/>
        <w:numPr>
          <w:ilvl w:val="0"/>
          <w:numId w:val="22"/>
        </w:numPr>
      </w:pPr>
      <w:r>
        <w:t xml:space="preserve">DHS </w:t>
      </w:r>
      <w:r w:rsidR="00911F66">
        <w:t xml:space="preserve">Medicare Benefits Schedule (MBS) </w:t>
      </w:r>
      <w:r w:rsidR="0047510D">
        <w:t xml:space="preserve">claims </w:t>
      </w:r>
      <w:r w:rsidR="00823F55">
        <w:t xml:space="preserve">data relating to injection services for </w:t>
      </w:r>
      <w:r w:rsidR="00823F55" w:rsidRPr="00CB12A0">
        <w:t>botulinum toxin A</w:t>
      </w:r>
      <w:r w:rsidR="00823F55">
        <w:t xml:space="preserve"> </w:t>
      </w:r>
      <w:r w:rsidR="000229C4">
        <w:t>(Item 18377 for chronic migraine)</w:t>
      </w:r>
      <w:r w:rsidR="001812CA">
        <w:t>.</w:t>
      </w:r>
    </w:p>
    <w:p w:rsidR="00821C17" w:rsidRPr="009B6237" w:rsidRDefault="00821C17" w:rsidP="00813FF0">
      <w:pPr>
        <w:pStyle w:val="Heading2"/>
        <w:keepNext/>
        <w:rPr>
          <w:i/>
        </w:rPr>
      </w:pPr>
      <w:r w:rsidRPr="009B6237">
        <w:rPr>
          <w:i/>
        </w:rPr>
        <w:t>Key Findings</w:t>
      </w:r>
    </w:p>
    <w:p w:rsidR="00341478" w:rsidRDefault="00341478" w:rsidP="00BB03D1">
      <w:pPr>
        <w:pStyle w:val="ListParagraph"/>
        <w:numPr>
          <w:ilvl w:val="0"/>
          <w:numId w:val="1"/>
        </w:numPr>
        <w:ind w:left="357" w:hanging="357"/>
      </w:pPr>
      <w:r>
        <w:t>There were 3,517 and 5,444 patients treated with botuli</w:t>
      </w:r>
      <w:r w:rsidR="0007429A">
        <w:t>n</w:t>
      </w:r>
      <w:r>
        <w:t>u</w:t>
      </w:r>
      <w:r w:rsidR="0007429A">
        <w:t>m</w:t>
      </w:r>
      <w:r>
        <w:t xml:space="preserve"> toxin for chronic migraine in the first</w:t>
      </w:r>
      <w:r w:rsidR="00EE3199">
        <w:t xml:space="preserve"> and second</w:t>
      </w:r>
      <w:r>
        <w:t xml:space="preserve"> year of PBS listing, respectively. The number of patients treated was substantially higher than predicted.</w:t>
      </w:r>
    </w:p>
    <w:p w:rsidR="00341478" w:rsidRDefault="00341478" w:rsidP="00BB03D1">
      <w:pPr>
        <w:pStyle w:val="ListParagraph"/>
        <w:numPr>
          <w:ilvl w:val="0"/>
          <w:numId w:val="1"/>
        </w:numPr>
        <w:ind w:left="357" w:hanging="357"/>
      </w:pPr>
      <w:r>
        <w:t xml:space="preserve">There were 7,826 and 13,873 services for the administration of botulinum toxin in the first </w:t>
      </w:r>
      <w:r w:rsidR="00EE3199">
        <w:t xml:space="preserve">and second </w:t>
      </w:r>
      <w:r>
        <w:t>year of listing, respectively, substantially more than expected.</w:t>
      </w:r>
    </w:p>
    <w:p w:rsidR="009B6237" w:rsidRDefault="00341478" w:rsidP="00BB03D1">
      <w:pPr>
        <w:pStyle w:val="ListParagraph"/>
        <w:numPr>
          <w:ilvl w:val="0"/>
          <w:numId w:val="1"/>
        </w:numPr>
        <w:ind w:left="357" w:hanging="357"/>
      </w:pPr>
      <w:r>
        <w:t>C</w:t>
      </w:r>
      <w:r w:rsidR="005B297A">
        <w:t>o</w:t>
      </w:r>
      <w:r w:rsidR="00741E23">
        <w:t>ntinuation</w:t>
      </w:r>
      <w:r w:rsidR="005B297A">
        <w:t xml:space="preserve"> rate </w:t>
      </w:r>
      <w:r w:rsidR="008C7BD5">
        <w:t>o</w:t>
      </w:r>
      <w:r>
        <w:t>n</w:t>
      </w:r>
      <w:r w:rsidR="008C7BD5">
        <w:t xml:space="preserve"> treatment </w:t>
      </w:r>
      <w:r w:rsidR="005B297A">
        <w:t>at 24 weeks (</w:t>
      </w:r>
      <w:r w:rsidR="00354FE8">
        <w:t>i.e.</w:t>
      </w:r>
      <w:r w:rsidR="005B297A">
        <w:t xml:space="preserve"> after 2 treatments), </w:t>
      </w:r>
      <w:r w:rsidR="008C7BD5">
        <w:t xml:space="preserve">71.4%, was </w:t>
      </w:r>
      <w:r w:rsidR="005B297A">
        <w:t xml:space="preserve"> </w:t>
      </w:r>
      <w:r w:rsidR="008C7BD5">
        <w:t xml:space="preserve">more than </w:t>
      </w:r>
      <w:r w:rsidR="005B297A">
        <w:t>double that predicted</w:t>
      </w:r>
      <w:r w:rsidR="0012529D">
        <w:t xml:space="preserve"> from trial data</w:t>
      </w:r>
      <w:r w:rsidR="008C7BD5">
        <w:t>, 32.9%.</w:t>
      </w:r>
    </w:p>
    <w:p w:rsidR="00533BDE" w:rsidRDefault="00533BDE" w:rsidP="00BB03D1">
      <w:pPr>
        <w:pStyle w:val="ListParagraph"/>
        <w:numPr>
          <w:ilvl w:val="0"/>
          <w:numId w:val="1"/>
        </w:numPr>
        <w:ind w:left="357" w:hanging="357"/>
      </w:pPr>
      <w:r>
        <w:t xml:space="preserve">PBS prescription data are insufficient to assess compliance with the PBS restriction </w:t>
      </w:r>
      <w:r w:rsidR="00F12140">
        <w:t>regarding</w:t>
      </w:r>
      <w:r>
        <w:t xml:space="preserve"> patients having experienced an inadequate response, intolerance or a contraindication to at least three prophylactic migraine medications and management of medication overuse headache prio</w:t>
      </w:r>
      <w:r w:rsidR="005A7522">
        <w:t>r</w:t>
      </w:r>
      <w:r>
        <w:t xml:space="preserve"> to commencing botulinum toxin</w:t>
      </w:r>
      <w:r w:rsidR="005A7522">
        <w:t>. M</w:t>
      </w:r>
      <w:r>
        <w:t>any prophylactic and acute treatment</w:t>
      </w:r>
      <w:r w:rsidR="005A7522">
        <w:t>s</w:t>
      </w:r>
      <w:r>
        <w:t xml:space="preserve"> for migraine are available over the counter, </w:t>
      </w:r>
      <w:r w:rsidR="00533E70">
        <w:t>can</w:t>
      </w:r>
      <w:r>
        <w:t xml:space="preserve"> be provided on private prescription</w:t>
      </w:r>
      <w:r w:rsidR="005A7522">
        <w:t>,</w:t>
      </w:r>
      <w:r>
        <w:t xml:space="preserve"> and</w:t>
      </w:r>
      <w:r w:rsidR="005A7522">
        <w:t>/or</w:t>
      </w:r>
      <w:r>
        <w:t xml:space="preserve"> </w:t>
      </w:r>
      <w:r w:rsidR="005A7522">
        <w:t xml:space="preserve">are priced under the </w:t>
      </w:r>
      <w:r w:rsidR="00F26A26">
        <w:t>general</w:t>
      </w:r>
      <w:r w:rsidR="005A7522">
        <w:t xml:space="preserve"> patient co</w:t>
      </w:r>
      <w:r w:rsidR="005A7522">
        <w:noBreakHyphen/>
        <w:t xml:space="preserve">payment and are not included in the PBS </w:t>
      </w:r>
      <w:r>
        <w:t>data</w:t>
      </w:r>
      <w:r w:rsidR="005A7522">
        <w:t>set</w:t>
      </w:r>
      <w:r>
        <w:t>.</w:t>
      </w:r>
    </w:p>
    <w:p w:rsidR="00A945FD" w:rsidRDefault="00EE3199" w:rsidP="00BB03D1">
      <w:pPr>
        <w:pStyle w:val="ListParagraph"/>
        <w:numPr>
          <w:ilvl w:val="0"/>
          <w:numId w:val="1"/>
        </w:numPr>
        <w:ind w:left="357" w:hanging="357"/>
      </w:pPr>
      <w:r>
        <w:t>T</w:t>
      </w:r>
      <w:r w:rsidR="002A7ACE">
        <w:t>reatment rate</w:t>
      </w:r>
      <w:r>
        <w:t>s in most states were similar with approximately</w:t>
      </w:r>
      <w:r w:rsidR="0023388D">
        <w:t xml:space="preserve"> 23-32 patients per 100,000. Treatment rates were substantially higher in the ACT (105 per 100,000) and substantially lower in the NT (5 per 100,000).</w:t>
      </w:r>
    </w:p>
    <w:p w:rsidR="00A84B5B" w:rsidRDefault="00A84B5B" w:rsidP="009B2FEE">
      <w:pPr>
        <w:pStyle w:val="ListParagraph"/>
        <w:ind w:left="360"/>
      </w:pPr>
    </w:p>
    <w:p w:rsidR="001812CA" w:rsidRDefault="001812CA">
      <w:pPr>
        <w:spacing w:line="276" w:lineRule="auto"/>
        <w:rPr>
          <w:b/>
          <w:sz w:val="32"/>
          <w:szCs w:val="32"/>
        </w:rPr>
      </w:pPr>
      <w:r>
        <w:rPr>
          <w:i/>
        </w:rPr>
        <w:br w:type="page"/>
      </w:r>
    </w:p>
    <w:p w:rsidR="00321A19" w:rsidRPr="005C2511" w:rsidRDefault="00321A19" w:rsidP="005C2511">
      <w:pPr>
        <w:pStyle w:val="Heading3"/>
        <w:rPr>
          <w:i w:val="0"/>
          <w:sz w:val="32"/>
          <w:szCs w:val="32"/>
        </w:rPr>
      </w:pPr>
      <w:r w:rsidRPr="005C2511">
        <w:rPr>
          <w:i w:val="0"/>
          <w:sz w:val="32"/>
          <w:szCs w:val="32"/>
        </w:rPr>
        <w:lastRenderedPageBreak/>
        <w:t>Purpose of analysis</w:t>
      </w:r>
    </w:p>
    <w:p w:rsidR="00BB03D1" w:rsidRDefault="00BB03D1" w:rsidP="00BB03D1">
      <w:pPr>
        <w:spacing w:after="0"/>
      </w:pPr>
      <w:r w:rsidRPr="00BB03D1">
        <w:t xml:space="preserve">To compare the predicted and actual utilisation of </w:t>
      </w:r>
      <w:r w:rsidR="006353A0">
        <w:rPr>
          <w:rFonts w:eastAsia="Times New Roman" w:cs="Arial"/>
          <w:color w:val="222222"/>
        </w:rPr>
        <w:t>b</w:t>
      </w:r>
      <w:r w:rsidRPr="00BB03D1">
        <w:rPr>
          <w:rFonts w:eastAsia="Times New Roman" w:cs="Arial"/>
          <w:color w:val="222222"/>
        </w:rPr>
        <w:t xml:space="preserve">otulinum toxin type A (Botox®) </w:t>
      </w:r>
      <w:r w:rsidRPr="00BB03D1">
        <w:t>for chronic migraine in adults since it was listed for this indication in March 2014.</w:t>
      </w:r>
    </w:p>
    <w:p w:rsidR="00821C17" w:rsidRDefault="00821C17" w:rsidP="00813FF0">
      <w:pPr>
        <w:pStyle w:val="Heading4"/>
        <w:rPr>
          <w:i w:val="0"/>
        </w:rPr>
      </w:pPr>
      <w:r w:rsidRPr="008250BC">
        <w:rPr>
          <w:i w:val="0"/>
        </w:rPr>
        <w:t>Background</w:t>
      </w:r>
    </w:p>
    <w:p w:rsidR="00B75259" w:rsidRPr="00B87CD5" w:rsidRDefault="00B75259" w:rsidP="00B75259">
      <w:pPr>
        <w:spacing w:before="240"/>
        <w:outlineLvl w:val="1"/>
        <w:rPr>
          <w:rFonts w:ascii="Calibri" w:eastAsia="MS Mincho" w:hAnsi="Calibri" w:cs="Times New Roman"/>
          <w:b/>
          <w:sz w:val="28"/>
        </w:rPr>
      </w:pPr>
      <w:r w:rsidRPr="00B87CD5">
        <w:rPr>
          <w:rFonts w:ascii="Calibri" w:eastAsia="MS Mincho" w:hAnsi="Calibri" w:cs="Times New Roman"/>
          <w:b/>
          <w:sz w:val="28"/>
        </w:rPr>
        <w:t>Clinical situation</w:t>
      </w:r>
    </w:p>
    <w:p w:rsidR="00B75259" w:rsidRPr="00DD53A7" w:rsidRDefault="00B75259" w:rsidP="00F74FFD">
      <w:pPr>
        <w:rPr>
          <w:rFonts w:eastAsia="MS Mincho"/>
        </w:rPr>
      </w:pPr>
      <w:r w:rsidRPr="00DD53A7">
        <w:rPr>
          <w:rFonts w:eastAsia="MS Mincho"/>
        </w:rPr>
        <w:t>Migraine is a primary headache disorder that manifests as severe headache, typically with an intense throbbing pain that is aggravated by routine physical activity. Patients may also have associated symptoms such as nausea, vomiting, visual problems and increased sensitivity to light or sound.</w:t>
      </w:r>
    </w:p>
    <w:p w:rsidR="007B0032" w:rsidRDefault="00B75259" w:rsidP="00F74FFD">
      <w:pPr>
        <w:rPr>
          <w:rFonts w:eastAsia="MS Mincho"/>
        </w:rPr>
      </w:pPr>
      <w:r w:rsidRPr="00DD53A7">
        <w:rPr>
          <w:rFonts w:eastAsia="MS Mincho"/>
        </w:rPr>
        <w:t>Chronic migraine (CM) is a sub-type of chronic daily headache (CDH)</w:t>
      </w:r>
      <w:r w:rsidR="002C0C5F">
        <w:rPr>
          <w:rFonts w:eastAsia="MS Mincho"/>
        </w:rPr>
        <w:t xml:space="preserve"> .The International Classification for Headache Disorders defines chronic migraine a</w:t>
      </w:r>
      <w:r w:rsidRPr="00DD53A7">
        <w:rPr>
          <w:rFonts w:eastAsia="MS Mincho"/>
        </w:rPr>
        <w:t>s headache on at least 15 days per month, with at least 8 headache days meeting the criteria for migraine without aura.</w:t>
      </w:r>
      <w:r w:rsidR="00A20114">
        <w:rPr>
          <w:rStyle w:val="FootnoteReference"/>
          <w:rFonts w:ascii="Calibri" w:eastAsia="MS Mincho" w:hAnsi="Calibri" w:cs="Times New Roman"/>
          <w:szCs w:val="28"/>
        </w:rPr>
        <w:footnoteReference w:id="1"/>
      </w:r>
      <w:r w:rsidRPr="00DD53A7">
        <w:rPr>
          <w:rFonts w:eastAsia="MS Mincho"/>
        </w:rPr>
        <w:t xml:space="preserve"> </w:t>
      </w:r>
    </w:p>
    <w:p w:rsidR="00B75259" w:rsidRPr="00DD53A7" w:rsidRDefault="00B75259" w:rsidP="00F74FFD">
      <w:pPr>
        <w:rPr>
          <w:rFonts w:eastAsia="MS Mincho"/>
        </w:rPr>
      </w:pPr>
      <w:r w:rsidRPr="00DD53A7">
        <w:rPr>
          <w:rFonts w:eastAsia="MS Mincho"/>
        </w:rPr>
        <w:t>Drug therapy options for patients with frequent headaches include acute pain medications and preventive treatments (prophylaxis). The aims of prophylaxis are to reduce attack frequency, severity and duration; reduce the risk of medication overuse, defined as the use of certain analgesics on 10-15 days or more per month; and improve quality of life.</w:t>
      </w:r>
    </w:p>
    <w:p w:rsidR="00B87CD5" w:rsidRPr="00B87CD5" w:rsidRDefault="00B87CD5" w:rsidP="00B87CD5">
      <w:pPr>
        <w:spacing w:before="240"/>
        <w:outlineLvl w:val="1"/>
        <w:rPr>
          <w:rFonts w:ascii="Calibri" w:eastAsia="MS Mincho" w:hAnsi="Calibri" w:cs="Times New Roman"/>
          <w:b/>
          <w:sz w:val="28"/>
        </w:rPr>
      </w:pPr>
      <w:r w:rsidRPr="00B87CD5">
        <w:rPr>
          <w:rFonts w:ascii="Calibri" w:eastAsia="MS Mincho" w:hAnsi="Calibri" w:cs="Times New Roman"/>
          <w:b/>
          <w:sz w:val="28"/>
        </w:rPr>
        <w:t>Pharmacology</w:t>
      </w:r>
      <w:bookmarkStart w:id="1" w:name="_Ref480809451"/>
      <w:r w:rsidR="001B42CA">
        <w:rPr>
          <w:rStyle w:val="FootnoteReference"/>
          <w:rFonts w:ascii="Calibri" w:eastAsia="MS Mincho" w:hAnsi="Calibri" w:cs="Times New Roman"/>
          <w:b/>
          <w:sz w:val="28"/>
        </w:rPr>
        <w:footnoteReference w:id="2"/>
      </w:r>
      <w:bookmarkEnd w:id="1"/>
    </w:p>
    <w:p w:rsidR="00132AE8" w:rsidRDefault="000D45F0" w:rsidP="00F74FFD">
      <w:r>
        <w:t>Botulinum toxin type A is a</w:t>
      </w:r>
      <w:r w:rsidR="00132AE8">
        <w:t xml:space="preserve"> neuromuscular blocking agent</w:t>
      </w:r>
      <w:r>
        <w:t xml:space="preserve"> that</w:t>
      </w:r>
      <w:r w:rsidR="00132AE8">
        <w:t xml:space="preserve"> blocks peripheral acetylcholine release at presynaptic cholinergic nerve terminals by cleaving SNAP-25, a protein integral to the docking and release of acetylcholine from vesicles located within the nerve terminals. </w:t>
      </w:r>
    </w:p>
    <w:p w:rsidR="00132AE8" w:rsidRDefault="00132AE8" w:rsidP="00F74FFD">
      <w:r>
        <w:t>Limited non</w:t>
      </w:r>
      <w:r w:rsidR="00BB03D1">
        <w:t>clinical data suggest that Botox</w:t>
      </w:r>
      <w:r w:rsidR="00C71E83" w:rsidRPr="009B2FEE">
        <w:rPr>
          <w:vertAlign w:val="superscript"/>
        </w:rPr>
        <w:sym w:font="Symbol" w:char="F0E2"/>
      </w:r>
      <w:r>
        <w:t xml:space="preserve"> may reduce sensitisation processes, but the actual mechanism of action for headache prophylaxis is not known.</w:t>
      </w:r>
    </w:p>
    <w:p w:rsidR="00B87CD5" w:rsidRPr="00B87CD5" w:rsidRDefault="00B87CD5" w:rsidP="00B87CD5">
      <w:pPr>
        <w:spacing w:before="240"/>
        <w:outlineLvl w:val="1"/>
        <w:rPr>
          <w:rFonts w:ascii="Calibri" w:eastAsia="MS Mincho" w:hAnsi="Calibri" w:cs="Times New Roman"/>
          <w:b/>
          <w:sz w:val="28"/>
        </w:rPr>
      </w:pPr>
      <w:r w:rsidRPr="00B87CD5">
        <w:rPr>
          <w:rFonts w:ascii="Calibri" w:eastAsia="MS Mincho" w:hAnsi="Calibri" w:cs="Times New Roman"/>
          <w:b/>
          <w:sz w:val="28"/>
        </w:rPr>
        <w:t>Therapeutic Goods Administration (TGA) approved indications</w:t>
      </w:r>
      <w:r w:rsidR="001B42CA" w:rsidRPr="009B2FEE">
        <w:rPr>
          <w:rFonts w:ascii="Calibri" w:eastAsia="MS Mincho" w:hAnsi="Calibri" w:cs="Times New Roman"/>
          <w:b/>
          <w:sz w:val="28"/>
          <w:vertAlign w:val="superscript"/>
        </w:rPr>
        <w:t>2</w:t>
      </w:r>
    </w:p>
    <w:p w:rsidR="00B87CD5" w:rsidRPr="00B87CD5" w:rsidRDefault="00132AE8" w:rsidP="00132AE8">
      <w:pPr>
        <w:shd w:val="clear" w:color="auto" w:fill="FFFFFF"/>
        <w:rPr>
          <w:rFonts w:eastAsia="Times New Roman" w:cs="Arial"/>
          <w:color w:val="222222"/>
        </w:rPr>
      </w:pPr>
      <w:r w:rsidRPr="00132AE8">
        <w:rPr>
          <w:rFonts w:eastAsia="Times New Roman" w:cs="Arial"/>
          <w:color w:val="222222"/>
        </w:rPr>
        <w:t>Botox</w:t>
      </w:r>
      <w:r w:rsidR="00C71E83" w:rsidRPr="009B2FEE">
        <w:rPr>
          <w:rFonts w:eastAsia="Times New Roman" w:cs="Arial"/>
          <w:color w:val="222222"/>
          <w:vertAlign w:val="superscript"/>
        </w:rPr>
        <w:sym w:font="Symbol" w:char="F0E2"/>
      </w:r>
      <w:r w:rsidR="00B87CD5" w:rsidRPr="00132AE8">
        <w:rPr>
          <w:rFonts w:eastAsia="Times New Roman" w:cs="Arial"/>
          <w:color w:val="222222"/>
        </w:rPr>
        <w:t xml:space="preserve"> </w:t>
      </w:r>
      <w:r w:rsidR="00B87CD5" w:rsidRPr="00B87CD5">
        <w:rPr>
          <w:rFonts w:eastAsia="Times New Roman" w:cs="Arial"/>
          <w:color w:val="222222"/>
        </w:rPr>
        <w:t xml:space="preserve">was registered by the TGA </w:t>
      </w:r>
      <w:r w:rsidRPr="00132AE8">
        <w:rPr>
          <w:rFonts w:eastAsia="Times New Roman" w:cs="Arial"/>
          <w:color w:val="222222"/>
        </w:rPr>
        <w:t xml:space="preserve">on </w:t>
      </w:r>
      <w:r w:rsidRPr="00B87CD5">
        <w:rPr>
          <w:rFonts w:eastAsia="Times New Roman" w:cs="Arial"/>
          <w:color w:val="222222"/>
        </w:rPr>
        <w:t xml:space="preserve">5 March 2011 </w:t>
      </w:r>
      <w:r w:rsidR="00B87CD5" w:rsidRPr="00B87CD5">
        <w:rPr>
          <w:rFonts w:eastAsia="Times New Roman" w:cs="Arial"/>
          <w:color w:val="222222"/>
        </w:rPr>
        <w:t>for the indication:</w:t>
      </w:r>
    </w:p>
    <w:p w:rsidR="00B87CD5" w:rsidRPr="00B87CD5" w:rsidRDefault="00B87CD5" w:rsidP="00BB03D1">
      <w:pPr>
        <w:pStyle w:val="ListParagraph"/>
        <w:numPr>
          <w:ilvl w:val="0"/>
          <w:numId w:val="10"/>
        </w:numPr>
        <w:shd w:val="clear" w:color="auto" w:fill="FFFFFF"/>
        <w:spacing w:before="240"/>
      </w:pPr>
      <w:r w:rsidRPr="00B87CD5">
        <w:t>Prophylaxis of headaches in adults with chronic migraine (headaches on at least 15 days per month of which at least 8 days are with migraine).</w:t>
      </w:r>
    </w:p>
    <w:p w:rsidR="00991E6F" w:rsidRDefault="00991E6F">
      <w:pPr>
        <w:spacing w:line="276" w:lineRule="auto"/>
        <w:rPr>
          <w:rFonts w:eastAsia="Times New Roman" w:cs="Arial"/>
          <w:color w:val="222222"/>
        </w:rPr>
      </w:pPr>
      <w:r>
        <w:rPr>
          <w:rFonts w:eastAsia="Times New Roman" w:cs="Arial"/>
          <w:color w:val="222222"/>
        </w:rPr>
        <w:br w:type="page"/>
      </w:r>
    </w:p>
    <w:p w:rsidR="00B87CD5" w:rsidRPr="00132AE8" w:rsidRDefault="00B87CD5" w:rsidP="00132AE8">
      <w:pPr>
        <w:shd w:val="clear" w:color="auto" w:fill="FFFFFF"/>
        <w:spacing w:before="240"/>
        <w:rPr>
          <w:rFonts w:eastAsia="Times New Roman" w:cs="Arial"/>
          <w:color w:val="222222"/>
        </w:rPr>
      </w:pPr>
      <w:r w:rsidRPr="00B87CD5">
        <w:rPr>
          <w:rFonts w:eastAsia="Times New Roman" w:cs="Arial"/>
          <w:color w:val="222222"/>
        </w:rPr>
        <w:lastRenderedPageBreak/>
        <w:t xml:space="preserve">Botox is also </w:t>
      </w:r>
      <w:r w:rsidR="00522E22">
        <w:rPr>
          <w:rFonts w:eastAsia="Times New Roman" w:cs="Arial"/>
          <w:color w:val="222222"/>
        </w:rPr>
        <w:t xml:space="preserve">currently </w:t>
      </w:r>
      <w:r w:rsidRPr="00B87CD5">
        <w:rPr>
          <w:rFonts w:eastAsia="Times New Roman" w:cs="Arial"/>
          <w:color w:val="222222"/>
        </w:rPr>
        <w:t xml:space="preserve">registered by the TGA for the following </w:t>
      </w:r>
      <w:r w:rsidR="00BB195F">
        <w:t>therapeutic indications</w:t>
      </w:r>
      <w:r w:rsidR="001E77C6">
        <w:t>:</w:t>
      </w:r>
    </w:p>
    <w:p w:rsidR="00132AE8" w:rsidRPr="00132AE8" w:rsidRDefault="00132AE8" w:rsidP="00BB03D1">
      <w:pPr>
        <w:pStyle w:val="ListParagraph"/>
        <w:numPr>
          <w:ilvl w:val="0"/>
          <w:numId w:val="10"/>
        </w:numPr>
        <w:shd w:val="clear" w:color="auto" w:fill="FFFFFF"/>
        <w:spacing w:before="240"/>
      </w:pPr>
      <w:r w:rsidRPr="00132AE8">
        <w:t>treatment of overactive bladder with symptoms of urinary incontinence, urgency and frequency, in adult patients who have an inadequate response to or are intolerant of an anticholinergic medication</w:t>
      </w:r>
    </w:p>
    <w:p w:rsidR="00132AE8" w:rsidRPr="00132AE8" w:rsidRDefault="00132AE8" w:rsidP="00BB03D1">
      <w:pPr>
        <w:pStyle w:val="ListParagraph"/>
        <w:numPr>
          <w:ilvl w:val="0"/>
          <w:numId w:val="10"/>
        </w:numPr>
        <w:shd w:val="clear" w:color="auto" w:fill="FFFFFF"/>
        <w:spacing w:before="240"/>
      </w:pPr>
      <w:r w:rsidRPr="00132AE8">
        <w:t>treatment of urinary incontinence due to neurogenic detrusor overactivity resulting from a defined neurological illness (such as spinal cord injury or multiple sclerosis) and not controlled adequately by anticholinergic agents</w:t>
      </w:r>
    </w:p>
    <w:p w:rsidR="00132AE8" w:rsidRPr="00132AE8" w:rsidRDefault="00132AE8" w:rsidP="00BB03D1">
      <w:pPr>
        <w:pStyle w:val="ListParagraph"/>
        <w:numPr>
          <w:ilvl w:val="0"/>
          <w:numId w:val="10"/>
        </w:numPr>
        <w:shd w:val="clear" w:color="auto" w:fill="FFFFFF"/>
        <w:spacing w:before="240"/>
      </w:pPr>
      <w:r w:rsidRPr="00132AE8">
        <w:t>treatment of strabismus in children and adults</w:t>
      </w:r>
    </w:p>
    <w:p w:rsidR="00132AE8" w:rsidRPr="00132AE8" w:rsidRDefault="00132AE8" w:rsidP="00BB03D1">
      <w:pPr>
        <w:pStyle w:val="ListParagraph"/>
        <w:numPr>
          <w:ilvl w:val="0"/>
          <w:numId w:val="10"/>
        </w:numPr>
        <w:shd w:val="clear" w:color="auto" w:fill="FFFFFF"/>
        <w:spacing w:before="240"/>
      </w:pPr>
      <w:r w:rsidRPr="00132AE8">
        <w:t>treatment of blepharospasm associated with dystonia, including benign blepharospasm and VIIth nerve disorders (specifically hemifacial spasm) in patients twelve years and over</w:t>
      </w:r>
    </w:p>
    <w:p w:rsidR="00132AE8" w:rsidRPr="00132AE8" w:rsidRDefault="00132AE8" w:rsidP="00BB03D1">
      <w:pPr>
        <w:pStyle w:val="ListParagraph"/>
        <w:numPr>
          <w:ilvl w:val="0"/>
          <w:numId w:val="10"/>
        </w:numPr>
        <w:shd w:val="clear" w:color="auto" w:fill="FFFFFF"/>
        <w:spacing w:before="240"/>
      </w:pPr>
      <w:r w:rsidRPr="00132AE8">
        <w:t>treatment of cervical dystonia (spasmodic torticollis)</w:t>
      </w:r>
    </w:p>
    <w:p w:rsidR="00132AE8" w:rsidRPr="00132AE8" w:rsidRDefault="00132AE8" w:rsidP="00BB03D1">
      <w:pPr>
        <w:pStyle w:val="ListParagraph"/>
        <w:numPr>
          <w:ilvl w:val="0"/>
          <w:numId w:val="10"/>
        </w:numPr>
        <w:shd w:val="clear" w:color="auto" w:fill="FFFFFF"/>
        <w:spacing w:before="240"/>
      </w:pPr>
      <w:r w:rsidRPr="00132AE8">
        <w:t>treatment of focal spasticity of the upper and lower limbs, including dynamic equinus foot deformity, due to juvenile cerebral palsy in patients two years and older</w:t>
      </w:r>
    </w:p>
    <w:p w:rsidR="00132AE8" w:rsidRPr="00132AE8" w:rsidRDefault="00132AE8" w:rsidP="00BB03D1">
      <w:pPr>
        <w:pStyle w:val="ListParagraph"/>
        <w:numPr>
          <w:ilvl w:val="0"/>
          <w:numId w:val="10"/>
        </w:numPr>
        <w:shd w:val="clear" w:color="auto" w:fill="FFFFFF"/>
        <w:spacing w:before="240"/>
      </w:pPr>
      <w:r w:rsidRPr="00132AE8">
        <w:t xml:space="preserve">treatment of severe primary hyperhidrosis of the axillae </w:t>
      </w:r>
    </w:p>
    <w:p w:rsidR="00132AE8" w:rsidRPr="00132AE8" w:rsidRDefault="00132AE8" w:rsidP="00BB03D1">
      <w:pPr>
        <w:pStyle w:val="ListParagraph"/>
        <w:numPr>
          <w:ilvl w:val="0"/>
          <w:numId w:val="10"/>
        </w:numPr>
        <w:shd w:val="clear" w:color="auto" w:fill="FFFFFF"/>
        <w:spacing w:before="240"/>
      </w:pPr>
      <w:r w:rsidRPr="00132AE8">
        <w:t xml:space="preserve">treatment of focal spasticity in adults </w:t>
      </w:r>
    </w:p>
    <w:p w:rsidR="00132AE8" w:rsidRPr="009B2FEE" w:rsidRDefault="00132AE8" w:rsidP="00BB03D1">
      <w:pPr>
        <w:pStyle w:val="ListParagraph"/>
        <w:numPr>
          <w:ilvl w:val="0"/>
          <w:numId w:val="10"/>
        </w:numPr>
        <w:shd w:val="clear" w:color="auto" w:fill="FFFFFF"/>
        <w:spacing w:before="240"/>
        <w:rPr>
          <w:rFonts w:eastAsia="Times New Roman" w:cs="Arial"/>
          <w:color w:val="222222"/>
        </w:rPr>
      </w:pPr>
      <w:r w:rsidRPr="00132AE8">
        <w:t>treatment of spasmodic dysphonia.</w:t>
      </w:r>
    </w:p>
    <w:p w:rsidR="001812CA" w:rsidRPr="009B2FEE" w:rsidRDefault="001E77C6" w:rsidP="009B2FEE">
      <w:pPr>
        <w:shd w:val="clear" w:color="auto" w:fill="FFFFFF"/>
        <w:spacing w:before="240"/>
        <w:rPr>
          <w:rFonts w:eastAsia="Times New Roman" w:cs="Arial"/>
          <w:color w:val="222222"/>
        </w:rPr>
      </w:pPr>
      <w:r>
        <w:rPr>
          <w:rFonts w:eastAsia="Times New Roman" w:cs="Arial"/>
          <w:color w:val="222222"/>
        </w:rPr>
        <w:t>Many of t</w:t>
      </w:r>
      <w:r w:rsidR="001812CA">
        <w:rPr>
          <w:rFonts w:eastAsia="Times New Roman" w:cs="Arial"/>
          <w:color w:val="222222"/>
        </w:rPr>
        <w:t>hese indications are PBS subsidised</w:t>
      </w:r>
      <w:r>
        <w:rPr>
          <w:rFonts w:eastAsia="Times New Roman" w:cs="Arial"/>
          <w:color w:val="222222"/>
        </w:rPr>
        <w:t xml:space="preserve"> under certain circumstances</w:t>
      </w:r>
      <w:r w:rsidR="001812CA">
        <w:rPr>
          <w:rFonts w:eastAsia="Times New Roman" w:cs="Arial"/>
          <w:color w:val="222222"/>
        </w:rPr>
        <w:t xml:space="preserve"> for patients meeting </w:t>
      </w:r>
      <w:r>
        <w:rPr>
          <w:rFonts w:eastAsia="Times New Roman" w:cs="Arial"/>
          <w:color w:val="222222"/>
        </w:rPr>
        <w:t>defined</w:t>
      </w:r>
      <w:r w:rsidR="001812CA">
        <w:rPr>
          <w:rFonts w:eastAsia="Times New Roman" w:cs="Arial"/>
          <w:color w:val="222222"/>
        </w:rPr>
        <w:t xml:space="preserve"> criteria. Refer to </w:t>
      </w:r>
      <w:r w:rsidR="001812CA" w:rsidRPr="00073AF2">
        <w:rPr>
          <w:rFonts w:eastAsia="Times New Roman" w:cs="Arial"/>
        </w:rPr>
        <w:t>pbs.gov.au</w:t>
      </w:r>
      <w:r w:rsidR="001812CA">
        <w:rPr>
          <w:rFonts w:eastAsia="Times New Roman" w:cs="Arial"/>
          <w:color w:val="222222"/>
        </w:rPr>
        <w:t xml:space="preserve"> for full details.</w:t>
      </w:r>
    </w:p>
    <w:p w:rsidR="00BB195F" w:rsidRDefault="00BB195F" w:rsidP="00BB195F">
      <w:pPr>
        <w:shd w:val="clear" w:color="auto" w:fill="FFFFFF"/>
      </w:pPr>
      <w:r w:rsidRPr="00B87CD5">
        <w:rPr>
          <w:rFonts w:eastAsia="Times New Roman" w:cs="Arial"/>
          <w:color w:val="222222"/>
        </w:rPr>
        <w:t xml:space="preserve">Botox is also </w:t>
      </w:r>
      <w:r w:rsidR="00522E22">
        <w:rPr>
          <w:rFonts w:eastAsia="Times New Roman" w:cs="Arial"/>
          <w:color w:val="222222"/>
        </w:rPr>
        <w:t xml:space="preserve">currently </w:t>
      </w:r>
      <w:r w:rsidRPr="00B87CD5">
        <w:rPr>
          <w:rFonts w:eastAsia="Times New Roman" w:cs="Arial"/>
          <w:color w:val="222222"/>
        </w:rPr>
        <w:t xml:space="preserve">registered by the TGA for the following </w:t>
      </w:r>
      <w:r>
        <w:t>cosmetic indications:</w:t>
      </w:r>
    </w:p>
    <w:p w:rsidR="00BB195F" w:rsidRPr="00BB195F" w:rsidRDefault="00BB195F" w:rsidP="00BB195F">
      <w:pPr>
        <w:pStyle w:val="ListParagraph"/>
        <w:numPr>
          <w:ilvl w:val="0"/>
          <w:numId w:val="11"/>
        </w:numPr>
        <w:shd w:val="clear" w:color="auto" w:fill="FFFFFF"/>
        <w:spacing w:before="240"/>
      </w:pPr>
      <w:r>
        <w:t>temporary improvement in the appearance of upper facial rhytides (glabellar lines, crow’s feet and forehead lines) in adults</w:t>
      </w:r>
    </w:p>
    <w:p w:rsidR="00B87CD5" w:rsidRPr="00B87CD5" w:rsidRDefault="00B87CD5" w:rsidP="009B2FEE">
      <w:pPr>
        <w:spacing w:line="276" w:lineRule="auto"/>
        <w:rPr>
          <w:rFonts w:ascii="Calibri" w:eastAsia="MS Mincho" w:hAnsi="Calibri" w:cs="Times New Roman"/>
          <w:b/>
          <w:sz w:val="28"/>
        </w:rPr>
      </w:pPr>
      <w:r w:rsidRPr="00B87CD5">
        <w:rPr>
          <w:rFonts w:ascii="Calibri" w:eastAsia="MS Mincho" w:hAnsi="Calibri" w:cs="Times New Roman"/>
          <w:b/>
          <w:sz w:val="28"/>
        </w:rPr>
        <w:t>Dosage and administration</w:t>
      </w:r>
      <w:r w:rsidR="00D86398">
        <w:rPr>
          <w:rStyle w:val="FootnoteReference"/>
          <w:rFonts w:ascii="Calibri" w:eastAsia="MS Mincho" w:hAnsi="Calibri" w:cs="Times New Roman"/>
          <w:b/>
          <w:sz w:val="28"/>
        </w:rPr>
        <w:footnoteReference w:id="3"/>
      </w:r>
      <w:r w:rsidR="001E77C6">
        <w:rPr>
          <w:rFonts w:ascii="Calibri" w:eastAsia="MS Mincho" w:hAnsi="Calibri" w:cs="Times New Roman"/>
          <w:b/>
          <w:sz w:val="28"/>
        </w:rPr>
        <w:t xml:space="preserve"> </w:t>
      </w:r>
    </w:p>
    <w:p w:rsidR="001E77C6" w:rsidRPr="009B2FEE" w:rsidRDefault="001E77C6" w:rsidP="005C4E4B">
      <w:r w:rsidRPr="009B2FEE">
        <w:t>A brief summar</w:t>
      </w:r>
      <w:r w:rsidR="00845ED9" w:rsidRPr="000D45F0">
        <w:t xml:space="preserve">y of the dosage and </w:t>
      </w:r>
      <w:r w:rsidR="00400931" w:rsidRPr="000D45F0">
        <w:t>admini</w:t>
      </w:r>
      <w:r w:rsidR="00400931">
        <w:t>stration</w:t>
      </w:r>
      <w:r w:rsidRPr="009B2FEE">
        <w:t xml:space="preserve"> for Botox</w:t>
      </w:r>
      <w:r w:rsidR="00845ED9" w:rsidRPr="009B2FEE">
        <w:rPr>
          <w:vertAlign w:val="superscript"/>
        </w:rPr>
        <w:sym w:font="Symbol" w:char="F0E2"/>
      </w:r>
      <w:r w:rsidRPr="009B2FEE">
        <w:t xml:space="preserve"> for the chronic migraine indication is provided below. </w:t>
      </w:r>
      <w:r w:rsidR="00845ED9">
        <w:t>Refer to the Product Information (PI)</w:t>
      </w:r>
      <w:r w:rsidR="00845ED9" w:rsidRPr="00E22270">
        <w:t xml:space="preserve"> for full details</w:t>
      </w:r>
      <w:r w:rsidR="00845ED9" w:rsidRPr="009B2FEE">
        <w:t xml:space="preserve"> available from the </w:t>
      </w:r>
      <w:r w:rsidR="00845ED9" w:rsidRPr="00073AF2">
        <w:t>TGA</w:t>
      </w:r>
      <w:r w:rsidR="005C4E4B" w:rsidRPr="00073AF2">
        <w:t xml:space="preserve"> website</w:t>
      </w:r>
      <w:r w:rsidR="00845ED9" w:rsidRPr="009B2FEE">
        <w:t>.</w:t>
      </w:r>
    </w:p>
    <w:p w:rsidR="00845ED9" w:rsidRPr="004D7D4C" w:rsidRDefault="00845ED9" w:rsidP="00845ED9">
      <w:r>
        <w:rPr>
          <w:rFonts w:eastAsia="Times New Roman" w:cs="Arial"/>
          <w:color w:val="222222"/>
        </w:rPr>
        <w:t>Botox</w:t>
      </w:r>
      <w:r w:rsidRPr="004D7D4C">
        <w:t xml:space="preserve"> should only be given by physicians with the appropriate qualifications and experience in the treatment of patients and the use of required equipment. </w:t>
      </w:r>
    </w:p>
    <w:p w:rsidR="00624AF1" w:rsidRDefault="00845ED9" w:rsidP="00B87CD5">
      <w:r>
        <w:t xml:space="preserve">The recommended dose for treating chronic migraine is 155 U to 195 U administered intramuscularly (IM) . </w:t>
      </w:r>
      <w:r w:rsidR="00522E22">
        <w:t xml:space="preserve">Injections should be divided across 7 specific head/neck muscle areas as specified in the </w:t>
      </w:r>
      <w:r>
        <w:t>Product Information</w:t>
      </w:r>
      <w:r w:rsidR="00822378">
        <w:t>. A summary is provided in</w:t>
      </w:r>
      <w:r w:rsidR="00624AF1">
        <w:t xml:space="preserve"> Appendix A. </w:t>
      </w:r>
      <w:r w:rsidR="00522E22">
        <w:t xml:space="preserve">The recommended re-treatment schedule is every 12 weeks. </w:t>
      </w:r>
    </w:p>
    <w:p w:rsidR="004D7D4C" w:rsidRDefault="00522E22" w:rsidP="00B87CD5">
      <w:r>
        <w:t xml:space="preserve">Due to the difficulties in establishing a diagnosis of chronic migraine, patients being considered for prophylaxis of headaches with </w:t>
      </w:r>
      <w:r w:rsidR="008A3FB3">
        <w:rPr>
          <w:rFonts w:eastAsia="Times New Roman" w:cs="Arial"/>
          <w:color w:val="222222"/>
        </w:rPr>
        <w:t>Botox</w:t>
      </w:r>
      <w:r>
        <w:t xml:space="preserve"> should be evaluated by a neurologist or pain management specialist prior to receiving treatment with </w:t>
      </w:r>
      <w:r w:rsidR="008A3FB3">
        <w:rPr>
          <w:rFonts w:eastAsia="Times New Roman" w:cs="Arial"/>
          <w:color w:val="222222"/>
        </w:rPr>
        <w:t>Botox</w:t>
      </w:r>
      <w:r>
        <w:t xml:space="preserve">. The use of </w:t>
      </w:r>
      <w:r w:rsidR="008A3FB3">
        <w:rPr>
          <w:rFonts w:eastAsia="Times New Roman" w:cs="Arial"/>
          <w:color w:val="222222"/>
        </w:rPr>
        <w:t>Botox</w:t>
      </w:r>
      <w:r w:rsidR="00822378">
        <w:rPr>
          <w:vertAlign w:val="superscript"/>
        </w:rPr>
        <w:t xml:space="preserve"> </w:t>
      </w:r>
      <w:r>
        <w:t xml:space="preserve">for prophylaxis of headaches in adults with chronic migraine has been assessed for 3 cycles </w:t>
      </w:r>
      <w:r>
        <w:lastRenderedPageBreak/>
        <w:t xml:space="preserve">over 32 weeks. No long term safety or efficacy data for this indication are available. Patients who do not have an adequate response after 2 treatment cycles should not continue treatment. Patients should not receive more than 3 cycles of treatment prior to an assessment of </w:t>
      </w:r>
      <w:r w:rsidR="0013377C">
        <w:t>the need for further treatment.</w:t>
      </w:r>
    </w:p>
    <w:p w:rsidR="0012302D" w:rsidRDefault="0012302D" w:rsidP="0012302D">
      <w:pPr>
        <w:rPr>
          <w:rFonts w:ascii="Calibri" w:eastAsia="MS Mincho" w:hAnsi="Calibri" w:cs="Baskerville"/>
        </w:rPr>
      </w:pPr>
      <w:r>
        <w:rPr>
          <w:rFonts w:ascii="Calibri" w:eastAsia="MS Mincho" w:hAnsi="Calibri" w:cs="Baskerville"/>
        </w:rPr>
        <w:t>The TGA approved PI for Botox states that due to the lack of an international unit Botox is not therapeutically equivalent to any other botulinum toxin preparations</w:t>
      </w:r>
      <w:r w:rsidRPr="00A5795B">
        <w:rPr>
          <w:rFonts w:ascii="Calibri" w:eastAsia="MS Mincho" w:hAnsi="Calibri" w:cs="Baskerville"/>
        </w:rPr>
        <w:t>.</w:t>
      </w:r>
    </w:p>
    <w:p w:rsidR="00FF609F" w:rsidRDefault="00FF609F" w:rsidP="00FF609F">
      <w:pPr>
        <w:spacing w:before="240"/>
        <w:outlineLvl w:val="1"/>
        <w:rPr>
          <w:rFonts w:ascii="Calibri" w:eastAsia="MS Mincho" w:hAnsi="Calibri" w:cs="Times New Roman"/>
          <w:b/>
          <w:sz w:val="28"/>
        </w:rPr>
      </w:pPr>
      <w:r w:rsidRPr="00B87CD5">
        <w:rPr>
          <w:rFonts w:ascii="Calibri" w:eastAsia="MS Mincho" w:hAnsi="Calibri" w:cs="Times New Roman"/>
          <w:b/>
          <w:sz w:val="28"/>
        </w:rPr>
        <w:t>Relevant aspects of consideration by the P</w:t>
      </w:r>
      <w:r>
        <w:rPr>
          <w:rFonts w:ascii="Calibri" w:eastAsia="MS Mincho" w:hAnsi="Calibri" w:cs="Times New Roman"/>
          <w:b/>
          <w:sz w:val="28"/>
        </w:rPr>
        <w:t>BAC</w:t>
      </w:r>
      <w:r w:rsidRPr="00B87CD5">
        <w:rPr>
          <w:rFonts w:ascii="Calibri" w:eastAsia="MS Mincho" w:hAnsi="Calibri" w:cs="Times New Roman"/>
          <w:b/>
          <w:sz w:val="28"/>
        </w:rPr>
        <w:t xml:space="preserve"> (abridged)</w:t>
      </w:r>
    </w:p>
    <w:p w:rsidR="00FF609F" w:rsidRDefault="00FF609F" w:rsidP="00FF609F">
      <w:pPr>
        <w:rPr>
          <w:rFonts w:ascii="Calibri" w:hAnsi="Calibri" w:cs="Arial"/>
          <w:szCs w:val="22"/>
        </w:rPr>
      </w:pPr>
      <w:r>
        <w:rPr>
          <w:rFonts w:ascii="Calibri" w:hAnsi="Calibri" w:cs="Arial"/>
          <w:szCs w:val="22"/>
        </w:rPr>
        <w:t>At its July 2013 meeting t</w:t>
      </w:r>
      <w:r w:rsidRPr="009670A7">
        <w:rPr>
          <w:rFonts w:ascii="Calibri" w:hAnsi="Calibri" w:cs="Arial"/>
          <w:szCs w:val="22"/>
        </w:rPr>
        <w:t xml:space="preserve">he </w:t>
      </w:r>
      <w:r w:rsidRPr="00DB0613">
        <w:rPr>
          <w:rFonts w:ascii="Calibri" w:hAnsi="Calibri" w:cs="Arial"/>
          <w:szCs w:val="22"/>
        </w:rPr>
        <w:t xml:space="preserve">Pharmaceutical Benefits Advisory Committee </w:t>
      </w:r>
      <w:r>
        <w:rPr>
          <w:rFonts w:ascii="Calibri" w:hAnsi="Calibri" w:cs="Arial"/>
          <w:szCs w:val="22"/>
        </w:rPr>
        <w:t>(</w:t>
      </w:r>
      <w:r w:rsidRPr="009670A7">
        <w:rPr>
          <w:rFonts w:ascii="Calibri" w:hAnsi="Calibri" w:cs="Arial"/>
          <w:szCs w:val="22"/>
        </w:rPr>
        <w:t>PBAC</w:t>
      </w:r>
      <w:r>
        <w:rPr>
          <w:rFonts w:ascii="Calibri" w:hAnsi="Calibri" w:cs="Arial"/>
          <w:szCs w:val="22"/>
        </w:rPr>
        <w:t xml:space="preserve">) recommended </w:t>
      </w:r>
      <w:r w:rsidRPr="000D436B">
        <w:rPr>
          <w:rFonts w:ascii="Calibri" w:hAnsi="Calibri" w:cs="Arial"/>
          <w:szCs w:val="22"/>
        </w:rPr>
        <w:t>Section 100 Botulinum Toxin Program</w:t>
      </w:r>
      <w:r>
        <w:rPr>
          <w:rFonts w:ascii="Calibri" w:hAnsi="Calibri" w:cs="Arial"/>
          <w:szCs w:val="22"/>
        </w:rPr>
        <w:t xml:space="preserve"> </w:t>
      </w:r>
      <w:r w:rsidRPr="000D436B">
        <w:rPr>
          <w:rFonts w:ascii="Calibri" w:hAnsi="Calibri" w:cs="Arial"/>
          <w:szCs w:val="22"/>
        </w:rPr>
        <w:t xml:space="preserve">listing for botulinum toxin type A </w:t>
      </w:r>
      <w:r>
        <w:rPr>
          <w:rFonts w:ascii="Calibri" w:hAnsi="Calibri" w:cs="Arial"/>
          <w:szCs w:val="22"/>
        </w:rPr>
        <w:t>for</w:t>
      </w:r>
      <w:r w:rsidRPr="000D436B">
        <w:rPr>
          <w:rFonts w:ascii="Calibri" w:hAnsi="Calibri" w:cs="Arial"/>
          <w:szCs w:val="22"/>
        </w:rPr>
        <w:t xml:space="preserve"> prophylaxis of headaches in adult patients with</w:t>
      </w:r>
      <w:r>
        <w:rPr>
          <w:rFonts w:ascii="Calibri" w:hAnsi="Calibri" w:cs="Arial"/>
          <w:szCs w:val="22"/>
        </w:rPr>
        <w:t xml:space="preserve"> </w:t>
      </w:r>
      <w:r w:rsidRPr="000D436B">
        <w:rPr>
          <w:rFonts w:ascii="Calibri" w:hAnsi="Calibri" w:cs="Arial"/>
          <w:szCs w:val="22"/>
        </w:rPr>
        <w:t>chronic migraine who meet certain criteria, on the basis of acceptable cost-effectiveness</w:t>
      </w:r>
      <w:r>
        <w:rPr>
          <w:rFonts w:ascii="Calibri" w:hAnsi="Calibri" w:cs="Arial"/>
          <w:szCs w:val="22"/>
        </w:rPr>
        <w:t xml:space="preserve"> </w:t>
      </w:r>
      <w:r w:rsidRPr="000D436B">
        <w:rPr>
          <w:rFonts w:ascii="Calibri" w:hAnsi="Calibri" w:cs="Arial"/>
          <w:szCs w:val="22"/>
        </w:rPr>
        <w:t>compared to best supportive care.</w:t>
      </w:r>
      <w:r>
        <w:rPr>
          <w:rFonts w:ascii="Calibri" w:hAnsi="Calibri" w:cs="Arial"/>
          <w:szCs w:val="22"/>
        </w:rPr>
        <w:t xml:space="preserve"> </w:t>
      </w:r>
    </w:p>
    <w:p w:rsidR="00FF609F" w:rsidRDefault="00FF609F" w:rsidP="00FF609F">
      <w:pPr>
        <w:rPr>
          <w:rFonts w:ascii="Calibri" w:hAnsi="Calibri" w:cs="Arial"/>
          <w:szCs w:val="22"/>
        </w:rPr>
      </w:pPr>
      <w:r w:rsidRPr="009670A7">
        <w:rPr>
          <w:rFonts w:ascii="Calibri" w:hAnsi="Calibri" w:cs="Arial"/>
          <w:szCs w:val="22"/>
        </w:rPr>
        <w:t>The PBAC ha</w:t>
      </w:r>
      <w:r>
        <w:rPr>
          <w:rFonts w:ascii="Calibri" w:hAnsi="Calibri" w:cs="Arial"/>
          <w:szCs w:val="22"/>
        </w:rPr>
        <w:t>d</w:t>
      </w:r>
      <w:r w:rsidRPr="009670A7">
        <w:rPr>
          <w:rFonts w:ascii="Calibri" w:hAnsi="Calibri" w:cs="Arial"/>
          <w:szCs w:val="22"/>
        </w:rPr>
        <w:t xml:space="preserve"> considered two previous submissions (November 2011 and July 2012)</w:t>
      </w:r>
      <w:r>
        <w:rPr>
          <w:rFonts w:ascii="Calibri" w:hAnsi="Calibri" w:cs="Arial"/>
          <w:szCs w:val="22"/>
        </w:rPr>
        <w:t xml:space="preserve"> </w:t>
      </w:r>
      <w:r w:rsidRPr="009670A7">
        <w:rPr>
          <w:rFonts w:ascii="Calibri" w:hAnsi="Calibri" w:cs="Arial"/>
          <w:szCs w:val="22"/>
        </w:rPr>
        <w:t xml:space="preserve">requesting </w:t>
      </w:r>
      <w:r>
        <w:rPr>
          <w:rFonts w:ascii="Calibri" w:hAnsi="Calibri" w:cs="Arial"/>
          <w:szCs w:val="22"/>
        </w:rPr>
        <w:t xml:space="preserve">this </w:t>
      </w:r>
      <w:r w:rsidRPr="009670A7">
        <w:rPr>
          <w:rFonts w:ascii="Calibri" w:hAnsi="Calibri" w:cs="Arial"/>
          <w:szCs w:val="22"/>
        </w:rPr>
        <w:t xml:space="preserve">extension to </w:t>
      </w:r>
      <w:r>
        <w:rPr>
          <w:rFonts w:ascii="Calibri" w:hAnsi="Calibri" w:cs="Arial"/>
          <w:szCs w:val="22"/>
        </w:rPr>
        <w:t>listing.</w:t>
      </w:r>
      <w:r w:rsidRPr="009670A7">
        <w:rPr>
          <w:rFonts w:ascii="Calibri" w:hAnsi="Calibri" w:cs="Arial"/>
          <w:szCs w:val="22"/>
        </w:rPr>
        <w:t xml:space="preserve"> The PBAC rejected the November 2011 submissio</w:t>
      </w:r>
      <w:r>
        <w:rPr>
          <w:rFonts w:ascii="Calibri" w:hAnsi="Calibri" w:cs="Arial"/>
          <w:szCs w:val="22"/>
        </w:rPr>
        <w:t xml:space="preserve">n on </w:t>
      </w:r>
      <w:r w:rsidRPr="009670A7">
        <w:rPr>
          <w:rFonts w:ascii="Calibri" w:hAnsi="Calibri" w:cs="Arial"/>
          <w:szCs w:val="22"/>
        </w:rPr>
        <w:t>the basis of uncertain clinical benefit and highly uncerta</w:t>
      </w:r>
      <w:r>
        <w:rPr>
          <w:rFonts w:ascii="Calibri" w:hAnsi="Calibri" w:cs="Arial"/>
          <w:szCs w:val="22"/>
        </w:rPr>
        <w:t xml:space="preserve">in cost effectiveness. The PBAC </w:t>
      </w:r>
      <w:r w:rsidRPr="009670A7">
        <w:rPr>
          <w:rFonts w:ascii="Calibri" w:hAnsi="Calibri" w:cs="Arial"/>
          <w:szCs w:val="22"/>
        </w:rPr>
        <w:t>rejected the July 2012 re-submission on the basis of uncertain cost effectiveness.</w:t>
      </w:r>
    </w:p>
    <w:p w:rsidR="00FF609F" w:rsidRPr="009B2FEE" w:rsidRDefault="00FF609F" w:rsidP="00F74FFD">
      <w:pPr>
        <w:rPr>
          <w:rFonts w:eastAsia="MS Mincho"/>
          <w:color w:val="000000" w:themeColor="text1"/>
        </w:rPr>
      </w:pPr>
      <w:r w:rsidRPr="00DD53A7">
        <w:rPr>
          <w:rFonts w:eastAsia="MS Mincho"/>
        </w:rPr>
        <w:t>The PBAC considered that a clinical need exists for an effective treatment for refractory chronic migraine, unresponsive to multiple oral prophylactic medications.</w:t>
      </w:r>
      <w:r w:rsidRPr="00C471CE">
        <w:t xml:space="preserve"> </w:t>
      </w:r>
      <w:r w:rsidR="00043404">
        <w:t xml:space="preserve">The PBAC accepted that </w:t>
      </w:r>
      <w:r w:rsidR="00043404">
        <w:rPr>
          <w:rFonts w:eastAsia="MS Mincho"/>
        </w:rPr>
        <w:t>b</w:t>
      </w:r>
      <w:r w:rsidRPr="00C471CE">
        <w:rPr>
          <w:rFonts w:eastAsia="MS Mincho"/>
        </w:rPr>
        <w:t xml:space="preserve">est supportive care was the appropriate comparator for patients who have </w:t>
      </w:r>
      <w:r w:rsidRPr="009B2FEE">
        <w:rPr>
          <w:rFonts w:eastAsia="MS Mincho"/>
          <w:color w:val="000000" w:themeColor="text1"/>
        </w:rPr>
        <w:t>failed at least three lines of therapy.</w:t>
      </w:r>
    </w:p>
    <w:p w:rsidR="00FF609F" w:rsidRPr="009B2FEE" w:rsidRDefault="00401BEE" w:rsidP="00FF609F">
      <w:pPr>
        <w:rPr>
          <w:rFonts w:ascii="Calibri" w:hAnsi="Calibri" w:cs="Arial"/>
          <w:color w:val="000000" w:themeColor="text1"/>
          <w:szCs w:val="22"/>
        </w:rPr>
      </w:pPr>
      <w:r w:rsidRPr="009B2FEE">
        <w:rPr>
          <w:rFonts w:ascii="Calibri" w:hAnsi="Calibri" w:cs="Arial"/>
          <w:color w:val="000000" w:themeColor="text1"/>
          <w:szCs w:val="22"/>
        </w:rPr>
        <w:t>In recommending listing, the</w:t>
      </w:r>
      <w:r w:rsidR="00FF609F" w:rsidRPr="009B2FEE">
        <w:rPr>
          <w:rFonts w:ascii="Calibri" w:hAnsi="Calibri" w:cs="Arial"/>
          <w:color w:val="000000" w:themeColor="text1"/>
          <w:szCs w:val="22"/>
        </w:rPr>
        <w:t xml:space="preserve"> PBAC considered the base case ICER (</w:t>
      </w:r>
      <w:r w:rsidR="00073AF2">
        <w:rPr>
          <w:rFonts w:ascii="Calibri" w:hAnsi="Calibri" w:cs="Arial"/>
          <w:noProof/>
          <w:color w:val="000000"/>
          <w:szCs w:val="22"/>
          <w:highlight w:val="black"/>
        </w:rPr>
        <w:t>'''''''''''''''''''''''''</w:t>
      </w:r>
      <w:r w:rsidR="00FF609F" w:rsidRPr="009B2FEE">
        <w:rPr>
          <w:rFonts w:ascii="Calibri" w:hAnsi="Calibri" w:cs="Arial"/>
          <w:color w:val="000000" w:themeColor="text1"/>
          <w:szCs w:val="22"/>
        </w:rPr>
        <w:t>) was acceptable, but may not represent the true cost effectiveness in clinical practice given a number of issues with the economic evaluation including the transition probabilities, the utility values, the extrapolation of the incremental treatment effect of botulinum toxin beyond the trial duration to 5 years in the absence of supportive evidence, the assumption of perfect compliance t</w:t>
      </w:r>
      <w:r w:rsidRPr="009B2FEE">
        <w:rPr>
          <w:rFonts w:ascii="Calibri" w:hAnsi="Calibri" w:cs="Arial"/>
          <w:color w:val="000000" w:themeColor="text1"/>
          <w:szCs w:val="22"/>
        </w:rPr>
        <w:t>o</w:t>
      </w:r>
      <w:r w:rsidR="00FF609F" w:rsidRPr="009B2FEE">
        <w:rPr>
          <w:rFonts w:ascii="Calibri" w:hAnsi="Calibri" w:cs="Arial"/>
          <w:color w:val="000000" w:themeColor="text1"/>
          <w:szCs w:val="22"/>
        </w:rPr>
        <w:t xml:space="preserve"> the continuation rule in the requested restriction, and the use of the </w:t>
      </w:r>
      <w:r w:rsidRPr="009B2FEE">
        <w:rPr>
          <w:rFonts w:ascii="Calibri" w:hAnsi="Calibri" w:cs="Arial"/>
          <w:color w:val="000000" w:themeColor="text1"/>
          <w:szCs w:val="22"/>
        </w:rPr>
        <w:t>commissioned Burden of Illness study</w:t>
      </w:r>
      <w:r w:rsidR="00FF609F" w:rsidRPr="009B2FEE">
        <w:rPr>
          <w:rFonts w:ascii="Calibri" w:hAnsi="Calibri" w:cs="Arial"/>
          <w:color w:val="000000" w:themeColor="text1"/>
          <w:szCs w:val="22"/>
        </w:rPr>
        <w:t xml:space="preserve"> as the source of the utility values and resource utilisation costs in the economic model.</w:t>
      </w:r>
    </w:p>
    <w:p w:rsidR="00FF609F" w:rsidRDefault="00FF609F" w:rsidP="00FF609F">
      <w:r>
        <w:rPr>
          <w:rFonts w:ascii="Calibri" w:hAnsi="Calibri" w:cs="Arial"/>
          <w:szCs w:val="22"/>
        </w:rPr>
        <w:t>The PBAC noted that the re-</w:t>
      </w:r>
      <w:r w:rsidR="00F26A26">
        <w:rPr>
          <w:rFonts w:ascii="Calibri" w:hAnsi="Calibri" w:cs="Arial"/>
          <w:szCs w:val="22"/>
        </w:rPr>
        <w:t>submissions’</w:t>
      </w:r>
      <w:r>
        <w:rPr>
          <w:rFonts w:ascii="Calibri" w:hAnsi="Calibri" w:cs="Arial"/>
          <w:szCs w:val="22"/>
        </w:rPr>
        <w:t xml:space="preserve"> estimates of patients treated, prescriptions and packs dispensed, and net costs to the PBS/MBS were higher than in previous submissions</w:t>
      </w:r>
      <w:r w:rsidR="00D373A9">
        <w:rPr>
          <w:rFonts w:ascii="Calibri" w:hAnsi="Calibri" w:cs="Arial"/>
          <w:szCs w:val="22"/>
        </w:rPr>
        <w:t xml:space="preserve"> (</w:t>
      </w:r>
      <w:r w:rsidR="00073AF2">
        <w:rPr>
          <w:rFonts w:ascii="Calibri" w:hAnsi="Calibri" w:cs="Arial"/>
          <w:noProof/>
          <w:color w:val="000000"/>
          <w:szCs w:val="22"/>
          <w:highlight w:val="black"/>
        </w:rPr>
        <w:t>'''''''' '''''''''' ''' '''''''''''</w:t>
      </w:r>
      <w:r w:rsidR="00D373A9">
        <w:rPr>
          <w:rFonts w:ascii="Calibri" w:hAnsi="Calibri" w:cs="Arial"/>
          <w:szCs w:val="22"/>
        </w:rPr>
        <w:t>)</w:t>
      </w:r>
      <w:r>
        <w:rPr>
          <w:rFonts w:ascii="Calibri" w:hAnsi="Calibri" w:cs="Arial"/>
          <w:szCs w:val="22"/>
        </w:rPr>
        <w:t xml:space="preserve">. The PBAC considered the estimates to be uncertain due to the reasons identified by the DUSC in November 2011. </w:t>
      </w:r>
      <w:r>
        <w:t xml:space="preserve">The </w:t>
      </w:r>
      <w:r w:rsidRPr="001C1D49">
        <w:t xml:space="preserve">DUSC </w:t>
      </w:r>
      <w:r>
        <w:t xml:space="preserve">had advised </w:t>
      </w:r>
      <w:r w:rsidRPr="001C1D49">
        <w:t>that there was considerable uncertainty regarding the submission’s estimates of usage insofar as the prevalence of chronic migraine, the rate of diagnosis of chronic migraine, and the proportion of neurologists who can administer botulinum toxin type A were all likely underestimated.  The PBAC also considered that there was likely to be a considerable risk of leakage of botulinum toxin type</w:t>
      </w:r>
      <w:r>
        <w:t> </w:t>
      </w:r>
      <w:r w:rsidRPr="001C1D49">
        <w:t>A into other off-label chronic headache indications, use in patients who have not failed therapy and for it to be used for its cosmetic effects.</w:t>
      </w:r>
      <w:r>
        <w:t xml:space="preserve"> The PBAC had also considered there was considerable risk of usage bey</w:t>
      </w:r>
      <w:r w:rsidR="00D55E21">
        <w:t>o</w:t>
      </w:r>
      <w:r>
        <w:t>nd the restriction in partial responders, although acknowledged that the invasive nature of botulinum toxin administration may serve to limit use in partial and non-responders.</w:t>
      </w:r>
    </w:p>
    <w:p w:rsidR="00FF609F" w:rsidRDefault="00FF609F" w:rsidP="00FF609F">
      <w:pPr>
        <w:rPr>
          <w:rFonts w:ascii="Calibri" w:hAnsi="Calibri" w:cs="Arial"/>
          <w:szCs w:val="22"/>
        </w:rPr>
      </w:pPr>
      <w:r>
        <w:rPr>
          <w:rFonts w:ascii="Calibri" w:hAnsi="Calibri" w:cs="Arial"/>
          <w:szCs w:val="22"/>
        </w:rPr>
        <w:lastRenderedPageBreak/>
        <w:t xml:space="preserve">To manage uncertainty in the financial estimates and to address </w:t>
      </w:r>
      <w:r w:rsidRPr="007074B7">
        <w:rPr>
          <w:rFonts w:ascii="Calibri" w:hAnsi="Calibri" w:cs="Arial"/>
          <w:szCs w:val="22"/>
        </w:rPr>
        <w:t>concerns with potential usage beyond the restriction</w:t>
      </w:r>
      <w:r>
        <w:rPr>
          <w:rFonts w:ascii="Calibri" w:hAnsi="Calibri" w:cs="Arial"/>
          <w:szCs w:val="22"/>
        </w:rPr>
        <w:t xml:space="preserve"> the Sponsor proposed a risk sharing arrangement with two subsidisation caps (RSA). </w:t>
      </w:r>
      <w:r w:rsidR="00073AF2">
        <w:rPr>
          <w:rFonts w:ascii="Calibri" w:hAnsi="Calibri" w:cs="Arial"/>
          <w:noProof/>
          <w:color w:val="000000"/>
          <w:szCs w:val="22"/>
          <w:highlight w:val="black"/>
        </w:rPr>
        <w:t>''''''' '''''''' ''''''' ''''''' '''''''''''' ''''' '''''''''''''''''''' '''''''''''' ''''''' ''''''''''''''''' '''''' ''''''''''''''''''''' '''''''''' ''''''''''''''''' '''''''' ''' ''''''' '''''''''''''''''' '''' '''''''''''''''''' '''''''' ''''''''''''''' '''''''''' '''''''''' '''''''' ''''''''' ''' '''''''' ''''''''''''''''''''''''''' '''''''''''''''''' ''''' '''''''''''' ''''''''''' '''''''' ''''''''' ''''''' '''''''''''' '''''''' '''''''''''''''''' ''''' ''''''''''''''''' '''' '''''''''' ''' ''''''''''' '''''''''''''''''''''' ''''''''''''''''' '''''''' ''' '''''''' '''''''''''''''''''' '''' '''''''''''''''''''' ''''''''' ''''''''''''''' ''''''''' ''''''''''' '''''''' ''''''''' ''''' '''''''' '''''''''''''''''''''''''''''' ''''' ''''''''''' ''''''''''''' '''''' '''''''''''''' ''''''''</w:t>
      </w:r>
      <w:r w:rsidRPr="007074B7">
        <w:rPr>
          <w:rFonts w:ascii="Calibri" w:hAnsi="Calibri" w:cs="Arial"/>
          <w:szCs w:val="22"/>
        </w:rPr>
        <w:t xml:space="preserve"> </w:t>
      </w:r>
    </w:p>
    <w:p w:rsidR="00FF609F" w:rsidRDefault="00FF609F" w:rsidP="00FF609F">
      <w:pPr>
        <w:rPr>
          <w:rFonts w:ascii="Calibri" w:hAnsi="Calibri" w:cs="Arial"/>
          <w:szCs w:val="22"/>
        </w:rPr>
      </w:pPr>
      <w:r>
        <w:rPr>
          <w:rFonts w:ascii="Calibri" w:hAnsi="Calibri" w:cs="Arial"/>
          <w:szCs w:val="22"/>
        </w:rPr>
        <w:t>Given the PBAC’s concern about the likelihood of the estimated ICER being reflected in practice, the expected difficulty in differentiating use within and beyond the intent of the restriction,</w:t>
      </w:r>
      <w:r w:rsidR="00F74BB4">
        <w:rPr>
          <w:rFonts w:ascii="Calibri" w:hAnsi="Calibri" w:cs="Arial"/>
          <w:szCs w:val="22"/>
        </w:rPr>
        <w:t xml:space="preserve"> </w:t>
      </w:r>
      <w:r w:rsidR="00D373A9">
        <w:rPr>
          <w:rFonts w:ascii="Calibri" w:hAnsi="Calibri" w:cs="Arial"/>
          <w:szCs w:val="22"/>
        </w:rPr>
        <w:t xml:space="preserve">and </w:t>
      </w:r>
      <w:r>
        <w:rPr>
          <w:rFonts w:ascii="Calibri" w:hAnsi="Calibri" w:cs="Arial"/>
          <w:szCs w:val="22"/>
        </w:rPr>
        <w:t xml:space="preserve">the uncertainty in the estimated PBS usage and financial implications, the Committee recommended that a tighter RSA be negotiated with the Sponsor and that the caps be based on the smaller estimates of use provided in the July 2012 resubmission. </w:t>
      </w:r>
    </w:p>
    <w:p w:rsidR="00FF609F" w:rsidRDefault="00FF609F" w:rsidP="00FF609F">
      <w:pPr>
        <w:rPr>
          <w:rFonts w:ascii="Calibri" w:hAnsi="Calibri" w:cs="Arial"/>
          <w:szCs w:val="22"/>
        </w:rPr>
      </w:pPr>
      <w:r w:rsidRPr="00BC287B">
        <w:rPr>
          <w:rFonts w:ascii="Calibri" w:hAnsi="Calibri" w:cs="Arial"/>
          <w:szCs w:val="22"/>
        </w:rPr>
        <w:t xml:space="preserve">Listing was effective from 1 </w:t>
      </w:r>
      <w:r>
        <w:rPr>
          <w:rFonts w:ascii="Calibri" w:hAnsi="Calibri" w:cs="Arial"/>
          <w:szCs w:val="22"/>
        </w:rPr>
        <w:t>March</w:t>
      </w:r>
      <w:r w:rsidRPr="00BC287B">
        <w:rPr>
          <w:rFonts w:ascii="Calibri" w:hAnsi="Calibri" w:cs="Arial"/>
          <w:szCs w:val="22"/>
        </w:rPr>
        <w:t xml:space="preserve"> 20</w:t>
      </w:r>
      <w:r>
        <w:rPr>
          <w:rFonts w:ascii="Calibri" w:hAnsi="Calibri" w:cs="Arial"/>
          <w:szCs w:val="22"/>
        </w:rPr>
        <w:t>1</w:t>
      </w:r>
      <w:r w:rsidRPr="00BC287B">
        <w:rPr>
          <w:rFonts w:ascii="Calibri" w:hAnsi="Calibri" w:cs="Arial"/>
          <w:szCs w:val="22"/>
        </w:rPr>
        <w:t>4.</w:t>
      </w:r>
    </w:p>
    <w:p w:rsidR="00FF609F" w:rsidRPr="00B87CD5" w:rsidRDefault="00FF609F" w:rsidP="00FF609F">
      <w:pPr>
        <w:rPr>
          <w:rFonts w:ascii="Calibri" w:eastAsia="MS Mincho" w:hAnsi="Calibri" w:cs="Times New Roman"/>
        </w:rPr>
      </w:pPr>
      <w:r w:rsidRPr="00B87CD5">
        <w:rPr>
          <w:rFonts w:ascii="Calibri" w:eastAsia="MS Mincho" w:hAnsi="Calibri" w:cs="Times New Roman"/>
        </w:rPr>
        <w:t xml:space="preserve">For further details refer to the </w:t>
      </w:r>
      <w:r w:rsidRPr="00B87CD5">
        <w:rPr>
          <w:rFonts w:ascii="Calibri" w:eastAsia="MS Mincho" w:hAnsi="Calibri" w:cs="Times New Roman"/>
          <w:color w:val="0000FF"/>
          <w:u w:val="single"/>
        </w:rPr>
        <w:t>Public Summary Document by product</w:t>
      </w:r>
      <w:r w:rsidRPr="00B87CD5">
        <w:rPr>
          <w:rFonts w:ascii="Calibri" w:eastAsia="MS Mincho" w:hAnsi="Calibri" w:cs="Times New Roman"/>
        </w:rPr>
        <w:t xml:space="preserve"> or </w:t>
      </w:r>
      <w:r w:rsidRPr="00B87CD5">
        <w:rPr>
          <w:rFonts w:ascii="Calibri" w:eastAsia="MS Mincho" w:hAnsi="Calibri" w:cs="Times New Roman"/>
          <w:color w:val="0000FF"/>
          <w:u w:val="single"/>
        </w:rPr>
        <w:t>meeting</w:t>
      </w:r>
      <w:r w:rsidRPr="00B87CD5">
        <w:rPr>
          <w:rFonts w:ascii="Calibri" w:eastAsia="MS Mincho" w:hAnsi="Calibri" w:cs="Times New Roman"/>
        </w:rPr>
        <w:t>.</w:t>
      </w:r>
    </w:p>
    <w:p w:rsidR="00991E6F" w:rsidRDefault="00991E6F">
      <w:pPr>
        <w:spacing w:line="276" w:lineRule="auto"/>
        <w:rPr>
          <w:rFonts w:ascii="Calibri" w:eastAsia="MS Mincho" w:hAnsi="Calibri" w:cs="Times New Roman"/>
          <w:b/>
          <w:sz w:val="28"/>
        </w:rPr>
      </w:pPr>
      <w:r>
        <w:rPr>
          <w:rFonts w:ascii="Calibri" w:eastAsia="MS Mincho" w:hAnsi="Calibri" w:cs="Times New Roman"/>
          <w:b/>
          <w:sz w:val="28"/>
        </w:rPr>
        <w:br w:type="page"/>
      </w:r>
    </w:p>
    <w:p w:rsidR="004B340E" w:rsidRPr="00B87CD5" w:rsidRDefault="004B340E" w:rsidP="004B340E">
      <w:pPr>
        <w:spacing w:before="240"/>
        <w:outlineLvl w:val="1"/>
        <w:rPr>
          <w:rFonts w:ascii="Calibri" w:eastAsia="MS Mincho" w:hAnsi="Calibri" w:cs="Times New Roman"/>
          <w:b/>
          <w:sz w:val="28"/>
        </w:rPr>
      </w:pPr>
      <w:r w:rsidRPr="00B87CD5">
        <w:rPr>
          <w:rFonts w:ascii="Calibri" w:eastAsia="MS Mincho" w:hAnsi="Calibri" w:cs="Times New Roman"/>
          <w:b/>
          <w:sz w:val="28"/>
        </w:rPr>
        <w:lastRenderedPageBreak/>
        <w:t>Approach taken to estimate utilisation</w:t>
      </w:r>
    </w:p>
    <w:p w:rsidR="004B340E" w:rsidRDefault="004B340E" w:rsidP="009B2FEE">
      <w:pPr>
        <w:widowControl w:val="0"/>
        <w:rPr>
          <w:rFonts w:ascii="Calibri" w:eastAsia="MS Mincho" w:hAnsi="Calibri" w:cs="Times New Roman"/>
          <w:b/>
          <w:bCs/>
          <w:snapToGrid w:val="0"/>
        </w:rPr>
      </w:pPr>
      <w:r>
        <w:rPr>
          <w:rFonts w:ascii="Calibri" w:eastAsia="MS Mincho" w:hAnsi="Calibri" w:cs="Times New Roman"/>
          <w:bCs/>
          <w:snapToGrid w:val="0"/>
        </w:rPr>
        <w:t>Table 1 shows the assumptions and data sources used to estimate utilisation in the original submission and the two resubmissions.</w:t>
      </w:r>
    </w:p>
    <w:p w:rsidR="004B340E" w:rsidRPr="00CC516E" w:rsidRDefault="004B340E" w:rsidP="00D25117">
      <w:pPr>
        <w:keepNext/>
        <w:widowControl w:val="0"/>
        <w:spacing w:after="0"/>
        <w:rPr>
          <w:rFonts w:ascii="Calibri" w:eastAsia="MS Mincho" w:hAnsi="Calibri" w:cs="Times New Roman"/>
          <w:b/>
          <w:bCs/>
          <w:snapToGrid w:val="0"/>
        </w:rPr>
      </w:pPr>
      <w:r w:rsidRPr="00CC516E">
        <w:rPr>
          <w:rFonts w:ascii="Calibri" w:eastAsia="MS Mincho" w:hAnsi="Calibri" w:cs="Times New Roman"/>
          <w:b/>
          <w:bCs/>
          <w:snapToGrid w:val="0"/>
        </w:rPr>
        <w:t xml:space="preserve">Table </w:t>
      </w:r>
      <w:r>
        <w:rPr>
          <w:rFonts w:ascii="Calibri" w:eastAsia="MS Mincho" w:hAnsi="Calibri" w:cs="Times New Roman"/>
          <w:b/>
          <w:bCs/>
          <w:snapToGrid w:val="0"/>
        </w:rPr>
        <w:t>1</w:t>
      </w:r>
      <w:r w:rsidRPr="00CC516E">
        <w:rPr>
          <w:rFonts w:ascii="Calibri" w:eastAsia="MS Mincho" w:hAnsi="Calibri" w:cs="Times New Roman"/>
          <w:b/>
          <w:bCs/>
          <w:snapToGrid w:val="0"/>
        </w:rPr>
        <w:t>: Summary of assumptions and data sources used in submissions</w:t>
      </w:r>
    </w:p>
    <w:tbl>
      <w:tblPr>
        <w:tblStyle w:val="TableGrid"/>
        <w:tblW w:w="0" w:type="auto"/>
        <w:tblLook w:val="04A0" w:firstRow="1" w:lastRow="0" w:firstColumn="1" w:lastColumn="0" w:noHBand="0" w:noVBand="1"/>
        <w:tblCaption w:val="Table 1: Summary of assumptions and data sources used in submissions"/>
        <w:tblDescription w:val="Shows the data sources and assumptions used to estimate the utilistion of botulinum."/>
      </w:tblPr>
      <w:tblGrid>
        <w:gridCol w:w="1659"/>
        <w:gridCol w:w="2504"/>
        <w:gridCol w:w="2504"/>
        <w:gridCol w:w="2506"/>
      </w:tblGrid>
      <w:tr w:rsidR="004B340E" w:rsidRPr="00C0667D" w:rsidTr="00F329D2">
        <w:trPr>
          <w:cantSplit/>
          <w:tblHeader/>
        </w:trPr>
        <w:tc>
          <w:tcPr>
            <w:tcW w:w="1659" w:type="dxa"/>
            <w:shd w:val="clear" w:color="auto" w:fill="BFBFBF" w:themeFill="background1" w:themeFillShade="BF"/>
          </w:tcPr>
          <w:p w:rsidR="004B340E" w:rsidRPr="00C0667D" w:rsidRDefault="004B340E" w:rsidP="00923C64">
            <w:pPr>
              <w:keepNext/>
              <w:spacing w:before="20" w:after="20"/>
              <w:rPr>
                <w:rFonts w:ascii="Calibri" w:hAnsi="Calibri"/>
                <w:b/>
                <w:sz w:val="20"/>
                <w:szCs w:val="20"/>
              </w:rPr>
            </w:pPr>
            <w:r w:rsidRPr="00C0667D">
              <w:rPr>
                <w:rFonts w:ascii="Calibri" w:hAnsi="Calibri"/>
                <w:b/>
                <w:sz w:val="20"/>
                <w:szCs w:val="20"/>
              </w:rPr>
              <w:t>Variable</w:t>
            </w:r>
          </w:p>
        </w:tc>
        <w:tc>
          <w:tcPr>
            <w:tcW w:w="2504" w:type="dxa"/>
            <w:shd w:val="clear" w:color="auto" w:fill="BFBFBF" w:themeFill="background1" w:themeFillShade="BF"/>
          </w:tcPr>
          <w:p w:rsidR="004B340E" w:rsidRPr="00C0667D" w:rsidRDefault="004B340E" w:rsidP="00923C64">
            <w:pPr>
              <w:keepNext/>
              <w:spacing w:before="20" w:after="20"/>
              <w:rPr>
                <w:rFonts w:ascii="Calibri" w:hAnsi="Calibri"/>
                <w:b/>
                <w:sz w:val="20"/>
                <w:szCs w:val="20"/>
              </w:rPr>
            </w:pPr>
            <w:r w:rsidRPr="00C0667D">
              <w:rPr>
                <w:rFonts w:ascii="Calibri" w:hAnsi="Calibri"/>
                <w:b/>
                <w:sz w:val="20"/>
                <w:szCs w:val="20"/>
              </w:rPr>
              <w:t>First submission</w:t>
            </w:r>
            <w:r>
              <w:rPr>
                <w:rFonts w:ascii="Calibri" w:hAnsi="Calibri"/>
                <w:b/>
                <w:sz w:val="20"/>
                <w:szCs w:val="20"/>
              </w:rPr>
              <w:t xml:space="preserve"> (November 2011 PBAC)</w:t>
            </w:r>
          </w:p>
        </w:tc>
        <w:tc>
          <w:tcPr>
            <w:tcW w:w="2504" w:type="dxa"/>
            <w:shd w:val="clear" w:color="auto" w:fill="BFBFBF" w:themeFill="background1" w:themeFillShade="BF"/>
          </w:tcPr>
          <w:p w:rsidR="004B340E" w:rsidRPr="00C0667D" w:rsidRDefault="004B340E" w:rsidP="00923C64">
            <w:pPr>
              <w:keepNext/>
              <w:spacing w:before="20" w:after="20"/>
              <w:rPr>
                <w:rFonts w:ascii="Calibri" w:hAnsi="Calibri"/>
                <w:b/>
                <w:sz w:val="20"/>
                <w:szCs w:val="20"/>
              </w:rPr>
            </w:pPr>
            <w:r>
              <w:rPr>
                <w:rFonts w:ascii="Calibri" w:hAnsi="Calibri"/>
                <w:b/>
                <w:sz w:val="20"/>
                <w:szCs w:val="20"/>
              </w:rPr>
              <w:t>1</w:t>
            </w:r>
            <w:r w:rsidRPr="003D7AE0">
              <w:rPr>
                <w:rFonts w:ascii="Calibri" w:hAnsi="Calibri"/>
                <w:b/>
                <w:sz w:val="20"/>
                <w:szCs w:val="20"/>
                <w:vertAlign w:val="superscript"/>
              </w:rPr>
              <w:t>st</w:t>
            </w:r>
            <w:r>
              <w:rPr>
                <w:rFonts w:ascii="Calibri" w:hAnsi="Calibri"/>
                <w:b/>
                <w:sz w:val="20"/>
                <w:szCs w:val="20"/>
              </w:rPr>
              <w:t xml:space="preserve"> </w:t>
            </w:r>
            <w:r w:rsidRPr="00C0667D">
              <w:rPr>
                <w:rFonts w:ascii="Calibri" w:hAnsi="Calibri"/>
                <w:b/>
                <w:sz w:val="20"/>
                <w:szCs w:val="20"/>
              </w:rPr>
              <w:t>Resubmission</w:t>
            </w:r>
            <w:r>
              <w:rPr>
                <w:rFonts w:ascii="Calibri" w:hAnsi="Calibri"/>
                <w:b/>
                <w:sz w:val="20"/>
                <w:szCs w:val="20"/>
              </w:rPr>
              <w:t xml:space="preserve"> </w:t>
            </w:r>
            <w:r>
              <w:rPr>
                <w:rFonts w:ascii="Calibri" w:hAnsi="Calibri"/>
                <w:b/>
                <w:sz w:val="20"/>
                <w:szCs w:val="20"/>
              </w:rPr>
              <w:br/>
              <w:t>(July 2012 PBAC)</w:t>
            </w:r>
          </w:p>
        </w:tc>
        <w:tc>
          <w:tcPr>
            <w:tcW w:w="2506" w:type="dxa"/>
            <w:shd w:val="clear" w:color="auto" w:fill="BFBFBF" w:themeFill="background1" w:themeFillShade="BF"/>
          </w:tcPr>
          <w:p w:rsidR="004B340E" w:rsidRPr="00C0667D" w:rsidRDefault="004B340E" w:rsidP="00923C64">
            <w:pPr>
              <w:keepNext/>
              <w:spacing w:before="20" w:after="20"/>
              <w:rPr>
                <w:rFonts w:ascii="Calibri" w:hAnsi="Calibri"/>
                <w:b/>
                <w:sz w:val="20"/>
                <w:szCs w:val="20"/>
              </w:rPr>
            </w:pPr>
            <w:r>
              <w:rPr>
                <w:rFonts w:ascii="Calibri" w:hAnsi="Calibri"/>
                <w:b/>
                <w:sz w:val="20"/>
                <w:szCs w:val="20"/>
              </w:rPr>
              <w:t>2</w:t>
            </w:r>
            <w:r w:rsidRPr="003D7AE0">
              <w:rPr>
                <w:rFonts w:ascii="Calibri" w:hAnsi="Calibri"/>
                <w:b/>
                <w:sz w:val="20"/>
                <w:szCs w:val="20"/>
                <w:vertAlign w:val="superscript"/>
              </w:rPr>
              <w:t>nd</w:t>
            </w:r>
            <w:r>
              <w:rPr>
                <w:rFonts w:ascii="Calibri" w:hAnsi="Calibri"/>
                <w:b/>
                <w:sz w:val="20"/>
                <w:szCs w:val="20"/>
              </w:rPr>
              <w:t xml:space="preserve"> </w:t>
            </w:r>
            <w:r w:rsidRPr="00C0667D">
              <w:rPr>
                <w:rFonts w:ascii="Calibri" w:hAnsi="Calibri"/>
                <w:b/>
                <w:sz w:val="20"/>
                <w:szCs w:val="20"/>
              </w:rPr>
              <w:t>Resubmission</w:t>
            </w:r>
            <w:r>
              <w:rPr>
                <w:rFonts w:ascii="Calibri" w:hAnsi="Calibri"/>
                <w:b/>
                <w:sz w:val="20"/>
                <w:szCs w:val="20"/>
              </w:rPr>
              <w:t xml:space="preserve"> </w:t>
            </w:r>
            <w:r>
              <w:rPr>
                <w:rFonts w:ascii="Calibri" w:hAnsi="Calibri"/>
                <w:b/>
                <w:sz w:val="20"/>
                <w:szCs w:val="20"/>
              </w:rPr>
              <w:br/>
              <w:t>(July 2013 PBAC)</w:t>
            </w:r>
          </w:p>
        </w:tc>
      </w:tr>
      <w:tr w:rsidR="004B340E" w:rsidRPr="008979FD" w:rsidTr="00F329D2">
        <w:trPr>
          <w:cantSplit/>
        </w:trPr>
        <w:tc>
          <w:tcPr>
            <w:tcW w:w="1659" w:type="dxa"/>
          </w:tcPr>
          <w:p w:rsidR="004B340E" w:rsidRPr="00073AF2" w:rsidRDefault="00073AF2" w:rsidP="00923C64">
            <w:pPr>
              <w:keepNext/>
              <w:spacing w:before="20" w:after="20"/>
              <w:rPr>
                <w:rFonts w:ascii="Calibri" w:hAnsi="Calibri"/>
                <w:sz w:val="20"/>
                <w:szCs w:val="20"/>
                <w:highlight w:val="black"/>
              </w:rPr>
            </w:pPr>
            <w:r>
              <w:rPr>
                <w:rFonts w:ascii="Calibri" w:hAnsi="Calibri"/>
                <w:noProof/>
                <w:color w:val="000000"/>
                <w:sz w:val="20"/>
                <w:szCs w:val="20"/>
                <w:highlight w:val="black"/>
              </w:rPr>
              <w:t>'''' '''''''''''''''''''''' '''' '''''''''''''' '''''''''''''''</w:t>
            </w:r>
          </w:p>
        </w:tc>
        <w:tc>
          <w:tcPr>
            <w:tcW w:w="2504" w:type="dxa"/>
          </w:tcPr>
          <w:p w:rsidR="004B340E" w:rsidRPr="00073AF2" w:rsidRDefault="00073AF2" w:rsidP="00923C64">
            <w:pPr>
              <w:keepNext/>
              <w:spacing w:before="20" w:after="20"/>
              <w:rPr>
                <w:rFonts w:ascii="Calibri" w:hAnsi="Calibri"/>
                <w:sz w:val="20"/>
                <w:szCs w:val="20"/>
                <w:highlight w:val="black"/>
              </w:rPr>
            </w:pPr>
            <w:r>
              <w:rPr>
                <w:rFonts w:ascii="Calibri" w:hAnsi="Calibri"/>
                <w:noProof/>
                <w:color w:val="000000"/>
                <w:sz w:val="20"/>
                <w:szCs w:val="20"/>
                <w:highlight w:val="black"/>
              </w:rPr>
              <w:t>'''''''' '''''''''' ''''''' ''''''''''' '''''''''''' '''''''''' ''''''''' '''''''''''</w:t>
            </w:r>
          </w:p>
          <w:p w:rsidR="004B340E" w:rsidRPr="00073AF2" w:rsidRDefault="00073AF2" w:rsidP="00923C64">
            <w:pPr>
              <w:keepNext/>
              <w:spacing w:before="20" w:after="20"/>
              <w:rPr>
                <w:rFonts w:ascii="Calibri" w:hAnsi="Calibri"/>
                <w:sz w:val="20"/>
                <w:szCs w:val="20"/>
                <w:highlight w:val="black"/>
              </w:rPr>
            </w:pPr>
            <w:r>
              <w:rPr>
                <w:rFonts w:ascii="Calibri" w:hAnsi="Calibri"/>
                <w:noProof/>
                <w:color w:val="000000"/>
                <w:sz w:val="20"/>
                <w:szCs w:val="20"/>
                <w:highlight w:val="black"/>
              </w:rPr>
              <w:t>''''''''''''''''''''''' ''''' ''''''''''''''''''''''''''''' ''''' ''''''' '''''''''</w:t>
            </w:r>
          </w:p>
        </w:tc>
        <w:tc>
          <w:tcPr>
            <w:tcW w:w="2504" w:type="dxa"/>
          </w:tcPr>
          <w:p w:rsidR="004B340E" w:rsidRPr="00073AF2" w:rsidRDefault="00073AF2" w:rsidP="00923C64">
            <w:pPr>
              <w:keepNext/>
              <w:spacing w:before="20" w:after="20"/>
              <w:rPr>
                <w:rFonts w:ascii="Calibri" w:hAnsi="Calibri"/>
                <w:sz w:val="20"/>
                <w:szCs w:val="20"/>
                <w:highlight w:val="black"/>
              </w:rPr>
            </w:pPr>
            <w:r>
              <w:rPr>
                <w:rFonts w:ascii="Calibri" w:hAnsi="Calibri"/>
                <w:noProof/>
                <w:color w:val="000000"/>
                <w:sz w:val="20"/>
                <w:szCs w:val="20"/>
                <w:highlight w:val="black"/>
              </w:rPr>
              <w:t>'''''''''' '''''''''' ''''''' ''''''''''''' '''''''''''' '''''''''''' ''''''''' '''''''''''</w:t>
            </w:r>
          </w:p>
          <w:p w:rsidR="004B340E" w:rsidRPr="00073AF2" w:rsidRDefault="00073AF2" w:rsidP="00923C64">
            <w:pPr>
              <w:keepNext/>
              <w:spacing w:before="20" w:after="20"/>
              <w:rPr>
                <w:rFonts w:ascii="Calibri" w:hAnsi="Calibri"/>
                <w:sz w:val="20"/>
                <w:szCs w:val="20"/>
                <w:highlight w:val="black"/>
              </w:rPr>
            </w:pPr>
            <w:r>
              <w:rPr>
                <w:rFonts w:ascii="Calibri" w:hAnsi="Calibri"/>
                <w:noProof/>
                <w:color w:val="000000"/>
                <w:sz w:val="20"/>
                <w:szCs w:val="20"/>
                <w:highlight w:val="black"/>
              </w:rPr>
              <w:t>''''''''''''''''''''''' ''''' ''''''''''''''''''''''''''''' '''' ''''''' '''''''''</w:t>
            </w:r>
          </w:p>
        </w:tc>
        <w:tc>
          <w:tcPr>
            <w:tcW w:w="2506" w:type="dxa"/>
          </w:tcPr>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 ''''''''''''''</w:t>
            </w:r>
          </w:p>
        </w:tc>
      </w:tr>
      <w:tr w:rsidR="004B340E" w:rsidRPr="008979FD" w:rsidTr="00F329D2">
        <w:trPr>
          <w:cantSplit/>
        </w:trPr>
        <w:tc>
          <w:tcPr>
            <w:tcW w:w="1659" w:type="dxa"/>
          </w:tcPr>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w:t>
            </w:r>
          </w:p>
        </w:tc>
        <w:tc>
          <w:tcPr>
            <w:tcW w:w="2504" w:type="dxa"/>
          </w:tcPr>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w:t>
            </w:r>
          </w:p>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w:t>
            </w:r>
          </w:p>
        </w:tc>
        <w:tc>
          <w:tcPr>
            <w:tcW w:w="2504" w:type="dxa"/>
          </w:tcPr>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w:t>
            </w:r>
          </w:p>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w:t>
            </w:r>
          </w:p>
        </w:tc>
        <w:tc>
          <w:tcPr>
            <w:tcW w:w="2506" w:type="dxa"/>
          </w:tcPr>
          <w:p w:rsidR="004B340E" w:rsidRPr="00073AF2" w:rsidRDefault="00073AF2" w:rsidP="00923C64">
            <w:pPr>
              <w:spacing w:before="20" w:after="20"/>
              <w:rPr>
                <w:rFonts w:ascii="Calibri" w:hAnsi="Calibri"/>
                <w:sz w:val="20"/>
                <w:szCs w:val="20"/>
                <w:highlight w:val="black"/>
              </w:rPr>
            </w:pPr>
            <w:r>
              <w:rPr>
                <w:rFonts w:ascii="Calibri" w:hAnsi="Calibri"/>
                <w:noProof/>
                <w:color w:val="000000"/>
                <w:sz w:val="20"/>
                <w:szCs w:val="20"/>
                <w:highlight w:val="black"/>
              </w:rPr>
              <w:t>'''''''''''' ''''''''''' '''' '''' '''''''''' '''''''''''''''' ''''''''''''''' ''''''''''''''''''''' '''''''' ''''''''''''''''' ''''''''''''''''' '''''''''''''''''''''</w:t>
            </w:r>
          </w:p>
        </w:tc>
      </w:tr>
      <w:tr w:rsidR="004B340E" w:rsidRPr="008979FD" w:rsidTr="00F329D2">
        <w:trPr>
          <w:cantSplit/>
        </w:trPr>
        <w:tc>
          <w:tcPr>
            <w:tcW w:w="1659" w:type="dxa"/>
          </w:tcPr>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 ''' ''''''''''''''''' '''''''' ''''''' '''''''''' ''''''''''''''</w:t>
            </w:r>
          </w:p>
        </w:tc>
        <w:tc>
          <w:tcPr>
            <w:tcW w:w="2504" w:type="dxa"/>
          </w:tcPr>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 ''''''''''' ''''''''''''''''''</w:t>
            </w:r>
          </w:p>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w:t>
            </w:r>
          </w:p>
        </w:tc>
        <w:tc>
          <w:tcPr>
            <w:tcW w:w="2504" w:type="dxa"/>
          </w:tcPr>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 ''''''''''' ''''''''''''''''' ''''''''''''''''''' ''''''' ''''''' '''''''''</w:t>
            </w:r>
          </w:p>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w:t>
            </w:r>
          </w:p>
        </w:tc>
        <w:tc>
          <w:tcPr>
            <w:tcW w:w="2506" w:type="dxa"/>
          </w:tcPr>
          <w:p w:rsidR="004B340E" w:rsidRPr="00073AF2" w:rsidRDefault="00073AF2" w:rsidP="00923C64">
            <w:pPr>
              <w:spacing w:before="20" w:after="20"/>
              <w:rPr>
                <w:rFonts w:ascii="Calibri" w:hAnsi="Calibri"/>
                <w:sz w:val="20"/>
                <w:szCs w:val="20"/>
                <w:highlight w:val="black"/>
              </w:rPr>
            </w:pPr>
            <w:r>
              <w:rPr>
                <w:rFonts w:ascii="Calibri" w:hAnsi="Calibri"/>
                <w:noProof/>
                <w:color w:val="000000"/>
                <w:sz w:val="20"/>
                <w:szCs w:val="20"/>
                <w:highlight w:val="black"/>
              </w:rPr>
              <w:t>''''''''''' '''''''''''''''''''''''''' ''''''''' ''''''' '''''''''''''''''''' '''' '''''''''' '''''''''''''''''' ''''''''''''''''' ''''''''''' ''''''''''''''''' ''''' '''''' '''''''''</w:t>
            </w:r>
          </w:p>
        </w:tc>
      </w:tr>
      <w:tr w:rsidR="004B340E" w:rsidRPr="008979FD" w:rsidTr="00F329D2">
        <w:trPr>
          <w:cantSplit/>
        </w:trPr>
        <w:tc>
          <w:tcPr>
            <w:tcW w:w="1659" w:type="dxa"/>
          </w:tcPr>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 ''''''''''''' '''''''''''''''''' ''''''''' ''''''''''''''''''''' ''''''''''''</w:t>
            </w:r>
          </w:p>
        </w:tc>
        <w:tc>
          <w:tcPr>
            <w:tcW w:w="2504" w:type="dxa"/>
          </w:tcPr>
          <w:p w:rsidR="004B340E" w:rsidRPr="00073AF2" w:rsidRDefault="00073AF2" w:rsidP="00923C64">
            <w:pPr>
              <w:pStyle w:val="Table-bodytext"/>
              <w:keepNext/>
              <w:spacing w:before="40" w:after="40"/>
              <w:jc w:val="left"/>
              <w:rPr>
                <w:rFonts w:ascii="Calibri" w:hAnsi="Calibri"/>
                <w:color w:val="002060"/>
                <w:szCs w:val="20"/>
                <w:highlight w:val="black"/>
              </w:rPr>
            </w:pPr>
            <w:r>
              <w:rPr>
                <w:rFonts w:ascii="Calibri" w:hAnsi="Calibri"/>
                <w:noProof/>
                <w:color w:val="000000"/>
                <w:highlight w:val="black"/>
              </w:rPr>
              <w:t>'''''''''''' ''''''''''''''''' ''''''''''''''''' '''''''''''</w:t>
            </w:r>
          </w:p>
        </w:tc>
        <w:tc>
          <w:tcPr>
            <w:tcW w:w="2504" w:type="dxa"/>
          </w:tcPr>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 ''''''''''''''''' ''''''''' ''''''' ''''''''''' '''''''''''''''' ''''''' ''''''''''''''''' ''''''''' '''''' '''''''''''' ''''''' ''''''''''''''''' ''''''''''''</w:t>
            </w:r>
          </w:p>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w:t>
            </w:r>
          </w:p>
        </w:tc>
        <w:tc>
          <w:tcPr>
            <w:tcW w:w="2506" w:type="dxa"/>
          </w:tcPr>
          <w:p w:rsidR="004B340E" w:rsidRPr="00073AF2" w:rsidRDefault="00073AF2" w:rsidP="00421AB0">
            <w:pPr>
              <w:spacing w:before="20" w:after="20"/>
              <w:rPr>
                <w:rFonts w:ascii="Calibri" w:hAnsi="Calibri"/>
                <w:sz w:val="20"/>
                <w:szCs w:val="20"/>
                <w:highlight w:val="black"/>
              </w:rPr>
            </w:pPr>
            <w:r>
              <w:rPr>
                <w:rFonts w:ascii="Calibri" w:hAnsi="Calibri"/>
                <w:noProof/>
                <w:color w:val="000000"/>
                <w:sz w:val="20"/>
                <w:szCs w:val="20"/>
                <w:highlight w:val="black"/>
              </w:rPr>
              <w:t>'''''''' '''''''''''''' ''''' ''''''''''''''''''''''''''' ''''''''''''''''''''' '''''''''''''</w:t>
            </w:r>
          </w:p>
        </w:tc>
      </w:tr>
      <w:tr w:rsidR="004B340E" w:rsidRPr="008979FD" w:rsidTr="00F329D2">
        <w:trPr>
          <w:cantSplit/>
        </w:trPr>
        <w:tc>
          <w:tcPr>
            <w:tcW w:w="1659" w:type="dxa"/>
          </w:tcPr>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w:t>
            </w:r>
          </w:p>
        </w:tc>
        <w:tc>
          <w:tcPr>
            <w:tcW w:w="2504" w:type="dxa"/>
          </w:tcPr>
          <w:p w:rsidR="004B340E" w:rsidRPr="00073AF2" w:rsidRDefault="00073AF2" w:rsidP="00923C64">
            <w:pPr>
              <w:pStyle w:val="Table-bodytext"/>
              <w:keepNext/>
              <w:spacing w:before="40" w:after="40"/>
              <w:jc w:val="left"/>
              <w:rPr>
                <w:rFonts w:ascii="Calibri" w:hAnsi="Calibri"/>
                <w:highlight w:val="black"/>
              </w:rPr>
            </w:pPr>
            <w:r>
              <w:rPr>
                <w:rFonts w:ascii="Calibri" w:hAnsi="Calibri"/>
                <w:noProof/>
                <w:color w:val="000000"/>
                <w:highlight w:val="black"/>
              </w:rPr>
              <w:t>''''''''' '''' ''''''''''''' '''''''' '''' '''''''''''' '''''''' '''' '''''''''''''' '''''''' '''' '''''''''''''' '''''''''' '''' '''''''''''</w:t>
            </w:r>
          </w:p>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 ''''''''''''''' '''' '''''''''''''''''' '''' '''''''''''''</w:t>
            </w:r>
          </w:p>
        </w:tc>
        <w:tc>
          <w:tcPr>
            <w:tcW w:w="2504" w:type="dxa"/>
          </w:tcPr>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xml:space="preserve">''''''''' ''''' ''''''''''''' '''''''' '''' '''''''''''''' ''''''''' '''' '''''''''''' '''''''' '''' '''''''''''''' '''''''' '''' ''''''''''' </w:t>
            </w:r>
          </w:p>
          <w:p w:rsidR="004B340E" w:rsidRPr="00073AF2" w:rsidRDefault="00073AF2" w:rsidP="00923C64">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 '''''''''''''' ''' '''''''''''''''' '''' ''''''''''''''</w:t>
            </w:r>
          </w:p>
        </w:tc>
        <w:tc>
          <w:tcPr>
            <w:tcW w:w="2506" w:type="dxa"/>
            <w:tcBorders>
              <w:bottom w:val="single" w:sz="4" w:space="0" w:color="auto"/>
            </w:tcBorders>
          </w:tcPr>
          <w:p w:rsidR="004B340E" w:rsidRPr="00073AF2" w:rsidRDefault="00073AF2" w:rsidP="00923C64">
            <w:pPr>
              <w:spacing w:before="20" w:after="20"/>
              <w:rPr>
                <w:rFonts w:ascii="Calibri" w:hAnsi="Calibri"/>
                <w:sz w:val="20"/>
                <w:szCs w:val="20"/>
                <w:highlight w:val="black"/>
              </w:rPr>
            </w:pPr>
            <w:r>
              <w:rPr>
                <w:rFonts w:ascii="Calibri" w:hAnsi="Calibri"/>
                <w:noProof/>
                <w:color w:val="000000"/>
                <w:sz w:val="20"/>
                <w:szCs w:val="20"/>
                <w:highlight w:val="black"/>
              </w:rPr>
              <w:t>''''''''' '''' ''''''''''''' '''''''' '''' '''''''''''''' ''''''''' '''' '''''''''''' ''''''''' '''' '''''''''''' '''''''''' '''''''''''''''' '''''''''''''' ''''''' ''''''''''''''''''''''' ''''' ''''''''''''' '''''''''''''''''' '''' ''''''''''''' ''''' ''''''''''''' ''''''' ''''' ''''''''''''' '''''''''''''''''''</w:t>
            </w:r>
          </w:p>
        </w:tc>
      </w:tr>
      <w:tr w:rsidR="00F329D2" w:rsidRPr="008979FD" w:rsidTr="00F329D2">
        <w:trPr>
          <w:cantSplit/>
        </w:trPr>
        <w:tc>
          <w:tcPr>
            <w:tcW w:w="1659" w:type="dxa"/>
          </w:tcPr>
          <w:p w:rsidR="00F329D2" w:rsidRPr="00073AF2" w:rsidRDefault="00F329D2" w:rsidP="00971DA1">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w:t>
            </w:r>
          </w:p>
        </w:tc>
        <w:tc>
          <w:tcPr>
            <w:tcW w:w="2504" w:type="dxa"/>
          </w:tcPr>
          <w:p w:rsidR="00F329D2" w:rsidRPr="00073AF2" w:rsidRDefault="00F329D2" w:rsidP="00971DA1">
            <w:pPr>
              <w:pStyle w:val="Table-bodytext"/>
              <w:keepNext/>
              <w:spacing w:before="40" w:after="40"/>
              <w:jc w:val="left"/>
              <w:rPr>
                <w:rFonts w:ascii="Calibri" w:hAnsi="Calibri"/>
                <w:color w:val="002060"/>
                <w:szCs w:val="20"/>
                <w:highlight w:val="black"/>
              </w:rPr>
            </w:pPr>
            <w:r>
              <w:rPr>
                <w:rFonts w:ascii="Calibri" w:hAnsi="Calibri"/>
                <w:noProof/>
                <w:color w:val="000000"/>
                <w:highlight w:val="black"/>
              </w:rPr>
              <w:t>''''''''''' ''''''''''''''''' ''''''' '''' ''''''' '''''''''''''''' ''''''''''''''''''''' ''''''''' '''''''' ''''''''''''''' ''' ''''''''' '''''''''''''''''''''''''</w:t>
            </w:r>
          </w:p>
        </w:tc>
        <w:tc>
          <w:tcPr>
            <w:tcW w:w="2504" w:type="dxa"/>
          </w:tcPr>
          <w:p w:rsidR="00F329D2" w:rsidRPr="00073AF2" w:rsidRDefault="00F329D2" w:rsidP="00971DA1">
            <w:pPr>
              <w:pStyle w:val="Table-bodytext"/>
              <w:keepNext/>
              <w:spacing w:before="40" w:after="40"/>
              <w:jc w:val="left"/>
              <w:rPr>
                <w:rFonts w:ascii="Calibri" w:hAnsi="Calibri"/>
                <w:szCs w:val="20"/>
                <w:highlight w:val="black"/>
              </w:rPr>
            </w:pPr>
            <w:r>
              <w:rPr>
                <w:rFonts w:ascii="Calibri" w:hAnsi="Calibri"/>
                <w:noProof/>
                <w:color w:val="000000"/>
                <w:szCs w:val="20"/>
                <w:highlight w:val="black"/>
              </w:rPr>
              <w:t>''''''''''''' '''''''''''''' ''''''''''''''''' ''''''' '''' ''''''' ''''''''''''''''' ''''''''''''''''''' ''''''''' '''''''' '''''''''''''''' '' '''''''' ''''''''''''''''''''''''</w:t>
            </w:r>
          </w:p>
        </w:tc>
        <w:tc>
          <w:tcPr>
            <w:tcW w:w="2506" w:type="dxa"/>
            <w:tcBorders>
              <w:bottom w:val="nil"/>
            </w:tcBorders>
          </w:tcPr>
          <w:p w:rsidR="00F329D2" w:rsidRPr="00073AF2" w:rsidRDefault="00F329D2" w:rsidP="00971DA1">
            <w:pPr>
              <w:spacing w:before="20" w:after="20"/>
              <w:rPr>
                <w:rFonts w:ascii="Calibri" w:hAnsi="Calibri"/>
                <w:sz w:val="20"/>
                <w:szCs w:val="20"/>
                <w:highlight w:val="black"/>
              </w:rPr>
            </w:pPr>
            <w:r>
              <w:rPr>
                <w:rFonts w:ascii="Calibri" w:hAnsi="Calibri"/>
                <w:noProof/>
                <w:color w:val="000000"/>
                <w:sz w:val="20"/>
                <w:szCs w:val="20"/>
                <w:highlight w:val="black"/>
              </w:rPr>
              <w:t>''''''''''''''''''''''' '''' '''''''''''''' ''' ''''''''''' ''''' ''''''''''''''''' ''''''' '''''''' ''''''''''''''''''''''''''''''' ''''''''' ''' '''''''''' '''' '''''''''''''''''' ''' '''''''''''''' '''</w:t>
            </w:r>
          </w:p>
        </w:tc>
      </w:tr>
      <w:tr w:rsidR="00F329D2" w:rsidRPr="008979FD" w:rsidTr="00F329D2">
        <w:trPr>
          <w:cantSplit/>
        </w:trPr>
        <w:tc>
          <w:tcPr>
            <w:tcW w:w="1659" w:type="dxa"/>
          </w:tcPr>
          <w:p w:rsidR="00F329D2" w:rsidRPr="00073AF2" w:rsidRDefault="00F329D2" w:rsidP="00971DA1">
            <w:pPr>
              <w:pStyle w:val="Table-bodytext"/>
              <w:spacing w:before="40" w:after="40"/>
              <w:jc w:val="left"/>
              <w:rPr>
                <w:rFonts w:ascii="Calibri" w:hAnsi="Calibri"/>
                <w:szCs w:val="20"/>
                <w:highlight w:val="black"/>
              </w:rPr>
            </w:pPr>
            <w:r>
              <w:rPr>
                <w:rFonts w:ascii="Calibri" w:hAnsi="Calibri"/>
                <w:noProof/>
                <w:color w:val="000000"/>
                <w:szCs w:val="20"/>
                <w:highlight w:val="black"/>
              </w:rPr>
              <w:t>'''' ''''''''''''''''''''''' '''''''' '''' ''''''''''''''''' '''''''''''''''' ''''''''''' '''''''''''''''''</w:t>
            </w:r>
          </w:p>
        </w:tc>
        <w:tc>
          <w:tcPr>
            <w:tcW w:w="2504" w:type="dxa"/>
          </w:tcPr>
          <w:p w:rsidR="00F329D2" w:rsidRPr="00073AF2" w:rsidRDefault="00F329D2" w:rsidP="00971DA1">
            <w:pPr>
              <w:pStyle w:val="Table-bodytext"/>
              <w:spacing w:before="40" w:after="40"/>
              <w:jc w:val="left"/>
              <w:rPr>
                <w:rFonts w:ascii="Calibri" w:hAnsi="Calibri"/>
                <w:szCs w:val="20"/>
                <w:highlight w:val="black"/>
              </w:rPr>
            </w:pPr>
            <w:r>
              <w:rPr>
                <w:rFonts w:ascii="Calibri" w:hAnsi="Calibri"/>
                <w:noProof/>
                <w:color w:val="000000"/>
                <w:szCs w:val="20"/>
                <w:highlight w:val="black"/>
              </w:rPr>
              <w:t>''''''''' '''''''''''''''''''' '''''''''''''''''</w:t>
            </w:r>
          </w:p>
        </w:tc>
        <w:tc>
          <w:tcPr>
            <w:tcW w:w="2504" w:type="dxa"/>
          </w:tcPr>
          <w:p w:rsidR="00F329D2" w:rsidRPr="00073AF2" w:rsidRDefault="00F329D2" w:rsidP="00971DA1">
            <w:pPr>
              <w:pStyle w:val="Table-bodytext"/>
              <w:spacing w:before="40" w:after="40"/>
              <w:jc w:val="left"/>
              <w:rPr>
                <w:rFonts w:ascii="Calibri" w:hAnsi="Calibri"/>
                <w:szCs w:val="20"/>
                <w:highlight w:val="black"/>
              </w:rPr>
            </w:pPr>
            <w:r>
              <w:rPr>
                <w:rFonts w:ascii="Calibri" w:hAnsi="Calibri"/>
                <w:noProof/>
                <w:color w:val="000000"/>
                <w:szCs w:val="20"/>
                <w:highlight w:val="black"/>
              </w:rPr>
              <w:t>''''''''' '''''''''''''''''''' ''''''''''''''''''</w:t>
            </w:r>
          </w:p>
        </w:tc>
        <w:tc>
          <w:tcPr>
            <w:tcW w:w="2506" w:type="dxa"/>
            <w:tcBorders>
              <w:top w:val="nil"/>
            </w:tcBorders>
          </w:tcPr>
          <w:p w:rsidR="00F329D2" w:rsidRDefault="00F329D2" w:rsidP="00923C64">
            <w:pPr>
              <w:spacing w:before="20" w:after="20"/>
              <w:rPr>
                <w:rFonts w:ascii="Calibri" w:hAnsi="Calibri"/>
                <w:noProof/>
                <w:color w:val="000000"/>
                <w:sz w:val="20"/>
                <w:szCs w:val="20"/>
                <w:highlight w:val="black"/>
              </w:rPr>
            </w:pPr>
          </w:p>
        </w:tc>
      </w:tr>
    </w:tbl>
    <w:p w:rsidR="004B340E" w:rsidRPr="00073AF2" w:rsidRDefault="00073AF2" w:rsidP="00BE76C4">
      <w:pPr>
        <w:widowControl w:val="0"/>
        <w:rPr>
          <w:rFonts w:ascii="Calibri" w:eastAsia="MS Mincho" w:hAnsi="Calibri" w:cs="Times New Roman"/>
          <w:sz w:val="20"/>
          <w:szCs w:val="20"/>
          <w:highlight w:val="black"/>
        </w:rPr>
      </w:pPr>
      <w:r>
        <w:rPr>
          <w:rFonts w:ascii="Calibri" w:eastAsia="MS Mincho" w:hAnsi="Calibri" w:cs="Times New Roman"/>
          <w:noProof/>
          <w:color w:val="000000"/>
          <w:sz w:val="20"/>
          <w:szCs w:val="20"/>
          <w:highlight w:val="black"/>
        </w:rPr>
        <w:t>''''''''''''''' '''''''''' '''''''''' '''''''''''' ''''''' '''''''''''''''''''''''' ''''''''' '''''''''' '''''''''''</w:t>
      </w:r>
    </w:p>
    <w:p w:rsidR="004B340E" w:rsidRPr="00073AF2" w:rsidRDefault="00073AF2" w:rsidP="004B340E">
      <w:pPr>
        <w:widowControl w:val="0"/>
        <w:rPr>
          <w:rFonts w:ascii="Calibri" w:eastAsia="MS Mincho" w:hAnsi="Calibri" w:cs="Times New Roman"/>
          <w:bCs/>
          <w:snapToGrid w:val="0"/>
          <w:highlight w:val="black"/>
        </w:rPr>
      </w:pPr>
      <w:r>
        <w:rPr>
          <w:rFonts w:ascii="Calibri" w:eastAsia="MS Mincho" w:hAnsi="Calibri" w:cs="Times New Roman"/>
          <w:bCs/>
          <w:noProof/>
          <w:snapToGrid w:val="0"/>
          <w:color w:val="000000"/>
          <w:highlight w:val="black"/>
        </w:rPr>
        <w:t xml:space="preserve">'''' ''''''' '''''' '''''''''' '''''''''''''''''''''''''''''''' '''''' ''''''''' '''''''''''''''''''' '''' ''''''''''''' ''''''''''''''''' '''''''''''' '''' '''''''''' </w:t>
      </w:r>
      <w:r>
        <w:rPr>
          <w:rFonts w:ascii="Calibri" w:eastAsia="MS Mincho" w:hAnsi="Calibri" w:cs="Times New Roman"/>
          <w:bCs/>
          <w:noProof/>
          <w:snapToGrid w:val="0"/>
          <w:color w:val="000000"/>
          <w:highlight w:val="black"/>
        </w:rPr>
        <w:lastRenderedPageBreak/>
        <w:t xml:space="preserve">''''''''''' ''''' '''''' '''''''''''''''''''''''' '''' '''''' '''''''' ''''''''' '''''''''''''''''''''' '''''''''''' '''' ''''''''' ''''''' '''''''''''''' '''''''' ''''''''''''''''''' '''''''''' '''''''' ''' ''''''''''''''' '''' '''''''' ''' '''''''' '''' '''''' ''''''''''' ''''' '''''''' ''''''''' ''''''''''''''''''''''' '''''' '''''''' ''''''''''''''''''''' ''''''' '''''''''''''''' '''''' ''''''''''''''''''''' '''''''''''''''''''' '''''''''''''''' ''''''''''''''' '''''''''' '''''''''''' '''''''''''''''''''''''' '''''''''' '''' ''''''''''''''' '''''''''''''''''''''' '''''' '''''''''' ''''''''' '''''''' ''''''''''' ''''''''''''''''''' ''''''''' '''''' '''''''''''''' '''''''''' '''' ''''''''''''''''' ''''' ''''''' ''''''' '''''''''' ''''''''''''''''''''''''''' </w:t>
      </w:r>
    </w:p>
    <w:p w:rsidR="004B340E" w:rsidRPr="00073AF2" w:rsidRDefault="00073AF2" w:rsidP="004B340E">
      <w:pPr>
        <w:widowControl w:val="0"/>
        <w:spacing w:after="0"/>
        <w:rPr>
          <w:rFonts w:ascii="Calibri" w:eastAsia="Times New Roman" w:hAnsi="Calibri" w:cs="Times New Roman"/>
          <w:b/>
          <w:iCs/>
          <w:snapToGrid w:val="0"/>
          <w:highlight w:val="black"/>
          <w:lang w:eastAsia="en-US"/>
        </w:rPr>
      </w:pPr>
      <w:r>
        <w:rPr>
          <w:rFonts w:ascii="Calibri" w:eastAsia="Times New Roman" w:hAnsi="Calibri" w:cs="Times New Roman"/>
          <w:b/>
          <w:iCs/>
          <w:noProof/>
          <w:snapToGrid w:val="0"/>
          <w:color w:val="000000"/>
          <w:highlight w:val="black"/>
          <w:lang w:eastAsia="en-US"/>
        </w:rPr>
        <w:t>'''''''''' '''' '''''''''' ''''''''''''''''' '''''''''''''''''</w:t>
      </w:r>
    </w:p>
    <w:tbl>
      <w:tblPr>
        <w:tblW w:w="5000" w:type="pct"/>
        <w:tblLook w:val="04A0" w:firstRow="1" w:lastRow="0" w:firstColumn="1" w:lastColumn="0" w:noHBand="0" w:noVBand="1"/>
        <w:tblCaption w:val="Redacted table"/>
        <w:tblDescription w:val="Redacted table"/>
      </w:tblPr>
      <w:tblGrid>
        <w:gridCol w:w="2215"/>
        <w:gridCol w:w="1372"/>
        <w:gridCol w:w="1372"/>
        <w:gridCol w:w="1372"/>
        <w:gridCol w:w="1372"/>
        <w:gridCol w:w="1470"/>
      </w:tblGrid>
      <w:tr w:rsidR="004B340E" w:rsidRPr="008979FD" w:rsidTr="00923C64">
        <w:tc>
          <w:tcPr>
            <w:tcW w:w="1207"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4B340E" w:rsidRPr="00073AF2" w:rsidRDefault="00073AF2" w:rsidP="00923C64">
            <w:pPr>
              <w:spacing w:after="0"/>
              <w:rPr>
                <w:rFonts w:ascii="Calibri" w:eastAsia="Times New Roman" w:hAnsi="Calibri" w:cs="Times New Roman"/>
                <w:sz w:val="20"/>
                <w:szCs w:val="20"/>
                <w:highlight w:val="black"/>
                <w:lang w:eastAsia="en-US"/>
              </w:rPr>
            </w:pPr>
            <w:r>
              <w:rPr>
                <w:rFonts w:ascii="Calibri" w:eastAsia="Times New Roman" w:hAnsi="Calibri" w:cs="Times New Roman"/>
                <w:noProof/>
                <w:color w:val="000000"/>
                <w:sz w:val="20"/>
                <w:szCs w:val="20"/>
                <w:highlight w:val="black"/>
                <w:lang w:eastAsia="en-US"/>
              </w:rPr>
              <w:t>'</w:t>
            </w:r>
          </w:p>
        </w:tc>
        <w:tc>
          <w:tcPr>
            <w:tcW w:w="748"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4B340E" w:rsidRPr="00073AF2" w:rsidRDefault="00073AF2" w:rsidP="00923C64">
            <w:pPr>
              <w:spacing w:after="0"/>
              <w:jc w:val="center"/>
              <w:rPr>
                <w:rFonts w:ascii="Calibri" w:eastAsia="Times New Roman" w:hAnsi="Calibri" w:cs="Times New Roman"/>
                <w:b/>
                <w:bCs/>
                <w:sz w:val="20"/>
                <w:szCs w:val="20"/>
                <w:highlight w:val="black"/>
                <w:lang w:eastAsia="en-US"/>
              </w:rPr>
            </w:pPr>
            <w:r>
              <w:rPr>
                <w:rFonts w:ascii="Calibri" w:eastAsia="Times New Roman" w:hAnsi="Calibri" w:cs="Times New Roman"/>
                <w:b/>
                <w:bCs/>
                <w:noProof/>
                <w:color w:val="000000"/>
                <w:sz w:val="20"/>
                <w:szCs w:val="20"/>
                <w:highlight w:val="black"/>
                <w:lang w:eastAsia="en-US"/>
              </w:rPr>
              <w:t>''''''''' ''</w:t>
            </w:r>
          </w:p>
        </w:tc>
        <w:tc>
          <w:tcPr>
            <w:tcW w:w="748"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4B340E" w:rsidRPr="00073AF2" w:rsidRDefault="00073AF2" w:rsidP="00923C64">
            <w:pPr>
              <w:spacing w:after="0"/>
              <w:jc w:val="center"/>
              <w:rPr>
                <w:rFonts w:ascii="Calibri" w:eastAsia="Times New Roman" w:hAnsi="Calibri" w:cs="Times New Roman"/>
                <w:b/>
                <w:bCs/>
                <w:sz w:val="20"/>
                <w:szCs w:val="20"/>
                <w:highlight w:val="black"/>
                <w:lang w:eastAsia="en-US"/>
              </w:rPr>
            </w:pPr>
            <w:r>
              <w:rPr>
                <w:rFonts w:ascii="Calibri" w:eastAsia="Times New Roman" w:hAnsi="Calibri" w:cs="Times New Roman"/>
                <w:b/>
                <w:bCs/>
                <w:noProof/>
                <w:color w:val="000000"/>
                <w:sz w:val="20"/>
                <w:szCs w:val="20"/>
                <w:highlight w:val="black"/>
                <w:lang w:eastAsia="en-US"/>
              </w:rPr>
              <w:t>'''''''' '''</w:t>
            </w:r>
          </w:p>
        </w:tc>
        <w:tc>
          <w:tcPr>
            <w:tcW w:w="748"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4B340E" w:rsidRPr="00073AF2" w:rsidRDefault="00073AF2" w:rsidP="00923C64">
            <w:pPr>
              <w:spacing w:after="0"/>
              <w:jc w:val="center"/>
              <w:rPr>
                <w:rFonts w:ascii="Calibri" w:eastAsia="Times New Roman" w:hAnsi="Calibri" w:cs="Times New Roman"/>
                <w:b/>
                <w:bCs/>
                <w:sz w:val="20"/>
                <w:szCs w:val="20"/>
                <w:highlight w:val="black"/>
                <w:lang w:eastAsia="en-US"/>
              </w:rPr>
            </w:pPr>
            <w:r>
              <w:rPr>
                <w:rFonts w:ascii="Calibri" w:eastAsia="Times New Roman" w:hAnsi="Calibri" w:cs="Times New Roman"/>
                <w:b/>
                <w:bCs/>
                <w:noProof/>
                <w:color w:val="000000"/>
                <w:sz w:val="20"/>
                <w:szCs w:val="20"/>
                <w:highlight w:val="black"/>
                <w:lang w:eastAsia="en-US"/>
              </w:rPr>
              <w:t>''''''''' '''</w:t>
            </w:r>
          </w:p>
        </w:tc>
        <w:tc>
          <w:tcPr>
            <w:tcW w:w="748"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4B340E" w:rsidRPr="00073AF2" w:rsidRDefault="00073AF2" w:rsidP="00923C64">
            <w:pPr>
              <w:spacing w:after="0"/>
              <w:jc w:val="center"/>
              <w:rPr>
                <w:rFonts w:ascii="Calibri" w:eastAsia="Times New Roman" w:hAnsi="Calibri" w:cs="Times New Roman"/>
                <w:b/>
                <w:bCs/>
                <w:sz w:val="20"/>
                <w:szCs w:val="20"/>
                <w:highlight w:val="black"/>
                <w:lang w:eastAsia="en-US"/>
              </w:rPr>
            </w:pPr>
            <w:r>
              <w:rPr>
                <w:rFonts w:ascii="Calibri" w:eastAsia="Times New Roman" w:hAnsi="Calibri" w:cs="Times New Roman"/>
                <w:b/>
                <w:bCs/>
                <w:noProof/>
                <w:color w:val="000000"/>
                <w:sz w:val="20"/>
                <w:szCs w:val="20"/>
                <w:highlight w:val="black"/>
                <w:lang w:eastAsia="en-US"/>
              </w:rPr>
              <w:t>''''''''' '''</w:t>
            </w:r>
          </w:p>
        </w:tc>
        <w:tc>
          <w:tcPr>
            <w:tcW w:w="801"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4B340E" w:rsidRPr="00073AF2" w:rsidRDefault="00073AF2" w:rsidP="00923C64">
            <w:pPr>
              <w:spacing w:after="0"/>
              <w:jc w:val="center"/>
              <w:rPr>
                <w:rFonts w:ascii="Calibri" w:eastAsia="Times New Roman" w:hAnsi="Calibri" w:cs="Times New Roman"/>
                <w:b/>
                <w:bCs/>
                <w:sz w:val="20"/>
                <w:szCs w:val="20"/>
                <w:highlight w:val="black"/>
                <w:lang w:eastAsia="en-US"/>
              </w:rPr>
            </w:pPr>
            <w:r>
              <w:rPr>
                <w:rFonts w:ascii="Calibri" w:eastAsia="Times New Roman" w:hAnsi="Calibri" w:cs="Times New Roman"/>
                <w:b/>
                <w:bCs/>
                <w:noProof/>
                <w:color w:val="000000"/>
                <w:sz w:val="20"/>
                <w:szCs w:val="20"/>
                <w:highlight w:val="black"/>
                <w:lang w:eastAsia="en-US"/>
              </w:rPr>
              <w:t>'''''''' '''</w:t>
            </w:r>
          </w:p>
        </w:tc>
      </w:tr>
      <w:tr w:rsidR="004B340E" w:rsidRPr="008979FD" w:rsidTr="00923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7" w:type="pct"/>
            <w:tcBorders>
              <w:top w:val="single" w:sz="4" w:space="0" w:color="auto"/>
              <w:bottom w:val="single" w:sz="4" w:space="0" w:color="auto"/>
            </w:tcBorders>
            <w:shd w:val="clear" w:color="auto" w:fill="auto"/>
            <w:vAlign w:val="center"/>
          </w:tcPr>
          <w:p w:rsidR="004B340E" w:rsidRPr="00073AF2" w:rsidRDefault="00073AF2" w:rsidP="00923C64">
            <w:pPr>
              <w:spacing w:after="0"/>
              <w:ind w:right="-57"/>
              <w:rPr>
                <w:rFonts w:ascii="Calibri" w:eastAsia="Times New Roman" w:hAnsi="Calibri" w:cs="Times New Roman"/>
                <w:sz w:val="20"/>
                <w:szCs w:val="20"/>
                <w:highlight w:val="black"/>
                <w:lang w:eastAsia="zh-CN"/>
              </w:rPr>
            </w:pPr>
            <w:r>
              <w:rPr>
                <w:rFonts w:ascii="Calibri" w:eastAsia="Times New Roman" w:hAnsi="Calibri" w:cs="Times New Roman"/>
                <w:noProof/>
                <w:color w:val="000000"/>
                <w:sz w:val="20"/>
                <w:szCs w:val="20"/>
                <w:highlight w:val="black"/>
                <w:lang w:eastAsia="zh-CN"/>
              </w:rPr>
              <w:t xml:space="preserve">'''''''''''''''' ''''''''''''''''' </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801"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r>
      <w:tr w:rsidR="004B340E" w:rsidRPr="008979FD" w:rsidTr="00923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7" w:type="pct"/>
            <w:tcBorders>
              <w:top w:val="single" w:sz="4" w:space="0" w:color="auto"/>
              <w:bottom w:val="single" w:sz="4" w:space="0" w:color="auto"/>
            </w:tcBorders>
            <w:shd w:val="clear" w:color="auto" w:fill="auto"/>
            <w:vAlign w:val="center"/>
          </w:tcPr>
          <w:p w:rsidR="004B340E" w:rsidRPr="00073AF2" w:rsidRDefault="00073AF2" w:rsidP="00923C64">
            <w:pPr>
              <w:rPr>
                <w:rFonts w:ascii="Calibri" w:hAnsi="Calibri" w:cs="Arial"/>
                <w:sz w:val="20"/>
                <w:szCs w:val="20"/>
                <w:highlight w:val="black"/>
              </w:rPr>
            </w:pPr>
            <w:r>
              <w:rPr>
                <w:rFonts w:ascii="Calibri" w:hAnsi="Calibri" w:cs="Arial"/>
                <w:noProof/>
                <w:color w:val="000000"/>
                <w:sz w:val="20"/>
                <w:szCs w:val="20"/>
                <w:highlight w:val="black"/>
              </w:rPr>
              <w:t>''''''''' '''''''''''''''''</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801"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r>
      <w:tr w:rsidR="004B340E" w:rsidRPr="008979FD" w:rsidTr="00923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7" w:type="pct"/>
            <w:tcBorders>
              <w:top w:val="single" w:sz="4" w:space="0" w:color="auto"/>
              <w:bottom w:val="single" w:sz="4" w:space="0" w:color="auto"/>
            </w:tcBorders>
            <w:shd w:val="clear" w:color="auto" w:fill="auto"/>
            <w:vAlign w:val="center"/>
          </w:tcPr>
          <w:p w:rsidR="004B340E" w:rsidRPr="00073AF2" w:rsidRDefault="00073AF2" w:rsidP="00923C64">
            <w:pPr>
              <w:rPr>
                <w:rFonts w:ascii="Calibri" w:hAnsi="Calibri" w:cs="Arial"/>
                <w:sz w:val="20"/>
                <w:szCs w:val="20"/>
                <w:highlight w:val="black"/>
              </w:rPr>
            </w:pPr>
            <w:r>
              <w:rPr>
                <w:rFonts w:ascii="Calibri" w:hAnsi="Calibri" w:cs="Arial"/>
                <w:noProof/>
                <w:color w:val="000000"/>
                <w:sz w:val="20"/>
                <w:szCs w:val="20"/>
                <w:highlight w:val="black"/>
              </w:rPr>
              <w:t>'''''''''' '''''''''</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801"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r>
      <w:tr w:rsidR="004B340E" w:rsidRPr="008979FD" w:rsidTr="00923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7" w:type="pct"/>
            <w:tcBorders>
              <w:top w:val="single" w:sz="4" w:space="0" w:color="auto"/>
              <w:bottom w:val="single" w:sz="4" w:space="0" w:color="auto"/>
            </w:tcBorders>
            <w:shd w:val="clear" w:color="auto" w:fill="auto"/>
            <w:vAlign w:val="center"/>
          </w:tcPr>
          <w:p w:rsidR="004B340E" w:rsidRPr="00073AF2" w:rsidRDefault="00073AF2" w:rsidP="00923C64">
            <w:pPr>
              <w:rPr>
                <w:rFonts w:ascii="Calibri" w:eastAsia="Times New Roman" w:hAnsi="Calibri" w:cs="Times New Roman"/>
                <w:i/>
                <w:sz w:val="20"/>
                <w:szCs w:val="20"/>
                <w:highlight w:val="black"/>
                <w:lang w:eastAsia="zh-CN"/>
              </w:rPr>
            </w:pPr>
            <w:r>
              <w:rPr>
                <w:rFonts w:ascii="Calibri" w:hAnsi="Calibri" w:cs="Arial"/>
                <w:noProof/>
                <w:color w:val="000000"/>
                <w:sz w:val="20"/>
                <w:szCs w:val="20"/>
                <w:highlight w:val="black"/>
              </w:rPr>
              <w:t>''''''' '''''''' ''''' ''''''''''''''''''''' '''''' '''''' ''''''''''''</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748"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c>
          <w:tcPr>
            <w:tcW w:w="801" w:type="pct"/>
            <w:tcBorders>
              <w:top w:val="single" w:sz="4" w:space="0" w:color="auto"/>
              <w:bottom w:val="single" w:sz="4" w:space="0" w:color="auto"/>
            </w:tcBorders>
            <w:shd w:val="clear" w:color="auto" w:fill="auto"/>
            <w:vAlign w:val="center"/>
          </w:tcPr>
          <w:p w:rsidR="004B340E" w:rsidRPr="00073AF2" w:rsidRDefault="00073AF2" w:rsidP="00923C64">
            <w:pPr>
              <w:spacing w:after="0"/>
              <w:jc w:val="center"/>
              <w:rPr>
                <w:rFonts w:ascii="Calibri" w:hAnsi="Calibri" w:cs="Arial"/>
                <w:sz w:val="20"/>
                <w:szCs w:val="20"/>
                <w:highlight w:val="black"/>
              </w:rPr>
            </w:pPr>
            <w:r>
              <w:rPr>
                <w:rFonts w:ascii="Calibri" w:hAnsi="Calibri" w:cs="Arial"/>
                <w:noProof/>
                <w:color w:val="000000"/>
                <w:sz w:val="20"/>
                <w:szCs w:val="20"/>
                <w:highlight w:val="black"/>
              </w:rPr>
              <w:t>'''''''''''''''''''''''</w:t>
            </w:r>
          </w:p>
        </w:tc>
      </w:tr>
    </w:tbl>
    <w:p w:rsidR="007C6A3F" w:rsidRPr="00073AF2" w:rsidRDefault="00073AF2" w:rsidP="004B340E">
      <w:pPr>
        <w:widowControl w:val="0"/>
        <w:spacing w:after="240"/>
        <w:contextualSpacing/>
        <w:rPr>
          <w:rFonts w:ascii="Calibri" w:eastAsia="Times New Roman" w:hAnsi="Calibri" w:cs="Times New Roman"/>
          <w:snapToGrid w:val="0"/>
          <w:sz w:val="20"/>
          <w:szCs w:val="20"/>
          <w:highlight w:val="black"/>
          <w:lang w:eastAsia="zh-CN"/>
        </w:rPr>
      </w:pPr>
      <w:r>
        <w:rPr>
          <w:rFonts w:ascii="Calibri" w:eastAsia="Times New Roman" w:hAnsi="Calibri" w:cs="Times New Roman"/>
          <w:noProof/>
          <w:snapToGrid w:val="0"/>
          <w:color w:val="000000"/>
          <w:sz w:val="20"/>
          <w:szCs w:val="20"/>
          <w:highlight w:val="black"/>
          <w:lang w:val="x-none" w:eastAsia="zh-CN"/>
        </w:rPr>
        <w:t>''''''''''''''' ''''''''' ''''''''''''''''''' '''''''''''' ''''''''''''''''' ''''''' ''''''''''''''''''''' ''''''' '''''' '''''''''''''''</w:t>
      </w:r>
    </w:p>
    <w:p w:rsidR="004B340E" w:rsidRPr="00073AF2" w:rsidRDefault="00073AF2" w:rsidP="004B340E">
      <w:pPr>
        <w:widowControl w:val="0"/>
        <w:spacing w:after="240"/>
        <w:contextualSpacing/>
        <w:rPr>
          <w:rFonts w:ascii="Calibri" w:eastAsia="Times New Roman" w:hAnsi="Calibri" w:cs="Times New Roman"/>
          <w:snapToGrid w:val="0"/>
          <w:sz w:val="20"/>
          <w:szCs w:val="20"/>
          <w:highlight w:val="black"/>
          <w:lang w:eastAsia="zh-CN"/>
        </w:rPr>
      </w:pPr>
      <w:r>
        <w:rPr>
          <w:rFonts w:ascii="Calibri" w:eastAsia="Times New Roman" w:hAnsi="Calibri" w:cs="Times New Roman"/>
          <w:noProof/>
          <w:snapToGrid w:val="0"/>
          <w:color w:val="000000"/>
          <w:sz w:val="20"/>
          <w:szCs w:val="20"/>
          <w:highlight w:val="black"/>
          <w:lang w:eastAsia="zh-CN"/>
        </w:rPr>
        <w:t>''' ''''''''''' ''''' ''''''' ''''''''''''''''''' ''''''''''''</w:t>
      </w:r>
    </w:p>
    <w:p w:rsidR="004B340E" w:rsidRPr="0077058D" w:rsidRDefault="004B340E" w:rsidP="004B340E">
      <w:pPr>
        <w:widowControl w:val="0"/>
        <w:spacing w:after="240"/>
        <w:contextualSpacing/>
        <w:rPr>
          <w:rFonts w:ascii="Calibri" w:eastAsia="MS Mincho" w:hAnsi="Calibri" w:cs="Times New Roman"/>
          <w:b/>
        </w:rPr>
      </w:pPr>
    </w:p>
    <w:p w:rsidR="00B87CD5" w:rsidRPr="00B87CD5" w:rsidRDefault="00B87CD5" w:rsidP="00B87CD5">
      <w:pPr>
        <w:spacing w:before="240"/>
        <w:outlineLvl w:val="1"/>
        <w:rPr>
          <w:rFonts w:ascii="Calibri" w:eastAsia="MS Mincho" w:hAnsi="Calibri" w:cs="Times New Roman"/>
          <w:b/>
          <w:sz w:val="28"/>
        </w:rPr>
      </w:pPr>
      <w:r w:rsidRPr="00B87CD5">
        <w:rPr>
          <w:rFonts w:ascii="Calibri" w:eastAsia="MS Mincho" w:hAnsi="Calibri" w:cs="Times New Roman"/>
          <w:b/>
          <w:sz w:val="28"/>
        </w:rPr>
        <w:t>PBS listing details</w:t>
      </w:r>
      <w:r w:rsidR="00A5795B">
        <w:rPr>
          <w:rFonts w:ascii="Calibri" w:eastAsia="MS Mincho" w:hAnsi="Calibri" w:cs="Times New Roman"/>
          <w:b/>
          <w:sz w:val="28"/>
        </w:rPr>
        <w:t xml:space="preserve"> </w:t>
      </w:r>
      <w:r w:rsidR="00A5795B">
        <w:rPr>
          <w:rFonts w:ascii="Calibri" w:eastAsia="MS Mincho" w:hAnsi="Calibri" w:cs="Times New Roman"/>
          <w:b/>
        </w:rPr>
        <w:t>(as at April 2017)</w:t>
      </w:r>
    </w:p>
    <w:p w:rsidR="00B87CD5" w:rsidRPr="00B87CD5" w:rsidRDefault="00B87CD5" w:rsidP="00EA531B">
      <w:pPr>
        <w:spacing w:after="0" w:line="276" w:lineRule="auto"/>
        <w:rPr>
          <w:rFonts w:ascii="Calibri" w:eastAsia="MS Mincho" w:hAnsi="Calibri" w:cs="Times New Roman"/>
          <w:b/>
        </w:rPr>
      </w:pPr>
      <w:r w:rsidRPr="00B87CD5">
        <w:rPr>
          <w:rFonts w:ascii="Calibri" w:eastAsia="MS Mincho" w:hAnsi="Calibri" w:cs="Times New Roman"/>
          <w:b/>
        </w:rPr>
        <w:t xml:space="preserve">Table </w:t>
      </w:r>
      <w:r w:rsidR="00A310B7">
        <w:rPr>
          <w:rFonts w:ascii="Calibri" w:eastAsia="MS Mincho" w:hAnsi="Calibri" w:cs="Times New Roman"/>
          <w:b/>
        </w:rPr>
        <w:t>3</w:t>
      </w:r>
      <w:r w:rsidRPr="00B87CD5">
        <w:rPr>
          <w:rFonts w:ascii="Calibri" w:eastAsia="MS Mincho" w:hAnsi="Calibri" w:cs="Times New Roman"/>
          <w:b/>
        </w:rPr>
        <w:t xml:space="preserve">: PBS listing of </w:t>
      </w:r>
      <w:r w:rsidR="001E2C27" w:rsidRPr="001E2C27">
        <w:rPr>
          <w:rFonts w:ascii="Calibri" w:eastAsia="MS Mincho" w:hAnsi="Calibri" w:cs="Times New Roman"/>
          <w:b/>
        </w:rPr>
        <w:t>botulinum toxin type A</w:t>
      </w:r>
      <w:r w:rsidR="00734C93">
        <w:rPr>
          <w:rFonts w:ascii="Calibri" w:eastAsia="MS Mincho" w:hAnsi="Calibri" w:cs="Times New Roman"/>
          <w:b/>
        </w:rPr>
        <w:t xml:space="preserve"> for chronic migraine</w:t>
      </w:r>
      <w:r w:rsidR="00A5795B">
        <w:rPr>
          <w:rFonts w:ascii="Calibri" w:eastAsia="MS Mincho" w:hAnsi="Calibri" w:cs="Times New Roman"/>
          <w:b/>
        </w:rPr>
        <w:t xml:space="preserve"> </w:t>
      </w:r>
    </w:p>
    <w:tbl>
      <w:tblPr>
        <w:tblStyle w:val="TableGrid1"/>
        <w:tblW w:w="8716" w:type="dxa"/>
        <w:tblLayout w:type="fixed"/>
        <w:tblLook w:val="04A0" w:firstRow="1" w:lastRow="0" w:firstColumn="1" w:lastColumn="0" w:noHBand="0" w:noVBand="1"/>
        <w:tblCaption w:val="Table 3: PBS listing of botulinum toxin type A for chronic migraine "/>
        <w:tblDescription w:val="PBS listing details for botulinum"/>
      </w:tblPr>
      <w:tblGrid>
        <w:gridCol w:w="1101"/>
        <w:gridCol w:w="2494"/>
        <w:gridCol w:w="737"/>
        <w:gridCol w:w="850"/>
        <w:gridCol w:w="1040"/>
        <w:gridCol w:w="2494"/>
      </w:tblGrid>
      <w:tr w:rsidR="001B0CFA" w:rsidRPr="00B87CD5" w:rsidTr="001B0CFA">
        <w:trPr>
          <w:trHeight w:val="694"/>
          <w:tblHeader/>
        </w:trPr>
        <w:tc>
          <w:tcPr>
            <w:tcW w:w="1101" w:type="dxa"/>
            <w:shd w:val="clear" w:color="auto" w:fill="BFBFBF" w:themeFill="background1" w:themeFillShade="BF"/>
          </w:tcPr>
          <w:p w:rsidR="001B0CFA" w:rsidRPr="00B87CD5" w:rsidRDefault="001B0CFA" w:rsidP="00B87CD5">
            <w:pPr>
              <w:autoSpaceDE w:val="0"/>
              <w:autoSpaceDN w:val="0"/>
              <w:adjustRightInd w:val="0"/>
              <w:spacing w:before="60" w:after="60"/>
              <w:jc w:val="center"/>
              <w:rPr>
                <w:rFonts w:ascii="Calibri" w:eastAsia="MS Mincho" w:hAnsi="Calibri" w:cs="Calibri"/>
                <w:b/>
                <w:sz w:val="20"/>
                <w:szCs w:val="20"/>
              </w:rPr>
            </w:pPr>
            <w:r w:rsidRPr="00B87CD5">
              <w:rPr>
                <w:rFonts w:ascii="Calibri" w:eastAsia="MS Mincho" w:hAnsi="Calibri" w:cs="Calibri"/>
                <w:b/>
                <w:sz w:val="20"/>
                <w:szCs w:val="20"/>
              </w:rPr>
              <w:t>Item</w:t>
            </w:r>
          </w:p>
        </w:tc>
        <w:tc>
          <w:tcPr>
            <w:tcW w:w="2494" w:type="dxa"/>
            <w:shd w:val="clear" w:color="auto" w:fill="BFBFBF" w:themeFill="background1" w:themeFillShade="BF"/>
          </w:tcPr>
          <w:p w:rsidR="001B0CFA" w:rsidRPr="00B87CD5" w:rsidRDefault="001B0CFA" w:rsidP="00B87CD5">
            <w:pPr>
              <w:autoSpaceDE w:val="0"/>
              <w:autoSpaceDN w:val="0"/>
              <w:adjustRightInd w:val="0"/>
              <w:spacing w:before="60" w:after="60"/>
              <w:jc w:val="center"/>
              <w:rPr>
                <w:rFonts w:ascii="Calibri" w:eastAsia="MS Mincho" w:hAnsi="Calibri" w:cs="Calibri"/>
                <w:b/>
                <w:sz w:val="20"/>
                <w:szCs w:val="20"/>
              </w:rPr>
            </w:pPr>
            <w:r w:rsidRPr="00B87CD5">
              <w:rPr>
                <w:rFonts w:ascii="Calibri" w:eastAsia="MS Mincho" w:hAnsi="Calibri" w:cs="Calibri"/>
                <w:b/>
                <w:sz w:val="20"/>
                <w:szCs w:val="20"/>
              </w:rPr>
              <w:t>Name, form &amp; strength, pack size</w:t>
            </w:r>
          </w:p>
        </w:tc>
        <w:tc>
          <w:tcPr>
            <w:tcW w:w="737" w:type="dxa"/>
            <w:shd w:val="clear" w:color="auto" w:fill="BFBFBF" w:themeFill="background1" w:themeFillShade="BF"/>
          </w:tcPr>
          <w:p w:rsidR="001B0CFA" w:rsidRPr="00B87CD5" w:rsidRDefault="001B0CFA" w:rsidP="00B87CD5">
            <w:pPr>
              <w:autoSpaceDE w:val="0"/>
              <w:autoSpaceDN w:val="0"/>
              <w:adjustRightInd w:val="0"/>
              <w:spacing w:before="60" w:after="60"/>
              <w:jc w:val="center"/>
              <w:rPr>
                <w:rFonts w:ascii="Calibri" w:eastAsia="MS Mincho" w:hAnsi="Calibri" w:cs="Calibri"/>
                <w:b/>
                <w:sz w:val="20"/>
                <w:szCs w:val="20"/>
              </w:rPr>
            </w:pPr>
            <w:r w:rsidRPr="00B87CD5">
              <w:rPr>
                <w:rFonts w:ascii="Calibri" w:eastAsia="MS Mincho" w:hAnsi="Calibri" w:cs="Calibri"/>
                <w:b/>
                <w:sz w:val="20"/>
                <w:szCs w:val="20"/>
              </w:rPr>
              <w:t>Max qty packs</w:t>
            </w:r>
          </w:p>
        </w:tc>
        <w:tc>
          <w:tcPr>
            <w:tcW w:w="850" w:type="dxa"/>
            <w:shd w:val="clear" w:color="auto" w:fill="BFBFBF" w:themeFill="background1" w:themeFillShade="BF"/>
          </w:tcPr>
          <w:p w:rsidR="001B0CFA" w:rsidRPr="00B87CD5" w:rsidRDefault="001B0CFA" w:rsidP="00B87CD5">
            <w:pPr>
              <w:autoSpaceDE w:val="0"/>
              <w:autoSpaceDN w:val="0"/>
              <w:adjustRightInd w:val="0"/>
              <w:spacing w:before="60" w:after="60"/>
              <w:jc w:val="center"/>
              <w:rPr>
                <w:rFonts w:ascii="Calibri" w:eastAsia="MS Mincho" w:hAnsi="Calibri" w:cs="Calibri"/>
                <w:b/>
                <w:sz w:val="20"/>
                <w:szCs w:val="20"/>
              </w:rPr>
            </w:pPr>
            <w:r w:rsidRPr="00B87CD5">
              <w:rPr>
                <w:rFonts w:ascii="Calibri" w:eastAsia="MS Mincho" w:hAnsi="Calibri" w:cs="Calibri"/>
                <w:b/>
                <w:sz w:val="20"/>
                <w:szCs w:val="20"/>
              </w:rPr>
              <w:t>Rpts</w:t>
            </w:r>
          </w:p>
        </w:tc>
        <w:tc>
          <w:tcPr>
            <w:tcW w:w="1040" w:type="dxa"/>
            <w:shd w:val="clear" w:color="auto" w:fill="BFBFBF" w:themeFill="background1" w:themeFillShade="BF"/>
          </w:tcPr>
          <w:p w:rsidR="001B0CFA" w:rsidRPr="00B87CD5" w:rsidRDefault="001B0CFA" w:rsidP="00B87CD5">
            <w:pPr>
              <w:autoSpaceDE w:val="0"/>
              <w:autoSpaceDN w:val="0"/>
              <w:adjustRightInd w:val="0"/>
              <w:spacing w:before="60" w:after="60"/>
              <w:jc w:val="center"/>
              <w:rPr>
                <w:rFonts w:ascii="Calibri" w:eastAsia="MS Mincho" w:hAnsi="Calibri" w:cs="Calibri"/>
                <w:b/>
                <w:sz w:val="20"/>
                <w:szCs w:val="20"/>
              </w:rPr>
            </w:pPr>
            <w:r w:rsidRPr="00B87CD5">
              <w:rPr>
                <w:rFonts w:ascii="Calibri" w:eastAsia="MS Mincho" w:hAnsi="Calibri" w:cs="Calibri"/>
                <w:b/>
                <w:sz w:val="20"/>
                <w:szCs w:val="20"/>
              </w:rPr>
              <w:t>DPMQ</w:t>
            </w:r>
          </w:p>
        </w:tc>
        <w:tc>
          <w:tcPr>
            <w:tcW w:w="2494" w:type="dxa"/>
            <w:shd w:val="clear" w:color="auto" w:fill="BFBFBF" w:themeFill="background1" w:themeFillShade="BF"/>
          </w:tcPr>
          <w:p w:rsidR="001B0CFA" w:rsidRPr="00B87CD5" w:rsidRDefault="001B0CFA" w:rsidP="00B87CD5">
            <w:pPr>
              <w:autoSpaceDE w:val="0"/>
              <w:autoSpaceDN w:val="0"/>
              <w:adjustRightInd w:val="0"/>
              <w:spacing w:before="60" w:after="60"/>
              <w:jc w:val="center"/>
              <w:rPr>
                <w:rFonts w:ascii="Calibri" w:eastAsia="MS Mincho" w:hAnsi="Calibri" w:cs="Calibri"/>
                <w:b/>
                <w:sz w:val="20"/>
                <w:szCs w:val="20"/>
              </w:rPr>
            </w:pPr>
            <w:r w:rsidRPr="00B87CD5">
              <w:rPr>
                <w:rFonts w:ascii="Calibri" w:eastAsia="MS Mincho" w:hAnsi="Calibri" w:cs="Calibri"/>
                <w:b/>
                <w:sz w:val="20"/>
                <w:szCs w:val="20"/>
              </w:rPr>
              <w:t>Brand name and manufacturer</w:t>
            </w:r>
          </w:p>
        </w:tc>
      </w:tr>
      <w:tr w:rsidR="001B0CFA" w:rsidRPr="00B87CD5" w:rsidTr="001B0CFA">
        <w:trPr>
          <w:trHeight w:val="552"/>
          <w:tblHeader/>
        </w:trPr>
        <w:tc>
          <w:tcPr>
            <w:tcW w:w="1101" w:type="dxa"/>
            <w:shd w:val="clear" w:color="auto" w:fill="auto"/>
          </w:tcPr>
          <w:p w:rsidR="00A5795B" w:rsidRDefault="001B0CFA" w:rsidP="00B87CD5">
            <w:pPr>
              <w:autoSpaceDE w:val="0"/>
              <w:autoSpaceDN w:val="0"/>
              <w:adjustRightInd w:val="0"/>
              <w:spacing w:before="60" w:after="60"/>
            </w:pPr>
            <w:r w:rsidRPr="008E5145">
              <w:t>6103F</w:t>
            </w:r>
          </w:p>
          <w:p w:rsidR="001B0CFA" w:rsidRPr="00B87CD5" w:rsidRDefault="00A5795B" w:rsidP="00B87CD5">
            <w:pPr>
              <w:autoSpaceDE w:val="0"/>
              <w:autoSpaceDN w:val="0"/>
              <w:adjustRightInd w:val="0"/>
              <w:spacing w:before="60" w:after="60"/>
              <w:rPr>
                <w:rFonts w:ascii="Calibri" w:eastAsia="MS Mincho" w:hAnsi="Calibri" w:cs="Calibri"/>
                <w:color w:val="000000"/>
                <w:sz w:val="20"/>
                <w:szCs w:val="20"/>
              </w:rPr>
            </w:pPr>
            <w:r w:rsidRPr="00FF609F">
              <w:t>11000Y</w:t>
            </w:r>
            <w:r w:rsidR="00422E25" w:rsidRPr="00D25117">
              <w:rPr>
                <w:vertAlign w:val="superscript"/>
              </w:rPr>
              <w:t>#</w:t>
            </w:r>
          </w:p>
        </w:tc>
        <w:tc>
          <w:tcPr>
            <w:tcW w:w="2494" w:type="dxa"/>
            <w:shd w:val="clear" w:color="auto" w:fill="auto"/>
          </w:tcPr>
          <w:p w:rsidR="001B0CFA" w:rsidRPr="00B87CD5" w:rsidRDefault="001B0CFA" w:rsidP="00B87CD5">
            <w:pPr>
              <w:autoSpaceDE w:val="0"/>
              <w:autoSpaceDN w:val="0"/>
              <w:adjustRightInd w:val="0"/>
              <w:spacing w:before="60" w:after="60"/>
              <w:rPr>
                <w:rFonts w:ascii="Calibri" w:eastAsia="MS Mincho" w:hAnsi="Calibri" w:cs="Calibri"/>
                <w:color w:val="000000"/>
                <w:sz w:val="20"/>
                <w:szCs w:val="20"/>
              </w:rPr>
            </w:pPr>
            <w:r w:rsidRPr="001E2C27">
              <w:rPr>
                <w:rFonts w:ascii="Calibri" w:eastAsia="MS Mincho" w:hAnsi="Calibri" w:cs="Calibri"/>
                <w:color w:val="000000"/>
                <w:sz w:val="20"/>
                <w:szCs w:val="20"/>
              </w:rPr>
              <w:t>botulinum toxin type A 100 units injection, 1 vial</w:t>
            </w:r>
          </w:p>
        </w:tc>
        <w:tc>
          <w:tcPr>
            <w:tcW w:w="737" w:type="dxa"/>
            <w:shd w:val="clear" w:color="auto" w:fill="auto"/>
          </w:tcPr>
          <w:p w:rsidR="001B0CFA" w:rsidRPr="00B87CD5" w:rsidRDefault="001B0CFA" w:rsidP="00B87CD5">
            <w:pPr>
              <w:autoSpaceDE w:val="0"/>
              <w:autoSpaceDN w:val="0"/>
              <w:adjustRightInd w:val="0"/>
              <w:spacing w:before="60" w:after="60"/>
              <w:jc w:val="center"/>
              <w:rPr>
                <w:rFonts w:ascii="Calibri" w:eastAsia="MS Mincho" w:hAnsi="Calibri" w:cs="Calibri"/>
                <w:color w:val="000000"/>
                <w:sz w:val="20"/>
                <w:szCs w:val="20"/>
              </w:rPr>
            </w:pPr>
            <w:r>
              <w:rPr>
                <w:rFonts w:ascii="Calibri" w:eastAsia="MS Mincho" w:hAnsi="Calibri" w:cs="Calibri"/>
                <w:color w:val="000000"/>
                <w:sz w:val="20"/>
                <w:szCs w:val="20"/>
              </w:rPr>
              <w:t>4</w:t>
            </w:r>
          </w:p>
        </w:tc>
        <w:tc>
          <w:tcPr>
            <w:tcW w:w="850" w:type="dxa"/>
            <w:shd w:val="clear" w:color="auto" w:fill="auto"/>
          </w:tcPr>
          <w:p w:rsidR="001B0CFA" w:rsidRPr="00B87CD5" w:rsidRDefault="001B0CFA" w:rsidP="00B87CD5">
            <w:pPr>
              <w:autoSpaceDE w:val="0"/>
              <w:autoSpaceDN w:val="0"/>
              <w:adjustRightInd w:val="0"/>
              <w:spacing w:before="60" w:after="60"/>
              <w:jc w:val="center"/>
              <w:rPr>
                <w:rFonts w:ascii="Calibri" w:eastAsia="MS Mincho" w:hAnsi="Calibri" w:cs="Calibri"/>
                <w:color w:val="000000"/>
                <w:sz w:val="20"/>
                <w:szCs w:val="20"/>
              </w:rPr>
            </w:pPr>
            <w:r>
              <w:rPr>
                <w:rFonts w:ascii="Calibri" w:eastAsia="MS Mincho" w:hAnsi="Calibri" w:cs="Calibri"/>
                <w:color w:val="000000"/>
                <w:sz w:val="20"/>
                <w:szCs w:val="20"/>
              </w:rPr>
              <w:t>0</w:t>
            </w:r>
          </w:p>
        </w:tc>
        <w:tc>
          <w:tcPr>
            <w:tcW w:w="1040" w:type="dxa"/>
            <w:shd w:val="clear" w:color="auto" w:fill="auto"/>
          </w:tcPr>
          <w:p w:rsidR="001B0CFA" w:rsidRPr="00B87CD5" w:rsidRDefault="001B0CFA" w:rsidP="00B87CD5">
            <w:pPr>
              <w:autoSpaceDE w:val="0"/>
              <w:autoSpaceDN w:val="0"/>
              <w:adjustRightInd w:val="0"/>
              <w:spacing w:before="60" w:after="60"/>
              <w:jc w:val="center"/>
              <w:rPr>
                <w:rFonts w:ascii="Calibri" w:eastAsia="MS Mincho" w:hAnsi="Calibri" w:cs="Calibri"/>
                <w:color w:val="000000"/>
                <w:sz w:val="20"/>
                <w:szCs w:val="20"/>
              </w:rPr>
            </w:pPr>
            <w:r w:rsidRPr="001E2C27">
              <w:rPr>
                <w:rFonts w:ascii="Calibri" w:eastAsia="MS Mincho" w:hAnsi="Calibri" w:cs="Calibri"/>
                <w:color w:val="000000"/>
                <w:sz w:val="20"/>
                <w:szCs w:val="20"/>
              </w:rPr>
              <w:t>1625.94</w:t>
            </w:r>
            <w:r w:rsidR="00FF609F" w:rsidRPr="001E2C27">
              <w:rPr>
                <w:rFonts w:ascii="Calibri" w:eastAsia="MS Mincho" w:hAnsi="Calibri" w:cs="Calibri"/>
                <w:color w:val="000000"/>
                <w:sz w:val="20"/>
                <w:szCs w:val="20"/>
              </w:rPr>
              <w:t>*</w:t>
            </w:r>
          </w:p>
        </w:tc>
        <w:tc>
          <w:tcPr>
            <w:tcW w:w="2494" w:type="dxa"/>
            <w:shd w:val="clear" w:color="auto" w:fill="auto"/>
          </w:tcPr>
          <w:p w:rsidR="001B0CFA" w:rsidRPr="00B87CD5" w:rsidRDefault="001B0CFA" w:rsidP="001E2C27">
            <w:pPr>
              <w:autoSpaceDE w:val="0"/>
              <w:autoSpaceDN w:val="0"/>
              <w:adjustRightInd w:val="0"/>
              <w:spacing w:before="60" w:after="60"/>
              <w:jc w:val="center"/>
              <w:rPr>
                <w:rFonts w:ascii="Calibri" w:eastAsia="MS Mincho" w:hAnsi="Calibri" w:cs="Calibri"/>
                <w:color w:val="000000"/>
                <w:sz w:val="20"/>
                <w:szCs w:val="20"/>
              </w:rPr>
            </w:pPr>
            <w:r w:rsidRPr="001E2C27">
              <w:rPr>
                <w:rFonts w:ascii="Calibri" w:eastAsia="MS Mincho" w:hAnsi="Calibri" w:cs="Calibri"/>
                <w:color w:val="000000"/>
                <w:sz w:val="20"/>
                <w:szCs w:val="20"/>
              </w:rPr>
              <w:t>Botox</w:t>
            </w:r>
            <w:r>
              <w:rPr>
                <w:rFonts w:ascii="Calibri" w:eastAsia="MS Mincho" w:hAnsi="Calibri" w:cs="Calibri"/>
                <w:color w:val="000000"/>
                <w:sz w:val="20"/>
                <w:szCs w:val="20"/>
              </w:rPr>
              <w:t xml:space="preserve">, </w:t>
            </w:r>
            <w:r w:rsidRPr="001E2C27">
              <w:rPr>
                <w:rFonts w:ascii="Calibri" w:eastAsia="MS Mincho" w:hAnsi="Calibri" w:cs="Calibri"/>
                <w:color w:val="000000"/>
                <w:sz w:val="20"/>
                <w:szCs w:val="20"/>
              </w:rPr>
              <w:t>Allergan Australia Pty Limited</w:t>
            </w:r>
          </w:p>
        </w:tc>
      </w:tr>
    </w:tbl>
    <w:p w:rsidR="0012302D" w:rsidRDefault="00B87CD5" w:rsidP="00D25117">
      <w:pPr>
        <w:spacing w:after="0"/>
        <w:rPr>
          <w:rFonts w:ascii="Calibri" w:eastAsia="MS Mincho" w:hAnsi="Calibri" w:cs="Baskerville"/>
          <w:sz w:val="20"/>
          <w:szCs w:val="20"/>
        </w:rPr>
      </w:pPr>
      <w:r w:rsidRPr="00B87CD5">
        <w:rPr>
          <w:rFonts w:ascii="Calibri" w:eastAsia="MS Mincho" w:hAnsi="Calibri" w:cs="Baskerville"/>
          <w:sz w:val="20"/>
          <w:szCs w:val="20"/>
        </w:rPr>
        <w:t xml:space="preserve">Source: </w:t>
      </w:r>
      <w:r w:rsidR="002C12F2" w:rsidRPr="00073AF2">
        <w:rPr>
          <w:rFonts w:ascii="Calibri" w:eastAsia="MS Mincho" w:hAnsi="Calibri" w:cs="Baskerville"/>
          <w:sz w:val="20"/>
          <w:szCs w:val="20"/>
        </w:rPr>
        <w:t>pbs.gov.au</w:t>
      </w:r>
      <w:r w:rsidR="001E2C27">
        <w:rPr>
          <w:rFonts w:ascii="Calibri" w:eastAsia="MS Mincho" w:hAnsi="Calibri" w:cs="Baskerville"/>
          <w:sz w:val="20"/>
          <w:szCs w:val="20"/>
        </w:rPr>
        <w:br/>
      </w:r>
      <w:r w:rsidR="0012302D" w:rsidRPr="00D25117">
        <w:rPr>
          <w:rFonts w:ascii="Calibri" w:eastAsia="MS Mincho" w:hAnsi="Calibri" w:cs="Baskerville"/>
          <w:sz w:val="20"/>
          <w:szCs w:val="20"/>
          <w:vertAlign w:val="superscript"/>
        </w:rPr>
        <w:t>#</w:t>
      </w:r>
      <w:r w:rsidR="0012302D">
        <w:rPr>
          <w:rFonts w:ascii="Calibri" w:eastAsia="MS Mincho" w:hAnsi="Calibri" w:cs="Baskerville"/>
          <w:sz w:val="20"/>
          <w:szCs w:val="20"/>
          <w:vertAlign w:val="superscript"/>
        </w:rPr>
        <w:t xml:space="preserve"> </w:t>
      </w:r>
      <w:r w:rsidR="0012302D">
        <w:rPr>
          <w:rFonts w:ascii="Calibri" w:eastAsia="MS Mincho" w:hAnsi="Calibri" w:cs="Baskerville"/>
          <w:sz w:val="20"/>
          <w:szCs w:val="20"/>
        </w:rPr>
        <w:t>New</w:t>
      </w:r>
      <w:r w:rsidR="00807E22">
        <w:rPr>
          <w:rFonts w:ascii="Calibri" w:eastAsia="MS Mincho" w:hAnsi="Calibri" w:cs="Baskerville"/>
          <w:sz w:val="20"/>
          <w:szCs w:val="20"/>
        </w:rPr>
        <w:t xml:space="preserve"> PBS item code</w:t>
      </w:r>
      <w:r w:rsidR="0012302D">
        <w:rPr>
          <w:rFonts w:ascii="Calibri" w:eastAsia="MS Mincho" w:hAnsi="Calibri" w:cs="Baskerville"/>
          <w:sz w:val="20"/>
          <w:szCs w:val="20"/>
        </w:rPr>
        <w:t xml:space="preserve"> from 1 January 2017</w:t>
      </w:r>
    </w:p>
    <w:p w:rsidR="00422E25" w:rsidRDefault="001E2C27" w:rsidP="00D25117">
      <w:pPr>
        <w:spacing w:after="0"/>
        <w:rPr>
          <w:rFonts w:ascii="Calibri" w:eastAsia="MS Mincho" w:hAnsi="Calibri" w:cs="Baskerville"/>
          <w:sz w:val="20"/>
          <w:szCs w:val="20"/>
        </w:rPr>
      </w:pPr>
      <w:r>
        <w:rPr>
          <w:rFonts w:ascii="Calibri" w:eastAsia="MS Mincho" w:hAnsi="Calibri" w:cs="Baskerville"/>
          <w:sz w:val="20"/>
          <w:szCs w:val="20"/>
        </w:rPr>
        <w:t>*</w:t>
      </w:r>
      <w:r w:rsidR="00C04827" w:rsidRPr="00C04827">
        <w:rPr>
          <w:rFonts w:ascii="Calibri" w:eastAsia="MS Mincho" w:hAnsi="Calibri" w:cs="Baskerville"/>
          <w:sz w:val="20"/>
          <w:szCs w:val="20"/>
        </w:rPr>
        <w:t>Special Pricing Arrangements apply</w:t>
      </w:r>
    </w:p>
    <w:p w:rsidR="001E2C27" w:rsidRDefault="001E2C27" w:rsidP="00C04827">
      <w:pPr>
        <w:rPr>
          <w:rFonts w:ascii="Calibri" w:eastAsia="MS Mincho" w:hAnsi="Calibri" w:cs="Baskerville"/>
          <w:sz w:val="20"/>
          <w:szCs w:val="20"/>
        </w:rPr>
      </w:pPr>
      <w:r>
        <w:rPr>
          <w:rFonts w:ascii="Calibri" w:eastAsia="MS Mincho" w:hAnsi="Calibri" w:cs="Baskerville"/>
          <w:sz w:val="20"/>
          <w:szCs w:val="20"/>
        </w:rPr>
        <w:t>Note: Streamlined Authority code for the Chronic Migraine indication is 5262</w:t>
      </w:r>
    </w:p>
    <w:p w:rsidR="00B87CD5" w:rsidRPr="00B87CD5" w:rsidRDefault="00B87CD5" w:rsidP="00734C93">
      <w:pPr>
        <w:rPr>
          <w:rFonts w:ascii="Calibri" w:eastAsia="MS Mincho" w:hAnsi="Calibri" w:cs="Times New Roman"/>
          <w:b/>
          <w:i/>
          <w:szCs w:val="28"/>
        </w:rPr>
      </w:pPr>
      <w:r w:rsidRPr="00B87CD5">
        <w:rPr>
          <w:rFonts w:ascii="Calibri" w:eastAsia="MS Mincho" w:hAnsi="Calibri" w:cs="Times New Roman"/>
          <w:b/>
          <w:i/>
          <w:szCs w:val="28"/>
        </w:rPr>
        <w:t>Restriction</w:t>
      </w:r>
    </w:p>
    <w:p w:rsidR="00A5795B" w:rsidRDefault="00A5795B" w:rsidP="00A5795B">
      <w:r w:rsidRPr="00E22270">
        <w:rPr>
          <w:u w:val="single"/>
        </w:rPr>
        <w:t>Authority required (Streamlined</w:t>
      </w:r>
      <w:r>
        <w:t>)</w:t>
      </w:r>
    </w:p>
    <w:p w:rsidR="00A5795B" w:rsidRDefault="00A5795B" w:rsidP="00A5795B">
      <w:r>
        <w:t>Patient must have experienced an average of 15 or more headache days per month, with at least 8 days of migraine, over a period of at least 6 months, prior to commencement of treatment with botulinum toxin type A neurotoxin, AND;</w:t>
      </w:r>
    </w:p>
    <w:p w:rsidR="00A5795B" w:rsidRDefault="00A5795B" w:rsidP="00A5795B">
      <w:r>
        <w:t>Patient must have experienced an inadequate response, intolerance or a contraindication to at least three prophylactic migraine medications prior to commencement of treatment with botulinum toxin type A neurotoxin.</w:t>
      </w:r>
      <w:r w:rsidRPr="006C4EAC">
        <w:t xml:space="preserve"> Prophylactic migraine medications are propranolol, amitriptyline, methysergide, pizotifen, cyproheptadine or topiramate</w:t>
      </w:r>
      <w:r>
        <w:t xml:space="preserve">  AND;</w:t>
      </w:r>
    </w:p>
    <w:p w:rsidR="00A5795B" w:rsidRDefault="00A5795B" w:rsidP="00A5795B">
      <w:r>
        <w:t>Patient must be appropriately managed by his or her practitioner for medication overuse headache, prior to initiation of treatment with botulinum toxin AND;</w:t>
      </w:r>
    </w:p>
    <w:p w:rsidR="00A5795B" w:rsidRDefault="00A5795B" w:rsidP="00A5795B">
      <w:r>
        <w:t>Patients must be aged 18 years or older and must be treated by a neurologist.</w:t>
      </w:r>
    </w:p>
    <w:p w:rsidR="00A5795B" w:rsidRDefault="00A5795B" w:rsidP="00A5795B">
      <w:r>
        <w:lastRenderedPageBreak/>
        <w:t>Patient must have achieved and maintained a 50% or greater reduction from baseline in the number of headache days per month after two treatment cycles (each of 12 weeks duration) in order to be eligible for continuing PBS-subsidised treatment.</w:t>
      </w:r>
    </w:p>
    <w:p w:rsidR="0085284C" w:rsidRDefault="0085284C" w:rsidP="00A5795B">
      <w:r w:rsidRPr="00D82F92">
        <w:rPr>
          <w:rFonts w:ascii="Calibri" w:eastAsia="MS Mincho" w:hAnsi="Calibri" w:cs="Baskerville"/>
        </w:rPr>
        <w:t>For full details of the current PBS-listing refer to the PBS website</w:t>
      </w:r>
      <w:r>
        <w:rPr>
          <w:rFonts w:ascii="Calibri" w:eastAsia="MS Mincho" w:hAnsi="Calibri" w:cs="Baskerville"/>
        </w:rPr>
        <w:t>.</w:t>
      </w:r>
    </w:p>
    <w:p w:rsidR="00A5795B" w:rsidRPr="00D25117" w:rsidRDefault="00A5795B" w:rsidP="001E2C27">
      <w:pPr>
        <w:rPr>
          <w:rFonts w:ascii="Calibri" w:eastAsia="MS Mincho" w:hAnsi="Calibri" w:cs="Times New Roman"/>
          <w:b/>
          <w:i/>
          <w:szCs w:val="28"/>
        </w:rPr>
      </w:pPr>
      <w:r w:rsidRPr="00D25117">
        <w:rPr>
          <w:rFonts w:ascii="Calibri" w:eastAsia="MS Mincho" w:hAnsi="Calibri" w:cs="Times New Roman"/>
          <w:b/>
          <w:i/>
          <w:szCs w:val="28"/>
        </w:rPr>
        <w:t>Changes to listing</w:t>
      </w:r>
      <w:r w:rsidR="002C12F2">
        <w:rPr>
          <w:rFonts w:ascii="Calibri" w:eastAsia="MS Mincho" w:hAnsi="Calibri" w:cs="Times New Roman"/>
          <w:b/>
          <w:i/>
          <w:szCs w:val="28"/>
        </w:rPr>
        <w:t xml:space="preserve"> </w:t>
      </w:r>
      <w:r w:rsidR="00422E25">
        <w:rPr>
          <w:rFonts w:ascii="Calibri" w:eastAsia="MS Mincho" w:hAnsi="Calibri" w:cs="Times New Roman"/>
          <w:b/>
          <w:i/>
          <w:szCs w:val="28"/>
        </w:rPr>
        <w:t>and supply arrangements</w:t>
      </w:r>
    </w:p>
    <w:p w:rsidR="00422E25" w:rsidRDefault="00422E25" w:rsidP="00422E25">
      <w:pPr>
        <w:rPr>
          <w:rFonts w:ascii="Calibri" w:eastAsia="MS Mincho" w:hAnsi="Calibri" w:cs="Baskerville"/>
        </w:rPr>
      </w:pPr>
      <w:r w:rsidRPr="00D82F92">
        <w:rPr>
          <w:rFonts w:ascii="Calibri" w:eastAsia="MS Mincho" w:hAnsi="Calibri" w:cs="Baskerville"/>
        </w:rPr>
        <w:t xml:space="preserve">In recent years there </w:t>
      </w:r>
      <w:r w:rsidR="00F96DCB">
        <w:rPr>
          <w:rFonts w:ascii="Calibri" w:eastAsia="MS Mincho" w:hAnsi="Calibri" w:cs="Baskerville"/>
        </w:rPr>
        <w:t>have</w:t>
      </w:r>
      <w:r w:rsidR="00F96DCB" w:rsidRPr="00D82F92">
        <w:rPr>
          <w:rFonts w:ascii="Calibri" w:eastAsia="MS Mincho" w:hAnsi="Calibri" w:cs="Baskerville"/>
        </w:rPr>
        <w:t xml:space="preserve"> </w:t>
      </w:r>
      <w:r w:rsidRPr="00D82F92">
        <w:rPr>
          <w:rFonts w:ascii="Calibri" w:eastAsia="MS Mincho" w:hAnsi="Calibri" w:cs="Baskerville"/>
        </w:rPr>
        <w:t xml:space="preserve">been two reforms </w:t>
      </w:r>
      <w:r w:rsidR="00F1741E">
        <w:rPr>
          <w:rFonts w:ascii="Calibri" w:eastAsia="MS Mincho" w:hAnsi="Calibri" w:cs="Baskerville"/>
        </w:rPr>
        <w:t>to</w:t>
      </w:r>
      <w:r w:rsidR="00B93C2B">
        <w:rPr>
          <w:rFonts w:ascii="Calibri" w:eastAsia="MS Mincho" w:hAnsi="Calibri" w:cs="Baskerville"/>
        </w:rPr>
        <w:t xml:space="preserve"> </w:t>
      </w:r>
      <w:r w:rsidRPr="00D82F92">
        <w:rPr>
          <w:rFonts w:ascii="Calibri" w:eastAsia="MS Mincho" w:hAnsi="Calibri" w:cs="Baskerville"/>
        </w:rPr>
        <w:t xml:space="preserve">the way </w:t>
      </w:r>
      <w:r>
        <w:rPr>
          <w:rFonts w:ascii="Calibri" w:eastAsia="MS Mincho" w:hAnsi="Calibri" w:cs="Baskerville"/>
        </w:rPr>
        <w:t xml:space="preserve">PBS subsidised </w:t>
      </w:r>
      <w:r w:rsidRPr="00D82F92">
        <w:rPr>
          <w:rFonts w:ascii="Calibri" w:eastAsia="MS Mincho" w:hAnsi="Calibri" w:cs="Baskerville"/>
        </w:rPr>
        <w:t xml:space="preserve">botulinum toxin </w:t>
      </w:r>
      <w:r w:rsidR="0012302D">
        <w:rPr>
          <w:rFonts w:ascii="Calibri" w:eastAsia="MS Mincho" w:hAnsi="Calibri" w:cs="Baskerville"/>
        </w:rPr>
        <w:t>is supplied</w:t>
      </w:r>
      <w:r w:rsidRPr="00D82F92">
        <w:rPr>
          <w:rFonts w:ascii="Calibri" w:eastAsia="MS Mincho" w:hAnsi="Calibri" w:cs="Baskerville"/>
        </w:rPr>
        <w:t xml:space="preserve">. </w:t>
      </w:r>
      <w:r w:rsidR="0012302D">
        <w:rPr>
          <w:rFonts w:ascii="Calibri" w:eastAsia="MS Mincho" w:hAnsi="Calibri" w:cs="Baskerville"/>
        </w:rPr>
        <w:t>The intent of the PBS restriction, including p</w:t>
      </w:r>
      <w:r w:rsidRPr="00D82F92">
        <w:rPr>
          <w:rFonts w:ascii="Calibri" w:eastAsia="MS Mincho" w:hAnsi="Calibri" w:cs="Baskerville"/>
        </w:rPr>
        <w:t>atient and prescriber eligibility criteria</w:t>
      </w:r>
      <w:r w:rsidR="0012302D">
        <w:rPr>
          <w:rFonts w:ascii="Calibri" w:eastAsia="MS Mincho" w:hAnsi="Calibri" w:cs="Baskerville"/>
        </w:rPr>
        <w:t>,</w:t>
      </w:r>
      <w:r w:rsidRPr="00D82F92">
        <w:rPr>
          <w:rFonts w:ascii="Calibri" w:eastAsia="MS Mincho" w:hAnsi="Calibri" w:cs="Baskerville"/>
        </w:rPr>
        <w:t xml:space="preserve"> </w:t>
      </w:r>
      <w:r w:rsidR="00400931">
        <w:rPr>
          <w:rFonts w:ascii="Calibri" w:eastAsia="MS Mincho" w:hAnsi="Calibri" w:cs="Baskerville"/>
        </w:rPr>
        <w:t>has</w:t>
      </w:r>
      <w:r>
        <w:rPr>
          <w:rFonts w:ascii="Calibri" w:eastAsia="MS Mincho" w:hAnsi="Calibri" w:cs="Baskerville"/>
        </w:rPr>
        <w:t xml:space="preserve"> </w:t>
      </w:r>
      <w:r w:rsidRPr="00D82F92">
        <w:rPr>
          <w:rFonts w:ascii="Calibri" w:eastAsia="MS Mincho" w:hAnsi="Calibri" w:cs="Baskerville"/>
        </w:rPr>
        <w:t>remain</w:t>
      </w:r>
      <w:r>
        <w:rPr>
          <w:rFonts w:ascii="Calibri" w:eastAsia="MS Mincho" w:hAnsi="Calibri" w:cs="Baskerville"/>
        </w:rPr>
        <w:t>ed</w:t>
      </w:r>
      <w:r w:rsidRPr="00D82F92">
        <w:rPr>
          <w:rFonts w:ascii="Calibri" w:eastAsia="MS Mincho" w:hAnsi="Calibri" w:cs="Baskerville"/>
        </w:rPr>
        <w:t xml:space="preserve"> unchanged</w:t>
      </w:r>
      <w:r>
        <w:rPr>
          <w:rFonts w:ascii="Calibri" w:eastAsia="MS Mincho" w:hAnsi="Calibri" w:cs="Baskerville"/>
        </w:rPr>
        <w:t>.</w:t>
      </w:r>
    </w:p>
    <w:p w:rsidR="00422E25" w:rsidRPr="00D82F92" w:rsidRDefault="00422E25" w:rsidP="00422E25">
      <w:pPr>
        <w:rPr>
          <w:rFonts w:ascii="Calibri" w:eastAsia="MS Mincho" w:hAnsi="Calibri" w:cs="Baskerville"/>
        </w:rPr>
      </w:pPr>
      <w:r w:rsidRPr="00D82F92">
        <w:rPr>
          <w:rFonts w:ascii="Calibri" w:eastAsia="MS Mincho" w:hAnsi="Calibri" w:cs="Baskerville"/>
        </w:rPr>
        <w:t xml:space="preserve">Prior to 1 September 2015 </w:t>
      </w:r>
      <w:r w:rsidR="008E421E">
        <w:rPr>
          <w:rFonts w:ascii="Calibri" w:eastAsia="MS Mincho" w:hAnsi="Calibri" w:cs="Baskerville"/>
        </w:rPr>
        <w:t>b</w:t>
      </w:r>
      <w:r w:rsidRPr="00D82F92">
        <w:rPr>
          <w:rFonts w:ascii="Calibri" w:eastAsia="MS Mincho" w:hAnsi="Calibri" w:cs="Baskerville"/>
        </w:rPr>
        <w:t xml:space="preserve">otulinum </w:t>
      </w:r>
      <w:r w:rsidR="008E421E">
        <w:rPr>
          <w:rFonts w:ascii="Calibri" w:eastAsia="MS Mincho" w:hAnsi="Calibri" w:cs="Baskerville"/>
        </w:rPr>
        <w:t>t</w:t>
      </w:r>
      <w:r w:rsidRPr="00D82F92">
        <w:rPr>
          <w:rFonts w:ascii="Calibri" w:eastAsia="MS Mincho" w:hAnsi="Calibri" w:cs="Baskerville"/>
        </w:rPr>
        <w:t xml:space="preserve">oxin was </w:t>
      </w:r>
      <w:r w:rsidR="008E421E">
        <w:rPr>
          <w:rFonts w:ascii="Calibri" w:eastAsia="MS Mincho" w:hAnsi="Calibri" w:cs="Baskerville"/>
        </w:rPr>
        <w:t>available</w:t>
      </w:r>
      <w:r w:rsidRPr="00D82F92">
        <w:rPr>
          <w:rFonts w:ascii="Calibri" w:eastAsia="MS Mincho" w:hAnsi="Calibri" w:cs="Baskerville"/>
        </w:rPr>
        <w:t xml:space="preserve"> via the </w:t>
      </w:r>
      <w:r w:rsidR="00B93C2B" w:rsidRPr="00B93C2B">
        <w:rPr>
          <w:rFonts w:ascii="Calibri" w:eastAsia="MS Mincho" w:hAnsi="Calibri" w:cs="Baskerville"/>
          <w:i/>
        </w:rPr>
        <w:t xml:space="preserve">National </w:t>
      </w:r>
      <w:r w:rsidR="00E802EF">
        <w:rPr>
          <w:rFonts w:ascii="Calibri" w:eastAsia="MS Mincho" w:hAnsi="Calibri" w:cs="Baskerville"/>
          <w:i/>
        </w:rPr>
        <w:t>H</w:t>
      </w:r>
      <w:r w:rsidR="00B93C2B" w:rsidRPr="00B93C2B">
        <w:rPr>
          <w:rFonts w:ascii="Calibri" w:eastAsia="MS Mincho" w:hAnsi="Calibri" w:cs="Baskerville"/>
          <w:i/>
        </w:rPr>
        <w:t xml:space="preserve">ealth (Botulinum toxin Program) Special </w:t>
      </w:r>
      <w:r w:rsidR="00354FE8" w:rsidRPr="00B93C2B">
        <w:rPr>
          <w:rFonts w:ascii="Calibri" w:eastAsia="MS Mincho" w:hAnsi="Calibri" w:cs="Baskerville"/>
          <w:i/>
        </w:rPr>
        <w:t>Arrangement</w:t>
      </w:r>
      <w:r w:rsidR="00B93C2B" w:rsidRPr="00B93C2B">
        <w:rPr>
          <w:rFonts w:ascii="Calibri" w:eastAsia="MS Mincho" w:hAnsi="Calibri" w:cs="Baskerville"/>
          <w:i/>
        </w:rPr>
        <w:t xml:space="preserve"> 2011</w:t>
      </w:r>
      <w:r w:rsidR="00B93C2B">
        <w:rPr>
          <w:rFonts w:ascii="Calibri" w:eastAsia="MS Mincho" w:hAnsi="Calibri" w:cs="Baskerville"/>
        </w:rPr>
        <w:t xml:space="preserve">. </w:t>
      </w:r>
      <w:r w:rsidRPr="00D82F92">
        <w:rPr>
          <w:rFonts w:ascii="Calibri" w:eastAsia="MS Mincho" w:hAnsi="Calibri" w:cs="Baskerville"/>
        </w:rPr>
        <w:t>This program</w:t>
      </w:r>
      <w:r w:rsidR="008E421E">
        <w:rPr>
          <w:rFonts w:ascii="Calibri" w:eastAsia="MS Mincho" w:hAnsi="Calibri" w:cs="Baskerville"/>
        </w:rPr>
        <w:t xml:space="preserve"> provided alternative arrangements for distribution of botulinum toxin</w:t>
      </w:r>
      <w:r w:rsidR="00384494">
        <w:rPr>
          <w:rFonts w:ascii="Calibri" w:eastAsia="MS Mincho" w:hAnsi="Calibri" w:cs="Baskerville"/>
        </w:rPr>
        <w:t xml:space="preserve">. </w:t>
      </w:r>
      <w:r w:rsidR="00B93C2B">
        <w:t xml:space="preserve">Prescribers </w:t>
      </w:r>
      <w:r w:rsidR="00384494" w:rsidRPr="00384494">
        <w:t xml:space="preserve">were </w:t>
      </w:r>
      <w:r w:rsidR="00384494">
        <w:t xml:space="preserve">required to be </w:t>
      </w:r>
      <w:r w:rsidR="00384494" w:rsidRPr="00D25117">
        <w:rPr>
          <w:rFonts w:ascii="Calibri" w:eastAsia="MS Mincho" w:hAnsi="Calibri" w:cs="Baskerville"/>
        </w:rPr>
        <w:t xml:space="preserve">individually </w:t>
      </w:r>
      <w:r w:rsidR="00B93C2B">
        <w:rPr>
          <w:rFonts w:ascii="Calibri" w:eastAsia="MS Mincho" w:hAnsi="Calibri" w:cs="Baskerville"/>
        </w:rPr>
        <w:t>authorised</w:t>
      </w:r>
      <w:r w:rsidR="00B93C2B" w:rsidRPr="00D25117">
        <w:rPr>
          <w:rFonts w:ascii="Calibri" w:eastAsia="MS Mincho" w:hAnsi="Calibri" w:cs="Baskerville"/>
        </w:rPr>
        <w:t xml:space="preserve"> </w:t>
      </w:r>
      <w:r w:rsidR="00384494" w:rsidRPr="00D25117">
        <w:rPr>
          <w:rFonts w:ascii="Calibri" w:eastAsia="MS Mincho" w:hAnsi="Calibri" w:cs="Baskerville"/>
        </w:rPr>
        <w:t xml:space="preserve">to prescribe botulinum toxin under the PBS following application to </w:t>
      </w:r>
      <w:r w:rsidR="00321767">
        <w:rPr>
          <w:rFonts w:ascii="Calibri" w:eastAsia="MS Mincho" w:hAnsi="Calibri" w:cs="Baskerville"/>
        </w:rPr>
        <w:t xml:space="preserve">the </w:t>
      </w:r>
      <w:r w:rsidR="00384494" w:rsidRPr="00D82F92">
        <w:rPr>
          <w:rFonts w:ascii="Calibri" w:eastAsia="MS Mincho" w:hAnsi="Calibri" w:cs="Baskerville"/>
        </w:rPr>
        <w:t>Department of Human Services</w:t>
      </w:r>
      <w:r w:rsidR="00384494">
        <w:rPr>
          <w:rFonts w:ascii="Calibri" w:eastAsia="MS Mincho" w:hAnsi="Calibri" w:cs="Baskerville"/>
        </w:rPr>
        <w:t xml:space="preserve"> (</w:t>
      </w:r>
      <w:r w:rsidR="00384494" w:rsidRPr="00D25117">
        <w:rPr>
          <w:rFonts w:ascii="Calibri" w:eastAsia="MS Mincho" w:hAnsi="Calibri" w:cs="Baskerville"/>
        </w:rPr>
        <w:t>DHS</w:t>
      </w:r>
      <w:r w:rsidR="00384494">
        <w:rPr>
          <w:rFonts w:ascii="Calibri" w:eastAsia="MS Mincho" w:hAnsi="Calibri" w:cs="Baskerville"/>
        </w:rPr>
        <w:t>). P</w:t>
      </w:r>
      <w:r w:rsidR="008E421E">
        <w:rPr>
          <w:rFonts w:ascii="Calibri" w:eastAsia="MS Mincho" w:hAnsi="Calibri" w:cs="Baskerville"/>
        </w:rPr>
        <w:t>rescriber</w:t>
      </w:r>
      <w:r w:rsidR="00384494">
        <w:rPr>
          <w:rFonts w:ascii="Calibri" w:eastAsia="MS Mincho" w:hAnsi="Calibri" w:cs="Baskerville"/>
        </w:rPr>
        <w:t xml:space="preserve">s then </w:t>
      </w:r>
      <w:r w:rsidR="008E421E">
        <w:rPr>
          <w:rFonts w:ascii="Calibri" w:eastAsia="MS Mincho" w:hAnsi="Calibri" w:cs="Baskerville"/>
        </w:rPr>
        <w:t>telephon</w:t>
      </w:r>
      <w:r w:rsidR="00384494">
        <w:rPr>
          <w:rFonts w:ascii="Calibri" w:eastAsia="MS Mincho" w:hAnsi="Calibri" w:cs="Baskerville"/>
        </w:rPr>
        <w:t>ed</w:t>
      </w:r>
      <w:r w:rsidR="008E421E">
        <w:rPr>
          <w:rFonts w:ascii="Calibri" w:eastAsia="MS Mincho" w:hAnsi="Calibri" w:cs="Baskerville"/>
        </w:rPr>
        <w:t xml:space="preserve"> </w:t>
      </w:r>
      <w:r w:rsidR="00384494">
        <w:rPr>
          <w:rFonts w:ascii="Calibri" w:eastAsia="MS Mincho" w:hAnsi="Calibri" w:cs="Baskerville"/>
        </w:rPr>
        <w:t>DHS to arrange</w:t>
      </w:r>
      <w:r w:rsidRPr="00D82F92">
        <w:rPr>
          <w:rFonts w:ascii="Calibri" w:eastAsia="MS Mincho" w:hAnsi="Calibri" w:cs="Baskerville"/>
        </w:rPr>
        <w:t xml:space="preserve"> direct supply of the drug to the prescriber by the pharmaceutical company.</w:t>
      </w:r>
      <w:r w:rsidR="002C470E" w:rsidRPr="002C470E">
        <w:t xml:space="preserve"> </w:t>
      </w:r>
    </w:p>
    <w:p w:rsidR="00422E25" w:rsidRPr="00D82F92" w:rsidRDefault="00384494" w:rsidP="00D25117">
      <w:pPr>
        <w:autoSpaceDE w:val="0"/>
        <w:autoSpaceDN w:val="0"/>
        <w:adjustRightInd w:val="0"/>
        <w:rPr>
          <w:rFonts w:ascii="Calibri" w:eastAsia="MS Mincho" w:hAnsi="Calibri" w:cs="Baskerville"/>
        </w:rPr>
      </w:pPr>
      <w:r>
        <w:rPr>
          <w:rFonts w:ascii="Calibri" w:eastAsia="MS Mincho" w:hAnsi="Calibri" w:cs="Baskerville"/>
        </w:rPr>
        <w:t>From</w:t>
      </w:r>
      <w:r w:rsidR="00422E25" w:rsidRPr="00D82F92">
        <w:rPr>
          <w:rFonts w:ascii="Calibri" w:eastAsia="MS Mincho" w:hAnsi="Calibri" w:cs="Baskerville"/>
        </w:rPr>
        <w:t xml:space="preserve"> 1 September 2015 the way PBS-subsidised botulinum toxin was supplied changed to better align with other PBS arrangements, using PBS prescriptions and hospital pharmacy coordination points</w:t>
      </w:r>
      <w:r w:rsidR="00640424" w:rsidRPr="00533E10">
        <w:rPr>
          <w:rFonts w:ascii="Calibri" w:eastAsia="MS Mincho" w:hAnsi="Calibri" w:cs="Baskerville"/>
        </w:rPr>
        <w:t xml:space="preserve">. </w:t>
      </w:r>
      <w:r w:rsidR="00533E10" w:rsidRPr="00E21259">
        <w:rPr>
          <w:rFonts w:ascii="Calibri" w:eastAsia="MS Mincho" w:hAnsi="Calibri" w:cs="Baskerville"/>
        </w:rPr>
        <w:t xml:space="preserve">The revised arrangements were supported through the </w:t>
      </w:r>
      <w:r w:rsidR="00533E10" w:rsidRPr="00E21259">
        <w:rPr>
          <w:rFonts w:ascii="Calibri" w:eastAsia="MS Mincho" w:hAnsi="Calibri" w:cs="Baskerville"/>
          <w:i/>
        </w:rPr>
        <w:t>National Health (Botulinum Toxin Program) Special Arrangement 2015</w:t>
      </w:r>
      <w:r w:rsidR="00533E10" w:rsidRPr="00533E10">
        <w:rPr>
          <w:rFonts w:ascii="Calibri" w:eastAsia="MS Mincho" w:hAnsi="Calibri" w:cs="Baskerville"/>
          <w:i/>
        </w:rPr>
        <w:t xml:space="preserve">. </w:t>
      </w:r>
      <w:r w:rsidR="00422E25" w:rsidRPr="00533E10">
        <w:rPr>
          <w:rFonts w:ascii="Calibri" w:eastAsia="MS Mincho" w:hAnsi="Calibri" w:cs="Baskerville"/>
        </w:rPr>
        <w:t>This change mean</w:t>
      </w:r>
      <w:r w:rsidR="008E421E" w:rsidRPr="00533E10">
        <w:rPr>
          <w:rFonts w:ascii="Calibri" w:eastAsia="MS Mincho" w:hAnsi="Calibri" w:cs="Baskerville"/>
        </w:rPr>
        <w:t>t</w:t>
      </w:r>
      <w:r w:rsidR="00422E25" w:rsidRPr="00533E10">
        <w:rPr>
          <w:rFonts w:ascii="Calibri" w:eastAsia="MS Mincho" w:hAnsi="Calibri" w:cs="Baskerville"/>
        </w:rPr>
        <w:t xml:space="preserve"> that </w:t>
      </w:r>
      <w:r w:rsidR="00533E10">
        <w:rPr>
          <w:rFonts w:ascii="Calibri" w:eastAsia="MS Mincho" w:hAnsi="Calibri" w:cs="Baskerville"/>
        </w:rPr>
        <w:t xml:space="preserve">eligible PBS </w:t>
      </w:r>
      <w:r w:rsidR="00422E25" w:rsidRPr="00533E10">
        <w:rPr>
          <w:rFonts w:ascii="Calibri" w:eastAsia="MS Mincho" w:hAnsi="Calibri" w:cs="Baskerville"/>
        </w:rPr>
        <w:t xml:space="preserve">botulinum toxin prescriptions </w:t>
      </w:r>
      <w:r w:rsidR="008E421E" w:rsidRPr="00533E10">
        <w:rPr>
          <w:rFonts w:ascii="Calibri" w:eastAsia="MS Mincho" w:hAnsi="Calibri" w:cs="Baskerville"/>
        </w:rPr>
        <w:t>are</w:t>
      </w:r>
      <w:r w:rsidR="00422E25" w:rsidRPr="00533E10">
        <w:rPr>
          <w:rFonts w:ascii="Calibri" w:eastAsia="MS Mincho" w:hAnsi="Calibri" w:cs="Baskerville"/>
        </w:rPr>
        <w:t xml:space="preserve"> now </w:t>
      </w:r>
      <w:r w:rsidR="00533E10">
        <w:rPr>
          <w:rFonts w:ascii="Calibri" w:eastAsia="MS Mincho" w:hAnsi="Calibri" w:cs="Baskerville"/>
        </w:rPr>
        <w:t>claimed</w:t>
      </w:r>
      <w:r w:rsidR="00533E10" w:rsidRPr="00533E10">
        <w:rPr>
          <w:rFonts w:ascii="Calibri" w:eastAsia="MS Mincho" w:hAnsi="Calibri" w:cs="Baskerville"/>
        </w:rPr>
        <w:t xml:space="preserve"> </w:t>
      </w:r>
      <w:r w:rsidR="00422E25" w:rsidRPr="00533E10">
        <w:rPr>
          <w:rFonts w:ascii="Calibri" w:eastAsia="MS Mincho" w:hAnsi="Calibri" w:cs="Baskerville"/>
        </w:rPr>
        <w:t>like other PBS</w:t>
      </w:r>
      <w:r w:rsidR="00422E25" w:rsidRPr="00D82F92">
        <w:rPr>
          <w:rFonts w:ascii="Calibri" w:eastAsia="MS Mincho" w:hAnsi="Calibri" w:cs="Baskerville"/>
        </w:rPr>
        <w:t xml:space="preserve"> prescriptions and prescription level data is made available to the Department of Health for analysis.</w:t>
      </w:r>
      <w:r w:rsidR="0067026C">
        <w:rPr>
          <w:rFonts w:ascii="Calibri" w:eastAsia="MS Mincho" w:hAnsi="Calibri" w:cs="Baskerville"/>
        </w:rPr>
        <w:t xml:space="preserve"> This change required a</w:t>
      </w:r>
      <w:r w:rsidR="0067026C" w:rsidRPr="0067026C">
        <w:rPr>
          <w:rFonts w:ascii="Calibri" w:eastAsia="MS Mincho" w:hAnsi="Calibri" w:cs="Baskerville"/>
        </w:rPr>
        <w:t xml:space="preserve">daption of the Program from manual ordering by clinics </w:t>
      </w:r>
      <w:r w:rsidR="00533E10">
        <w:rPr>
          <w:rFonts w:ascii="Calibri" w:eastAsia="MS Mincho" w:hAnsi="Calibri" w:cs="Baskerville"/>
        </w:rPr>
        <w:t>through</w:t>
      </w:r>
      <w:r w:rsidR="00533E10" w:rsidRPr="0067026C">
        <w:rPr>
          <w:rFonts w:ascii="Calibri" w:eastAsia="MS Mincho" w:hAnsi="Calibri" w:cs="Baskerville"/>
        </w:rPr>
        <w:t xml:space="preserve"> </w:t>
      </w:r>
      <w:r w:rsidR="0067026C" w:rsidRPr="0067026C">
        <w:rPr>
          <w:rFonts w:ascii="Calibri" w:eastAsia="MS Mincho" w:hAnsi="Calibri" w:cs="Baskerville"/>
        </w:rPr>
        <w:t xml:space="preserve">DHS </w:t>
      </w:r>
      <w:r w:rsidR="0067026C">
        <w:rPr>
          <w:rFonts w:ascii="Calibri" w:eastAsia="MS Mincho" w:hAnsi="Calibri" w:cs="Baskerville"/>
        </w:rPr>
        <w:t xml:space="preserve"> </w:t>
      </w:r>
      <w:r w:rsidR="00640424">
        <w:rPr>
          <w:rFonts w:ascii="Calibri" w:eastAsia="MS Mincho" w:hAnsi="Calibri" w:cs="Baskerville"/>
        </w:rPr>
        <w:t>to a system of S</w:t>
      </w:r>
      <w:r w:rsidR="0067026C" w:rsidRPr="0067026C">
        <w:rPr>
          <w:rFonts w:ascii="Calibri" w:eastAsia="MS Mincho" w:hAnsi="Calibri" w:cs="Baskerville"/>
        </w:rPr>
        <w:t>treamlined Authority prescriptions.</w:t>
      </w:r>
    </w:p>
    <w:p w:rsidR="0067026C" w:rsidRDefault="002D1137" w:rsidP="00D25117">
      <w:r>
        <w:rPr>
          <w:rFonts w:ascii="Calibri" w:eastAsia="MS Mincho" w:hAnsi="Calibri" w:cs="Baskerville"/>
        </w:rPr>
        <w:t xml:space="preserve">From 1 July 2015, in preparation </w:t>
      </w:r>
      <w:r w:rsidR="00974634">
        <w:rPr>
          <w:rFonts w:ascii="Calibri" w:eastAsia="MS Mincho" w:hAnsi="Calibri" w:cs="Baskerville"/>
        </w:rPr>
        <w:t>for the above</w:t>
      </w:r>
      <w:r>
        <w:rPr>
          <w:rFonts w:ascii="Calibri" w:eastAsia="MS Mincho" w:hAnsi="Calibri" w:cs="Baskerville"/>
        </w:rPr>
        <w:t xml:space="preserve"> change</w:t>
      </w:r>
      <w:r w:rsidR="00B22E8C">
        <w:rPr>
          <w:rFonts w:ascii="Calibri" w:eastAsia="MS Mincho" w:hAnsi="Calibri" w:cs="Baskerville"/>
        </w:rPr>
        <w:t xml:space="preserve"> and following endorsement by the PBAC</w:t>
      </w:r>
      <w:r w:rsidR="0067026C">
        <w:rPr>
          <w:rFonts w:ascii="Calibri" w:eastAsia="MS Mincho" w:hAnsi="Calibri" w:cs="Baskerville"/>
        </w:rPr>
        <w:t xml:space="preserve">, </w:t>
      </w:r>
      <w:r>
        <w:rPr>
          <w:rFonts w:ascii="Calibri" w:eastAsia="MS Mincho" w:hAnsi="Calibri" w:cs="Baskerville"/>
        </w:rPr>
        <w:t xml:space="preserve">the restriction text </w:t>
      </w:r>
      <w:r w:rsidR="00533E10">
        <w:rPr>
          <w:rFonts w:ascii="Calibri" w:eastAsia="MS Mincho" w:hAnsi="Calibri" w:cs="Baskerville"/>
        </w:rPr>
        <w:t xml:space="preserve">for this indication </w:t>
      </w:r>
      <w:r>
        <w:rPr>
          <w:rFonts w:ascii="Calibri" w:eastAsia="MS Mincho" w:hAnsi="Calibri" w:cs="Baskerville"/>
        </w:rPr>
        <w:t>was updated as follows</w:t>
      </w:r>
      <w:r w:rsidR="00F96DCB">
        <w:rPr>
          <w:rFonts w:ascii="Calibri" w:eastAsia="MS Mincho" w:hAnsi="Calibri" w:cs="Baskerville"/>
        </w:rPr>
        <w:t>;</w:t>
      </w:r>
      <w:r w:rsidR="00F96DCB" w:rsidRPr="00D10774">
        <w:t xml:space="preserve"> </w:t>
      </w:r>
    </w:p>
    <w:p w:rsidR="00974634" w:rsidRDefault="002D1137" w:rsidP="00974634">
      <w:pPr>
        <w:pStyle w:val="ListParagraph"/>
        <w:numPr>
          <w:ilvl w:val="0"/>
          <w:numId w:val="23"/>
        </w:numPr>
        <w:ind w:left="284" w:hanging="284"/>
        <w:rPr>
          <w:rFonts w:ascii="Calibri" w:eastAsia="MS Mincho" w:hAnsi="Calibri" w:cs="Baskerville"/>
        </w:rPr>
      </w:pPr>
      <w:r w:rsidRPr="00974634">
        <w:rPr>
          <w:rFonts w:ascii="Calibri" w:eastAsia="MS Mincho" w:hAnsi="Calibri" w:cs="Baskerville"/>
        </w:rPr>
        <w:t xml:space="preserve">to specify treatment by neurologists. Previously this requirement was effected through Section  </w:t>
      </w:r>
      <w:r w:rsidR="00515018" w:rsidRPr="00974634">
        <w:rPr>
          <w:rFonts w:ascii="Calibri" w:eastAsia="MS Mincho" w:hAnsi="Calibri" w:cs="Baskerville"/>
        </w:rPr>
        <w:t>17A o</w:t>
      </w:r>
      <w:r w:rsidRPr="00974634">
        <w:rPr>
          <w:rFonts w:ascii="Calibri" w:eastAsia="MS Mincho" w:hAnsi="Calibri" w:cs="Baskerville"/>
        </w:rPr>
        <w:t xml:space="preserve">f the </w:t>
      </w:r>
      <w:r w:rsidRPr="00580CFD">
        <w:rPr>
          <w:rFonts w:ascii="Calibri" w:eastAsia="MS Mincho" w:hAnsi="Calibri" w:cs="Baskerville"/>
          <w:i/>
        </w:rPr>
        <w:t>National Health (Botulinum Toxin Program) Special Arrangement 2011</w:t>
      </w:r>
      <w:r w:rsidRPr="00974634">
        <w:rPr>
          <w:rFonts w:ascii="Calibri" w:eastAsia="MS Mincho" w:hAnsi="Calibri" w:cs="Baskerville"/>
        </w:rPr>
        <w:t xml:space="preserve"> under the </w:t>
      </w:r>
      <w:r w:rsidRPr="00580CFD">
        <w:rPr>
          <w:rFonts w:ascii="Calibri" w:eastAsia="MS Mincho" w:hAnsi="Calibri" w:cs="Baskerville"/>
          <w:i/>
        </w:rPr>
        <w:t>National Health Act 1953</w:t>
      </w:r>
      <w:r w:rsidR="00F96DCB">
        <w:rPr>
          <w:rFonts w:ascii="Calibri" w:eastAsia="MS Mincho" w:hAnsi="Calibri" w:cs="Baskerville"/>
        </w:rPr>
        <w:t>;</w:t>
      </w:r>
      <w:r w:rsidR="00F96DCB" w:rsidRPr="00974634">
        <w:rPr>
          <w:rFonts w:ascii="Calibri" w:eastAsia="MS Mincho" w:hAnsi="Calibri" w:cs="Baskerville"/>
        </w:rPr>
        <w:t xml:space="preserve">  </w:t>
      </w:r>
    </w:p>
    <w:p w:rsidR="00D40523" w:rsidRPr="00D40523" w:rsidRDefault="00D40523" w:rsidP="00D25117">
      <w:pPr>
        <w:pStyle w:val="ListParagraph"/>
        <w:numPr>
          <w:ilvl w:val="0"/>
          <w:numId w:val="23"/>
        </w:numPr>
        <w:ind w:left="284" w:hanging="284"/>
        <w:rPr>
          <w:rFonts w:ascii="Calibri" w:eastAsia="MS Mincho" w:hAnsi="Calibri" w:cs="Baskerville"/>
        </w:rPr>
      </w:pPr>
      <w:r w:rsidRPr="00D40523">
        <w:rPr>
          <w:rFonts w:ascii="Calibri" w:eastAsia="MS Mincho" w:hAnsi="Calibri" w:cs="Baskerville"/>
        </w:rPr>
        <w:t xml:space="preserve">replace ‘patient must be an adult’ </w:t>
      </w:r>
      <w:r w:rsidR="00533E10">
        <w:rPr>
          <w:rFonts w:ascii="Calibri" w:eastAsia="MS Mincho" w:hAnsi="Calibri" w:cs="Baskerville"/>
        </w:rPr>
        <w:t>with</w:t>
      </w:r>
      <w:r w:rsidR="00533E10" w:rsidRPr="00D40523">
        <w:rPr>
          <w:rFonts w:ascii="Calibri" w:eastAsia="MS Mincho" w:hAnsi="Calibri" w:cs="Baskerville"/>
        </w:rPr>
        <w:t xml:space="preserve"> </w:t>
      </w:r>
      <w:r w:rsidRPr="00D40523">
        <w:rPr>
          <w:rFonts w:ascii="Calibri" w:eastAsia="MS Mincho" w:hAnsi="Calibri" w:cs="Baskerville"/>
        </w:rPr>
        <w:t xml:space="preserve">‘patient must be aged 18 years or older’ clarifying the definition of an adult; </w:t>
      </w:r>
    </w:p>
    <w:p w:rsidR="00D10774" w:rsidRDefault="002D1137" w:rsidP="00974634">
      <w:pPr>
        <w:pStyle w:val="ListParagraph"/>
        <w:numPr>
          <w:ilvl w:val="0"/>
          <w:numId w:val="23"/>
        </w:numPr>
        <w:ind w:left="284" w:hanging="284"/>
        <w:rPr>
          <w:rFonts w:ascii="Calibri" w:eastAsia="MS Mincho" w:hAnsi="Calibri" w:cs="Baskerville"/>
        </w:rPr>
      </w:pPr>
      <w:r w:rsidRPr="00974634">
        <w:rPr>
          <w:rFonts w:ascii="Calibri" w:eastAsia="MS Mincho" w:hAnsi="Calibri" w:cs="Baskerville"/>
        </w:rPr>
        <w:t>to explicitly list the prophylactic medicines that patients are required to have failed at least three of, or be contraindicated or intolerant</w:t>
      </w:r>
      <w:r w:rsidR="00D10774">
        <w:rPr>
          <w:rFonts w:ascii="Calibri" w:eastAsia="MS Mincho" w:hAnsi="Calibri" w:cs="Baskerville"/>
        </w:rPr>
        <w:t xml:space="preserve"> of</w:t>
      </w:r>
      <w:r w:rsidRPr="00974634">
        <w:rPr>
          <w:rFonts w:ascii="Calibri" w:eastAsia="MS Mincho" w:hAnsi="Calibri" w:cs="Baskerville"/>
        </w:rPr>
        <w:t>, prior to using botulinum toxin (propranolol, amitriptyline, methysergide, pizotifen, cyproheptadine or topiramate</w:t>
      </w:r>
      <w:r w:rsidR="00F96DCB" w:rsidRPr="00974634">
        <w:rPr>
          <w:rFonts w:ascii="Calibri" w:eastAsia="MS Mincho" w:hAnsi="Calibri" w:cs="Baskerville"/>
        </w:rPr>
        <w:t>)</w:t>
      </w:r>
      <w:r w:rsidR="00F96DCB">
        <w:rPr>
          <w:rFonts w:ascii="Calibri" w:eastAsia="MS Mincho" w:hAnsi="Calibri" w:cs="Baskerville"/>
        </w:rPr>
        <w:t>; and</w:t>
      </w:r>
    </w:p>
    <w:p w:rsidR="00B22E8C" w:rsidRDefault="00F96DCB" w:rsidP="004B340E">
      <w:pPr>
        <w:pStyle w:val="ListParagraph"/>
        <w:numPr>
          <w:ilvl w:val="0"/>
          <w:numId w:val="23"/>
        </w:numPr>
        <w:ind w:left="284" w:hanging="284"/>
        <w:rPr>
          <w:rFonts w:ascii="Calibri" w:eastAsia="MS Mincho" w:hAnsi="Calibri" w:cs="Baskerville"/>
        </w:rPr>
      </w:pPr>
      <w:r>
        <w:rPr>
          <w:rFonts w:ascii="Calibri" w:eastAsia="MS Mincho" w:hAnsi="Calibri" w:cs="Baskerville"/>
        </w:rPr>
        <w:t xml:space="preserve">to specify </w:t>
      </w:r>
      <w:r w:rsidR="00B22E8C">
        <w:rPr>
          <w:rFonts w:ascii="Calibri" w:eastAsia="MS Mincho" w:hAnsi="Calibri" w:cs="Baskerville"/>
        </w:rPr>
        <w:t xml:space="preserve">maximum </w:t>
      </w:r>
      <w:r w:rsidR="00400931">
        <w:rPr>
          <w:rFonts w:ascii="Calibri" w:eastAsia="MS Mincho" w:hAnsi="Calibri" w:cs="Baskerville"/>
        </w:rPr>
        <w:t>quantity</w:t>
      </w:r>
      <w:r w:rsidR="00B22E8C">
        <w:rPr>
          <w:rFonts w:ascii="Calibri" w:eastAsia="MS Mincho" w:hAnsi="Calibri" w:cs="Baskerville"/>
        </w:rPr>
        <w:t xml:space="preserve"> of 4 vials with zero repeats</w:t>
      </w:r>
      <w:r w:rsidR="00F74BB4">
        <w:rPr>
          <w:rFonts w:ascii="Calibri" w:eastAsia="MS Mincho" w:hAnsi="Calibri" w:cs="Baskerville"/>
        </w:rPr>
        <w:t>.</w:t>
      </w:r>
    </w:p>
    <w:p w:rsidR="002D1137" w:rsidRDefault="00B22E8C" w:rsidP="00D25117">
      <w:pPr>
        <w:rPr>
          <w:rFonts w:ascii="Calibri" w:eastAsia="MS Mincho" w:hAnsi="Calibri" w:cs="Baskerville"/>
        </w:rPr>
      </w:pPr>
      <w:r>
        <w:rPr>
          <w:rFonts w:ascii="Calibri" w:eastAsia="MS Mincho" w:hAnsi="Calibri" w:cs="Baskerville"/>
        </w:rPr>
        <w:t xml:space="preserve">The implementation of the </w:t>
      </w:r>
      <w:r w:rsidR="00D10774" w:rsidRPr="00D25117">
        <w:rPr>
          <w:rFonts w:ascii="Calibri" w:eastAsia="MS Mincho" w:hAnsi="Calibri" w:cs="Baskerville"/>
        </w:rPr>
        <w:t>Authority required (STREAMLINED)</w:t>
      </w:r>
      <w:r>
        <w:rPr>
          <w:rFonts w:ascii="Calibri" w:eastAsia="MS Mincho" w:hAnsi="Calibri" w:cs="Baskerville"/>
        </w:rPr>
        <w:t xml:space="preserve"> restriction </w:t>
      </w:r>
      <w:r w:rsidR="00D10774" w:rsidRPr="00D25117">
        <w:rPr>
          <w:rFonts w:ascii="Calibri" w:eastAsia="MS Mincho" w:hAnsi="Calibri" w:cs="Baskerville"/>
        </w:rPr>
        <w:t xml:space="preserve">meant that prescribers </w:t>
      </w:r>
      <w:r>
        <w:rPr>
          <w:rFonts w:ascii="Calibri" w:eastAsia="MS Mincho" w:hAnsi="Calibri" w:cs="Baskerville"/>
        </w:rPr>
        <w:t xml:space="preserve">were </w:t>
      </w:r>
      <w:r w:rsidR="00D10774" w:rsidRPr="00D25117">
        <w:rPr>
          <w:rFonts w:ascii="Calibri" w:eastAsia="MS Mincho" w:hAnsi="Calibri" w:cs="Baskerville"/>
        </w:rPr>
        <w:t xml:space="preserve">no longer </w:t>
      </w:r>
      <w:r>
        <w:rPr>
          <w:rFonts w:ascii="Calibri" w:eastAsia="MS Mincho" w:hAnsi="Calibri" w:cs="Baskerville"/>
        </w:rPr>
        <w:t xml:space="preserve">required </w:t>
      </w:r>
      <w:r w:rsidR="00D10774" w:rsidRPr="00D25117">
        <w:rPr>
          <w:rFonts w:ascii="Calibri" w:eastAsia="MS Mincho" w:hAnsi="Calibri" w:cs="Baskerville"/>
        </w:rPr>
        <w:t xml:space="preserve">to telephone DHS for </w:t>
      </w:r>
      <w:r w:rsidR="00533E10">
        <w:rPr>
          <w:rFonts w:ascii="Calibri" w:eastAsia="MS Mincho" w:hAnsi="Calibri" w:cs="Baskerville"/>
        </w:rPr>
        <w:t>authorisation</w:t>
      </w:r>
      <w:r w:rsidR="00533E10" w:rsidRPr="00D25117">
        <w:rPr>
          <w:rFonts w:ascii="Calibri" w:eastAsia="MS Mincho" w:hAnsi="Calibri" w:cs="Baskerville"/>
        </w:rPr>
        <w:t xml:space="preserve"> </w:t>
      </w:r>
      <w:r w:rsidR="00D10774" w:rsidRPr="00D25117">
        <w:rPr>
          <w:rFonts w:ascii="Calibri" w:eastAsia="MS Mincho" w:hAnsi="Calibri" w:cs="Baskerville"/>
        </w:rPr>
        <w:t xml:space="preserve">and ordering supply. </w:t>
      </w:r>
      <w:r w:rsidR="00E14F97" w:rsidRPr="00E14F97">
        <w:rPr>
          <w:rFonts w:ascii="Calibri" w:eastAsia="MS Mincho" w:hAnsi="Calibri" w:cs="Baskerville"/>
        </w:rPr>
        <w:t>Prescribers must</w:t>
      </w:r>
      <w:r w:rsidR="00E14F97">
        <w:rPr>
          <w:rFonts w:ascii="Calibri" w:eastAsia="MS Mincho" w:hAnsi="Calibri" w:cs="Baskerville"/>
        </w:rPr>
        <w:t xml:space="preserve"> </w:t>
      </w:r>
      <w:r w:rsidR="00E14F97" w:rsidRPr="00E14F97">
        <w:rPr>
          <w:rFonts w:ascii="Calibri" w:eastAsia="MS Mincho" w:hAnsi="Calibri" w:cs="Baskerville"/>
        </w:rPr>
        <w:t>write a prescription for each patient ensuring the</w:t>
      </w:r>
      <w:r w:rsidR="00E14F97">
        <w:rPr>
          <w:rFonts w:ascii="Calibri" w:eastAsia="MS Mincho" w:hAnsi="Calibri" w:cs="Baskerville"/>
        </w:rPr>
        <w:t xml:space="preserve"> </w:t>
      </w:r>
      <w:r w:rsidR="00E14F97" w:rsidRPr="00E14F97">
        <w:rPr>
          <w:rFonts w:ascii="Calibri" w:eastAsia="MS Mincho" w:hAnsi="Calibri" w:cs="Baskerville"/>
        </w:rPr>
        <w:t>prescriptions they write comply with PBS requirements for subsidised botulinum toxin, including</w:t>
      </w:r>
      <w:r w:rsidR="00E14F97">
        <w:rPr>
          <w:rFonts w:ascii="Calibri" w:eastAsia="MS Mincho" w:hAnsi="Calibri" w:cs="Baskerville"/>
        </w:rPr>
        <w:t xml:space="preserve"> </w:t>
      </w:r>
      <w:r w:rsidR="00E14F97" w:rsidRPr="00E14F97">
        <w:rPr>
          <w:rFonts w:ascii="Calibri" w:eastAsia="MS Mincho" w:hAnsi="Calibri" w:cs="Baskerville"/>
        </w:rPr>
        <w:t>patient and prescriber eligibility criteria.</w:t>
      </w:r>
      <w:r w:rsidR="002D1137" w:rsidRPr="00D25117">
        <w:rPr>
          <w:rFonts w:ascii="Calibri" w:eastAsia="MS Mincho" w:hAnsi="Calibri" w:cs="Baskerville"/>
        </w:rPr>
        <w:t xml:space="preserve"> </w:t>
      </w:r>
      <w:r>
        <w:rPr>
          <w:rFonts w:ascii="Calibri" w:eastAsia="MS Mincho" w:hAnsi="Calibri" w:cs="Baskerville"/>
        </w:rPr>
        <w:t>As direct patient handing of botulinum toxin is not permitted</w:t>
      </w:r>
      <w:r w:rsidR="005E4AD6">
        <w:rPr>
          <w:rFonts w:ascii="Calibri" w:eastAsia="MS Mincho" w:hAnsi="Calibri" w:cs="Baskerville"/>
        </w:rPr>
        <w:t>,</w:t>
      </w:r>
      <w:r>
        <w:rPr>
          <w:rFonts w:ascii="Calibri" w:eastAsia="MS Mincho" w:hAnsi="Calibri" w:cs="Baskerville"/>
        </w:rPr>
        <w:t xml:space="preserve"> hospital pharmacies co-ordinate the supply to physicians.</w:t>
      </w:r>
      <w:r w:rsidR="005E4AD6" w:rsidRPr="00D25117">
        <w:rPr>
          <w:rFonts w:ascii="Calibri" w:eastAsia="MS Mincho" w:hAnsi="Calibri" w:cs="Baskerville"/>
        </w:rPr>
        <w:t xml:space="preserve"> </w:t>
      </w:r>
    </w:p>
    <w:p w:rsidR="00422E25" w:rsidRPr="00D82F92" w:rsidRDefault="005E4AD6" w:rsidP="00FC0711">
      <w:pPr>
        <w:rPr>
          <w:rFonts w:ascii="Calibri" w:eastAsia="MS Mincho" w:hAnsi="Calibri" w:cs="Baskerville"/>
        </w:rPr>
      </w:pPr>
      <w:r w:rsidRPr="00D25117">
        <w:rPr>
          <w:rFonts w:ascii="Calibri" w:eastAsia="MS Mincho" w:hAnsi="Calibri" w:cs="Baskerville"/>
        </w:rPr>
        <w:lastRenderedPageBreak/>
        <w:t xml:space="preserve">Changes to the </w:t>
      </w:r>
      <w:r w:rsidRPr="00E21259">
        <w:rPr>
          <w:rFonts w:ascii="Calibri" w:eastAsia="MS Mincho" w:hAnsi="Calibri" w:cs="Baskerville"/>
          <w:i/>
        </w:rPr>
        <w:t>National Health (Botulinum Toxin</w:t>
      </w:r>
      <w:r w:rsidR="00FC0711" w:rsidRPr="00E21259">
        <w:rPr>
          <w:rFonts w:ascii="Calibri" w:eastAsia="MS Mincho" w:hAnsi="Calibri" w:cs="Baskerville"/>
          <w:i/>
        </w:rPr>
        <w:t xml:space="preserve"> </w:t>
      </w:r>
      <w:r w:rsidRPr="00E21259">
        <w:rPr>
          <w:rFonts w:ascii="Calibri" w:eastAsia="MS Mincho" w:hAnsi="Calibri" w:cs="Baskerville"/>
          <w:i/>
        </w:rPr>
        <w:t>Program) Special Arrangement 2015</w:t>
      </w:r>
      <w:r w:rsidRPr="00D25117">
        <w:rPr>
          <w:rFonts w:ascii="Calibri" w:eastAsia="MS Mincho" w:hAnsi="Calibri" w:cs="Baskerville"/>
        </w:rPr>
        <w:t xml:space="preserve"> (effective 1 March 2017) allow</w:t>
      </w:r>
      <w:r w:rsidR="00602C63">
        <w:rPr>
          <w:rFonts w:ascii="Calibri" w:eastAsia="MS Mincho" w:hAnsi="Calibri" w:cs="Baskerville"/>
        </w:rPr>
        <w:t>s</w:t>
      </w:r>
      <w:r w:rsidRPr="00D25117">
        <w:rPr>
          <w:rFonts w:ascii="Calibri" w:eastAsia="MS Mincho" w:hAnsi="Calibri" w:cs="Baskerville"/>
        </w:rPr>
        <w:t xml:space="preserve"> prescribers to write two</w:t>
      </w:r>
      <w:r w:rsidR="00FC0711">
        <w:rPr>
          <w:rFonts w:ascii="Calibri" w:eastAsia="MS Mincho" w:hAnsi="Calibri" w:cs="Baskerville"/>
        </w:rPr>
        <w:t xml:space="preserve"> </w:t>
      </w:r>
      <w:r w:rsidRPr="00D25117">
        <w:rPr>
          <w:rFonts w:ascii="Calibri" w:eastAsia="MS Mincho" w:hAnsi="Calibri" w:cs="Baskerville"/>
        </w:rPr>
        <w:t>prescriptions for botulinum toxin on the same day, where a patient requires treatment for two</w:t>
      </w:r>
      <w:r w:rsidR="00FC0711">
        <w:rPr>
          <w:rFonts w:ascii="Calibri" w:eastAsia="MS Mincho" w:hAnsi="Calibri" w:cs="Baskerville"/>
        </w:rPr>
        <w:t xml:space="preserve"> </w:t>
      </w:r>
      <w:r w:rsidRPr="00D25117">
        <w:rPr>
          <w:rFonts w:ascii="Calibri" w:eastAsia="MS Mincho" w:hAnsi="Calibri" w:cs="Baskerville"/>
        </w:rPr>
        <w:t xml:space="preserve">different </w:t>
      </w:r>
      <w:r w:rsidR="00533E10">
        <w:rPr>
          <w:rFonts w:ascii="Calibri" w:eastAsia="MS Mincho" w:hAnsi="Calibri" w:cs="Baskerville"/>
        </w:rPr>
        <w:t>indications</w:t>
      </w:r>
      <w:r w:rsidRPr="00D25117">
        <w:rPr>
          <w:rFonts w:ascii="Calibri" w:eastAsia="MS Mincho" w:hAnsi="Calibri" w:cs="Baskerville"/>
        </w:rPr>
        <w:t>.</w:t>
      </w:r>
      <w:r w:rsidR="009F3BF9">
        <w:rPr>
          <w:rFonts w:ascii="Calibri" w:eastAsia="MS Mincho" w:hAnsi="Calibri" w:cs="Baskerville"/>
        </w:rPr>
        <w:t xml:space="preserve"> Due t</w:t>
      </w:r>
      <w:r w:rsidR="00FC0711">
        <w:rPr>
          <w:rFonts w:ascii="Calibri" w:eastAsia="MS Mincho" w:hAnsi="Calibri" w:cs="Baskerville"/>
        </w:rPr>
        <w:t>o</w:t>
      </w:r>
      <w:r w:rsidR="009F3BF9">
        <w:rPr>
          <w:rFonts w:ascii="Calibri" w:eastAsia="MS Mincho" w:hAnsi="Calibri" w:cs="Baskerville"/>
        </w:rPr>
        <w:t xml:space="preserve"> the limitation of the DHS PBS </w:t>
      </w:r>
      <w:r w:rsidR="00400931">
        <w:rPr>
          <w:rFonts w:ascii="Calibri" w:eastAsia="MS Mincho" w:hAnsi="Calibri" w:cs="Baskerville"/>
        </w:rPr>
        <w:t>Online</w:t>
      </w:r>
      <w:r w:rsidR="009F3BF9">
        <w:rPr>
          <w:rFonts w:ascii="Calibri" w:eastAsia="MS Mincho" w:hAnsi="Calibri" w:cs="Baskerville"/>
        </w:rPr>
        <w:t xml:space="preserve"> system</w:t>
      </w:r>
      <w:r w:rsidR="009C57AF">
        <w:rPr>
          <w:rFonts w:ascii="Calibri" w:eastAsia="MS Mincho" w:hAnsi="Calibri" w:cs="Baskerville"/>
        </w:rPr>
        <w:t>,</w:t>
      </w:r>
      <w:r w:rsidR="00FC0711">
        <w:rPr>
          <w:rFonts w:ascii="Calibri" w:eastAsia="MS Mincho" w:hAnsi="Calibri" w:cs="Baskerville"/>
        </w:rPr>
        <w:t xml:space="preserve"> changes in the PBS item codes were required. From 1 January 2017 </w:t>
      </w:r>
      <w:r w:rsidRPr="005E4AD6">
        <w:rPr>
          <w:rFonts w:ascii="Calibri" w:eastAsia="MS Mincho" w:hAnsi="Calibri" w:cs="Baskerville"/>
        </w:rPr>
        <w:t xml:space="preserve">the number of PBS item codes for </w:t>
      </w:r>
      <w:r w:rsidR="00FC0711">
        <w:rPr>
          <w:rFonts w:ascii="Calibri" w:eastAsia="MS Mincho" w:hAnsi="Calibri" w:cs="Baskerville"/>
        </w:rPr>
        <w:t>b</w:t>
      </w:r>
      <w:r w:rsidRPr="005E4AD6">
        <w:rPr>
          <w:rFonts w:ascii="Calibri" w:eastAsia="MS Mincho" w:hAnsi="Calibri" w:cs="Baskerville"/>
        </w:rPr>
        <w:t xml:space="preserve">otulinum </w:t>
      </w:r>
      <w:r w:rsidR="00FC0711">
        <w:rPr>
          <w:rFonts w:ascii="Calibri" w:eastAsia="MS Mincho" w:hAnsi="Calibri" w:cs="Baskerville"/>
        </w:rPr>
        <w:t>t</w:t>
      </w:r>
      <w:r w:rsidRPr="005E4AD6">
        <w:rPr>
          <w:rFonts w:ascii="Calibri" w:eastAsia="MS Mincho" w:hAnsi="Calibri" w:cs="Baskerville"/>
        </w:rPr>
        <w:t xml:space="preserve">oxin </w:t>
      </w:r>
      <w:r w:rsidR="00FC0711">
        <w:rPr>
          <w:rFonts w:ascii="Calibri" w:eastAsia="MS Mincho" w:hAnsi="Calibri" w:cs="Baskerville"/>
        </w:rPr>
        <w:t>type A increased</w:t>
      </w:r>
      <w:r w:rsidRPr="005E4AD6">
        <w:rPr>
          <w:rFonts w:ascii="Calibri" w:eastAsia="MS Mincho" w:hAnsi="Calibri" w:cs="Baskerville"/>
        </w:rPr>
        <w:t xml:space="preserve"> from one (6103F), where the indication was specified by using different Streamlined Authority codes, to </w:t>
      </w:r>
      <w:r w:rsidR="009F3BF9">
        <w:rPr>
          <w:rFonts w:ascii="Calibri" w:eastAsia="MS Mincho" w:hAnsi="Calibri" w:cs="Baskerville"/>
        </w:rPr>
        <w:t>eight</w:t>
      </w:r>
      <w:r w:rsidRPr="005E4AD6">
        <w:rPr>
          <w:rFonts w:ascii="Calibri" w:eastAsia="MS Mincho" w:hAnsi="Calibri" w:cs="Baskerville"/>
        </w:rPr>
        <w:t>, where there is one PBS item number (and  Streamlined Authority code) for each indication</w:t>
      </w:r>
      <w:r w:rsidR="009C57AF">
        <w:rPr>
          <w:rFonts w:ascii="Calibri" w:eastAsia="MS Mincho" w:hAnsi="Calibri" w:cs="Baskerville"/>
        </w:rPr>
        <w:t>.</w:t>
      </w:r>
      <w:r w:rsidR="00422E25" w:rsidRPr="00D82F92">
        <w:rPr>
          <w:rFonts w:ascii="Calibri" w:eastAsia="MS Mincho" w:hAnsi="Calibri" w:cs="Baskerville"/>
        </w:rPr>
        <w:t xml:space="preserve"> </w:t>
      </w:r>
      <w:r>
        <w:rPr>
          <w:rFonts w:ascii="Calibri" w:eastAsia="MS Mincho" w:hAnsi="Calibri" w:cs="Baskerville"/>
        </w:rPr>
        <w:t xml:space="preserve"> </w:t>
      </w:r>
    </w:p>
    <w:p w:rsidR="0085284C" w:rsidRDefault="00FB7B76" w:rsidP="00422E25">
      <w:pPr>
        <w:rPr>
          <w:rFonts w:ascii="Calibri" w:eastAsia="MS Mincho" w:hAnsi="Calibri" w:cs="Baskerville"/>
        </w:rPr>
      </w:pPr>
      <w:r>
        <w:rPr>
          <w:rFonts w:ascii="Calibri" w:eastAsia="MS Mincho" w:hAnsi="Calibri" w:cs="Baskerville"/>
        </w:rPr>
        <w:t>Further information and frequently asked questions regarding the 1</w:t>
      </w:r>
      <w:r w:rsidR="0085284C">
        <w:rPr>
          <w:rFonts w:ascii="Calibri" w:eastAsia="MS Mincho" w:hAnsi="Calibri" w:cs="Baskerville"/>
        </w:rPr>
        <w:t> </w:t>
      </w:r>
      <w:r w:rsidR="00422E25" w:rsidRPr="00D82F92">
        <w:rPr>
          <w:rFonts w:ascii="Calibri" w:eastAsia="MS Mincho" w:hAnsi="Calibri" w:cs="Baskerville"/>
        </w:rPr>
        <w:t>September 2015 and 1</w:t>
      </w:r>
      <w:r>
        <w:rPr>
          <w:rFonts w:ascii="Calibri" w:eastAsia="MS Mincho" w:hAnsi="Calibri" w:cs="Baskerville"/>
        </w:rPr>
        <w:t> </w:t>
      </w:r>
      <w:r w:rsidR="00422E25" w:rsidRPr="00D82F92">
        <w:rPr>
          <w:rFonts w:ascii="Calibri" w:eastAsia="MS Mincho" w:hAnsi="Calibri" w:cs="Baskerville"/>
        </w:rPr>
        <w:t>January 2017</w:t>
      </w:r>
      <w:r w:rsidR="009F3BF9">
        <w:rPr>
          <w:rFonts w:ascii="Calibri" w:eastAsia="MS Mincho" w:hAnsi="Calibri" w:cs="Baskerville"/>
        </w:rPr>
        <w:t> – 1 March 2017</w:t>
      </w:r>
      <w:r w:rsidR="00422E25" w:rsidRPr="00D82F92">
        <w:rPr>
          <w:rFonts w:ascii="Calibri" w:eastAsia="MS Mincho" w:hAnsi="Calibri" w:cs="Baskerville"/>
        </w:rPr>
        <w:t xml:space="preserve"> changes </w:t>
      </w:r>
      <w:r>
        <w:rPr>
          <w:rFonts w:ascii="Calibri" w:eastAsia="MS Mincho" w:hAnsi="Calibri" w:cs="Baskerville"/>
        </w:rPr>
        <w:t xml:space="preserve">are available from the </w:t>
      </w:r>
      <w:r w:rsidR="009F3BF9" w:rsidRPr="00073AF2">
        <w:rPr>
          <w:rFonts w:ascii="Calibri" w:eastAsia="MS Mincho" w:hAnsi="Calibri" w:cs="Baskerville"/>
        </w:rPr>
        <w:t>PBS</w:t>
      </w:r>
      <w:r w:rsidRPr="00073AF2">
        <w:rPr>
          <w:rFonts w:ascii="Calibri" w:eastAsia="MS Mincho" w:hAnsi="Calibri" w:cs="Baskerville"/>
        </w:rPr>
        <w:t xml:space="preserve"> website</w:t>
      </w:r>
      <w:r>
        <w:rPr>
          <w:rFonts w:ascii="Calibri" w:eastAsia="MS Mincho" w:hAnsi="Calibri" w:cs="Baskerville"/>
        </w:rPr>
        <w:t>.</w:t>
      </w:r>
    </w:p>
    <w:p w:rsidR="00E15595" w:rsidRPr="00B87CD5" w:rsidRDefault="00E15595" w:rsidP="00E15595">
      <w:pPr>
        <w:spacing w:before="240"/>
        <w:outlineLvl w:val="1"/>
        <w:rPr>
          <w:rFonts w:ascii="Calibri" w:eastAsia="MS Mincho" w:hAnsi="Calibri" w:cs="Times New Roman"/>
          <w:b/>
          <w:sz w:val="28"/>
        </w:rPr>
      </w:pPr>
      <w:bookmarkStart w:id="2" w:name="_Methods"/>
      <w:bookmarkEnd w:id="2"/>
      <w:r>
        <w:rPr>
          <w:rFonts w:ascii="Calibri" w:eastAsia="MS Mincho" w:hAnsi="Calibri" w:cs="Times New Roman"/>
          <w:b/>
          <w:sz w:val="28"/>
        </w:rPr>
        <w:t>MBS</w:t>
      </w:r>
      <w:r w:rsidRPr="00B87CD5">
        <w:rPr>
          <w:rFonts w:ascii="Calibri" w:eastAsia="MS Mincho" w:hAnsi="Calibri" w:cs="Times New Roman"/>
          <w:b/>
          <w:sz w:val="28"/>
        </w:rPr>
        <w:t xml:space="preserve"> listing details</w:t>
      </w:r>
      <w:r>
        <w:rPr>
          <w:rFonts w:ascii="Calibri" w:eastAsia="MS Mincho" w:hAnsi="Calibri" w:cs="Times New Roman"/>
          <w:b/>
          <w:sz w:val="28"/>
        </w:rPr>
        <w:t xml:space="preserve"> </w:t>
      </w:r>
      <w:r>
        <w:rPr>
          <w:rFonts w:ascii="Calibri" w:eastAsia="MS Mincho" w:hAnsi="Calibri" w:cs="Times New Roman"/>
          <w:b/>
        </w:rPr>
        <w:t xml:space="preserve">(as at </w:t>
      </w:r>
      <w:r w:rsidR="0016456E">
        <w:rPr>
          <w:rFonts w:ascii="Calibri" w:eastAsia="MS Mincho" w:hAnsi="Calibri" w:cs="Times New Roman"/>
          <w:b/>
        </w:rPr>
        <w:t>February</w:t>
      </w:r>
      <w:r>
        <w:rPr>
          <w:rFonts w:ascii="Calibri" w:eastAsia="MS Mincho" w:hAnsi="Calibri" w:cs="Times New Roman"/>
          <w:b/>
        </w:rPr>
        <w:t xml:space="preserve"> 2017)</w:t>
      </w:r>
    </w:p>
    <w:p w:rsidR="0016456E" w:rsidRPr="00C52AF3" w:rsidRDefault="0016456E" w:rsidP="00C52AF3">
      <w:pPr>
        <w:rPr>
          <w:rFonts w:ascii="Calibri" w:eastAsia="MS Mincho" w:hAnsi="Calibri" w:cs="Times New Roman"/>
          <w:szCs w:val="28"/>
        </w:rPr>
      </w:pPr>
      <w:r>
        <w:rPr>
          <w:rFonts w:ascii="Calibri" w:eastAsia="MS Mincho" w:hAnsi="Calibri" w:cs="Times New Roman"/>
          <w:szCs w:val="28"/>
        </w:rPr>
        <w:t>The MBS service associated with the administration of PBS subs</w:t>
      </w:r>
      <w:r w:rsidR="00576C13">
        <w:rPr>
          <w:rFonts w:ascii="Calibri" w:eastAsia="MS Mincho" w:hAnsi="Calibri" w:cs="Times New Roman"/>
          <w:szCs w:val="28"/>
        </w:rPr>
        <w:t>i</w:t>
      </w:r>
      <w:r>
        <w:rPr>
          <w:rFonts w:ascii="Calibri" w:eastAsia="MS Mincho" w:hAnsi="Calibri" w:cs="Times New Roman"/>
          <w:szCs w:val="28"/>
        </w:rPr>
        <w:t>dised botulinum toxin for chronic migraine is as follows:</w:t>
      </w:r>
    </w:p>
    <w:p w:rsidR="00E15595" w:rsidRPr="00C52AF3" w:rsidRDefault="0016456E" w:rsidP="00C52AF3">
      <w:pPr>
        <w:rPr>
          <w:rFonts w:ascii="Calibri" w:eastAsia="MS Mincho" w:hAnsi="Calibri" w:cs="Times New Roman"/>
          <w:b/>
          <w:i/>
          <w:szCs w:val="28"/>
        </w:rPr>
      </w:pPr>
      <w:r w:rsidRPr="00C52AF3">
        <w:rPr>
          <w:rFonts w:ascii="Calibri" w:eastAsia="MS Mincho" w:hAnsi="Calibri" w:cs="Times New Roman"/>
          <w:b/>
          <w:i/>
          <w:szCs w:val="28"/>
        </w:rPr>
        <w:t>MBS Item 18377</w:t>
      </w:r>
    </w:p>
    <w:p w:rsidR="0016456E" w:rsidRPr="0016456E" w:rsidRDefault="0016456E" w:rsidP="0016456E">
      <w:pPr>
        <w:spacing w:after="0"/>
      </w:pPr>
      <w:r w:rsidRPr="0016456E">
        <w:t xml:space="preserve">Botulinum Toxin Type A Purified Neurotoxin Complex (Botox), injection of, for the treatment of chronic migraine, including all injections in 1 day, if: </w:t>
      </w:r>
    </w:p>
    <w:p w:rsidR="0016456E" w:rsidRPr="0016456E" w:rsidRDefault="0016456E" w:rsidP="0016456E">
      <w:pPr>
        <w:spacing w:after="0"/>
      </w:pPr>
      <w:r w:rsidRPr="0016456E">
        <w:t>(a)</w:t>
      </w:r>
      <w:r w:rsidR="001517BB">
        <w:t xml:space="preserve"> </w:t>
      </w:r>
      <w:r w:rsidRPr="0016456E">
        <w:t xml:space="preserve">the patient is at least 18 years of age; and </w:t>
      </w:r>
    </w:p>
    <w:p w:rsidR="0016456E" w:rsidRPr="0016456E" w:rsidRDefault="0016456E" w:rsidP="0016456E">
      <w:pPr>
        <w:spacing w:after="0"/>
      </w:pPr>
      <w:r w:rsidRPr="0016456E">
        <w:t xml:space="preserve">(b)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 and </w:t>
      </w:r>
    </w:p>
    <w:p w:rsidR="0016456E" w:rsidRPr="0016456E" w:rsidRDefault="0016456E" w:rsidP="0016456E">
      <w:pPr>
        <w:spacing w:after="0"/>
      </w:pPr>
      <w:r w:rsidRPr="0016456E">
        <w:t>(c)</w:t>
      </w:r>
      <w:r w:rsidR="001517BB">
        <w:t xml:space="preserve"> </w:t>
      </w:r>
      <w:r w:rsidRPr="0016456E">
        <w:t>the requirements relating to botulinum toxin type A under the Pharmaceutical Benefits Scheme are complied with</w:t>
      </w:r>
      <w:r w:rsidR="0046456F">
        <w:t>.</w:t>
      </w:r>
      <w:r w:rsidRPr="0016456E">
        <w:t xml:space="preserve"> </w:t>
      </w:r>
    </w:p>
    <w:p w:rsidR="0016456E" w:rsidRPr="0016456E" w:rsidRDefault="0016456E" w:rsidP="0016456E">
      <w:pPr>
        <w:spacing w:after="0"/>
      </w:pPr>
    </w:p>
    <w:p w:rsidR="0016456E" w:rsidRPr="0016456E" w:rsidRDefault="0016456E" w:rsidP="0016456E">
      <w:pPr>
        <w:spacing w:after="0"/>
      </w:pPr>
      <w:r w:rsidRPr="0016456E">
        <w:t>For each patient</w:t>
      </w:r>
      <w:r w:rsidR="0046456F">
        <w:t xml:space="preserve">, </w:t>
      </w:r>
      <w:r w:rsidRPr="0016456E">
        <w:t xml:space="preserve">applicable not more than twice except if the patient achieves and maintains at least a 50% reduction in the number of headache days per month from baseline after 2 treatment cycles (each of 12 weeks duration) </w:t>
      </w:r>
    </w:p>
    <w:p w:rsidR="0016456E" w:rsidRPr="0016456E" w:rsidRDefault="0016456E" w:rsidP="0016456E">
      <w:pPr>
        <w:spacing w:after="0"/>
      </w:pPr>
    </w:p>
    <w:p w:rsidR="0016456E" w:rsidRPr="0016456E" w:rsidRDefault="0016456E" w:rsidP="0016456E">
      <w:pPr>
        <w:spacing w:after="0"/>
      </w:pPr>
      <w:r w:rsidRPr="0016456E">
        <w:rPr>
          <w:b/>
          <w:bCs/>
        </w:rPr>
        <w:t>Fee:</w:t>
      </w:r>
      <w:r w:rsidRPr="0016456E">
        <w:t xml:space="preserve"> $124.85 </w:t>
      </w:r>
      <w:r w:rsidRPr="0016456E">
        <w:rPr>
          <w:b/>
          <w:bCs/>
        </w:rPr>
        <w:t>Benefit:</w:t>
      </w:r>
      <w:r w:rsidRPr="0016456E">
        <w:t xml:space="preserve"> 75% = $93.65 85% = $106.15</w:t>
      </w:r>
    </w:p>
    <w:p w:rsidR="007760EE" w:rsidRPr="00C52AF3" w:rsidRDefault="0016456E" w:rsidP="00C52AF3">
      <w:pPr>
        <w:spacing w:before="120"/>
        <w:rPr>
          <w:rFonts w:ascii="Calibri" w:eastAsia="MS Mincho" w:hAnsi="Calibri" w:cs="Baskerville"/>
        </w:rPr>
      </w:pPr>
      <w:r w:rsidRPr="00C52AF3">
        <w:rPr>
          <w:rFonts w:ascii="Calibri" w:eastAsia="MS Mincho" w:hAnsi="Calibri" w:cs="Baskerville"/>
        </w:rPr>
        <w:t>Further information is available from the</w:t>
      </w:r>
      <w:r w:rsidR="00006E62">
        <w:rPr>
          <w:rFonts w:ascii="Calibri" w:eastAsia="MS Mincho" w:hAnsi="Calibri" w:cs="Baskerville"/>
        </w:rPr>
        <w:t xml:space="preserve"> </w:t>
      </w:r>
      <w:r w:rsidR="00006E62" w:rsidRPr="00073AF2">
        <w:rPr>
          <w:rFonts w:ascii="Calibri" w:eastAsia="MS Mincho" w:hAnsi="Calibri" w:cs="Baskerville"/>
        </w:rPr>
        <w:t>MBS online website</w:t>
      </w:r>
      <w:r w:rsidR="00006E62">
        <w:rPr>
          <w:rFonts w:ascii="Calibri" w:eastAsia="MS Mincho" w:hAnsi="Calibri" w:cs="Baskerville"/>
        </w:rPr>
        <w:t>.</w:t>
      </w:r>
    </w:p>
    <w:p w:rsidR="00991E6F" w:rsidRDefault="00991E6F">
      <w:pPr>
        <w:spacing w:line="276" w:lineRule="auto"/>
        <w:rPr>
          <w:rFonts w:ascii="Calibri" w:eastAsia="MS Gothic" w:hAnsi="Calibri" w:cs="Times New Roman"/>
          <w:b/>
          <w:bCs/>
          <w:sz w:val="32"/>
          <w:szCs w:val="32"/>
        </w:rPr>
      </w:pPr>
      <w:r>
        <w:rPr>
          <w:rFonts w:ascii="Calibri" w:eastAsia="MS Gothic" w:hAnsi="Calibri" w:cs="Times New Roman"/>
          <w:b/>
          <w:bCs/>
          <w:sz w:val="32"/>
          <w:szCs w:val="32"/>
        </w:rPr>
        <w:br w:type="page"/>
      </w:r>
    </w:p>
    <w:p w:rsidR="00B87CD5" w:rsidRPr="00941706" w:rsidRDefault="00B87CD5" w:rsidP="00941706">
      <w:pPr>
        <w:keepNext/>
        <w:keepLines/>
        <w:spacing w:before="480" w:after="240"/>
        <w:outlineLvl w:val="0"/>
        <w:rPr>
          <w:rFonts w:ascii="Calibri" w:eastAsia="MS Gothic" w:hAnsi="Calibri" w:cs="Times New Roman"/>
          <w:b/>
          <w:bCs/>
          <w:sz w:val="32"/>
          <w:szCs w:val="32"/>
        </w:rPr>
      </w:pPr>
      <w:r w:rsidRPr="00941706">
        <w:rPr>
          <w:rFonts w:ascii="Calibri" w:eastAsia="MS Gothic" w:hAnsi="Calibri" w:cs="Times New Roman"/>
          <w:b/>
          <w:bCs/>
          <w:sz w:val="32"/>
          <w:szCs w:val="32"/>
        </w:rPr>
        <w:lastRenderedPageBreak/>
        <w:t>Methods</w:t>
      </w:r>
    </w:p>
    <w:p w:rsidR="003D755B" w:rsidRDefault="003D755B" w:rsidP="003D755B">
      <w:pPr>
        <w:spacing w:after="0"/>
      </w:pPr>
      <w:r w:rsidRPr="00345EB4">
        <w:rPr>
          <w:rFonts w:cs="Arial"/>
        </w:rPr>
        <w:t xml:space="preserve">Multiple data sources were required </w:t>
      </w:r>
      <w:r>
        <w:rPr>
          <w:rFonts w:cs="Arial"/>
        </w:rPr>
        <w:t xml:space="preserve">to assess the utilisation of botulinum toxin </w:t>
      </w:r>
      <w:r w:rsidRPr="00345EB4">
        <w:rPr>
          <w:rFonts w:cs="Arial"/>
        </w:rPr>
        <w:t>because only aggregate PBS data was available</w:t>
      </w:r>
      <w:r w:rsidRPr="00F31548">
        <w:t xml:space="preserve"> </w:t>
      </w:r>
      <w:r w:rsidRPr="00F31548">
        <w:rPr>
          <w:rFonts w:cs="Arial"/>
        </w:rPr>
        <w:t xml:space="preserve">prior to the transition to prescription based </w:t>
      </w:r>
      <w:r w:rsidR="00400931" w:rsidRPr="00F31548">
        <w:rPr>
          <w:rFonts w:cs="Arial"/>
        </w:rPr>
        <w:t>supply</w:t>
      </w:r>
      <w:r w:rsidRPr="00345EB4">
        <w:rPr>
          <w:rFonts w:cs="Arial"/>
        </w:rPr>
        <w:t xml:space="preserve">. </w:t>
      </w:r>
      <w:r>
        <w:rPr>
          <w:rFonts w:cs="Arial"/>
        </w:rPr>
        <w:t>This was recognised by DUSC a</w:t>
      </w:r>
      <w:r w:rsidRPr="00971160">
        <w:rPr>
          <w:rFonts w:cs="Arial"/>
        </w:rPr>
        <w:t>t its June 201</w:t>
      </w:r>
      <w:r>
        <w:rPr>
          <w:rFonts w:cs="Arial"/>
        </w:rPr>
        <w:t>6</w:t>
      </w:r>
      <w:r w:rsidRPr="00971160">
        <w:rPr>
          <w:rFonts w:cs="Arial"/>
        </w:rPr>
        <w:t xml:space="preserve"> meeting </w:t>
      </w:r>
      <w:r>
        <w:rPr>
          <w:rFonts w:cs="Arial"/>
        </w:rPr>
        <w:t xml:space="preserve">when the committee decided to delay the 24 month predicted versus actual analysis for chronic migraine </w:t>
      </w:r>
      <w:r w:rsidRPr="00E172BF">
        <w:t xml:space="preserve">until there </w:t>
      </w:r>
      <w:r>
        <w:t>wa</w:t>
      </w:r>
      <w:r w:rsidRPr="00E172BF">
        <w:t xml:space="preserve">s at least a full year of prescription data available. </w:t>
      </w:r>
    </w:p>
    <w:p w:rsidR="003D755B" w:rsidRDefault="003D755B" w:rsidP="003D755B">
      <w:pPr>
        <w:spacing w:after="0"/>
      </w:pPr>
    </w:p>
    <w:p w:rsidR="003D755B" w:rsidRDefault="003D755B" w:rsidP="003D755B">
      <w:r w:rsidRPr="00E172BF">
        <w:t>DUSC</w:t>
      </w:r>
      <w:r>
        <w:t xml:space="preserve"> had also</w:t>
      </w:r>
      <w:r w:rsidRPr="00E172BF">
        <w:t xml:space="preserve"> suggested that analysis of other migraine therapies (at a patient level) would provide insight into whether use is for chronic migraine. DUSC also considered that analysis by state and linkage with MBS data may be informative in understanding patterns of use.</w:t>
      </w:r>
    </w:p>
    <w:p w:rsidR="003D755B" w:rsidRPr="00D61526" w:rsidRDefault="003D755B" w:rsidP="003D755B">
      <w:pPr>
        <w:rPr>
          <w:rFonts w:ascii="Calibri" w:eastAsia="MS Mincho" w:hAnsi="Calibri" w:cs="Times New Roman"/>
          <w:b/>
          <w:i/>
          <w:szCs w:val="28"/>
        </w:rPr>
      </w:pPr>
      <w:r w:rsidRPr="00D61526">
        <w:rPr>
          <w:rFonts w:ascii="Calibri" w:eastAsia="MS Mincho" w:hAnsi="Calibri" w:cs="Times New Roman"/>
          <w:b/>
          <w:i/>
          <w:szCs w:val="28"/>
        </w:rPr>
        <w:t xml:space="preserve">Data Sources </w:t>
      </w:r>
    </w:p>
    <w:p w:rsidR="003D755B" w:rsidRDefault="003D755B" w:rsidP="003D755B">
      <w:r>
        <w:t>Three sources of data were used:</w:t>
      </w:r>
    </w:p>
    <w:p w:rsidR="003D755B" w:rsidRPr="00CB12A0" w:rsidRDefault="003D755B" w:rsidP="003D755B">
      <w:pPr>
        <w:pStyle w:val="ListParagraph"/>
        <w:numPr>
          <w:ilvl w:val="0"/>
          <w:numId w:val="22"/>
        </w:numPr>
      </w:pPr>
      <w:r w:rsidRPr="004C3B77">
        <w:rPr>
          <w:rFonts w:ascii="Calibri" w:eastAsia="MS Mincho" w:hAnsi="Calibri" w:cs="Times New Roman"/>
        </w:rPr>
        <w:t>D</w:t>
      </w:r>
      <w:r>
        <w:rPr>
          <w:rFonts w:ascii="Calibri" w:eastAsia="MS Mincho" w:hAnsi="Calibri" w:cs="Times New Roman"/>
        </w:rPr>
        <w:t>HS</w:t>
      </w:r>
      <w:r w:rsidRPr="004C3B77">
        <w:rPr>
          <w:rFonts w:ascii="Calibri" w:eastAsia="MS Mincho" w:hAnsi="Calibri" w:cs="Times New Roman"/>
        </w:rPr>
        <w:t xml:space="preserve"> - Complex Drugs (Tasmania</w:t>
      </w:r>
      <w:r>
        <w:rPr>
          <w:rFonts w:ascii="Calibri" w:eastAsia="MS Mincho" w:hAnsi="Calibri" w:cs="Times New Roman"/>
        </w:rPr>
        <w:t xml:space="preserve">) </w:t>
      </w:r>
      <w:r>
        <w:t>Section 100 B</w:t>
      </w:r>
      <w:r w:rsidRPr="00CB12A0">
        <w:t xml:space="preserve">otulinum </w:t>
      </w:r>
      <w:r>
        <w:t>T</w:t>
      </w:r>
      <w:r w:rsidRPr="00CB12A0">
        <w:t xml:space="preserve">oxin </w:t>
      </w:r>
      <w:r w:rsidR="00576C13">
        <w:t>P</w:t>
      </w:r>
      <w:r>
        <w:t xml:space="preserve">rogram reports </w:t>
      </w:r>
    </w:p>
    <w:p w:rsidR="003D755B" w:rsidRDefault="003D755B" w:rsidP="003D755B">
      <w:pPr>
        <w:pStyle w:val="ListParagraph"/>
        <w:numPr>
          <w:ilvl w:val="0"/>
          <w:numId w:val="22"/>
        </w:numPr>
      </w:pPr>
      <w:r w:rsidRPr="00CB12A0">
        <w:t>DHS</w:t>
      </w:r>
      <w:r>
        <w:t xml:space="preserve"> </w:t>
      </w:r>
      <w:r w:rsidR="00576C13">
        <w:t xml:space="preserve">- </w:t>
      </w:r>
      <w:r>
        <w:t xml:space="preserve">PBS </w:t>
      </w:r>
      <w:r w:rsidRPr="00CB12A0">
        <w:t xml:space="preserve">prescription </w:t>
      </w:r>
      <w:r>
        <w:t xml:space="preserve">claims </w:t>
      </w:r>
      <w:r w:rsidRPr="00CB12A0">
        <w:t>data</w:t>
      </w:r>
    </w:p>
    <w:p w:rsidR="003D755B" w:rsidRDefault="003D755B" w:rsidP="003D755B">
      <w:pPr>
        <w:pStyle w:val="ListParagraph"/>
        <w:numPr>
          <w:ilvl w:val="0"/>
          <w:numId w:val="22"/>
        </w:numPr>
      </w:pPr>
      <w:r>
        <w:t xml:space="preserve">DHS </w:t>
      </w:r>
      <w:r w:rsidR="00576C13">
        <w:t xml:space="preserve">- </w:t>
      </w:r>
      <w:r>
        <w:t xml:space="preserve">MBS services data for administration of PBS subsidised </w:t>
      </w:r>
      <w:r w:rsidRPr="00CB12A0">
        <w:t>botulinum toxin</w:t>
      </w:r>
      <w:r>
        <w:t>.</w:t>
      </w:r>
      <w:r w:rsidRPr="00CB12A0">
        <w:t xml:space="preserve"> </w:t>
      </w:r>
    </w:p>
    <w:p w:rsidR="003D755B" w:rsidRPr="00D61526" w:rsidRDefault="003D755B" w:rsidP="003D755B">
      <w:pPr>
        <w:rPr>
          <w:rFonts w:ascii="Calibri" w:eastAsia="MS Mincho" w:hAnsi="Calibri" w:cs="Times New Roman"/>
          <w:u w:val="single"/>
        </w:rPr>
      </w:pPr>
      <w:r w:rsidRPr="00D61526">
        <w:rPr>
          <w:rFonts w:ascii="Calibri" w:eastAsia="MS Mincho" w:hAnsi="Calibri" w:cs="Times New Roman"/>
          <w:u w:val="single"/>
        </w:rPr>
        <w:t>Section 100 Botulinum Toxin Program Reports</w:t>
      </w:r>
    </w:p>
    <w:p w:rsidR="003D755B" w:rsidRDefault="003D755B" w:rsidP="003D755B">
      <w:pPr>
        <w:rPr>
          <w:rFonts w:ascii="Calibri" w:eastAsia="MS Mincho" w:hAnsi="Calibri" w:cs="Times New Roman"/>
        </w:rPr>
      </w:pPr>
      <w:r>
        <w:rPr>
          <w:rFonts w:ascii="Calibri" w:eastAsia="MS Mincho" w:hAnsi="Calibri" w:cs="Times New Roman"/>
        </w:rPr>
        <w:t xml:space="preserve">The reports from DHS </w:t>
      </w:r>
      <w:r w:rsidRPr="00C152B4">
        <w:rPr>
          <w:rFonts w:ascii="Calibri" w:eastAsia="MS Mincho" w:hAnsi="Calibri" w:cs="Times New Roman"/>
        </w:rPr>
        <w:t>Complex Drugs (Tasmania)</w:t>
      </w:r>
      <w:r>
        <w:rPr>
          <w:rFonts w:ascii="Calibri" w:eastAsia="MS Mincho" w:hAnsi="Calibri" w:cs="Times New Roman"/>
        </w:rPr>
        <w:t xml:space="preserve"> for the Section 100 Botulinum Toxin Program</w:t>
      </w:r>
      <w:r w:rsidRPr="00C152B4">
        <w:rPr>
          <w:rFonts w:ascii="Calibri" w:eastAsia="MS Mincho" w:hAnsi="Calibri" w:cs="Times New Roman"/>
        </w:rPr>
        <w:t xml:space="preserve"> provide aggregate data on the number of treatments and vials approved for supply and a cumulative count of patients approved for the indication. </w:t>
      </w:r>
      <w:r>
        <w:rPr>
          <w:rFonts w:ascii="Calibri" w:eastAsia="MS Mincho" w:hAnsi="Calibri" w:cs="Times New Roman"/>
        </w:rPr>
        <w:t xml:space="preserve">Reports were available for the period 1 March 2014 to 31 January 2016. The program became prescription based in September 2015, however there </w:t>
      </w:r>
      <w:r w:rsidR="00A102B9">
        <w:rPr>
          <w:rFonts w:ascii="Calibri" w:eastAsia="MS Mincho" w:hAnsi="Calibri" w:cs="Times New Roman"/>
        </w:rPr>
        <w:t xml:space="preserve">were transitional arrangements available until 31 December 2015 with claims being accepted up until </w:t>
      </w:r>
      <w:r>
        <w:rPr>
          <w:rFonts w:ascii="Calibri" w:eastAsia="MS Mincho" w:hAnsi="Calibri" w:cs="Times New Roman"/>
        </w:rPr>
        <w:t xml:space="preserve">January 2016 </w:t>
      </w:r>
      <w:r w:rsidR="00A102B9">
        <w:rPr>
          <w:rFonts w:ascii="Calibri" w:eastAsia="MS Mincho" w:hAnsi="Calibri" w:cs="Times New Roman"/>
        </w:rPr>
        <w:t>for claims not finalised via the previous mechanism.</w:t>
      </w:r>
      <w:r>
        <w:rPr>
          <w:rFonts w:ascii="Calibri" w:eastAsia="MS Mincho" w:hAnsi="Calibri" w:cs="Times New Roman"/>
        </w:rPr>
        <w:t xml:space="preserve"> The reports use the terminology ‘treatments’ which is equivalent to one prescription.</w:t>
      </w:r>
    </w:p>
    <w:p w:rsidR="003D755B" w:rsidRDefault="003D755B" w:rsidP="003D755B">
      <w:pPr>
        <w:rPr>
          <w:rFonts w:ascii="Calibri" w:eastAsia="MS Mincho" w:hAnsi="Calibri" w:cs="Times New Roman"/>
        </w:rPr>
      </w:pPr>
      <w:r>
        <w:rPr>
          <w:rFonts w:ascii="Calibri" w:eastAsia="MS Mincho" w:hAnsi="Calibri" w:cs="Times New Roman"/>
        </w:rPr>
        <w:t xml:space="preserve">Data from these reports were used to determine the number of treatments and the mean  number of vials per treatment supplied </w:t>
      </w:r>
      <w:r w:rsidR="00A102B9">
        <w:rPr>
          <w:rFonts w:ascii="Calibri" w:eastAsia="MS Mincho" w:hAnsi="Calibri" w:cs="Times New Roman"/>
        </w:rPr>
        <w:t>under the old Special Arrangement</w:t>
      </w:r>
      <w:r>
        <w:rPr>
          <w:rFonts w:ascii="Calibri" w:eastAsia="MS Mincho" w:hAnsi="Calibri" w:cs="Times New Roman"/>
        </w:rPr>
        <w:t>.</w:t>
      </w:r>
    </w:p>
    <w:p w:rsidR="003D755B" w:rsidRPr="00D61526" w:rsidRDefault="003D755B" w:rsidP="003D755B">
      <w:pPr>
        <w:rPr>
          <w:rFonts w:ascii="Calibri" w:eastAsia="MS Mincho" w:hAnsi="Calibri" w:cs="Times New Roman"/>
          <w:u w:val="single"/>
        </w:rPr>
      </w:pPr>
      <w:r w:rsidRPr="00D61526">
        <w:rPr>
          <w:rFonts w:ascii="Calibri" w:eastAsia="MS Mincho" w:hAnsi="Calibri" w:cs="Times New Roman"/>
          <w:u w:val="single"/>
        </w:rPr>
        <w:t>PBS prescription claim data</w:t>
      </w:r>
    </w:p>
    <w:p w:rsidR="003D755B" w:rsidRDefault="003D755B" w:rsidP="003D755B">
      <w:pPr>
        <w:rPr>
          <w:rFonts w:ascii="Calibri" w:eastAsia="MS Mincho" w:hAnsi="Calibri" w:cs="Times New Roman"/>
        </w:rPr>
      </w:pPr>
      <w:r>
        <w:rPr>
          <w:rFonts w:ascii="Calibri" w:eastAsia="MS Mincho" w:hAnsi="Calibri" w:cs="Times New Roman"/>
        </w:rPr>
        <w:t xml:space="preserve">PBS prescription data for botulinum toxin from 1 September 2015 to 31 December 2016 were extracted from the </w:t>
      </w:r>
      <w:r w:rsidRPr="00B87CD5">
        <w:rPr>
          <w:rFonts w:ascii="Calibri" w:eastAsia="MS Mincho" w:hAnsi="Calibri" w:cs="Times New Roman"/>
        </w:rPr>
        <w:t>DHS prescription database</w:t>
      </w:r>
      <w:r>
        <w:rPr>
          <w:rFonts w:ascii="Calibri" w:eastAsia="MS Mincho" w:hAnsi="Calibri" w:cs="Times New Roman"/>
        </w:rPr>
        <w:t xml:space="preserve"> based on the date of dispensing. The date of dispensing may differ from the date of administration because</w:t>
      </w:r>
      <w:r w:rsidRPr="00FC5786">
        <w:t xml:space="preserve"> </w:t>
      </w:r>
      <w:r>
        <w:rPr>
          <w:rFonts w:ascii="Calibri" w:eastAsia="MS Mincho" w:hAnsi="Calibri" w:cs="Times New Roman"/>
        </w:rPr>
        <w:t>p</w:t>
      </w:r>
      <w:r w:rsidRPr="00FC5786">
        <w:rPr>
          <w:rFonts w:ascii="Calibri" w:eastAsia="MS Mincho" w:hAnsi="Calibri" w:cs="Times New Roman"/>
        </w:rPr>
        <w:t>rescribers may order botulinum toxin medicines from hospital pharmacies in advance of providing a</w:t>
      </w:r>
      <w:r>
        <w:rPr>
          <w:rFonts w:ascii="Calibri" w:eastAsia="MS Mincho" w:hAnsi="Calibri" w:cs="Times New Roman"/>
        </w:rPr>
        <w:t xml:space="preserve"> </w:t>
      </w:r>
      <w:r w:rsidRPr="00FC5786">
        <w:rPr>
          <w:rFonts w:ascii="Calibri" w:eastAsia="MS Mincho" w:hAnsi="Calibri" w:cs="Times New Roman"/>
        </w:rPr>
        <w:t>valid PBS prescription/s to cover the supply. PBS Regulations require prescribers to make</w:t>
      </w:r>
      <w:r>
        <w:rPr>
          <w:rFonts w:ascii="Calibri" w:eastAsia="MS Mincho" w:hAnsi="Calibri" w:cs="Times New Roman"/>
        </w:rPr>
        <w:t xml:space="preserve"> </w:t>
      </w:r>
      <w:r w:rsidRPr="00FC5786">
        <w:rPr>
          <w:rFonts w:ascii="Calibri" w:eastAsia="MS Mincho" w:hAnsi="Calibri" w:cs="Times New Roman"/>
        </w:rPr>
        <w:t>prescriptions available within seven days of a verbal or written order</w:t>
      </w:r>
      <w:r w:rsidR="00E67737">
        <w:rPr>
          <w:rStyle w:val="FootnoteReference"/>
          <w:rFonts w:ascii="Calibri" w:eastAsia="MS Mincho" w:hAnsi="Calibri" w:cs="Times New Roman"/>
        </w:rPr>
        <w:footnoteReference w:id="4"/>
      </w:r>
      <w:r w:rsidRPr="00FC5786">
        <w:rPr>
          <w:rFonts w:ascii="Calibri" w:eastAsia="MS Mincho" w:hAnsi="Calibri" w:cs="Times New Roman"/>
        </w:rPr>
        <w:t>.</w:t>
      </w:r>
      <w:r>
        <w:rPr>
          <w:rFonts w:ascii="Calibri" w:eastAsia="MS Mincho" w:hAnsi="Calibri" w:cs="Times New Roman"/>
        </w:rPr>
        <w:t xml:space="preserve"> The date of processing of the PBS prescription may also differ from the date of dispensing. Consequently there may be differences in data reported by date of dispensing or processing (such as that available </w:t>
      </w:r>
      <w:r w:rsidRPr="004E2F75">
        <w:rPr>
          <w:rFonts w:ascii="Calibri" w:eastAsia="MS Mincho" w:hAnsi="Calibri" w:cs="Times New Roman"/>
        </w:rPr>
        <w:t>publicly available</w:t>
      </w:r>
      <w:r>
        <w:rPr>
          <w:rFonts w:ascii="Calibri" w:eastAsia="MS Mincho" w:hAnsi="Calibri" w:cs="Times New Roman"/>
        </w:rPr>
        <w:t xml:space="preserve"> from</w:t>
      </w:r>
      <w:r w:rsidRPr="004E2F75">
        <w:rPr>
          <w:rFonts w:ascii="Calibri" w:eastAsia="MS Mincho" w:hAnsi="Calibri" w:cs="Times New Roman"/>
        </w:rPr>
        <w:t xml:space="preserve"> </w:t>
      </w:r>
      <w:r w:rsidRPr="00073AF2">
        <w:rPr>
          <w:rFonts w:ascii="Calibri" w:eastAsia="MS Mincho" w:hAnsi="Calibri" w:cs="Times New Roman"/>
        </w:rPr>
        <w:t>DHS Medicare website</w:t>
      </w:r>
      <w:r>
        <w:rPr>
          <w:rFonts w:ascii="Calibri" w:eastAsia="MS Mincho" w:hAnsi="Calibri" w:cs="Times New Roman"/>
        </w:rPr>
        <w:t xml:space="preserve">). </w:t>
      </w:r>
    </w:p>
    <w:p w:rsidR="003D755B" w:rsidRDefault="003D755B" w:rsidP="003D755B">
      <w:pPr>
        <w:rPr>
          <w:rFonts w:ascii="Calibri" w:eastAsia="MS Mincho" w:hAnsi="Calibri" w:cs="Times New Roman"/>
        </w:rPr>
      </w:pPr>
      <w:r>
        <w:rPr>
          <w:rFonts w:ascii="Calibri" w:eastAsia="MS Mincho" w:hAnsi="Calibri" w:cs="Times New Roman"/>
        </w:rPr>
        <w:lastRenderedPageBreak/>
        <w:t>PBS prescription data were used to determine the number of prescriptions supplied, the number of vials supplied</w:t>
      </w:r>
      <w:r w:rsidR="006A7F9B">
        <w:rPr>
          <w:rFonts w:ascii="Calibri" w:eastAsia="MS Mincho" w:hAnsi="Calibri" w:cs="Times New Roman"/>
        </w:rPr>
        <w:t xml:space="preserve"> and </w:t>
      </w:r>
      <w:r>
        <w:rPr>
          <w:rFonts w:ascii="Calibri" w:eastAsia="MS Mincho" w:hAnsi="Calibri" w:cs="Times New Roman"/>
        </w:rPr>
        <w:t>the number of vials per prescription for botulinum toxin for chronic migraine. The data were also used to count the number of neurologists who prescribed botulinum toxin for chronic migraine and the number of neurologists who prescribed any PBS medicine in 2016 where there was complete data capture.</w:t>
      </w:r>
    </w:p>
    <w:p w:rsidR="003D755B" w:rsidRPr="00D61526" w:rsidRDefault="003D755B" w:rsidP="003D755B">
      <w:pPr>
        <w:rPr>
          <w:rFonts w:ascii="Calibri" w:eastAsia="MS Mincho" w:hAnsi="Calibri" w:cs="Times New Roman"/>
          <w:u w:val="single"/>
        </w:rPr>
      </w:pPr>
      <w:r w:rsidRPr="00D61526">
        <w:rPr>
          <w:rFonts w:ascii="Calibri" w:eastAsia="MS Mincho" w:hAnsi="Calibri" w:cs="Times New Roman"/>
          <w:u w:val="single"/>
        </w:rPr>
        <w:t>MBS services data</w:t>
      </w:r>
    </w:p>
    <w:p w:rsidR="003D755B" w:rsidRDefault="003D755B" w:rsidP="003D755B">
      <w:pPr>
        <w:rPr>
          <w:rFonts w:ascii="Calibri" w:eastAsia="MS Mincho" w:hAnsi="Calibri" w:cs="Times New Roman"/>
          <w:szCs w:val="28"/>
        </w:rPr>
      </w:pPr>
      <w:r>
        <w:rPr>
          <w:rFonts w:ascii="Calibri" w:eastAsia="MS Mincho" w:hAnsi="Calibri" w:cs="Times New Roman"/>
          <w:szCs w:val="28"/>
        </w:rPr>
        <w:t xml:space="preserve">MBS </w:t>
      </w:r>
      <w:r w:rsidR="001C5C6B">
        <w:rPr>
          <w:rFonts w:ascii="Calibri" w:eastAsia="MS Mincho" w:hAnsi="Calibri" w:cs="Times New Roman"/>
          <w:szCs w:val="28"/>
        </w:rPr>
        <w:t xml:space="preserve">item </w:t>
      </w:r>
      <w:r>
        <w:rPr>
          <w:rFonts w:ascii="Calibri" w:eastAsia="MS Mincho" w:hAnsi="Calibri" w:cs="Times New Roman"/>
          <w:szCs w:val="28"/>
        </w:rPr>
        <w:t xml:space="preserve">level services data based on date of service for all </w:t>
      </w:r>
      <w:r w:rsidRPr="009E354F">
        <w:rPr>
          <w:rFonts w:ascii="Calibri" w:eastAsia="MS Mincho" w:hAnsi="Calibri" w:cs="Times New Roman"/>
          <w:szCs w:val="28"/>
        </w:rPr>
        <w:t>item codes in MBS Group T11 (Botulinum Toxin Injections)</w:t>
      </w:r>
      <w:r>
        <w:rPr>
          <w:rFonts w:ascii="Calibri" w:eastAsia="MS Mincho" w:hAnsi="Calibri" w:cs="Times New Roman"/>
          <w:szCs w:val="28"/>
        </w:rPr>
        <w:t xml:space="preserve"> from </w:t>
      </w:r>
      <w:r w:rsidRPr="006D7E72">
        <w:rPr>
          <w:rFonts w:ascii="Calibri" w:eastAsia="MS Mincho" w:hAnsi="Calibri" w:cs="Times New Roman"/>
          <w:szCs w:val="28"/>
        </w:rPr>
        <w:t xml:space="preserve">1 March 2014  to the most recent </w:t>
      </w:r>
      <w:r w:rsidR="001C5C6B">
        <w:rPr>
          <w:rFonts w:ascii="Calibri" w:eastAsia="MS Mincho" w:hAnsi="Calibri" w:cs="Times New Roman"/>
          <w:szCs w:val="28"/>
        </w:rPr>
        <w:t xml:space="preserve">reasonably </w:t>
      </w:r>
      <w:r w:rsidRPr="006D7E72">
        <w:rPr>
          <w:rFonts w:ascii="Calibri" w:eastAsia="MS Mincho" w:hAnsi="Calibri" w:cs="Times New Roman"/>
          <w:szCs w:val="28"/>
        </w:rPr>
        <w:t>complete month, November 2016</w:t>
      </w:r>
      <w:r>
        <w:rPr>
          <w:rFonts w:ascii="Calibri" w:eastAsia="MS Mincho" w:hAnsi="Calibri" w:cs="Times New Roman"/>
          <w:szCs w:val="28"/>
        </w:rPr>
        <w:t>,</w:t>
      </w:r>
      <w:r w:rsidR="00D4292B">
        <w:rPr>
          <w:rFonts w:ascii="Calibri" w:eastAsia="MS Mincho" w:hAnsi="Calibri" w:cs="Times New Roman"/>
          <w:szCs w:val="28"/>
        </w:rPr>
        <w:t xml:space="preserve"> </w:t>
      </w:r>
      <w:r>
        <w:rPr>
          <w:rFonts w:ascii="Calibri" w:eastAsia="MS Mincho" w:hAnsi="Calibri" w:cs="Times New Roman"/>
          <w:szCs w:val="28"/>
        </w:rPr>
        <w:t xml:space="preserve">was provided by the MBS Analytics Section, </w:t>
      </w:r>
      <w:r w:rsidRPr="00DA5239">
        <w:rPr>
          <w:rFonts w:ascii="Calibri" w:eastAsia="MS Mincho" w:hAnsi="Calibri" w:cs="Times New Roman"/>
          <w:szCs w:val="28"/>
        </w:rPr>
        <w:t>Primary Care and Diagnostics Branch</w:t>
      </w:r>
      <w:r>
        <w:rPr>
          <w:rFonts w:ascii="Calibri" w:eastAsia="MS Mincho" w:hAnsi="Calibri" w:cs="Times New Roman"/>
          <w:szCs w:val="28"/>
        </w:rPr>
        <w:t xml:space="preserve">, </w:t>
      </w:r>
      <w:r w:rsidRPr="00DA5239">
        <w:rPr>
          <w:rFonts w:ascii="Calibri" w:eastAsia="MS Mincho" w:hAnsi="Calibri" w:cs="Times New Roman"/>
          <w:szCs w:val="28"/>
        </w:rPr>
        <w:t>Medicare Benefits Division</w:t>
      </w:r>
      <w:r>
        <w:rPr>
          <w:rFonts w:ascii="Calibri" w:eastAsia="MS Mincho" w:hAnsi="Calibri" w:cs="Times New Roman"/>
          <w:szCs w:val="28"/>
        </w:rPr>
        <w:t>, Commonwealth Department of Health. The MBS item associated with administration of botulinum toxin to patients with chronic migraine who meet the PBS criteria is 18377</w:t>
      </w:r>
      <w:r w:rsidRPr="00C152B4">
        <w:rPr>
          <w:rFonts w:ascii="Calibri" w:eastAsia="MS Mincho" w:hAnsi="Calibri" w:cs="Times New Roman"/>
          <w:szCs w:val="28"/>
        </w:rPr>
        <w:t>.</w:t>
      </w:r>
      <w:r w:rsidR="001C5C6B">
        <w:rPr>
          <w:rFonts w:ascii="Calibri" w:eastAsia="MS Mincho" w:hAnsi="Calibri" w:cs="Times New Roman"/>
          <w:szCs w:val="28"/>
        </w:rPr>
        <w:t xml:space="preserve"> As the MBS data is based on </w:t>
      </w:r>
      <w:r w:rsidR="001C5C6B" w:rsidRPr="001C5C6B">
        <w:rPr>
          <w:rFonts w:ascii="Calibri" w:eastAsia="MS Mincho" w:hAnsi="Calibri" w:cs="Times New Roman"/>
          <w:szCs w:val="28"/>
        </w:rPr>
        <w:t xml:space="preserve">date of service, recent service volumes could be </w:t>
      </w:r>
      <w:r w:rsidR="001C5C6B">
        <w:rPr>
          <w:rFonts w:ascii="Calibri" w:eastAsia="MS Mincho" w:hAnsi="Calibri" w:cs="Times New Roman"/>
          <w:szCs w:val="28"/>
        </w:rPr>
        <w:t xml:space="preserve">marginally </w:t>
      </w:r>
      <w:r w:rsidR="001C5C6B" w:rsidRPr="001C5C6B">
        <w:rPr>
          <w:rFonts w:ascii="Calibri" w:eastAsia="MS Mincho" w:hAnsi="Calibri" w:cs="Times New Roman"/>
          <w:szCs w:val="28"/>
        </w:rPr>
        <w:t>incomplete and may continue to change over time as additional claims are submitted</w:t>
      </w:r>
      <w:r w:rsidR="001C5C6B">
        <w:rPr>
          <w:rFonts w:ascii="Calibri" w:eastAsia="MS Mincho" w:hAnsi="Calibri" w:cs="Times New Roman"/>
          <w:szCs w:val="28"/>
        </w:rPr>
        <w:t>. The date of service data contains date of processing to 6/3/2017.</w:t>
      </w:r>
      <w:r w:rsidR="00F90DEB">
        <w:rPr>
          <w:rFonts w:ascii="Calibri" w:eastAsia="MS Mincho" w:hAnsi="Calibri" w:cs="Times New Roman"/>
          <w:szCs w:val="28"/>
        </w:rPr>
        <w:t xml:space="preserve"> </w:t>
      </w:r>
    </w:p>
    <w:p w:rsidR="003D755B" w:rsidRDefault="003D755B" w:rsidP="003D755B">
      <w:pPr>
        <w:rPr>
          <w:rFonts w:ascii="Calibri" w:eastAsia="MS Mincho" w:hAnsi="Calibri" w:cs="Times New Roman"/>
          <w:szCs w:val="28"/>
        </w:rPr>
      </w:pPr>
      <w:r w:rsidRPr="00AB1E06">
        <w:rPr>
          <w:rFonts w:ascii="Calibri" w:eastAsia="MS Mincho" w:hAnsi="Calibri" w:cs="Times New Roman"/>
          <w:szCs w:val="28"/>
        </w:rPr>
        <w:t>MBS services data were used as a</w:t>
      </w:r>
      <w:r>
        <w:rPr>
          <w:rFonts w:ascii="Calibri" w:eastAsia="MS Mincho" w:hAnsi="Calibri" w:cs="Times New Roman"/>
          <w:szCs w:val="28"/>
        </w:rPr>
        <w:t>n alternative data source for assessing utilisation of botulinum toxin where this was not possible from the PBS data. A difference between the PBS and MBS data is that MBS data does not include repatriation patients and will therefore underestimate the utilisation of botulinum toxin supplied through the PBS for this group of patients</w:t>
      </w:r>
      <w:r w:rsidRPr="006A7F9B">
        <w:rPr>
          <w:rFonts w:ascii="Calibri" w:eastAsia="MS Mincho" w:hAnsi="Calibri" w:cs="Times New Roman"/>
          <w:szCs w:val="28"/>
        </w:rPr>
        <w:t xml:space="preserve">. The impact of this is small because PBS data </w:t>
      </w:r>
      <w:r w:rsidR="007A247F" w:rsidRPr="006A7F9B">
        <w:rPr>
          <w:rFonts w:ascii="Calibri" w:eastAsia="MS Mincho" w:hAnsi="Calibri" w:cs="Times New Roman"/>
          <w:szCs w:val="28"/>
        </w:rPr>
        <w:t xml:space="preserve">(which includes Repatriation PBS (RPBS) prescriptions) </w:t>
      </w:r>
      <w:r w:rsidRPr="006A7F9B">
        <w:rPr>
          <w:rFonts w:ascii="Calibri" w:eastAsia="MS Mincho" w:hAnsi="Calibri" w:cs="Times New Roman"/>
          <w:szCs w:val="28"/>
        </w:rPr>
        <w:t xml:space="preserve">show that </w:t>
      </w:r>
      <w:r w:rsidR="007A247F" w:rsidRPr="006A7F9B">
        <w:rPr>
          <w:rFonts w:ascii="Calibri" w:eastAsia="MS Mincho" w:hAnsi="Calibri" w:cs="Times New Roman"/>
          <w:szCs w:val="28"/>
        </w:rPr>
        <w:t xml:space="preserve">0.39% </w:t>
      </w:r>
      <w:r w:rsidRPr="006A7F9B">
        <w:rPr>
          <w:rFonts w:ascii="Calibri" w:eastAsia="MS Mincho" w:hAnsi="Calibri" w:cs="Times New Roman"/>
          <w:szCs w:val="28"/>
        </w:rPr>
        <w:t xml:space="preserve">of </w:t>
      </w:r>
      <w:r w:rsidR="007A247F" w:rsidRPr="006A7F9B">
        <w:rPr>
          <w:rFonts w:ascii="Calibri" w:eastAsia="MS Mincho" w:hAnsi="Calibri" w:cs="Times New Roman"/>
          <w:szCs w:val="28"/>
        </w:rPr>
        <w:t xml:space="preserve">all </w:t>
      </w:r>
      <w:r w:rsidRPr="006A7F9B">
        <w:rPr>
          <w:rFonts w:ascii="Calibri" w:eastAsia="MS Mincho" w:hAnsi="Calibri" w:cs="Times New Roman"/>
          <w:szCs w:val="28"/>
        </w:rPr>
        <w:t xml:space="preserve">PBS </w:t>
      </w:r>
      <w:r w:rsidR="007A247F" w:rsidRPr="006A7F9B">
        <w:rPr>
          <w:rFonts w:ascii="Calibri" w:eastAsia="MS Mincho" w:hAnsi="Calibri" w:cs="Times New Roman"/>
          <w:szCs w:val="28"/>
        </w:rPr>
        <w:t xml:space="preserve">prescriptions </w:t>
      </w:r>
      <w:r w:rsidR="006A7F9B">
        <w:rPr>
          <w:rFonts w:ascii="Calibri" w:eastAsia="MS Mincho" w:hAnsi="Calibri" w:cs="Times New Roman"/>
          <w:szCs w:val="28"/>
        </w:rPr>
        <w:t>in the period 1</w:t>
      </w:r>
      <w:r w:rsidR="007A247F" w:rsidRPr="006A7F9B">
        <w:rPr>
          <w:rFonts w:ascii="Calibri" w:eastAsia="MS Mincho" w:hAnsi="Calibri" w:cs="Times New Roman"/>
        </w:rPr>
        <w:t xml:space="preserve"> September 2015 to </w:t>
      </w:r>
      <w:r w:rsidR="006A7F9B">
        <w:rPr>
          <w:rFonts w:ascii="Calibri" w:eastAsia="MS Mincho" w:hAnsi="Calibri" w:cs="Times New Roman"/>
        </w:rPr>
        <w:t>31</w:t>
      </w:r>
      <w:r w:rsidR="007A247F" w:rsidRPr="006A7F9B">
        <w:rPr>
          <w:rFonts w:ascii="Calibri" w:eastAsia="MS Mincho" w:hAnsi="Calibri" w:cs="Times New Roman"/>
        </w:rPr>
        <w:t xml:space="preserve"> December 2016 </w:t>
      </w:r>
      <w:r w:rsidRPr="006A7F9B">
        <w:rPr>
          <w:rFonts w:ascii="Calibri" w:eastAsia="MS Mincho" w:hAnsi="Calibri" w:cs="Times New Roman"/>
          <w:szCs w:val="28"/>
        </w:rPr>
        <w:t>w</w:t>
      </w:r>
      <w:r w:rsidR="007A247F" w:rsidRPr="006A7F9B">
        <w:rPr>
          <w:rFonts w:ascii="Calibri" w:eastAsia="MS Mincho" w:hAnsi="Calibri" w:cs="Times New Roman"/>
          <w:szCs w:val="28"/>
        </w:rPr>
        <w:t>ere</w:t>
      </w:r>
      <w:r w:rsidRPr="006A7F9B">
        <w:rPr>
          <w:rFonts w:ascii="Calibri" w:eastAsia="MS Mincho" w:hAnsi="Calibri" w:cs="Times New Roman"/>
          <w:szCs w:val="28"/>
        </w:rPr>
        <w:t xml:space="preserve"> </w:t>
      </w:r>
      <w:r w:rsidR="007A247F" w:rsidRPr="006A7F9B">
        <w:rPr>
          <w:rFonts w:ascii="Calibri" w:eastAsia="MS Mincho" w:hAnsi="Calibri" w:cs="Times New Roman"/>
          <w:szCs w:val="28"/>
        </w:rPr>
        <w:t>RPBS</w:t>
      </w:r>
      <w:r w:rsidRPr="006A7F9B">
        <w:rPr>
          <w:rFonts w:ascii="Calibri" w:eastAsia="MS Mincho" w:hAnsi="Calibri" w:cs="Times New Roman"/>
          <w:szCs w:val="28"/>
        </w:rPr>
        <w:t>.</w:t>
      </w:r>
    </w:p>
    <w:p w:rsidR="003D755B" w:rsidRPr="00D61526" w:rsidRDefault="003D755B" w:rsidP="003D755B">
      <w:pPr>
        <w:rPr>
          <w:rFonts w:ascii="Calibri" w:eastAsia="MS Mincho" w:hAnsi="Calibri" w:cs="Times New Roman"/>
          <w:szCs w:val="28"/>
        </w:rPr>
      </w:pPr>
      <w:r>
        <w:rPr>
          <w:rFonts w:ascii="Calibri" w:eastAsia="MS Mincho" w:hAnsi="Calibri" w:cs="Times New Roman"/>
          <w:szCs w:val="28"/>
        </w:rPr>
        <w:t xml:space="preserve">The MBS data were used to </w:t>
      </w:r>
      <w:r w:rsidRPr="00D61526">
        <w:rPr>
          <w:rFonts w:ascii="Calibri" w:eastAsia="MS Mincho" w:hAnsi="Calibri" w:cs="Times New Roman"/>
          <w:szCs w:val="28"/>
        </w:rPr>
        <w:t xml:space="preserve"> count the number of </w:t>
      </w:r>
      <w:r w:rsidR="006D5720">
        <w:rPr>
          <w:rFonts w:ascii="Calibri" w:eastAsia="MS Mincho" w:hAnsi="Calibri" w:cs="Times New Roman"/>
          <w:szCs w:val="28"/>
        </w:rPr>
        <w:t xml:space="preserve">incident and prevalent </w:t>
      </w:r>
      <w:r w:rsidRPr="00D61526">
        <w:rPr>
          <w:rFonts w:ascii="Calibri" w:eastAsia="MS Mincho" w:hAnsi="Calibri" w:cs="Times New Roman"/>
          <w:szCs w:val="28"/>
        </w:rPr>
        <w:t>patients receiving treatment</w:t>
      </w:r>
      <w:r>
        <w:rPr>
          <w:rFonts w:ascii="Calibri" w:eastAsia="MS Mincho" w:hAnsi="Calibri" w:cs="Times New Roman"/>
          <w:szCs w:val="28"/>
        </w:rPr>
        <w:t xml:space="preserve"> and to determine rates of treatment continuation. </w:t>
      </w:r>
      <w:r w:rsidR="00D4292B">
        <w:rPr>
          <w:rFonts w:ascii="Calibri" w:eastAsia="MS Mincho" w:hAnsi="Calibri" w:cs="Times New Roman"/>
          <w:szCs w:val="28"/>
        </w:rPr>
        <w:t>Initiation was</w:t>
      </w:r>
      <w:r>
        <w:rPr>
          <w:rFonts w:ascii="Calibri" w:eastAsia="MS Mincho" w:hAnsi="Calibri" w:cs="Times New Roman"/>
          <w:szCs w:val="28"/>
        </w:rPr>
        <w:t xml:space="preserve"> defined as </w:t>
      </w:r>
      <w:r w:rsidR="00D4292B">
        <w:rPr>
          <w:rFonts w:ascii="Calibri" w:eastAsia="MS Mincho" w:hAnsi="Calibri" w:cs="Times New Roman"/>
          <w:szCs w:val="28"/>
        </w:rPr>
        <w:t xml:space="preserve">a </w:t>
      </w:r>
      <w:r>
        <w:rPr>
          <w:rFonts w:ascii="Calibri" w:eastAsia="MS Mincho" w:hAnsi="Calibri" w:cs="Times New Roman"/>
          <w:szCs w:val="28"/>
        </w:rPr>
        <w:t>patient</w:t>
      </w:r>
      <w:r w:rsidR="00D4292B">
        <w:rPr>
          <w:rFonts w:ascii="Calibri" w:eastAsia="MS Mincho" w:hAnsi="Calibri" w:cs="Times New Roman"/>
          <w:szCs w:val="28"/>
        </w:rPr>
        <w:t>’</w:t>
      </w:r>
      <w:r>
        <w:rPr>
          <w:rFonts w:ascii="Calibri" w:eastAsia="MS Mincho" w:hAnsi="Calibri" w:cs="Times New Roman"/>
          <w:szCs w:val="28"/>
        </w:rPr>
        <w:t>s first service for MBS item 18377.</w:t>
      </w:r>
      <w:r w:rsidR="006D5720">
        <w:rPr>
          <w:rFonts w:ascii="Calibri" w:eastAsia="MS Mincho" w:hAnsi="Calibri" w:cs="Times New Roman"/>
          <w:szCs w:val="28"/>
        </w:rPr>
        <w:t xml:space="preserve"> A comparison of treatment rates across States was based on t</w:t>
      </w:r>
      <w:r w:rsidR="006D5720" w:rsidRPr="006D5720">
        <w:rPr>
          <w:rFonts w:ascii="Calibri" w:eastAsia="MS Mincho" w:hAnsi="Calibri" w:cs="Times New Roman"/>
          <w:szCs w:val="28"/>
        </w:rPr>
        <w:t>he patient’s Medicare enrolment address at the time the service was processed by DHS.</w:t>
      </w:r>
    </w:p>
    <w:p w:rsidR="003D755B" w:rsidRPr="00D61526" w:rsidRDefault="003D755B" w:rsidP="003D755B">
      <w:pPr>
        <w:rPr>
          <w:rFonts w:ascii="Calibri" w:eastAsia="MS Mincho" w:hAnsi="Calibri" w:cs="Times New Roman"/>
          <w:b/>
          <w:i/>
          <w:szCs w:val="28"/>
        </w:rPr>
      </w:pPr>
      <w:r w:rsidRPr="00D61526">
        <w:rPr>
          <w:rFonts w:ascii="Calibri" w:eastAsia="MS Mincho" w:hAnsi="Calibri" w:cs="Times New Roman"/>
          <w:b/>
          <w:i/>
          <w:szCs w:val="28"/>
        </w:rPr>
        <w:t>Data linkage</w:t>
      </w:r>
    </w:p>
    <w:p w:rsidR="003D755B" w:rsidRPr="00AB1E06" w:rsidRDefault="003D755B" w:rsidP="003D755B">
      <w:pPr>
        <w:rPr>
          <w:rFonts w:ascii="Calibri" w:eastAsia="MS Mincho" w:hAnsi="Calibri" w:cs="Times New Roman"/>
          <w:szCs w:val="28"/>
          <w:lang w:val="en"/>
        </w:rPr>
      </w:pPr>
      <w:r>
        <w:rPr>
          <w:rFonts w:ascii="Calibri" w:eastAsia="MS Mincho" w:hAnsi="Calibri" w:cs="Times New Roman"/>
          <w:szCs w:val="28"/>
        </w:rPr>
        <w:t>L</w:t>
      </w:r>
      <w:r w:rsidRPr="0043278A">
        <w:rPr>
          <w:rFonts w:ascii="Calibri" w:eastAsia="MS Mincho" w:hAnsi="Calibri" w:cs="Times New Roman"/>
          <w:szCs w:val="28"/>
        </w:rPr>
        <w:t>inkage</w:t>
      </w:r>
      <w:r>
        <w:rPr>
          <w:rFonts w:ascii="Calibri" w:eastAsia="MS Mincho" w:hAnsi="Calibri" w:cs="Times New Roman"/>
          <w:szCs w:val="28"/>
        </w:rPr>
        <w:t xml:space="preserve"> of MBS and PBS data</w:t>
      </w:r>
      <w:r w:rsidRPr="0043278A">
        <w:rPr>
          <w:rFonts w:ascii="Calibri" w:eastAsia="MS Mincho" w:hAnsi="Calibri" w:cs="Times New Roman"/>
          <w:szCs w:val="28"/>
        </w:rPr>
        <w:t xml:space="preserve"> was achieved by matching the Patient ID field that was present in both the PBS and MBS datasets.</w:t>
      </w:r>
      <w:r w:rsidRPr="00AB1E06">
        <w:rPr>
          <w:rFonts w:ascii="Times New Roman" w:eastAsiaTheme="minorHAnsi" w:hAnsi="Times New Roman" w:cs="Times New Roman"/>
          <w:lang w:val="en"/>
        </w:rPr>
        <w:t xml:space="preserve"> </w:t>
      </w:r>
      <w:r w:rsidRPr="00AB1E06">
        <w:rPr>
          <w:rFonts w:ascii="Calibri" w:eastAsia="MS Mincho" w:hAnsi="Calibri" w:cs="Times New Roman"/>
          <w:szCs w:val="28"/>
          <w:lang w:val="en"/>
        </w:rPr>
        <w:t>Specific permission was given as required under Guidelines</w:t>
      </w:r>
      <w:r>
        <w:rPr>
          <w:rFonts w:ascii="Calibri" w:eastAsia="MS Mincho" w:hAnsi="Calibri" w:cs="Times New Roman"/>
          <w:szCs w:val="28"/>
          <w:lang w:val="en"/>
        </w:rPr>
        <w:t xml:space="preserve"> </w:t>
      </w:r>
      <w:r w:rsidRPr="00AB1E06">
        <w:rPr>
          <w:rFonts w:ascii="Calibri" w:eastAsia="MS Mincho" w:hAnsi="Calibri" w:cs="Times New Roman"/>
          <w:szCs w:val="28"/>
          <w:lang w:val="en"/>
        </w:rPr>
        <w:t>from the Privacy Commission under section 135AA of The</w:t>
      </w:r>
      <w:r>
        <w:rPr>
          <w:rFonts w:ascii="Calibri" w:eastAsia="MS Mincho" w:hAnsi="Calibri" w:cs="Times New Roman"/>
          <w:szCs w:val="28"/>
          <w:lang w:val="en"/>
        </w:rPr>
        <w:t xml:space="preserve"> </w:t>
      </w:r>
      <w:r w:rsidRPr="00AB1E06">
        <w:rPr>
          <w:rFonts w:ascii="Calibri" w:eastAsia="MS Mincho" w:hAnsi="Calibri" w:cs="Times New Roman"/>
          <w:szCs w:val="28"/>
          <w:lang w:val="en"/>
        </w:rPr>
        <w:t>National Health Act 1953 to enable this data matching and</w:t>
      </w:r>
      <w:r>
        <w:rPr>
          <w:rFonts w:ascii="Calibri" w:eastAsia="MS Mincho" w:hAnsi="Calibri" w:cs="Times New Roman"/>
          <w:szCs w:val="28"/>
          <w:lang w:val="en"/>
        </w:rPr>
        <w:t xml:space="preserve"> </w:t>
      </w:r>
      <w:r w:rsidRPr="00AB1E06">
        <w:rPr>
          <w:rFonts w:ascii="Calibri" w:eastAsia="MS Mincho" w:hAnsi="Calibri" w:cs="Times New Roman"/>
          <w:szCs w:val="28"/>
          <w:lang w:val="en"/>
        </w:rPr>
        <w:t>all records were destroyed after the analysis as required by</w:t>
      </w:r>
      <w:r>
        <w:rPr>
          <w:rFonts w:ascii="Calibri" w:eastAsia="MS Mincho" w:hAnsi="Calibri" w:cs="Times New Roman"/>
          <w:szCs w:val="28"/>
          <w:lang w:val="en"/>
        </w:rPr>
        <w:t xml:space="preserve"> </w:t>
      </w:r>
      <w:r w:rsidRPr="00AB1E06">
        <w:rPr>
          <w:rFonts w:ascii="Calibri" w:eastAsia="MS Mincho" w:hAnsi="Calibri" w:cs="Times New Roman"/>
          <w:szCs w:val="28"/>
          <w:lang w:val="en"/>
        </w:rPr>
        <w:t xml:space="preserve">the Privacy Commissioner’s Guidelines. All patients </w:t>
      </w:r>
      <w:r>
        <w:rPr>
          <w:rFonts w:ascii="Calibri" w:eastAsia="MS Mincho" w:hAnsi="Calibri" w:cs="Times New Roman"/>
          <w:szCs w:val="28"/>
          <w:lang w:val="en"/>
        </w:rPr>
        <w:t xml:space="preserve">IDs are </w:t>
      </w:r>
      <w:r w:rsidRPr="00AB1E06">
        <w:rPr>
          <w:rFonts w:ascii="Calibri" w:eastAsia="MS Mincho" w:hAnsi="Calibri" w:cs="Times New Roman"/>
          <w:szCs w:val="28"/>
          <w:lang w:val="en"/>
        </w:rPr>
        <w:t>de-identified.</w:t>
      </w:r>
    </w:p>
    <w:p w:rsidR="003D755B" w:rsidRDefault="003D755B" w:rsidP="003D755B">
      <w:pPr>
        <w:rPr>
          <w:rFonts w:ascii="Calibri" w:eastAsia="MS Mincho" w:hAnsi="Calibri" w:cs="Times New Roman"/>
          <w:szCs w:val="28"/>
        </w:rPr>
      </w:pPr>
      <w:r>
        <w:rPr>
          <w:rFonts w:ascii="Calibri" w:eastAsia="MS Mincho" w:hAnsi="Calibri" w:cs="Times New Roman"/>
          <w:szCs w:val="28"/>
        </w:rPr>
        <w:t>The linked data was used to</w:t>
      </w:r>
      <w:r w:rsidR="00FB5B0F">
        <w:rPr>
          <w:rFonts w:ascii="Calibri" w:eastAsia="MS Mincho" w:hAnsi="Calibri" w:cs="Times New Roman"/>
          <w:szCs w:val="28"/>
        </w:rPr>
        <w:t xml:space="preserve"> assess how many prophylactic migraine medicines patients </w:t>
      </w:r>
      <w:r w:rsidR="005768E6">
        <w:rPr>
          <w:rFonts w:ascii="Calibri" w:eastAsia="MS Mincho" w:hAnsi="Calibri" w:cs="Times New Roman"/>
          <w:szCs w:val="28"/>
        </w:rPr>
        <w:t xml:space="preserve">had used prior to </w:t>
      </w:r>
      <w:r w:rsidR="00FB5B0F">
        <w:rPr>
          <w:rFonts w:ascii="Calibri" w:eastAsia="MS Mincho" w:hAnsi="Calibri" w:cs="Times New Roman"/>
          <w:szCs w:val="28"/>
        </w:rPr>
        <w:t>commencing botulinum toxin</w:t>
      </w:r>
      <w:r w:rsidR="005768E6">
        <w:rPr>
          <w:rFonts w:ascii="Calibri" w:eastAsia="MS Mincho" w:hAnsi="Calibri" w:cs="Times New Roman"/>
          <w:szCs w:val="28"/>
        </w:rPr>
        <w:t xml:space="preserve">. Commencement of treatment </w:t>
      </w:r>
      <w:r w:rsidR="000E4136">
        <w:rPr>
          <w:rFonts w:ascii="Calibri" w:eastAsia="MS Mincho" w:hAnsi="Calibri" w:cs="Times New Roman"/>
          <w:szCs w:val="28"/>
        </w:rPr>
        <w:t xml:space="preserve">with </w:t>
      </w:r>
      <w:r w:rsidR="005768E6">
        <w:rPr>
          <w:rFonts w:ascii="Calibri" w:eastAsia="MS Mincho" w:hAnsi="Calibri" w:cs="Times New Roman"/>
          <w:szCs w:val="28"/>
        </w:rPr>
        <w:t>botulinum was determined by their first MBS service for injection rather than from the PBS data b</w:t>
      </w:r>
      <w:r w:rsidR="00FB5B0F">
        <w:rPr>
          <w:rFonts w:ascii="Calibri" w:eastAsia="MS Mincho" w:hAnsi="Calibri" w:cs="Times New Roman"/>
          <w:szCs w:val="28"/>
        </w:rPr>
        <w:t>ecause of the limitations of the Botulinum Program data described above</w:t>
      </w:r>
      <w:r w:rsidR="005768E6">
        <w:rPr>
          <w:rFonts w:ascii="Calibri" w:eastAsia="MS Mincho" w:hAnsi="Calibri" w:cs="Times New Roman"/>
          <w:szCs w:val="28"/>
        </w:rPr>
        <w:t xml:space="preserve">. </w:t>
      </w:r>
    </w:p>
    <w:p w:rsidR="00EB1C3C" w:rsidRDefault="00EB1C3C" w:rsidP="003D755B">
      <w:pPr>
        <w:rPr>
          <w:rFonts w:ascii="Calibri" w:eastAsia="MS Mincho" w:hAnsi="Calibri" w:cs="Times New Roman"/>
          <w:szCs w:val="28"/>
        </w:rPr>
      </w:pPr>
      <w:r>
        <w:rPr>
          <w:rFonts w:ascii="Calibri" w:eastAsia="MS Mincho" w:hAnsi="Calibri" w:cs="Times New Roman"/>
          <w:szCs w:val="28"/>
        </w:rPr>
        <w:t xml:space="preserve">The cohort analysed for </w:t>
      </w:r>
      <w:r w:rsidR="00652FD0">
        <w:rPr>
          <w:rFonts w:ascii="Calibri" w:eastAsia="MS Mincho" w:hAnsi="Calibri" w:cs="Times New Roman"/>
          <w:szCs w:val="28"/>
        </w:rPr>
        <w:t xml:space="preserve">prior </w:t>
      </w:r>
      <w:r>
        <w:rPr>
          <w:rFonts w:ascii="Calibri" w:eastAsia="MS Mincho" w:hAnsi="Calibri" w:cs="Times New Roman"/>
          <w:szCs w:val="28"/>
        </w:rPr>
        <w:t xml:space="preserve">prophylactic migraine medicines initiated </w:t>
      </w:r>
      <w:r w:rsidR="00652FD0">
        <w:rPr>
          <w:rFonts w:ascii="Calibri" w:eastAsia="MS Mincho" w:hAnsi="Calibri" w:cs="Times New Roman"/>
          <w:szCs w:val="28"/>
        </w:rPr>
        <w:t xml:space="preserve">botulinum toxin </w:t>
      </w:r>
      <w:r w:rsidR="00F94357">
        <w:rPr>
          <w:rFonts w:ascii="Calibri" w:eastAsia="MS Mincho" w:hAnsi="Calibri" w:cs="Times New Roman"/>
        </w:rPr>
        <w:t xml:space="preserve">from 1 April to 30 November 2016. Earlier initiators were not included to maximise the </w:t>
      </w:r>
      <w:r w:rsidR="00F94357">
        <w:rPr>
          <w:rFonts w:ascii="Calibri" w:eastAsia="MS Mincho" w:hAnsi="Calibri" w:cs="Times New Roman"/>
        </w:rPr>
        <w:lastRenderedPageBreak/>
        <w:t xml:space="preserve">length of PBS </w:t>
      </w:r>
      <w:r w:rsidR="00400931">
        <w:rPr>
          <w:rFonts w:ascii="Calibri" w:eastAsia="MS Mincho" w:hAnsi="Calibri" w:cs="Times New Roman"/>
        </w:rPr>
        <w:t>prescription</w:t>
      </w:r>
      <w:r w:rsidR="00F94357">
        <w:rPr>
          <w:rFonts w:ascii="Calibri" w:eastAsia="MS Mincho" w:hAnsi="Calibri" w:cs="Times New Roman"/>
        </w:rPr>
        <w:t xml:space="preserve"> history after the inclusion of </w:t>
      </w:r>
      <w:r w:rsidR="00652FD0">
        <w:rPr>
          <w:rFonts w:ascii="Calibri" w:eastAsia="MS Mincho" w:hAnsi="Calibri" w:cs="Times New Roman"/>
        </w:rPr>
        <w:t xml:space="preserve">general patient </w:t>
      </w:r>
      <w:r w:rsidR="00F94357">
        <w:rPr>
          <w:rFonts w:cs="Arial"/>
        </w:rPr>
        <w:t>undercopayment prescriptions</w:t>
      </w:r>
      <w:r w:rsidR="00F94357" w:rsidRPr="0010262E">
        <w:rPr>
          <w:rFonts w:cs="Arial"/>
        </w:rPr>
        <w:t xml:space="preserve"> </w:t>
      </w:r>
      <w:r w:rsidR="00F94357">
        <w:rPr>
          <w:rFonts w:cs="Arial"/>
        </w:rPr>
        <w:t>in the PBS data in April 2012.</w:t>
      </w:r>
    </w:p>
    <w:p w:rsidR="000E4136" w:rsidRDefault="00EB1C3C" w:rsidP="003D755B">
      <w:pPr>
        <w:rPr>
          <w:rFonts w:ascii="Calibri" w:eastAsia="MS Mincho" w:hAnsi="Calibri" w:cs="Times New Roman"/>
          <w:szCs w:val="28"/>
        </w:rPr>
      </w:pPr>
      <w:r>
        <w:rPr>
          <w:rFonts w:ascii="Calibri" w:eastAsia="MS Mincho" w:hAnsi="Calibri" w:cs="Times New Roman"/>
          <w:szCs w:val="28"/>
        </w:rPr>
        <w:t xml:space="preserve">After establishing a patient’s </w:t>
      </w:r>
      <w:r w:rsidR="00400931">
        <w:rPr>
          <w:rFonts w:ascii="Calibri" w:eastAsia="MS Mincho" w:hAnsi="Calibri" w:cs="Times New Roman"/>
          <w:szCs w:val="28"/>
        </w:rPr>
        <w:t>initiation</w:t>
      </w:r>
      <w:r>
        <w:rPr>
          <w:rFonts w:ascii="Calibri" w:eastAsia="MS Mincho" w:hAnsi="Calibri" w:cs="Times New Roman"/>
          <w:szCs w:val="28"/>
        </w:rPr>
        <w:t xml:space="preserve"> date using MBS data</w:t>
      </w:r>
      <w:r w:rsidR="008F2443">
        <w:rPr>
          <w:rFonts w:ascii="Calibri" w:eastAsia="MS Mincho" w:hAnsi="Calibri" w:cs="Times New Roman"/>
          <w:szCs w:val="28"/>
        </w:rPr>
        <w:t>,</w:t>
      </w:r>
      <w:r>
        <w:rPr>
          <w:rFonts w:ascii="Calibri" w:eastAsia="MS Mincho" w:hAnsi="Calibri" w:cs="Times New Roman"/>
          <w:szCs w:val="28"/>
        </w:rPr>
        <w:t xml:space="preserve"> all </w:t>
      </w:r>
      <w:r w:rsidRPr="00EB1C3C">
        <w:rPr>
          <w:rFonts w:ascii="Calibri" w:eastAsia="MS Mincho" w:hAnsi="Calibri" w:cs="Times New Roman"/>
          <w:szCs w:val="28"/>
        </w:rPr>
        <w:t xml:space="preserve">PBS prescription data </w:t>
      </w:r>
      <w:r w:rsidR="008F2443">
        <w:rPr>
          <w:rFonts w:ascii="Calibri" w:eastAsia="MS Mincho" w:hAnsi="Calibri" w:cs="Times New Roman"/>
          <w:szCs w:val="28"/>
        </w:rPr>
        <w:t xml:space="preserve">for the </w:t>
      </w:r>
      <w:r w:rsidR="00F94357">
        <w:rPr>
          <w:rFonts w:ascii="Calibri" w:eastAsia="MS Mincho" w:hAnsi="Calibri" w:cs="Times New Roman"/>
          <w:szCs w:val="28"/>
        </w:rPr>
        <w:t>patients in this cohort</w:t>
      </w:r>
      <w:r w:rsidRPr="00EB1C3C">
        <w:rPr>
          <w:rFonts w:ascii="Calibri" w:eastAsia="MS Mincho" w:hAnsi="Calibri" w:cs="Times New Roman"/>
          <w:szCs w:val="28"/>
        </w:rPr>
        <w:t xml:space="preserve"> were extracted from the DHS prescription database </w:t>
      </w:r>
      <w:r w:rsidR="008F2443" w:rsidRPr="00EB1C3C">
        <w:rPr>
          <w:rFonts w:ascii="Calibri" w:eastAsia="MS Mincho" w:hAnsi="Calibri" w:cs="Times New Roman"/>
          <w:szCs w:val="28"/>
        </w:rPr>
        <w:t xml:space="preserve">from </w:t>
      </w:r>
      <w:r w:rsidR="008F2443">
        <w:rPr>
          <w:rFonts w:ascii="Calibri" w:eastAsia="MS Mincho" w:hAnsi="Calibri" w:cs="Times New Roman"/>
          <w:szCs w:val="28"/>
        </w:rPr>
        <w:t>January</w:t>
      </w:r>
      <w:r w:rsidR="008B65B8">
        <w:rPr>
          <w:rFonts w:ascii="Calibri" w:eastAsia="MS Mincho" w:hAnsi="Calibri" w:cs="Times New Roman"/>
          <w:szCs w:val="28"/>
        </w:rPr>
        <w:t> </w:t>
      </w:r>
      <w:r w:rsidR="008F2443" w:rsidRPr="00EB1C3C">
        <w:rPr>
          <w:rFonts w:ascii="Calibri" w:eastAsia="MS Mincho" w:hAnsi="Calibri" w:cs="Times New Roman"/>
          <w:szCs w:val="28"/>
        </w:rPr>
        <w:t>20</w:t>
      </w:r>
      <w:r w:rsidR="008F2443">
        <w:rPr>
          <w:rFonts w:ascii="Calibri" w:eastAsia="MS Mincho" w:hAnsi="Calibri" w:cs="Times New Roman"/>
          <w:szCs w:val="28"/>
        </w:rPr>
        <w:t>03</w:t>
      </w:r>
      <w:r w:rsidR="008F2443" w:rsidRPr="00EB1C3C">
        <w:rPr>
          <w:rFonts w:ascii="Calibri" w:eastAsia="MS Mincho" w:hAnsi="Calibri" w:cs="Times New Roman"/>
          <w:szCs w:val="28"/>
        </w:rPr>
        <w:t xml:space="preserve"> to </w:t>
      </w:r>
      <w:r w:rsidR="008F2443">
        <w:rPr>
          <w:rFonts w:ascii="Calibri" w:eastAsia="MS Mincho" w:hAnsi="Calibri" w:cs="Times New Roman"/>
          <w:szCs w:val="28"/>
        </w:rPr>
        <w:t xml:space="preserve">the end of </w:t>
      </w:r>
      <w:r w:rsidR="008F2443" w:rsidRPr="00EB1C3C">
        <w:rPr>
          <w:rFonts w:ascii="Calibri" w:eastAsia="MS Mincho" w:hAnsi="Calibri" w:cs="Times New Roman"/>
          <w:szCs w:val="28"/>
        </w:rPr>
        <w:t>December 2016</w:t>
      </w:r>
      <w:r w:rsidR="008F2443">
        <w:rPr>
          <w:rFonts w:ascii="Calibri" w:eastAsia="MS Mincho" w:hAnsi="Calibri" w:cs="Times New Roman"/>
          <w:szCs w:val="28"/>
        </w:rPr>
        <w:t xml:space="preserve"> (b</w:t>
      </w:r>
      <w:r w:rsidRPr="00EB1C3C">
        <w:rPr>
          <w:rFonts w:ascii="Calibri" w:eastAsia="MS Mincho" w:hAnsi="Calibri" w:cs="Times New Roman"/>
          <w:szCs w:val="28"/>
        </w:rPr>
        <w:t>ased on the date of dispensing</w:t>
      </w:r>
      <w:r w:rsidR="008F2443">
        <w:rPr>
          <w:rFonts w:ascii="Calibri" w:eastAsia="MS Mincho" w:hAnsi="Calibri" w:cs="Times New Roman"/>
          <w:szCs w:val="28"/>
        </w:rPr>
        <w:t>)</w:t>
      </w:r>
      <w:r w:rsidRPr="00EB1C3C">
        <w:rPr>
          <w:rFonts w:ascii="Calibri" w:eastAsia="MS Mincho" w:hAnsi="Calibri" w:cs="Times New Roman"/>
          <w:szCs w:val="28"/>
        </w:rPr>
        <w:t>.</w:t>
      </w:r>
    </w:p>
    <w:p w:rsidR="00F94357" w:rsidRPr="00F94357" w:rsidRDefault="00F94357" w:rsidP="00F94357">
      <w:pPr>
        <w:rPr>
          <w:rFonts w:ascii="Calibri" w:eastAsia="MS Mincho" w:hAnsi="Calibri" w:cs="Times New Roman"/>
          <w:szCs w:val="28"/>
        </w:rPr>
      </w:pPr>
      <w:r w:rsidRPr="00F94357">
        <w:rPr>
          <w:rFonts w:ascii="Calibri" w:eastAsia="MS Mincho" w:hAnsi="Calibri" w:cs="Times New Roman"/>
          <w:szCs w:val="28"/>
        </w:rPr>
        <w:t xml:space="preserve">Thus there was at least </w:t>
      </w:r>
      <w:r w:rsidR="008F2443">
        <w:rPr>
          <w:rFonts w:ascii="Calibri" w:eastAsia="MS Mincho" w:hAnsi="Calibri" w:cs="Times New Roman"/>
          <w:szCs w:val="28"/>
        </w:rPr>
        <w:t xml:space="preserve">a </w:t>
      </w:r>
      <w:r w:rsidRPr="00F94357">
        <w:rPr>
          <w:rFonts w:ascii="Calibri" w:eastAsia="MS Mincho" w:hAnsi="Calibri" w:cs="Times New Roman"/>
          <w:szCs w:val="28"/>
        </w:rPr>
        <w:t xml:space="preserve">4 year lookback </w:t>
      </w:r>
      <w:r w:rsidR="008F2443">
        <w:rPr>
          <w:rFonts w:ascii="Calibri" w:eastAsia="MS Mincho" w:hAnsi="Calibri" w:cs="Times New Roman"/>
          <w:szCs w:val="28"/>
        </w:rPr>
        <w:t xml:space="preserve">period </w:t>
      </w:r>
      <w:r w:rsidR="008D4926">
        <w:rPr>
          <w:rFonts w:ascii="Calibri" w:eastAsia="MS Mincho" w:hAnsi="Calibri" w:cs="Times New Roman"/>
          <w:szCs w:val="28"/>
        </w:rPr>
        <w:t xml:space="preserve">for each patient </w:t>
      </w:r>
      <w:r w:rsidRPr="00F94357">
        <w:rPr>
          <w:rFonts w:ascii="Calibri" w:eastAsia="MS Mincho" w:hAnsi="Calibri" w:cs="Times New Roman"/>
          <w:szCs w:val="28"/>
        </w:rPr>
        <w:t xml:space="preserve">across PBS data with complete capture </w:t>
      </w:r>
      <w:r w:rsidR="00F3770B">
        <w:rPr>
          <w:rFonts w:ascii="Calibri" w:eastAsia="MS Mincho" w:hAnsi="Calibri" w:cs="Times New Roman"/>
          <w:szCs w:val="28"/>
        </w:rPr>
        <w:t>(</w:t>
      </w:r>
      <w:r w:rsidR="00354FE8">
        <w:rPr>
          <w:rFonts w:ascii="Calibri" w:eastAsia="MS Mincho" w:hAnsi="Calibri" w:cs="Times New Roman"/>
          <w:szCs w:val="28"/>
        </w:rPr>
        <w:t>i.e.</w:t>
      </w:r>
      <w:r w:rsidR="00F3770B">
        <w:rPr>
          <w:rFonts w:ascii="Calibri" w:eastAsia="MS Mincho" w:hAnsi="Calibri" w:cs="Times New Roman"/>
          <w:szCs w:val="28"/>
        </w:rPr>
        <w:t xml:space="preserve"> including general patient undercopayment prescriptions) </w:t>
      </w:r>
      <w:r w:rsidRPr="00F94357">
        <w:rPr>
          <w:rFonts w:ascii="Calibri" w:eastAsia="MS Mincho" w:hAnsi="Calibri" w:cs="Times New Roman"/>
          <w:szCs w:val="28"/>
        </w:rPr>
        <w:t>and then a further lookback from March 2012 to January 2003 where there was incomplete capture for PBS items priced under the general copayment</w:t>
      </w:r>
      <w:r w:rsidR="00F3770B">
        <w:rPr>
          <w:rFonts w:ascii="Calibri" w:eastAsia="MS Mincho" w:hAnsi="Calibri" w:cs="Times New Roman"/>
          <w:szCs w:val="28"/>
        </w:rPr>
        <w:t xml:space="preserve"> (</w:t>
      </w:r>
      <w:r w:rsidR="00354FE8">
        <w:rPr>
          <w:rFonts w:ascii="Calibri" w:eastAsia="MS Mincho" w:hAnsi="Calibri" w:cs="Times New Roman"/>
          <w:szCs w:val="28"/>
        </w:rPr>
        <w:t>i.e.</w:t>
      </w:r>
      <w:r w:rsidR="00F3770B">
        <w:rPr>
          <w:rFonts w:ascii="Calibri" w:eastAsia="MS Mincho" w:hAnsi="Calibri" w:cs="Times New Roman"/>
          <w:szCs w:val="28"/>
        </w:rPr>
        <w:t xml:space="preserve"> not captured for general patients)</w:t>
      </w:r>
      <w:r w:rsidRPr="00F94357">
        <w:rPr>
          <w:rFonts w:ascii="Calibri" w:eastAsia="MS Mincho" w:hAnsi="Calibri" w:cs="Times New Roman"/>
          <w:szCs w:val="28"/>
        </w:rPr>
        <w:t>.</w:t>
      </w:r>
      <w:r w:rsidR="008F2443">
        <w:rPr>
          <w:rFonts w:ascii="Calibri" w:eastAsia="MS Mincho" w:hAnsi="Calibri" w:cs="Times New Roman"/>
          <w:szCs w:val="28"/>
        </w:rPr>
        <w:t xml:space="preserve"> The implications of this period of incomplete data is discussed in the results section.</w:t>
      </w:r>
    </w:p>
    <w:p w:rsidR="006A7F9B" w:rsidRDefault="0012529D">
      <w:pPr>
        <w:spacing w:line="276" w:lineRule="auto"/>
        <w:rPr>
          <w:rFonts w:ascii="Calibri" w:eastAsia="MS Mincho" w:hAnsi="Calibri" w:cs="Times New Roman"/>
        </w:rPr>
      </w:pPr>
      <w:r w:rsidRPr="0012529D">
        <w:rPr>
          <w:rFonts w:ascii="Calibri" w:eastAsia="MS Mincho" w:hAnsi="Calibri" w:cs="Times New Roman"/>
        </w:rPr>
        <w:t xml:space="preserve">  </w:t>
      </w:r>
      <w:r w:rsidR="006A7F9B">
        <w:rPr>
          <w:rFonts w:ascii="Calibri" w:eastAsia="MS Mincho" w:hAnsi="Calibri" w:cs="Times New Roman"/>
        </w:rPr>
        <w:br w:type="page"/>
      </w:r>
    </w:p>
    <w:p w:rsidR="00B87CD5" w:rsidRDefault="00B87CD5" w:rsidP="00B87CD5">
      <w:pPr>
        <w:keepNext/>
        <w:keepLines/>
        <w:spacing w:before="480" w:after="240"/>
        <w:outlineLvl w:val="0"/>
        <w:rPr>
          <w:rFonts w:ascii="Calibri" w:eastAsia="MS Gothic" w:hAnsi="Calibri" w:cs="Times New Roman"/>
          <w:b/>
          <w:bCs/>
          <w:sz w:val="32"/>
          <w:szCs w:val="32"/>
        </w:rPr>
      </w:pPr>
      <w:r w:rsidRPr="00B87CD5">
        <w:rPr>
          <w:rFonts w:ascii="Calibri" w:eastAsia="MS Gothic" w:hAnsi="Calibri" w:cs="Times New Roman"/>
          <w:b/>
          <w:bCs/>
          <w:sz w:val="32"/>
          <w:szCs w:val="32"/>
        </w:rPr>
        <w:lastRenderedPageBreak/>
        <w:t>Results</w:t>
      </w:r>
    </w:p>
    <w:p w:rsidR="000528EB" w:rsidRPr="005C2511" w:rsidRDefault="000528EB" w:rsidP="005C2511">
      <w:pPr>
        <w:pStyle w:val="Heading2"/>
        <w:rPr>
          <w:rFonts w:eastAsia="MS Mincho"/>
          <w:i/>
        </w:rPr>
      </w:pPr>
      <w:r w:rsidRPr="005C2511">
        <w:rPr>
          <w:rFonts w:eastAsia="MS Mincho"/>
          <w:i/>
        </w:rPr>
        <w:t>Utilisation</w:t>
      </w:r>
    </w:p>
    <w:p w:rsidR="00A77FDE" w:rsidRPr="00CF1434" w:rsidRDefault="00A77FDE" w:rsidP="00CF1434">
      <w:pPr>
        <w:rPr>
          <w:rFonts w:ascii="Calibri" w:eastAsia="MS Mincho" w:hAnsi="Calibri" w:cs="Times New Roman"/>
        </w:rPr>
      </w:pPr>
      <w:r w:rsidRPr="00CF1434">
        <w:rPr>
          <w:rFonts w:ascii="Calibri" w:eastAsia="MS Mincho" w:hAnsi="Calibri" w:cs="Times New Roman"/>
        </w:rPr>
        <w:t>Figure 1 shows the utilisation of botulinum toxin for chr</w:t>
      </w:r>
      <w:r w:rsidR="00CF1434">
        <w:rPr>
          <w:rFonts w:ascii="Calibri" w:eastAsia="MS Mincho" w:hAnsi="Calibri" w:cs="Times New Roman"/>
        </w:rPr>
        <w:t>on</w:t>
      </w:r>
      <w:r w:rsidR="00214079">
        <w:rPr>
          <w:rFonts w:ascii="Calibri" w:eastAsia="MS Mincho" w:hAnsi="Calibri" w:cs="Times New Roman"/>
        </w:rPr>
        <w:t>i</w:t>
      </w:r>
      <w:r w:rsidRPr="00CF1434">
        <w:rPr>
          <w:rFonts w:ascii="Calibri" w:eastAsia="MS Mincho" w:hAnsi="Calibri" w:cs="Times New Roman"/>
        </w:rPr>
        <w:t>c migraine</w:t>
      </w:r>
      <w:r>
        <w:rPr>
          <w:rFonts w:ascii="Calibri" w:eastAsia="MS Mincho" w:hAnsi="Calibri" w:cs="Times New Roman"/>
        </w:rPr>
        <w:t xml:space="preserve"> </w:t>
      </w:r>
      <w:r w:rsidR="00214079" w:rsidRPr="00214079">
        <w:rPr>
          <w:rFonts w:ascii="Calibri" w:eastAsia="MS Mincho" w:hAnsi="Calibri" w:cs="Times New Roman"/>
        </w:rPr>
        <w:t xml:space="preserve">is increasing and is yet to stabilise.  </w:t>
      </w:r>
    </w:p>
    <w:p w:rsidR="000528EB" w:rsidRPr="00793E16" w:rsidRDefault="0035137F" w:rsidP="000528EB">
      <w:pPr>
        <w:rPr>
          <w:rFonts w:ascii="Calibri" w:eastAsia="MS Mincho" w:hAnsi="Calibri" w:cs="Times New Roman"/>
          <w:b/>
        </w:rPr>
      </w:pPr>
      <w:r>
        <w:rPr>
          <w:noProof/>
        </w:rPr>
        <w:drawing>
          <wp:inline distT="0" distB="0" distL="0" distR="0" wp14:anchorId="6DECE580" wp14:editId="342D3FC9">
            <wp:extent cx="5687695" cy="3725562"/>
            <wp:effectExtent l="0" t="0" r="27305" b="27305"/>
            <wp:docPr id="11" name="Chart 11" descr="Chart showing the number of prescriptions and MBS services for botulinum to treat migraine." title="Figure 1: Treatments / prescriptions of botulinum toxin and MBS services for injection for chronic migraine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528EB" w:rsidRPr="00B87CD5">
        <w:rPr>
          <w:rFonts w:ascii="Calibri" w:eastAsia="MS Mincho" w:hAnsi="Calibri" w:cs="Times New Roman"/>
          <w:b/>
        </w:rPr>
        <w:t xml:space="preserve">Figure 1: </w:t>
      </w:r>
      <w:r w:rsidR="000528EB">
        <w:rPr>
          <w:rFonts w:ascii="Calibri" w:eastAsia="MS Mincho" w:hAnsi="Calibri" w:cs="Times New Roman"/>
          <w:b/>
        </w:rPr>
        <w:t xml:space="preserve">Treatments / </w:t>
      </w:r>
      <w:r w:rsidR="006E41D3">
        <w:rPr>
          <w:rFonts w:ascii="Calibri" w:eastAsia="MS Mincho" w:hAnsi="Calibri" w:cs="Times New Roman"/>
          <w:b/>
        </w:rPr>
        <w:t>p</w:t>
      </w:r>
      <w:r w:rsidR="000528EB">
        <w:rPr>
          <w:rFonts w:ascii="Calibri" w:eastAsia="MS Mincho" w:hAnsi="Calibri" w:cs="Times New Roman"/>
          <w:b/>
        </w:rPr>
        <w:t>rescriptions of bo</w:t>
      </w:r>
      <w:r w:rsidR="000528EB" w:rsidRPr="00AB4293">
        <w:rPr>
          <w:rFonts w:ascii="Calibri" w:eastAsia="MS Mincho" w:hAnsi="Calibri" w:cs="Times New Roman"/>
          <w:b/>
        </w:rPr>
        <w:t xml:space="preserve">tulinum </w:t>
      </w:r>
      <w:r w:rsidR="000528EB">
        <w:rPr>
          <w:rFonts w:ascii="Calibri" w:eastAsia="MS Mincho" w:hAnsi="Calibri" w:cs="Times New Roman"/>
          <w:b/>
        </w:rPr>
        <w:t>t</w:t>
      </w:r>
      <w:r w:rsidR="000528EB" w:rsidRPr="00AB4293">
        <w:rPr>
          <w:rFonts w:ascii="Calibri" w:eastAsia="MS Mincho" w:hAnsi="Calibri" w:cs="Times New Roman"/>
          <w:b/>
        </w:rPr>
        <w:t xml:space="preserve">oxin </w:t>
      </w:r>
      <w:r w:rsidR="0051534B">
        <w:rPr>
          <w:rFonts w:ascii="Calibri" w:eastAsia="MS Mincho" w:hAnsi="Calibri" w:cs="Times New Roman"/>
          <w:b/>
        </w:rPr>
        <w:t xml:space="preserve">and MBS services for injection </w:t>
      </w:r>
      <w:r w:rsidR="004B49E7">
        <w:rPr>
          <w:rFonts w:ascii="Calibri" w:eastAsia="MS Mincho" w:hAnsi="Calibri" w:cs="Times New Roman"/>
          <w:b/>
        </w:rPr>
        <w:t>for c</w:t>
      </w:r>
      <w:r w:rsidR="000528EB">
        <w:rPr>
          <w:rFonts w:ascii="Calibri" w:eastAsia="MS Mincho" w:hAnsi="Calibri" w:cs="Times New Roman"/>
          <w:b/>
        </w:rPr>
        <w:t>hronic migraine</w:t>
      </w:r>
      <w:r w:rsidR="000528EB" w:rsidRPr="00AB4293">
        <w:rPr>
          <w:rFonts w:ascii="Calibri" w:eastAsia="MS Mincho" w:hAnsi="Calibri" w:cs="Times New Roman"/>
          <w:b/>
        </w:rPr>
        <w:t xml:space="preserve"> </w:t>
      </w:r>
      <w:r w:rsidR="00D12341">
        <w:rPr>
          <w:rFonts w:ascii="Calibri" w:eastAsia="MS Mincho" w:hAnsi="Calibri" w:cs="Times New Roman"/>
          <w:sz w:val="20"/>
        </w:rPr>
        <w:t>Sources</w:t>
      </w:r>
      <w:r w:rsidR="000528EB">
        <w:rPr>
          <w:rFonts w:ascii="Calibri" w:eastAsia="MS Mincho" w:hAnsi="Calibri" w:cs="Times New Roman"/>
          <w:sz w:val="20"/>
        </w:rPr>
        <w:t>:</w:t>
      </w:r>
      <w:r w:rsidR="000528EB" w:rsidRPr="00AB4293">
        <w:rPr>
          <w:rFonts w:ascii="Calibri" w:eastAsia="MS Mincho" w:hAnsi="Calibri" w:cs="Times New Roman"/>
          <w:sz w:val="20"/>
        </w:rPr>
        <w:t xml:space="preserve"> </w:t>
      </w:r>
      <w:r w:rsidR="00D12341">
        <w:rPr>
          <w:rFonts w:ascii="Calibri" w:eastAsia="MS Mincho" w:hAnsi="Calibri" w:cs="Times New Roman"/>
          <w:sz w:val="20"/>
        </w:rPr>
        <w:t xml:space="preserve">treatments </w:t>
      </w:r>
      <w:r w:rsidR="00793E16">
        <w:rPr>
          <w:rFonts w:ascii="Calibri" w:eastAsia="MS Mincho" w:hAnsi="Calibri" w:cs="Times New Roman"/>
          <w:sz w:val="20"/>
        </w:rPr>
        <w:t xml:space="preserve">sourced </w:t>
      </w:r>
      <w:r w:rsidR="00D12341">
        <w:rPr>
          <w:rFonts w:ascii="Calibri" w:eastAsia="MS Mincho" w:hAnsi="Calibri" w:cs="Times New Roman"/>
          <w:sz w:val="20"/>
        </w:rPr>
        <w:t xml:space="preserve">from </w:t>
      </w:r>
      <w:r w:rsidR="007C0CBF">
        <w:rPr>
          <w:rFonts w:ascii="Calibri" w:eastAsia="MS Mincho" w:hAnsi="Calibri" w:cs="Times New Roman"/>
          <w:sz w:val="20"/>
        </w:rPr>
        <w:t>DHS</w:t>
      </w:r>
      <w:r w:rsidR="00D12341" w:rsidRPr="00D12341">
        <w:rPr>
          <w:rFonts w:ascii="Calibri" w:eastAsia="MS Mincho" w:hAnsi="Calibri" w:cs="Times New Roman"/>
          <w:sz w:val="20"/>
        </w:rPr>
        <w:t xml:space="preserve"> - Complex Drugs (Tasmania). </w:t>
      </w:r>
      <w:r w:rsidR="000528EB" w:rsidRPr="00B87CD5">
        <w:rPr>
          <w:rFonts w:ascii="Calibri" w:eastAsia="MS Mincho" w:hAnsi="Calibri" w:cs="Times New Roman"/>
          <w:sz w:val="20"/>
        </w:rPr>
        <w:t xml:space="preserve">Prescriptions </w:t>
      </w:r>
      <w:r w:rsidR="00D12341">
        <w:rPr>
          <w:rFonts w:ascii="Calibri" w:eastAsia="MS Mincho" w:hAnsi="Calibri" w:cs="Times New Roman"/>
          <w:sz w:val="20"/>
        </w:rPr>
        <w:t>(</w:t>
      </w:r>
      <w:r w:rsidR="000528EB" w:rsidRPr="00B87CD5">
        <w:rPr>
          <w:rFonts w:ascii="Calibri" w:eastAsia="MS Mincho" w:hAnsi="Calibri" w:cs="Times New Roman"/>
          <w:sz w:val="20"/>
        </w:rPr>
        <w:t>by date of supply</w:t>
      </w:r>
      <w:r w:rsidR="00D12341">
        <w:rPr>
          <w:rFonts w:ascii="Calibri" w:eastAsia="MS Mincho" w:hAnsi="Calibri" w:cs="Times New Roman"/>
          <w:sz w:val="20"/>
        </w:rPr>
        <w:t xml:space="preserve">) </w:t>
      </w:r>
      <w:r w:rsidR="00793E16">
        <w:rPr>
          <w:rFonts w:ascii="Calibri" w:eastAsia="MS Mincho" w:hAnsi="Calibri" w:cs="Times New Roman"/>
          <w:sz w:val="20"/>
        </w:rPr>
        <w:t xml:space="preserve">sourced </w:t>
      </w:r>
      <w:r w:rsidR="00D12341">
        <w:rPr>
          <w:rFonts w:ascii="Calibri" w:eastAsia="MS Mincho" w:hAnsi="Calibri" w:cs="Times New Roman"/>
          <w:sz w:val="20"/>
        </w:rPr>
        <w:t xml:space="preserve">from </w:t>
      </w:r>
      <w:r w:rsidR="000528EB" w:rsidRPr="00B87CD5">
        <w:rPr>
          <w:rFonts w:ascii="Calibri" w:eastAsia="MS Mincho" w:hAnsi="Calibri" w:cs="Times New Roman"/>
          <w:sz w:val="20"/>
        </w:rPr>
        <w:t>DHS prescription claims database</w:t>
      </w:r>
      <w:r w:rsidR="00D12341">
        <w:rPr>
          <w:rFonts w:ascii="Calibri" w:eastAsia="MS Mincho" w:hAnsi="Calibri" w:cs="Times New Roman"/>
          <w:sz w:val="20"/>
        </w:rPr>
        <w:t xml:space="preserve"> (</w:t>
      </w:r>
      <w:r w:rsidR="000528EB" w:rsidRPr="00B87CD5">
        <w:rPr>
          <w:rFonts w:ascii="Calibri" w:eastAsia="MS Mincho" w:hAnsi="Calibri" w:cs="Times New Roman"/>
          <w:sz w:val="20"/>
        </w:rPr>
        <w:t xml:space="preserve">accessed </w:t>
      </w:r>
      <w:r w:rsidR="000528EB">
        <w:rPr>
          <w:rFonts w:ascii="Calibri" w:eastAsia="MS Mincho" w:hAnsi="Calibri" w:cs="Times New Roman"/>
          <w:sz w:val="20"/>
        </w:rPr>
        <w:t xml:space="preserve">21 March </w:t>
      </w:r>
      <w:r w:rsidR="000528EB" w:rsidRPr="00B87CD5">
        <w:rPr>
          <w:rFonts w:ascii="Calibri" w:eastAsia="MS Mincho" w:hAnsi="Calibri" w:cs="Times New Roman"/>
          <w:sz w:val="20"/>
        </w:rPr>
        <w:t>201</w:t>
      </w:r>
      <w:r w:rsidR="00D12341">
        <w:rPr>
          <w:rFonts w:ascii="Calibri" w:eastAsia="MS Mincho" w:hAnsi="Calibri" w:cs="Times New Roman"/>
          <w:sz w:val="20"/>
        </w:rPr>
        <w:t>7)</w:t>
      </w:r>
      <w:r w:rsidR="000528EB" w:rsidRPr="00B87CD5">
        <w:rPr>
          <w:rFonts w:ascii="Calibri" w:eastAsia="MS Mincho" w:hAnsi="Calibri" w:cs="Times New Roman"/>
          <w:sz w:val="20"/>
        </w:rPr>
        <w:t>.</w:t>
      </w:r>
      <w:r w:rsidR="009D5D18">
        <w:rPr>
          <w:rFonts w:ascii="Calibri" w:eastAsia="MS Mincho" w:hAnsi="Calibri" w:cs="Times New Roman"/>
          <w:sz w:val="20"/>
        </w:rPr>
        <w:t xml:space="preserve"> MBS services sourced from</w:t>
      </w:r>
      <w:r w:rsidR="00F80EF5">
        <w:rPr>
          <w:rFonts w:ascii="Calibri" w:eastAsia="MS Mincho" w:hAnsi="Calibri" w:cs="Times New Roman"/>
          <w:sz w:val="20"/>
        </w:rPr>
        <w:t xml:space="preserve"> </w:t>
      </w:r>
      <w:r w:rsidR="009D5D18" w:rsidRPr="009D5D18">
        <w:rPr>
          <w:rFonts w:ascii="Calibri" w:eastAsia="MS Mincho" w:hAnsi="Calibri" w:cs="Times New Roman"/>
          <w:sz w:val="20"/>
        </w:rPr>
        <w:t xml:space="preserve">claims data </w:t>
      </w:r>
      <w:r w:rsidR="00400931" w:rsidRPr="009D5D18">
        <w:rPr>
          <w:rFonts w:ascii="Calibri" w:eastAsia="MS Mincho" w:hAnsi="Calibri" w:cs="Times New Roman"/>
          <w:sz w:val="20"/>
        </w:rPr>
        <w:t>(</w:t>
      </w:r>
      <w:r w:rsidR="00400931">
        <w:rPr>
          <w:rFonts w:ascii="Calibri" w:eastAsia="MS Mincho" w:hAnsi="Calibri" w:cs="Times New Roman"/>
          <w:sz w:val="20"/>
        </w:rPr>
        <w:t>MBS</w:t>
      </w:r>
      <w:r w:rsidR="006E41D3">
        <w:rPr>
          <w:rFonts w:ascii="Calibri" w:eastAsia="MS Mincho" w:hAnsi="Calibri" w:cs="Times New Roman"/>
          <w:sz w:val="20"/>
        </w:rPr>
        <w:t xml:space="preserve"> </w:t>
      </w:r>
      <w:r w:rsidR="009D5D18" w:rsidRPr="009D5D18">
        <w:rPr>
          <w:rFonts w:ascii="Calibri" w:eastAsia="MS Mincho" w:hAnsi="Calibri" w:cs="Times New Roman"/>
          <w:sz w:val="20"/>
        </w:rPr>
        <w:t xml:space="preserve">Item 18377 for </w:t>
      </w:r>
      <w:r w:rsidR="006E41D3">
        <w:rPr>
          <w:rFonts w:ascii="Calibri" w:eastAsia="MS Mincho" w:hAnsi="Calibri" w:cs="Times New Roman"/>
          <w:sz w:val="20"/>
        </w:rPr>
        <w:t xml:space="preserve">injection of botulinum toxin for </w:t>
      </w:r>
      <w:r w:rsidR="009D5D18" w:rsidRPr="009D5D18">
        <w:rPr>
          <w:rFonts w:ascii="Calibri" w:eastAsia="MS Mincho" w:hAnsi="Calibri" w:cs="Times New Roman"/>
          <w:sz w:val="20"/>
        </w:rPr>
        <w:t>chronic migraine).</w:t>
      </w:r>
      <w:r w:rsidR="000528EB">
        <w:rPr>
          <w:rFonts w:ascii="Calibri" w:eastAsia="MS Mincho" w:hAnsi="Calibri" w:cs="Times New Roman"/>
          <w:sz w:val="20"/>
        </w:rPr>
        <w:t xml:space="preserve"> </w:t>
      </w:r>
    </w:p>
    <w:p w:rsidR="00F80EF5" w:rsidRDefault="009C0268" w:rsidP="009C0268">
      <w:pPr>
        <w:rPr>
          <w:rFonts w:ascii="Calibri" w:eastAsia="MS Mincho" w:hAnsi="Calibri" w:cs="Times New Roman"/>
        </w:rPr>
      </w:pPr>
      <w:r>
        <w:rPr>
          <w:rFonts w:ascii="Calibri" w:eastAsia="MS Mincho" w:hAnsi="Calibri" w:cs="Times New Roman"/>
        </w:rPr>
        <w:t>The red bars represent the number of treatments approved through</w:t>
      </w:r>
      <w:r w:rsidR="00F80EF5">
        <w:rPr>
          <w:rFonts w:ascii="Calibri" w:eastAsia="MS Mincho" w:hAnsi="Calibri" w:cs="Times New Roman"/>
        </w:rPr>
        <w:t xml:space="preserve"> the</w:t>
      </w:r>
      <w:r>
        <w:rPr>
          <w:rFonts w:ascii="Calibri" w:eastAsia="MS Mincho" w:hAnsi="Calibri" w:cs="Times New Roman"/>
        </w:rPr>
        <w:t xml:space="preserve"> </w:t>
      </w:r>
      <w:r w:rsidR="00F80EF5">
        <w:rPr>
          <w:rFonts w:ascii="Calibri" w:eastAsia="MS Mincho" w:hAnsi="Calibri" w:cs="Times New Roman"/>
        </w:rPr>
        <w:t>B</w:t>
      </w:r>
      <w:r>
        <w:rPr>
          <w:rFonts w:ascii="Calibri" w:eastAsia="MS Mincho" w:hAnsi="Calibri" w:cs="Times New Roman"/>
        </w:rPr>
        <w:t xml:space="preserve">otulinum </w:t>
      </w:r>
      <w:r w:rsidR="00F80EF5">
        <w:rPr>
          <w:rFonts w:ascii="Calibri" w:eastAsia="MS Mincho" w:hAnsi="Calibri" w:cs="Times New Roman"/>
        </w:rPr>
        <w:t>T</w:t>
      </w:r>
      <w:r>
        <w:rPr>
          <w:rFonts w:ascii="Calibri" w:eastAsia="MS Mincho" w:hAnsi="Calibri" w:cs="Times New Roman"/>
        </w:rPr>
        <w:t xml:space="preserve">oxin </w:t>
      </w:r>
      <w:r w:rsidR="00F80EF5">
        <w:rPr>
          <w:rFonts w:ascii="Calibri" w:eastAsia="MS Mincho" w:hAnsi="Calibri" w:cs="Times New Roman"/>
        </w:rPr>
        <w:t>P</w:t>
      </w:r>
      <w:r>
        <w:rPr>
          <w:rFonts w:ascii="Calibri" w:eastAsia="MS Mincho" w:hAnsi="Calibri" w:cs="Times New Roman"/>
        </w:rPr>
        <w:t xml:space="preserve">rogram in the period before and during the transition to prescription based supply. The blue bars represent the number of prescriptions dispensed following introduction of prescription based supply. Some supply continued via the previous program mechanism for several months after prescription supply commenced. This arrangement was phased out </w:t>
      </w:r>
      <w:r w:rsidR="009D5D18">
        <w:rPr>
          <w:rFonts w:ascii="Calibri" w:eastAsia="MS Mincho" w:hAnsi="Calibri" w:cs="Times New Roman"/>
        </w:rPr>
        <w:t xml:space="preserve">in </w:t>
      </w:r>
      <w:r>
        <w:rPr>
          <w:rFonts w:ascii="Calibri" w:eastAsia="MS Mincho" w:hAnsi="Calibri" w:cs="Times New Roman"/>
        </w:rPr>
        <w:t xml:space="preserve">January 2016.  There was some volatility in utilisation </w:t>
      </w:r>
      <w:r w:rsidRPr="00195A00">
        <w:rPr>
          <w:rFonts w:ascii="Calibri" w:eastAsia="MS Mincho" w:hAnsi="Calibri" w:cs="Times New Roman"/>
        </w:rPr>
        <w:t>around the time of the introduction of the prescription base system</w:t>
      </w:r>
      <w:r>
        <w:rPr>
          <w:rFonts w:ascii="Calibri" w:eastAsia="MS Mincho" w:hAnsi="Calibri" w:cs="Times New Roman"/>
        </w:rPr>
        <w:t>.</w:t>
      </w:r>
      <w:r w:rsidRPr="00195A00">
        <w:rPr>
          <w:rFonts w:ascii="Calibri" w:eastAsia="MS Mincho" w:hAnsi="Calibri" w:cs="Times New Roman"/>
        </w:rPr>
        <w:t xml:space="preserve"> </w:t>
      </w:r>
      <w:r>
        <w:rPr>
          <w:rFonts w:ascii="Calibri" w:eastAsia="MS Mincho" w:hAnsi="Calibri" w:cs="Times New Roman"/>
        </w:rPr>
        <w:t xml:space="preserve"> This may be</w:t>
      </w:r>
      <w:r w:rsidR="00A102B9">
        <w:rPr>
          <w:rFonts w:ascii="Calibri" w:eastAsia="MS Mincho" w:hAnsi="Calibri" w:cs="Times New Roman"/>
        </w:rPr>
        <w:t xml:space="preserve"> due to a</w:t>
      </w:r>
      <w:r>
        <w:rPr>
          <w:rFonts w:ascii="Calibri" w:eastAsia="MS Mincho" w:hAnsi="Calibri" w:cs="Times New Roman"/>
        </w:rPr>
        <w:t xml:space="preserve"> </w:t>
      </w:r>
      <w:r w:rsidR="00A102B9" w:rsidRPr="00A102B9">
        <w:rPr>
          <w:rFonts w:ascii="Calibri" w:eastAsia="MS Mincho" w:hAnsi="Calibri" w:cs="Times New Roman"/>
        </w:rPr>
        <w:t xml:space="preserve">backlog of claims being submitted and processed </w:t>
      </w:r>
      <w:r w:rsidR="00A102B9">
        <w:rPr>
          <w:rFonts w:ascii="Calibri" w:eastAsia="MS Mincho" w:hAnsi="Calibri" w:cs="Times New Roman"/>
        </w:rPr>
        <w:t xml:space="preserve">and/or </w:t>
      </w:r>
      <w:r>
        <w:rPr>
          <w:rFonts w:ascii="Calibri" w:eastAsia="MS Mincho" w:hAnsi="Calibri" w:cs="Times New Roman"/>
        </w:rPr>
        <w:t xml:space="preserve">because </w:t>
      </w:r>
      <w:r w:rsidRPr="00195A00">
        <w:rPr>
          <w:rFonts w:ascii="Calibri" w:eastAsia="MS Mincho" w:hAnsi="Calibri" w:cs="Times New Roman"/>
        </w:rPr>
        <w:t>PBS botulinum toxin supplies accumulated by prescribers under the arrangements in effect prior to</w:t>
      </w:r>
      <w:r>
        <w:rPr>
          <w:rFonts w:ascii="Calibri" w:eastAsia="MS Mincho" w:hAnsi="Calibri" w:cs="Times New Roman"/>
        </w:rPr>
        <w:t xml:space="preserve"> </w:t>
      </w:r>
      <w:r w:rsidRPr="00195A00">
        <w:rPr>
          <w:rFonts w:ascii="Calibri" w:eastAsia="MS Mincho" w:hAnsi="Calibri" w:cs="Times New Roman"/>
        </w:rPr>
        <w:t>1</w:t>
      </w:r>
      <w:r>
        <w:rPr>
          <w:rFonts w:ascii="Calibri" w:eastAsia="MS Mincho" w:hAnsi="Calibri" w:cs="Times New Roman"/>
        </w:rPr>
        <w:t> September 2015 could</w:t>
      </w:r>
      <w:r w:rsidRPr="00195A00">
        <w:rPr>
          <w:rFonts w:ascii="Calibri" w:eastAsia="MS Mincho" w:hAnsi="Calibri" w:cs="Times New Roman"/>
        </w:rPr>
        <w:t xml:space="preserve"> be used at prescribers’ discretion, provided that they are administered to</w:t>
      </w:r>
      <w:r>
        <w:rPr>
          <w:rFonts w:ascii="Calibri" w:eastAsia="MS Mincho" w:hAnsi="Calibri" w:cs="Times New Roman"/>
        </w:rPr>
        <w:t xml:space="preserve"> </w:t>
      </w:r>
      <w:r w:rsidRPr="00195A00">
        <w:rPr>
          <w:rFonts w:ascii="Calibri" w:eastAsia="MS Mincho" w:hAnsi="Calibri" w:cs="Times New Roman"/>
        </w:rPr>
        <w:t>patients who meet the eligibility requirements for PBS subsidy.</w:t>
      </w:r>
      <w:r>
        <w:rPr>
          <w:rFonts w:ascii="Calibri" w:eastAsia="MS Mincho" w:hAnsi="Calibri" w:cs="Times New Roman"/>
        </w:rPr>
        <w:t xml:space="preserve"> </w:t>
      </w:r>
    </w:p>
    <w:p w:rsidR="009C0268" w:rsidRPr="00452C6B" w:rsidRDefault="009C0268" w:rsidP="009C0268">
      <w:pPr>
        <w:rPr>
          <w:rFonts w:ascii="Calibri" w:eastAsia="MS Mincho" w:hAnsi="Calibri" w:cs="Times New Roman"/>
        </w:rPr>
      </w:pPr>
      <w:r>
        <w:rPr>
          <w:rFonts w:ascii="Calibri" w:eastAsia="MS Mincho" w:hAnsi="Calibri" w:cs="Times New Roman"/>
        </w:rPr>
        <w:t xml:space="preserve">The </w:t>
      </w:r>
      <w:r w:rsidR="00941706">
        <w:rPr>
          <w:rFonts w:ascii="Calibri" w:eastAsia="MS Mincho" w:hAnsi="Calibri" w:cs="Times New Roman"/>
        </w:rPr>
        <w:t>utilisation of services through the MBS for the admin</w:t>
      </w:r>
      <w:r w:rsidR="00664623">
        <w:rPr>
          <w:rFonts w:ascii="Calibri" w:eastAsia="MS Mincho" w:hAnsi="Calibri" w:cs="Times New Roman"/>
        </w:rPr>
        <w:t>i</w:t>
      </w:r>
      <w:r w:rsidR="00941706">
        <w:rPr>
          <w:rFonts w:ascii="Calibri" w:eastAsia="MS Mincho" w:hAnsi="Calibri" w:cs="Times New Roman"/>
        </w:rPr>
        <w:t>strat</w:t>
      </w:r>
      <w:r w:rsidR="006F5027">
        <w:rPr>
          <w:rFonts w:ascii="Calibri" w:eastAsia="MS Mincho" w:hAnsi="Calibri" w:cs="Times New Roman"/>
        </w:rPr>
        <w:t>i</w:t>
      </w:r>
      <w:r w:rsidR="00941706">
        <w:rPr>
          <w:rFonts w:ascii="Calibri" w:eastAsia="MS Mincho" w:hAnsi="Calibri" w:cs="Times New Roman"/>
        </w:rPr>
        <w:t>on of botulinum toxin (</w:t>
      </w:r>
      <w:r w:rsidR="00F80EF5">
        <w:rPr>
          <w:rFonts w:ascii="Calibri" w:eastAsia="MS Mincho" w:hAnsi="Calibri" w:cs="Times New Roman"/>
        </w:rPr>
        <w:t>purple</w:t>
      </w:r>
      <w:r>
        <w:rPr>
          <w:rFonts w:ascii="Calibri" w:eastAsia="MS Mincho" w:hAnsi="Calibri" w:cs="Times New Roman"/>
        </w:rPr>
        <w:t xml:space="preserve"> line)</w:t>
      </w:r>
      <w:r w:rsidR="00F80EF5">
        <w:rPr>
          <w:rFonts w:ascii="Calibri" w:eastAsia="MS Mincho" w:hAnsi="Calibri" w:cs="Times New Roman"/>
        </w:rPr>
        <w:t xml:space="preserve"> align with the </w:t>
      </w:r>
      <w:r w:rsidR="00E15595">
        <w:rPr>
          <w:rFonts w:ascii="Calibri" w:eastAsia="MS Mincho" w:hAnsi="Calibri" w:cs="Times New Roman"/>
        </w:rPr>
        <w:t xml:space="preserve">PBS </w:t>
      </w:r>
      <w:r w:rsidR="00F80EF5">
        <w:rPr>
          <w:rFonts w:ascii="Calibri" w:eastAsia="MS Mincho" w:hAnsi="Calibri" w:cs="Times New Roman"/>
        </w:rPr>
        <w:t>utilisation</w:t>
      </w:r>
      <w:r w:rsidR="00941706">
        <w:rPr>
          <w:rFonts w:ascii="Calibri" w:eastAsia="MS Mincho" w:hAnsi="Calibri" w:cs="Times New Roman"/>
        </w:rPr>
        <w:t>. MBS service</w:t>
      </w:r>
      <w:r w:rsidR="00664623">
        <w:rPr>
          <w:rFonts w:ascii="Calibri" w:eastAsia="MS Mincho" w:hAnsi="Calibri" w:cs="Times New Roman"/>
        </w:rPr>
        <w:t>s</w:t>
      </w:r>
      <w:r w:rsidR="00941706">
        <w:rPr>
          <w:rFonts w:ascii="Calibri" w:eastAsia="MS Mincho" w:hAnsi="Calibri" w:cs="Times New Roman"/>
        </w:rPr>
        <w:t xml:space="preserve"> </w:t>
      </w:r>
      <w:r w:rsidR="00664623">
        <w:rPr>
          <w:rFonts w:ascii="Calibri" w:eastAsia="MS Mincho" w:hAnsi="Calibri" w:cs="Times New Roman"/>
        </w:rPr>
        <w:t xml:space="preserve">therefore </w:t>
      </w:r>
      <w:r w:rsidR="00941706">
        <w:rPr>
          <w:rFonts w:ascii="Calibri" w:eastAsia="MS Mincho" w:hAnsi="Calibri" w:cs="Times New Roman"/>
        </w:rPr>
        <w:t>represents a useful alternat</w:t>
      </w:r>
      <w:r w:rsidR="00664623">
        <w:rPr>
          <w:rFonts w:ascii="Calibri" w:eastAsia="MS Mincho" w:hAnsi="Calibri" w:cs="Times New Roman"/>
        </w:rPr>
        <w:t>ive</w:t>
      </w:r>
      <w:r w:rsidR="00941706">
        <w:rPr>
          <w:rFonts w:ascii="Calibri" w:eastAsia="MS Mincho" w:hAnsi="Calibri" w:cs="Times New Roman"/>
        </w:rPr>
        <w:t xml:space="preserve"> source of data on the utilisation of PBS subsidised botulinum toxin for ch</w:t>
      </w:r>
      <w:r w:rsidR="00664623">
        <w:rPr>
          <w:rFonts w:ascii="Calibri" w:eastAsia="MS Mincho" w:hAnsi="Calibri" w:cs="Times New Roman"/>
        </w:rPr>
        <w:t>ronic</w:t>
      </w:r>
      <w:r w:rsidR="00941706">
        <w:rPr>
          <w:rFonts w:ascii="Calibri" w:eastAsia="MS Mincho" w:hAnsi="Calibri" w:cs="Times New Roman"/>
        </w:rPr>
        <w:t xml:space="preserve"> </w:t>
      </w:r>
      <w:r w:rsidR="00941706">
        <w:rPr>
          <w:rFonts w:ascii="Calibri" w:eastAsia="MS Mincho" w:hAnsi="Calibri" w:cs="Times New Roman"/>
        </w:rPr>
        <w:lastRenderedPageBreak/>
        <w:t xml:space="preserve">migraine and offers the advantage of complete patient level data throughout the listing period. </w:t>
      </w:r>
      <w:r w:rsidR="009D5D18">
        <w:rPr>
          <w:rFonts w:ascii="Calibri" w:eastAsia="MS Mincho" w:hAnsi="Calibri" w:cs="Times New Roman"/>
        </w:rPr>
        <w:t>It should be not</w:t>
      </w:r>
      <w:r w:rsidR="009B488D">
        <w:rPr>
          <w:rFonts w:ascii="Calibri" w:eastAsia="MS Mincho" w:hAnsi="Calibri" w:cs="Times New Roman"/>
        </w:rPr>
        <w:t>ed</w:t>
      </w:r>
      <w:r w:rsidR="009D5D18">
        <w:rPr>
          <w:rFonts w:ascii="Calibri" w:eastAsia="MS Mincho" w:hAnsi="Calibri" w:cs="Times New Roman"/>
        </w:rPr>
        <w:t xml:space="preserve"> that </w:t>
      </w:r>
      <w:r w:rsidR="009D5D18" w:rsidRPr="009D5D18">
        <w:rPr>
          <w:rFonts w:ascii="Calibri" w:eastAsia="MS Mincho" w:hAnsi="Calibri" w:cs="Times New Roman"/>
        </w:rPr>
        <w:t xml:space="preserve">the MBS data does not contain services for </w:t>
      </w:r>
      <w:r w:rsidR="009D5D18">
        <w:rPr>
          <w:rFonts w:ascii="Calibri" w:eastAsia="MS Mincho" w:hAnsi="Calibri" w:cs="Times New Roman"/>
        </w:rPr>
        <w:t>Department of Veterans Affairs (</w:t>
      </w:r>
      <w:r w:rsidR="009D5D18" w:rsidRPr="009D5D18">
        <w:rPr>
          <w:rFonts w:ascii="Calibri" w:eastAsia="MS Mincho" w:hAnsi="Calibri" w:cs="Times New Roman"/>
        </w:rPr>
        <w:t>DVA</w:t>
      </w:r>
      <w:r w:rsidR="009D5D18">
        <w:rPr>
          <w:rFonts w:ascii="Calibri" w:eastAsia="MS Mincho" w:hAnsi="Calibri" w:cs="Times New Roman"/>
        </w:rPr>
        <w:t>)</w:t>
      </w:r>
      <w:r w:rsidR="009D5D18" w:rsidRPr="009D5D18">
        <w:rPr>
          <w:rFonts w:ascii="Calibri" w:eastAsia="MS Mincho" w:hAnsi="Calibri" w:cs="Times New Roman"/>
        </w:rPr>
        <w:t xml:space="preserve"> cardholders</w:t>
      </w:r>
      <w:r w:rsidR="009D5D18">
        <w:rPr>
          <w:rFonts w:ascii="Calibri" w:eastAsia="MS Mincho" w:hAnsi="Calibri" w:cs="Times New Roman"/>
        </w:rPr>
        <w:t xml:space="preserve">, </w:t>
      </w:r>
      <w:r w:rsidR="00354FE8">
        <w:rPr>
          <w:rFonts w:ascii="Calibri" w:eastAsia="MS Mincho" w:hAnsi="Calibri" w:cs="Times New Roman"/>
        </w:rPr>
        <w:t>whereas</w:t>
      </w:r>
      <w:r w:rsidR="009D5D18">
        <w:rPr>
          <w:rFonts w:ascii="Calibri" w:eastAsia="MS Mincho" w:hAnsi="Calibri" w:cs="Times New Roman"/>
        </w:rPr>
        <w:t xml:space="preserve"> the PBS data does contain trea</w:t>
      </w:r>
      <w:r w:rsidR="006E41D3">
        <w:rPr>
          <w:rFonts w:ascii="Calibri" w:eastAsia="MS Mincho" w:hAnsi="Calibri" w:cs="Times New Roman"/>
        </w:rPr>
        <w:t>t</w:t>
      </w:r>
      <w:r w:rsidR="009D5D18">
        <w:rPr>
          <w:rFonts w:ascii="Calibri" w:eastAsia="MS Mincho" w:hAnsi="Calibri" w:cs="Times New Roman"/>
        </w:rPr>
        <w:t>ments and prescriptions (Repatriation PBS, RPBS) for these patients. The percentage of total prescriptions from September 2015 to the end of December 2016 that were RPBS was</w:t>
      </w:r>
      <w:r w:rsidR="009E5986">
        <w:rPr>
          <w:rFonts w:ascii="Calibri" w:eastAsia="MS Mincho" w:hAnsi="Calibri" w:cs="Times New Roman"/>
        </w:rPr>
        <w:t xml:space="preserve"> 0.39%.</w:t>
      </w:r>
      <w:r w:rsidR="0051534B">
        <w:rPr>
          <w:rFonts w:ascii="Calibri" w:eastAsia="MS Mincho" w:hAnsi="Calibri" w:cs="Times New Roman"/>
        </w:rPr>
        <w:t xml:space="preserve"> This will make a negligible difference when comparing PBS prescriptions and MBS services and patient counts base on MBS or PBS.</w:t>
      </w:r>
    </w:p>
    <w:p w:rsidR="0051534B" w:rsidRDefault="0051534B" w:rsidP="0051534B">
      <w:pPr>
        <w:rPr>
          <w:rFonts w:ascii="Calibri" w:eastAsia="MS Mincho" w:hAnsi="Calibri" w:cs="Times New Roman"/>
        </w:rPr>
      </w:pPr>
      <w:r>
        <w:rPr>
          <w:rFonts w:ascii="Calibri" w:eastAsia="MS Mincho" w:hAnsi="Calibri" w:cs="Times New Roman"/>
        </w:rPr>
        <w:t>The MBS data was used to count the number of patients (initiating and prevalent) receiving treatment with botulinum toxin for chronic migraine (Figure 2).</w:t>
      </w:r>
    </w:p>
    <w:p w:rsidR="00EA531B" w:rsidRDefault="0051534B" w:rsidP="00091AAB">
      <w:pPr>
        <w:outlineLvl w:val="1"/>
        <w:rPr>
          <w:rFonts w:ascii="Calibri" w:eastAsia="MS Mincho" w:hAnsi="Calibri" w:cs="Times New Roman"/>
          <w:b/>
        </w:rPr>
      </w:pPr>
      <w:r>
        <w:rPr>
          <w:noProof/>
        </w:rPr>
        <w:drawing>
          <wp:inline distT="0" distB="0" distL="0" distR="0" wp14:anchorId="46F4C53B" wp14:editId="373F3FA7">
            <wp:extent cx="5687695" cy="3722523"/>
            <wp:effectExtent l="0" t="0" r="27305" b="11430"/>
            <wp:docPr id="1" name="Chart 1" descr="Figure 2: Number of patients initiating and prevalent to MBS Item 18377 (MBS service for injection of Botox for chronic migraine)" title="Figure 2: Number of patients initiating and prevalent to MBS Item 18377 (MBS service for injection of Botox for chronic migra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534B" w:rsidRPr="00F74FFD" w:rsidRDefault="0051534B" w:rsidP="00F74FFD">
      <w:pPr>
        <w:rPr>
          <w:rFonts w:eastAsia="MS Mincho"/>
          <w:b/>
        </w:rPr>
      </w:pPr>
      <w:r w:rsidRPr="00F74FFD">
        <w:rPr>
          <w:rFonts w:eastAsia="MS Mincho"/>
          <w:b/>
        </w:rPr>
        <w:t xml:space="preserve">Figure 2: Number of patients initiating and prevalent to MBS Item 18377 (MBS service for injection of </w:t>
      </w:r>
      <w:r w:rsidR="00276B3D" w:rsidRPr="00F74FFD">
        <w:rPr>
          <w:rFonts w:eastAsia="MS Mincho"/>
          <w:b/>
        </w:rPr>
        <w:t xml:space="preserve">Botox </w:t>
      </w:r>
      <w:r w:rsidRPr="00F74FFD">
        <w:rPr>
          <w:rFonts w:eastAsia="MS Mincho"/>
          <w:b/>
        </w:rPr>
        <w:t>for chronic migraine)</w:t>
      </w:r>
    </w:p>
    <w:p w:rsidR="00921DA0" w:rsidRDefault="00921DA0" w:rsidP="00F74FFD">
      <w:pPr>
        <w:rPr>
          <w:rFonts w:eastAsia="MS Mincho"/>
        </w:rPr>
      </w:pPr>
      <w:r>
        <w:rPr>
          <w:rFonts w:eastAsia="MS Mincho"/>
        </w:rPr>
        <w:t>The number of patients receiving their first MBS service for administration of botulinum toxin for chronic migraine (initiating patients) peaked soon after listing, li</w:t>
      </w:r>
      <w:r w:rsidR="00892A7D">
        <w:rPr>
          <w:rFonts w:eastAsia="MS Mincho"/>
        </w:rPr>
        <w:t>k</w:t>
      </w:r>
      <w:r>
        <w:rPr>
          <w:rFonts w:eastAsia="MS Mincho"/>
        </w:rPr>
        <w:t xml:space="preserve">ely </w:t>
      </w:r>
      <w:r w:rsidR="00892A7D">
        <w:rPr>
          <w:rFonts w:eastAsia="MS Mincho"/>
        </w:rPr>
        <w:t>due</w:t>
      </w:r>
      <w:r>
        <w:rPr>
          <w:rFonts w:eastAsia="MS Mincho"/>
        </w:rPr>
        <w:t xml:space="preserve"> to unmet need</w:t>
      </w:r>
      <w:r w:rsidR="006E41D3">
        <w:rPr>
          <w:rFonts w:eastAsia="MS Mincho"/>
        </w:rPr>
        <w:t xml:space="preserve"> in patients who had</w:t>
      </w:r>
      <w:r w:rsidR="00276B3D">
        <w:rPr>
          <w:rFonts w:eastAsia="MS Mincho"/>
        </w:rPr>
        <w:t xml:space="preserve"> failed other prophylactic medicines</w:t>
      </w:r>
      <w:r>
        <w:rPr>
          <w:rFonts w:eastAsia="MS Mincho"/>
        </w:rPr>
        <w:t xml:space="preserve"> and patients </w:t>
      </w:r>
      <w:r w:rsidR="00892A7D">
        <w:rPr>
          <w:rFonts w:eastAsia="MS Mincho"/>
        </w:rPr>
        <w:t xml:space="preserve">who were </w:t>
      </w:r>
      <w:r>
        <w:rPr>
          <w:rFonts w:eastAsia="MS Mincho"/>
        </w:rPr>
        <w:t xml:space="preserve">paying for botulinum toxin privately moving to PBS supply. The number of new patients has since </w:t>
      </w:r>
      <w:r w:rsidR="00892A7D">
        <w:rPr>
          <w:rFonts w:eastAsia="MS Mincho"/>
        </w:rPr>
        <w:t xml:space="preserve">been </w:t>
      </w:r>
      <w:r>
        <w:rPr>
          <w:rFonts w:eastAsia="MS Mincho"/>
        </w:rPr>
        <w:t>comparatively stable. Further data will be required to determine if the slight increase in the number of new patients in the third quarter of 2016 is sustained.</w:t>
      </w:r>
      <w:r w:rsidR="0051534B">
        <w:rPr>
          <w:rFonts w:eastAsia="MS Mincho"/>
        </w:rPr>
        <w:t xml:space="preserve"> The fourth quarter of </w:t>
      </w:r>
      <w:r w:rsidR="007F790C">
        <w:rPr>
          <w:rFonts w:eastAsia="MS Mincho"/>
        </w:rPr>
        <w:t xml:space="preserve">2016 is not shown as MBS data was only complete until the end of November 2016. </w:t>
      </w:r>
    </w:p>
    <w:p w:rsidR="00921DA0" w:rsidRDefault="00921DA0" w:rsidP="00F74FFD">
      <w:pPr>
        <w:rPr>
          <w:rFonts w:eastAsia="MS Mincho"/>
        </w:rPr>
      </w:pPr>
      <w:r>
        <w:rPr>
          <w:rFonts w:eastAsia="MS Mincho"/>
        </w:rPr>
        <w:t xml:space="preserve">The number of prevalent patients has increased strongly suggesting that many patients are continuing on therapy. This is investigated further later in this report. It is worthwhile noting that the number of prevalent patients treated in a quarter is likely to underestimate </w:t>
      </w:r>
      <w:r>
        <w:rPr>
          <w:rFonts w:eastAsia="MS Mincho"/>
        </w:rPr>
        <w:lastRenderedPageBreak/>
        <w:t>treated prevalence for a drug administered in 12 week cycles as time between treatments may be longer for some patients.</w:t>
      </w:r>
    </w:p>
    <w:p w:rsidR="00691019" w:rsidRPr="00B87CD5" w:rsidRDefault="00691019" w:rsidP="00691019">
      <w:pPr>
        <w:spacing w:before="240"/>
        <w:outlineLvl w:val="1"/>
        <w:rPr>
          <w:rFonts w:ascii="Calibri" w:eastAsia="MS Mincho" w:hAnsi="Calibri" w:cs="Times New Roman"/>
          <w:b/>
          <w:sz w:val="28"/>
        </w:rPr>
      </w:pPr>
      <w:r w:rsidRPr="00B87CD5">
        <w:rPr>
          <w:rFonts w:ascii="Calibri" w:eastAsia="MS Mincho" w:hAnsi="Calibri" w:cs="Times New Roman"/>
          <w:b/>
          <w:sz w:val="28"/>
        </w:rPr>
        <w:t>Analysis of predicted versus actual utilisation</w:t>
      </w:r>
    </w:p>
    <w:p w:rsidR="00691019" w:rsidRDefault="00691019" w:rsidP="00691019">
      <w:pPr>
        <w:rPr>
          <w:rFonts w:ascii="Calibri" w:eastAsia="MS Mincho" w:hAnsi="Calibri" w:cs="Times New Roman"/>
        </w:rPr>
      </w:pPr>
      <w:r w:rsidRPr="00B87CD5">
        <w:rPr>
          <w:rFonts w:ascii="Calibri" w:eastAsia="MS Mincho" w:hAnsi="Calibri" w:cs="Times New Roman"/>
        </w:rPr>
        <w:t xml:space="preserve">This analysis compares the predicted and actual use of </w:t>
      </w:r>
      <w:r>
        <w:rPr>
          <w:rFonts w:ascii="Calibri" w:eastAsia="MS Mincho" w:hAnsi="Calibri" w:cs="Times New Roman"/>
        </w:rPr>
        <w:t>botulinum toxin for the treatment of chronic migraine.</w:t>
      </w:r>
    </w:p>
    <w:p w:rsidR="003E4757" w:rsidRPr="00B87CD5" w:rsidRDefault="003E4757" w:rsidP="003E4757">
      <w:pPr>
        <w:widowControl w:val="0"/>
        <w:spacing w:after="0"/>
        <w:rPr>
          <w:rFonts w:ascii="Calibri" w:eastAsia="Times New Roman" w:hAnsi="Calibri" w:cs="Times New Roman"/>
          <w:b/>
          <w:iCs/>
          <w:snapToGrid w:val="0"/>
          <w:lang w:eastAsia="en-US"/>
        </w:rPr>
      </w:pPr>
      <w:r w:rsidRPr="00B87CD5">
        <w:rPr>
          <w:rFonts w:ascii="Calibri" w:eastAsia="Times New Roman" w:hAnsi="Calibri" w:cs="Times New Roman"/>
          <w:b/>
          <w:iCs/>
          <w:snapToGrid w:val="0"/>
          <w:lang w:eastAsia="en-US"/>
        </w:rPr>
        <w:t xml:space="preserve">Table </w:t>
      </w:r>
      <w:r w:rsidR="00A310B7">
        <w:rPr>
          <w:rFonts w:ascii="Calibri" w:eastAsia="Times New Roman" w:hAnsi="Calibri" w:cs="Times New Roman"/>
          <w:b/>
          <w:iCs/>
          <w:snapToGrid w:val="0"/>
          <w:lang w:eastAsia="en-US"/>
        </w:rPr>
        <w:t>4</w:t>
      </w:r>
      <w:r w:rsidRPr="00B87CD5">
        <w:rPr>
          <w:rFonts w:ascii="Calibri" w:eastAsia="Times New Roman" w:hAnsi="Calibri" w:cs="Times New Roman"/>
          <w:b/>
          <w:iCs/>
          <w:snapToGrid w:val="0"/>
          <w:lang w:eastAsia="en-US"/>
        </w:rPr>
        <w:t xml:space="preserve">: </w:t>
      </w:r>
      <w:r>
        <w:rPr>
          <w:rFonts w:ascii="Calibri" w:eastAsia="Times New Roman" w:hAnsi="Calibri" w:cs="Times New Roman"/>
          <w:b/>
          <w:iCs/>
          <w:snapToGrid w:val="0"/>
          <w:lang w:eastAsia="en-US"/>
        </w:rPr>
        <w:t>Predicted vs Actual analysis</w:t>
      </w:r>
    </w:p>
    <w:tbl>
      <w:tblPr>
        <w:tblW w:w="9143" w:type="dxa"/>
        <w:tblInd w:w="93" w:type="dxa"/>
        <w:tblLayout w:type="fixed"/>
        <w:tblLook w:val="04A0" w:firstRow="1" w:lastRow="0" w:firstColumn="1" w:lastColumn="0" w:noHBand="0" w:noVBand="1"/>
        <w:tblCaption w:val="Table 4: Predicted versus actual analysis results"/>
        <w:tblDescription w:val="Table showing the predicted versus acutal utilisation of botulinum for the treatment of migraine."/>
      </w:tblPr>
      <w:tblGrid>
        <w:gridCol w:w="2604"/>
        <w:gridCol w:w="1806"/>
        <w:gridCol w:w="1559"/>
        <w:gridCol w:w="1587"/>
        <w:gridCol w:w="1587"/>
      </w:tblGrid>
      <w:tr w:rsidR="007218B2" w:rsidRPr="003E4757" w:rsidTr="00AF7BBD">
        <w:trPr>
          <w:trHeight w:val="315"/>
        </w:trPr>
        <w:tc>
          <w:tcPr>
            <w:tcW w:w="260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7218B2" w:rsidRPr="003E4757" w:rsidRDefault="007218B2" w:rsidP="003E4757">
            <w:pPr>
              <w:spacing w:after="0"/>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 </w:t>
            </w:r>
          </w:p>
        </w:tc>
        <w:tc>
          <w:tcPr>
            <w:tcW w:w="180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7218B2" w:rsidRPr="003E4757" w:rsidRDefault="007218B2" w:rsidP="003E4757">
            <w:pPr>
              <w:spacing w:after="0"/>
              <w:rPr>
                <w:rFonts w:ascii="Calibri" w:eastAsia="Times New Roman" w:hAnsi="Calibri" w:cs="Times New Roman"/>
                <w:b/>
                <w:bCs/>
                <w:color w:val="000000"/>
                <w:sz w:val="20"/>
                <w:szCs w:val="20"/>
              </w:rPr>
            </w:pPr>
            <w:r w:rsidRPr="003E4757">
              <w:rPr>
                <w:rFonts w:ascii="Calibri" w:eastAsia="Times New Roman" w:hAnsi="Calibri" w:cs="Times New Roman"/>
                <w:b/>
                <w:bCs/>
                <w:color w:val="000000"/>
                <w:sz w:val="20"/>
                <w:szCs w:val="20"/>
              </w:rPr>
              <w:t> </w:t>
            </w:r>
          </w:p>
        </w:tc>
        <w:tc>
          <w:tcPr>
            <w:tcW w:w="1559" w:type="dxa"/>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7218B2" w:rsidRPr="003E4757" w:rsidRDefault="007218B2" w:rsidP="003E4757">
            <w:pPr>
              <w:spacing w:after="0"/>
              <w:jc w:val="center"/>
              <w:rPr>
                <w:rFonts w:ascii="Calibri" w:eastAsia="Times New Roman" w:hAnsi="Calibri" w:cs="Times New Roman"/>
                <w:b/>
                <w:bCs/>
                <w:color w:val="000000"/>
                <w:sz w:val="20"/>
                <w:szCs w:val="20"/>
              </w:rPr>
            </w:pPr>
            <w:r w:rsidRPr="003E4757">
              <w:rPr>
                <w:rFonts w:ascii="Calibri" w:eastAsia="Times New Roman" w:hAnsi="Calibri" w:cs="Times New Roman"/>
                <w:b/>
                <w:bCs/>
                <w:color w:val="000000"/>
                <w:sz w:val="20"/>
                <w:szCs w:val="20"/>
              </w:rPr>
              <w:t>Year1</w:t>
            </w:r>
          </w:p>
        </w:tc>
        <w:tc>
          <w:tcPr>
            <w:tcW w:w="1587" w:type="dxa"/>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7218B2" w:rsidRPr="003E4757" w:rsidRDefault="007218B2" w:rsidP="003E4757">
            <w:pPr>
              <w:spacing w:after="0"/>
              <w:jc w:val="center"/>
              <w:rPr>
                <w:rFonts w:ascii="Calibri" w:eastAsia="Times New Roman" w:hAnsi="Calibri" w:cs="Times New Roman"/>
                <w:b/>
                <w:bCs/>
                <w:color w:val="000000"/>
                <w:sz w:val="20"/>
                <w:szCs w:val="20"/>
              </w:rPr>
            </w:pPr>
            <w:r w:rsidRPr="003E4757">
              <w:rPr>
                <w:rFonts w:ascii="Calibri" w:eastAsia="Times New Roman" w:hAnsi="Calibri" w:cs="Times New Roman"/>
                <w:b/>
                <w:bCs/>
                <w:color w:val="000000"/>
                <w:sz w:val="20"/>
                <w:szCs w:val="20"/>
              </w:rPr>
              <w:t>Year 2</w:t>
            </w:r>
          </w:p>
        </w:tc>
        <w:tc>
          <w:tcPr>
            <w:tcW w:w="1587" w:type="dxa"/>
            <w:tcBorders>
              <w:top w:val="single" w:sz="8" w:space="0" w:color="auto"/>
              <w:left w:val="single" w:sz="8" w:space="0" w:color="auto"/>
              <w:bottom w:val="single" w:sz="8" w:space="0" w:color="000000"/>
              <w:right w:val="single" w:sz="4" w:space="0" w:color="auto"/>
            </w:tcBorders>
            <w:shd w:val="clear" w:color="000000" w:fill="BFBFBF"/>
            <w:noWrap/>
            <w:vAlign w:val="center"/>
            <w:hideMark/>
          </w:tcPr>
          <w:p w:rsidR="007218B2" w:rsidRPr="003E4757" w:rsidRDefault="007218B2" w:rsidP="003E4757">
            <w:pPr>
              <w:spacing w:after="0"/>
              <w:jc w:val="center"/>
              <w:rPr>
                <w:rFonts w:ascii="Calibri" w:eastAsia="Times New Roman" w:hAnsi="Calibri" w:cs="Times New Roman"/>
                <w:b/>
                <w:bCs/>
                <w:color w:val="000000"/>
                <w:sz w:val="20"/>
                <w:szCs w:val="20"/>
              </w:rPr>
            </w:pPr>
            <w:r w:rsidRPr="003E4757">
              <w:rPr>
                <w:rFonts w:ascii="Calibri" w:eastAsia="Times New Roman" w:hAnsi="Calibri" w:cs="Times New Roman"/>
                <w:b/>
                <w:bCs/>
                <w:color w:val="000000"/>
                <w:sz w:val="20"/>
                <w:szCs w:val="20"/>
              </w:rPr>
              <w:t>Year 3</w:t>
            </w:r>
          </w:p>
        </w:tc>
      </w:tr>
      <w:tr w:rsidR="007218B2" w:rsidRPr="003E4757" w:rsidTr="00AF7BBD">
        <w:trPr>
          <w:trHeight w:val="330"/>
        </w:trPr>
        <w:tc>
          <w:tcPr>
            <w:tcW w:w="2604" w:type="dxa"/>
            <w:vMerge/>
            <w:tcBorders>
              <w:top w:val="single" w:sz="8" w:space="0" w:color="auto"/>
              <w:left w:val="single" w:sz="8" w:space="0" w:color="auto"/>
              <w:bottom w:val="single" w:sz="4" w:space="0" w:color="auto"/>
              <w:right w:val="single" w:sz="8" w:space="0" w:color="auto"/>
            </w:tcBorders>
            <w:vAlign w:val="center"/>
            <w:hideMark/>
          </w:tcPr>
          <w:p w:rsidR="007218B2" w:rsidRPr="003E4757" w:rsidRDefault="007218B2" w:rsidP="003E4757">
            <w:pPr>
              <w:spacing w:after="0"/>
              <w:rPr>
                <w:rFonts w:ascii="Calibri" w:eastAsia="Times New Roman" w:hAnsi="Calibri" w:cs="Times New Roman"/>
                <w:color w:val="000000"/>
                <w:sz w:val="20"/>
                <w:szCs w:val="20"/>
              </w:rPr>
            </w:pPr>
          </w:p>
        </w:tc>
        <w:tc>
          <w:tcPr>
            <w:tcW w:w="1806" w:type="dxa"/>
            <w:vMerge/>
            <w:tcBorders>
              <w:top w:val="single" w:sz="8" w:space="0" w:color="auto"/>
              <w:left w:val="single" w:sz="8" w:space="0" w:color="auto"/>
              <w:bottom w:val="single" w:sz="8" w:space="0" w:color="000000"/>
              <w:right w:val="single" w:sz="8" w:space="0" w:color="auto"/>
            </w:tcBorders>
            <w:vAlign w:val="center"/>
            <w:hideMark/>
          </w:tcPr>
          <w:p w:rsidR="007218B2" w:rsidRPr="003E4757" w:rsidRDefault="007218B2" w:rsidP="003E4757">
            <w:pPr>
              <w:spacing w:after="0"/>
              <w:rPr>
                <w:rFonts w:ascii="Calibri" w:eastAsia="Times New Roman" w:hAnsi="Calibri" w:cs="Times New Roman"/>
                <w:b/>
                <w:bCs/>
                <w:color w:val="000000"/>
                <w:sz w:val="20"/>
                <w:szCs w:val="20"/>
              </w:rPr>
            </w:pPr>
          </w:p>
        </w:tc>
        <w:tc>
          <w:tcPr>
            <w:tcW w:w="1559" w:type="dxa"/>
            <w:tcBorders>
              <w:top w:val="nil"/>
              <w:left w:val="nil"/>
              <w:bottom w:val="single" w:sz="8" w:space="0" w:color="auto"/>
              <w:right w:val="single" w:sz="8" w:space="0" w:color="auto"/>
            </w:tcBorders>
            <w:shd w:val="clear" w:color="000000" w:fill="BFBFBF"/>
            <w:noWrap/>
            <w:vAlign w:val="center"/>
            <w:hideMark/>
          </w:tcPr>
          <w:p w:rsidR="007218B2" w:rsidRPr="003E4757" w:rsidRDefault="007218B2" w:rsidP="003E4757">
            <w:pPr>
              <w:spacing w:after="0"/>
              <w:rPr>
                <w:rFonts w:ascii="Calibri" w:eastAsia="Times New Roman" w:hAnsi="Calibri" w:cs="Times New Roman"/>
                <w:b/>
                <w:bCs/>
                <w:color w:val="000000"/>
                <w:sz w:val="20"/>
                <w:szCs w:val="20"/>
              </w:rPr>
            </w:pPr>
            <w:r w:rsidRPr="003E4757">
              <w:rPr>
                <w:rFonts w:ascii="Calibri" w:eastAsia="Times New Roman" w:hAnsi="Calibri" w:cs="Times New Roman"/>
                <w:b/>
                <w:bCs/>
                <w:color w:val="000000"/>
                <w:sz w:val="20"/>
                <w:szCs w:val="20"/>
              </w:rPr>
              <w:t>Mar14 to Feb15</w:t>
            </w:r>
          </w:p>
        </w:tc>
        <w:tc>
          <w:tcPr>
            <w:tcW w:w="1587" w:type="dxa"/>
            <w:tcBorders>
              <w:top w:val="nil"/>
              <w:left w:val="nil"/>
              <w:bottom w:val="single" w:sz="8" w:space="0" w:color="auto"/>
              <w:right w:val="single" w:sz="8" w:space="0" w:color="auto"/>
            </w:tcBorders>
            <w:shd w:val="clear" w:color="000000" w:fill="BFBFBF"/>
            <w:noWrap/>
            <w:vAlign w:val="center"/>
            <w:hideMark/>
          </w:tcPr>
          <w:p w:rsidR="007218B2" w:rsidRPr="003E4757" w:rsidRDefault="007218B2" w:rsidP="003E4757">
            <w:pPr>
              <w:spacing w:after="0"/>
              <w:jc w:val="center"/>
              <w:rPr>
                <w:rFonts w:ascii="Calibri" w:eastAsia="Times New Roman" w:hAnsi="Calibri" w:cs="Times New Roman"/>
                <w:b/>
                <w:bCs/>
                <w:color w:val="000000"/>
                <w:sz w:val="20"/>
                <w:szCs w:val="20"/>
              </w:rPr>
            </w:pPr>
            <w:r w:rsidRPr="003E4757">
              <w:rPr>
                <w:rFonts w:ascii="Calibri" w:eastAsia="Times New Roman" w:hAnsi="Calibri" w:cs="Times New Roman"/>
                <w:b/>
                <w:bCs/>
                <w:color w:val="000000"/>
                <w:sz w:val="20"/>
                <w:szCs w:val="20"/>
              </w:rPr>
              <w:t>Mar15 to Feb16</w:t>
            </w:r>
          </w:p>
        </w:tc>
        <w:tc>
          <w:tcPr>
            <w:tcW w:w="1587" w:type="dxa"/>
            <w:tcBorders>
              <w:top w:val="nil"/>
              <w:left w:val="nil"/>
              <w:bottom w:val="single" w:sz="8" w:space="0" w:color="auto"/>
              <w:right w:val="single" w:sz="8" w:space="0" w:color="auto"/>
            </w:tcBorders>
            <w:shd w:val="clear" w:color="000000" w:fill="BFBFBF"/>
            <w:noWrap/>
            <w:vAlign w:val="center"/>
            <w:hideMark/>
          </w:tcPr>
          <w:p w:rsidR="007218B2" w:rsidRPr="003E4757" w:rsidRDefault="007218B2" w:rsidP="003E4757">
            <w:pPr>
              <w:spacing w:after="0"/>
              <w:jc w:val="center"/>
              <w:rPr>
                <w:rFonts w:ascii="Calibri" w:eastAsia="Times New Roman" w:hAnsi="Calibri" w:cs="Times New Roman"/>
                <w:b/>
                <w:bCs/>
                <w:color w:val="000000"/>
                <w:sz w:val="20"/>
                <w:szCs w:val="20"/>
              </w:rPr>
            </w:pPr>
            <w:r w:rsidRPr="003E4757">
              <w:rPr>
                <w:rFonts w:ascii="Calibri" w:eastAsia="Times New Roman" w:hAnsi="Calibri" w:cs="Times New Roman"/>
                <w:b/>
                <w:bCs/>
                <w:color w:val="000000"/>
                <w:sz w:val="20"/>
                <w:szCs w:val="20"/>
              </w:rPr>
              <w:t>Mar16 to Feb17</w:t>
            </w:r>
          </w:p>
        </w:tc>
      </w:tr>
      <w:tr w:rsidR="00C52AF3" w:rsidRPr="00930414" w:rsidTr="00AF7BBD">
        <w:trPr>
          <w:trHeight w:val="330"/>
        </w:trPr>
        <w:tc>
          <w:tcPr>
            <w:tcW w:w="2604" w:type="dxa"/>
            <w:vMerge w:val="restart"/>
            <w:tcBorders>
              <w:top w:val="single" w:sz="4" w:space="0" w:color="auto"/>
              <w:left w:val="single" w:sz="4" w:space="0" w:color="auto"/>
              <w:right w:val="single" w:sz="4" w:space="0" w:color="auto"/>
            </w:tcBorders>
            <w:shd w:val="clear" w:color="auto" w:fill="auto"/>
            <w:noWrap/>
            <w:vAlign w:val="center"/>
          </w:tcPr>
          <w:p w:rsidR="00C52AF3" w:rsidRPr="00EA531B" w:rsidRDefault="00C52AF3" w:rsidP="00813757">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Initiating patients</w:t>
            </w:r>
          </w:p>
        </w:tc>
        <w:tc>
          <w:tcPr>
            <w:tcW w:w="1806" w:type="dxa"/>
            <w:tcBorders>
              <w:top w:val="nil"/>
              <w:left w:val="single" w:sz="4" w:space="0" w:color="auto"/>
              <w:bottom w:val="single" w:sz="8" w:space="0" w:color="auto"/>
              <w:right w:val="single" w:sz="8" w:space="0" w:color="auto"/>
            </w:tcBorders>
            <w:shd w:val="clear" w:color="auto" w:fill="auto"/>
            <w:vAlign w:val="center"/>
          </w:tcPr>
          <w:p w:rsidR="00C52AF3" w:rsidRPr="00EA531B" w:rsidRDefault="00C52AF3" w:rsidP="00923C64">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Predicted (P)</w:t>
            </w:r>
          </w:p>
        </w:tc>
        <w:tc>
          <w:tcPr>
            <w:tcW w:w="1559" w:type="dxa"/>
            <w:tcBorders>
              <w:top w:val="nil"/>
              <w:left w:val="nil"/>
              <w:bottom w:val="single" w:sz="8" w:space="0" w:color="auto"/>
              <w:right w:val="single" w:sz="8" w:space="0" w:color="auto"/>
            </w:tcBorders>
            <w:shd w:val="clear" w:color="auto" w:fill="auto"/>
            <w:vAlign w:val="center"/>
          </w:tcPr>
          <w:p w:rsidR="00C52AF3" w:rsidRPr="00073AF2" w:rsidRDefault="00073AF2" w:rsidP="00923C64">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587" w:type="dxa"/>
            <w:tcBorders>
              <w:top w:val="nil"/>
              <w:left w:val="nil"/>
              <w:bottom w:val="single" w:sz="8" w:space="0" w:color="auto"/>
              <w:right w:val="single" w:sz="8" w:space="0" w:color="auto"/>
            </w:tcBorders>
            <w:shd w:val="clear" w:color="auto" w:fill="auto"/>
            <w:vAlign w:val="center"/>
          </w:tcPr>
          <w:p w:rsidR="00C52AF3" w:rsidRPr="00073AF2" w:rsidRDefault="00073AF2" w:rsidP="00923C64">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587" w:type="dxa"/>
            <w:tcBorders>
              <w:top w:val="nil"/>
              <w:left w:val="nil"/>
              <w:bottom w:val="single" w:sz="8" w:space="0" w:color="auto"/>
              <w:right w:val="single" w:sz="8" w:space="0" w:color="auto"/>
            </w:tcBorders>
            <w:shd w:val="clear" w:color="auto" w:fill="auto"/>
            <w:vAlign w:val="center"/>
          </w:tcPr>
          <w:p w:rsidR="00C52AF3" w:rsidRPr="00073AF2" w:rsidRDefault="00073AF2" w:rsidP="00923C64">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C52AF3" w:rsidRPr="00930414" w:rsidTr="00AF7BBD">
        <w:trPr>
          <w:trHeight w:val="330"/>
        </w:trPr>
        <w:tc>
          <w:tcPr>
            <w:tcW w:w="2604" w:type="dxa"/>
            <w:vMerge/>
            <w:tcBorders>
              <w:left w:val="single" w:sz="4" w:space="0" w:color="auto"/>
              <w:right w:val="single" w:sz="4" w:space="0" w:color="auto"/>
            </w:tcBorders>
            <w:shd w:val="clear" w:color="auto" w:fill="auto"/>
            <w:noWrap/>
            <w:vAlign w:val="center"/>
          </w:tcPr>
          <w:p w:rsidR="00C52AF3" w:rsidRPr="00EA531B" w:rsidRDefault="00C52AF3" w:rsidP="00923C64">
            <w:pPr>
              <w:spacing w:after="0"/>
              <w:rPr>
                <w:rFonts w:ascii="Calibri" w:eastAsia="Times New Roman" w:hAnsi="Calibri" w:cs="Times New Roman"/>
                <w:color w:val="000000"/>
                <w:sz w:val="20"/>
                <w:szCs w:val="18"/>
              </w:rPr>
            </w:pPr>
          </w:p>
        </w:tc>
        <w:tc>
          <w:tcPr>
            <w:tcW w:w="1806" w:type="dxa"/>
            <w:tcBorders>
              <w:top w:val="nil"/>
              <w:left w:val="single" w:sz="4" w:space="0" w:color="auto"/>
              <w:bottom w:val="single" w:sz="8" w:space="0" w:color="auto"/>
              <w:right w:val="single" w:sz="8" w:space="0" w:color="auto"/>
            </w:tcBorders>
            <w:shd w:val="clear" w:color="auto" w:fill="auto"/>
            <w:vAlign w:val="center"/>
          </w:tcPr>
          <w:p w:rsidR="00C52AF3" w:rsidRPr="00EA531B" w:rsidRDefault="00C52AF3" w:rsidP="00923C64">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Actual (A)</w:t>
            </w:r>
            <w:r w:rsidRPr="00EA531B">
              <w:rPr>
                <w:rFonts w:ascii="Calibri" w:eastAsia="Times New Roman" w:hAnsi="Calibri" w:cs="Times New Roman"/>
                <w:color w:val="000000"/>
                <w:sz w:val="20"/>
                <w:szCs w:val="18"/>
                <w:vertAlign w:val="superscript"/>
              </w:rPr>
              <w:t>a</w:t>
            </w:r>
          </w:p>
        </w:tc>
        <w:tc>
          <w:tcPr>
            <w:tcW w:w="1559" w:type="dxa"/>
            <w:tcBorders>
              <w:top w:val="nil"/>
              <w:left w:val="nil"/>
              <w:bottom w:val="single" w:sz="8" w:space="0" w:color="auto"/>
              <w:right w:val="single" w:sz="8" w:space="0" w:color="auto"/>
            </w:tcBorders>
            <w:shd w:val="clear" w:color="auto" w:fill="auto"/>
            <w:vAlign w:val="center"/>
          </w:tcPr>
          <w:p w:rsidR="00C52AF3" w:rsidRPr="00930414" w:rsidRDefault="00C52AF3" w:rsidP="00923C64">
            <w:pPr>
              <w:spacing w:after="0"/>
              <w:jc w:val="center"/>
              <w:rPr>
                <w:rFonts w:ascii="Calibri" w:eastAsia="Times New Roman" w:hAnsi="Calibri" w:cs="Times New Roman"/>
                <w:color w:val="000000"/>
                <w:sz w:val="20"/>
                <w:szCs w:val="20"/>
              </w:rPr>
            </w:pPr>
            <w:r w:rsidRPr="00930414">
              <w:rPr>
                <w:rFonts w:ascii="Calibri" w:eastAsia="Times New Roman" w:hAnsi="Calibri" w:cs="Times New Roman"/>
                <w:color w:val="000000"/>
                <w:sz w:val="20"/>
                <w:szCs w:val="20"/>
              </w:rPr>
              <w:t>3,517</w:t>
            </w:r>
          </w:p>
        </w:tc>
        <w:tc>
          <w:tcPr>
            <w:tcW w:w="1587" w:type="dxa"/>
            <w:tcBorders>
              <w:top w:val="nil"/>
              <w:left w:val="nil"/>
              <w:bottom w:val="single" w:sz="8" w:space="0" w:color="auto"/>
              <w:right w:val="single" w:sz="8" w:space="0" w:color="auto"/>
            </w:tcBorders>
            <w:shd w:val="clear" w:color="auto" w:fill="auto"/>
            <w:vAlign w:val="center"/>
          </w:tcPr>
          <w:p w:rsidR="00C52AF3" w:rsidRPr="00930414" w:rsidRDefault="00C52AF3" w:rsidP="00923C64">
            <w:pPr>
              <w:spacing w:after="0"/>
              <w:jc w:val="center"/>
              <w:rPr>
                <w:rFonts w:ascii="Calibri" w:eastAsia="Times New Roman" w:hAnsi="Calibri" w:cs="Times New Roman"/>
                <w:color w:val="000000"/>
                <w:sz w:val="20"/>
                <w:szCs w:val="20"/>
              </w:rPr>
            </w:pPr>
            <w:r w:rsidRPr="00930414">
              <w:rPr>
                <w:rFonts w:ascii="Calibri" w:eastAsia="Times New Roman" w:hAnsi="Calibri" w:cs="Times New Roman"/>
                <w:color w:val="000000"/>
                <w:sz w:val="20"/>
                <w:szCs w:val="20"/>
              </w:rPr>
              <w:t>2,881</w:t>
            </w:r>
          </w:p>
        </w:tc>
        <w:tc>
          <w:tcPr>
            <w:tcW w:w="1587" w:type="dxa"/>
            <w:tcBorders>
              <w:top w:val="nil"/>
              <w:left w:val="nil"/>
              <w:bottom w:val="single" w:sz="8" w:space="0" w:color="auto"/>
              <w:right w:val="single" w:sz="8" w:space="0" w:color="auto"/>
            </w:tcBorders>
            <w:shd w:val="clear" w:color="auto" w:fill="auto"/>
            <w:vAlign w:val="center"/>
          </w:tcPr>
          <w:p w:rsidR="00C52AF3" w:rsidRPr="00930414" w:rsidRDefault="00C52AF3" w:rsidP="00C52AF3">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2,524 (YTD)**</w:t>
            </w:r>
          </w:p>
        </w:tc>
      </w:tr>
      <w:tr w:rsidR="00C52AF3" w:rsidRPr="00930414" w:rsidTr="00AF7BBD">
        <w:trPr>
          <w:trHeight w:val="330"/>
        </w:trPr>
        <w:tc>
          <w:tcPr>
            <w:tcW w:w="2604" w:type="dxa"/>
            <w:vMerge/>
            <w:tcBorders>
              <w:left w:val="single" w:sz="4" w:space="0" w:color="auto"/>
              <w:bottom w:val="single" w:sz="4" w:space="0" w:color="auto"/>
              <w:right w:val="single" w:sz="4" w:space="0" w:color="auto"/>
            </w:tcBorders>
            <w:shd w:val="clear" w:color="auto" w:fill="auto"/>
            <w:noWrap/>
            <w:vAlign w:val="center"/>
          </w:tcPr>
          <w:p w:rsidR="00C52AF3" w:rsidRPr="00EA531B" w:rsidRDefault="00C52AF3" w:rsidP="00923C64">
            <w:pPr>
              <w:spacing w:after="0"/>
              <w:rPr>
                <w:rFonts w:ascii="Calibri" w:eastAsia="Times New Roman" w:hAnsi="Calibri" w:cs="Times New Roman"/>
                <w:color w:val="000000"/>
                <w:sz w:val="20"/>
                <w:szCs w:val="18"/>
              </w:rPr>
            </w:pPr>
          </w:p>
        </w:tc>
        <w:tc>
          <w:tcPr>
            <w:tcW w:w="1806" w:type="dxa"/>
            <w:tcBorders>
              <w:top w:val="nil"/>
              <w:left w:val="single" w:sz="4" w:space="0" w:color="auto"/>
              <w:bottom w:val="single" w:sz="8" w:space="0" w:color="auto"/>
              <w:right w:val="single" w:sz="8" w:space="0" w:color="auto"/>
            </w:tcBorders>
            <w:shd w:val="clear" w:color="auto" w:fill="auto"/>
            <w:vAlign w:val="center"/>
          </w:tcPr>
          <w:p w:rsidR="00C52AF3" w:rsidRPr="00EA531B" w:rsidRDefault="00C52AF3" w:rsidP="00923C64">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 Difference (A-P)/P</w:t>
            </w:r>
          </w:p>
        </w:tc>
        <w:tc>
          <w:tcPr>
            <w:tcW w:w="1559" w:type="dxa"/>
            <w:tcBorders>
              <w:top w:val="nil"/>
              <w:left w:val="nil"/>
              <w:bottom w:val="single" w:sz="8" w:space="0" w:color="auto"/>
              <w:right w:val="single" w:sz="8" w:space="0" w:color="auto"/>
            </w:tcBorders>
            <w:shd w:val="clear" w:color="auto" w:fill="auto"/>
            <w:vAlign w:val="center"/>
          </w:tcPr>
          <w:p w:rsidR="00C52AF3" w:rsidRPr="00073AF2" w:rsidRDefault="00073AF2" w:rsidP="00923C64">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587" w:type="dxa"/>
            <w:tcBorders>
              <w:top w:val="nil"/>
              <w:left w:val="nil"/>
              <w:bottom w:val="single" w:sz="8" w:space="0" w:color="auto"/>
              <w:right w:val="single" w:sz="8" w:space="0" w:color="auto"/>
            </w:tcBorders>
            <w:shd w:val="clear" w:color="auto" w:fill="auto"/>
            <w:vAlign w:val="center"/>
          </w:tcPr>
          <w:p w:rsidR="00C52AF3" w:rsidRPr="00073AF2" w:rsidRDefault="00073AF2" w:rsidP="00923C64">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587" w:type="dxa"/>
            <w:tcBorders>
              <w:top w:val="nil"/>
              <w:left w:val="nil"/>
              <w:bottom w:val="single" w:sz="8" w:space="0" w:color="auto"/>
              <w:right w:val="single" w:sz="8" w:space="0" w:color="auto"/>
            </w:tcBorders>
            <w:shd w:val="clear" w:color="auto" w:fill="auto"/>
            <w:vAlign w:val="center"/>
          </w:tcPr>
          <w:p w:rsidR="00C52AF3" w:rsidRPr="00073AF2" w:rsidRDefault="00073AF2" w:rsidP="00923C64">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7218B2" w:rsidRPr="00930414" w:rsidTr="00AF7BBD">
        <w:trPr>
          <w:trHeight w:val="330"/>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8B2" w:rsidRPr="00EA531B" w:rsidRDefault="007218B2" w:rsidP="00923C64">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Prevalent patients</w:t>
            </w:r>
            <w:r w:rsidRPr="00EA531B">
              <w:rPr>
                <w:rFonts w:ascii="Calibri" w:eastAsia="Times New Roman" w:hAnsi="Calibri" w:cs="Times New Roman"/>
                <w:color w:val="000000"/>
                <w:sz w:val="20"/>
                <w:szCs w:val="18"/>
                <w:vertAlign w:val="superscript"/>
              </w:rPr>
              <w:t>#</w:t>
            </w:r>
          </w:p>
        </w:tc>
        <w:tc>
          <w:tcPr>
            <w:tcW w:w="1806" w:type="dxa"/>
            <w:tcBorders>
              <w:top w:val="nil"/>
              <w:left w:val="single" w:sz="4" w:space="0" w:color="auto"/>
              <w:bottom w:val="single" w:sz="8" w:space="0" w:color="auto"/>
              <w:right w:val="single" w:sz="8" w:space="0" w:color="auto"/>
            </w:tcBorders>
            <w:shd w:val="clear" w:color="auto" w:fill="auto"/>
            <w:vAlign w:val="center"/>
          </w:tcPr>
          <w:p w:rsidR="007218B2" w:rsidRPr="00EA531B" w:rsidRDefault="007218B2" w:rsidP="00923C64">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Actual (A)</w:t>
            </w:r>
            <w:r w:rsidRPr="00EA531B">
              <w:rPr>
                <w:rFonts w:ascii="Calibri" w:eastAsia="Times New Roman" w:hAnsi="Calibri" w:cs="Times New Roman"/>
                <w:color w:val="000000"/>
                <w:sz w:val="20"/>
                <w:szCs w:val="18"/>
                <w:vertAlign w:val="superscript"/>
              </w:rPr>
              <w:t>a</w:t>
            </w:r>
          </w:p>
        </w:tc>
        <w:tc>
          <w:tcPr>
            <w:tcW w:w="1559" w:type="dxa"/>
            <w:tcBorders>
              <w:top w:val="nil"/>
              <w:left w:val="nil"/>
              <w:bottom w:val="single" w:sz="8" w:space="0" w:color="auto"/>
              <w:right w:val="single" w:sz="8" w:space="0" w:color="auto"/>
            </w:tcBorders>
            <w:shd w:val="clear" w:color="auto" w:fill="auto"/>
            <w:vAlign w:val="center"/>
          </w:tcPr>
          <w:p w:rsidR="007218B2" w:rsidRPr="00930414" w:rsidRDefault="007218B2" w:rsidP="00923C64">
            <w:pPr>
              <w:spacing w:after="0"/>
              <w:jc w:val="center"/>
              <w:rPr>
                <w:rFonts w:ascii="Calibri" w:eastAsia="Times New Roman" w:hAnsi="Calibri" w:cs="Times New Roman"/>
                <w:color w:val="000000"/>
                <w:sz w:val="20"/>
                <w:szCs w:val="20"/>
              </w:rPr>
            </w:pPr>
            <w:r w:rsidRPr="00930414">
              <w:rPr>
                <w:rFonts w:ascii="Calibri" w:eastAsia="Times New Roman" w:hAnsi="Calibri" w:cs="Times New Roman"/>
                <w:color w:val="000000"/>
                <w:sz w:val="20"/>
                <w:szCs w:val="20"/>
              </w:rPr>
              <w:t>3,517</w:t>
            </w:r>
          </w:p>
        </w:tc>
        <w:tc>
          <w:tcPr>
            <w:tcW w:w="1587" w:type="dxa"/>
            <w:tcBorders>
              <w:top w:val="nil"/>
              <w:left w:val="nil"/>
              <w:bottom w:val="single" w:sz="8" w:space="0" w:color="auto"/>
              <w:right w:val="single" w:sz="8" w:space="0" w:color="auto"/>
            </w:tcBorders>
            <w:shd w:val="clear" w:color="auto" w:fill="auto"/>
            <w:vAlign w:val="center"/>
          </w:tcPr>
          <w:p w:rsidR="007218B2" w:rsidRPr="00930414" w:rsidRDefault="007218B2" w:rsidP="00923C64">
            <w:pPr>
              <w:spacing w:after="0"/>
              <w:jc w:val="center"/>
              <w:rPr>
                <w:rFonts w:ascii="Calibri" w:eastAsia="Times New Roman" w:hAnsi="Calibri" w:cs="Times New Roman"/>
                <w:color w:val="000000"/>
                <w:sz w:val="20"/>
                <w:szCs w:val="20"/>
              </w:rPr>
            </w:pPr>
            <w:r w:rsidRPr="00930414">
              <w:rPr>
                <w:rFonts w:ascii="Calibri" w:eastAsia="Times New Roman" w:hAnsi="Calibri" w:cs="Times New Roman"/>
                <w:color w:val="000000"/>
                <w:sz w:val="20"/>
                <w:szCs w:val="20"/>
              </w:rPr>
              <w:t>5,444</w:t>
            </w:r>
          </w:p>
        </w:tc>
        <w:tc>
          <w:tcPr>
            <w:tcW w:w="1587" w:type="dxa"/>
            <w:tcBorders>
              <w:top w:val="nil"/>
              <w:left w:val="nil"/>
              <w:bottom w:val="single" w:sz="8" w:space="0" w:color="auto"/>
              <w:right w:val="single" w:sz="8" w:space="0" w:color="auto"/>
            </w:tcBorders>
            <w:shd w:val="clear" w:color="auto" w:fill="auto"/>
            <w:vAlign w:val="center"/>
          </w:tcPr>
          <w:p w:rsidR="007218B2" w:rsidRPr="00930414" w:rsidRDefault="007218B2" w:rsidP="00923C64">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6,542 (YTD)**</w:t>
            </w:r>
          </w:p>
        </w:tc>
      </w:tr>
      <w:tr w:rsidR="00C52AF3" w:rsidRPr="003E4757" w:rsidTr="00AF7BBD">
        <w:trPr>
          <w:trHeight w:val="330"/>
        </w:trPr>
        <w:tc>
          <w:tcPr>
            <w:tcW w:w="26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AF3" w:rsidRPr="00EA531B" w:rsidRDefault="00C52AF3">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Number of PBS treatments</w:t>
            </w:r>
            <w:r w:rsidR="00BB40E7" w:rsidRPr="00EA531B">
              <w:rPr>
                <w:rFonts w:ascii="Calibri" w:eastAsia="Times New Roman" w:hAnsi="Calibri" w:cs="Times New Roman"/>
                <w:color w:val="000000"/>
                <w:sz w:val="20"/>
                <w:szCs w:val="18"/>
              </w:rPr>
              <w:t> </w:t>
            </w:r>
            <w:r w:rsidRPr="00EA531B">
              <w:rPr>
                <w:rFonts w:ascii="Calibri" w:eastAsia="Times New Roman" w:hAnsi="Calibri" w:cs="Times New Roman"/>
                <w:color w:val="000000"/>
                <w:sz w:val="20"/>
                <w:szCs w:val="18"/>
              </w:rPr>
              <w:t>/</w:t>
            </w:r>
            <w:r w:rsidR="00BB40E7" w:rsidRPr="00EA531B">
              <w:rPr>
                <w:rFonts w:ascii="Calibri" w:eastAsia="Times New Roman" w:hAnsi="Calibri" w:cs="Times New Roman"/>
                <w:color w:val="000000"/>
                <w:sz w:val="20"/>
                <w:szCs w:val="18"/>
              </w:rPr>
              <w:t> </w:t>
            </w:r>
            <w:r w:rsidRPr="00EA531B">
              <w:rPr>
                <w:rFonts w:ascii="Calibri" w:eastAsia="Times New Roman" w:hAnsi="Calibri" w:cs="Times New Roman"/>
                <w:color w:val="000000"/>
                <w:sz w:val="20"/>
                <w:szCs w:val="18"/>
              </w:rPr>
              <w:t>prescriptions (inc</w:t>
            </w:r>
            <w:r w:rsidR="00BB40E7" w:rsidRPr="00EA531B">
              <w:rPr>
                <w:rFonts w:ascii="Calibri" w:eastAsia="Times New Roman" w:hAnsi="Calibri" w:cs="Times New Roman"/>
                <w:color w:val="000000"/>
                <w:sz w:val="20"/>
                <w:szCs w:val="18"/>
              </w:rPr>
              <w:t>l</w:t>
            </w:r>
            <w:r w:rsidRPr="00EA531B">
              <w:rPr>
                <w:rFonts w:ascii="Calibri" w:eastAsia="Times New Roman" w:hAnsi="Calibri" w:cs="Times New Roman"/>
                <w:color w:val="000000"/>
                <w:sz w:val="20"/>
                <w:szCs w:val="18"/>
              </w:rPr>
              <w:t>uding RPBS)^</w:t>
            </w:r>
          </w:p>
        </w:tc>
        <w:tc>
          <w:tcPr>
            <w:tcW w:w="1806" w:type="dxa"/>
            <w:tcBorders>
              <w:top w:val="nil"/>
              <w:left w:val="single" w:sz="4" w:space="0" w:color="auto"/>
              <w:bottom w:val="single" w:sz="8" w:space="0" w:color="auto"/>
              <w:right w:val="single" w:sz="8" w:space="0" w:color="auto"/>
            </w:tcBorders>
            <w:shd w:val="clear" w:color="auto" w:fill="auto"/>
            <w:vAlign w:val="center"/>
            <w:hideMark/>
          </w:tcPr>
          <w:p w:rsidR="00C52AF3" w:rsidRPr="00EA531B" w:rsidRDefault="00C52AF3" w:rsidP="003E4757">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Predicted (P)</w:t>
            </w:r>
          </w:p>
        </w:tc>
        <w:tc>
          <w:tcPr>
            <w:tcW w:w="1559" w:type="dxa"/>
            <w:tcBorders>
              <w:top w:val="nil"/>
              <w:left w:val="nil"/>
              <w:bottom w:val="single" w:sz="8" w:space="0" w:color="auto"/>
              <w:right w:val="single" w:sz="8" w:space="0" w:color="auto"/>
            </w:tcBorders>
            <w:shd w:val="clear" w:color="auto" w:fill="auto"/>
            <w:vAlign w:val="center"/>
            <w:hideMark/>
          </w:tcPr>
          <w:p w:rsidR="00C52AF3" w:rsidRPr="00073AF2" w:rsidRDefault="00073AF2" w:rsidP="003E4757">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587" w:type="dxa"/>
            <w:tcBorders>
              <w:top w:val="nil"/>
              <w:left w:val="nil"/>
              <w:bottom w:val="single" w:sz="8" w:space="0" w:color="auto"/>
              <w:right w:val="single" w:sz="8" w:space="0" w:color="auto"/>
            </w:tcBorders>
            <w:shd w:val="clear" w:color="auto" w:fill="auto"/>
            <w:vAlign w:val="center"/>
            <w:hideMark/>
          </w:tcPr>
          <w:p w:rsidR="00C52AF3" w:rsidRPr="00073AF2" w:rsidRDefault="00073AF2" w:rsidP="003E4757">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587" w:type="dxa"/>
            <w:tcBorders>
              <w:top w:val="nil"/>
              <w:left w:val="nil"/>
              <w:bottom w:val="single" w:sz="8" w:space="0" w:color="auto"/>
              <w:right w:val="single" w:sz="8" w:space="0" w:color="auto"/>
            </w:tcBorders>
            <w:shd w:val="clear" w:color="auto" w:fill="auto"/>
            <w:vAlign w:val="center"/>
            <w:hideMark/>
          </w:tcPr>
          <w:p w:rsidR="00C52AF3" w:rsidRPr="00073AF2" w:rsidRDefault="00073AF2" w:rsidP="003E4757">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C52AF3" w:rsidRPr="003E4757" w:rsidTr="00AF7BBD">
        <w:trPr>
          <w:trHeight w:val="330"/>
        </w:trPr>
        <w:tc>
          <w:tcPr>
            <w:tcW w:w="26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AF3" w:rsidRPr="00EA531B" w:rsidRDefault="00C52AF3" w:rsidP="003E4757">
            <w:pPr>
              <w:spacing w:after="0"/>
              <w:rPr>
                <w:rFonts w:ascii="Calibri" w:eastAsia="Times New Roman" w:hAnsi="Calibri" w:cs="Times New Roman"/>
                <w:color w:val="000000"/>
                <w:sz w:val="20"/>
                <w:szCs w:val="18"/>
              </w:rPr>
            </w:pPr>
          </w:p>
        </w:tc>
        <w:tc>
          <w:tcPr>
            <w:tcW w:w="1806" w:type="dxa"/>
            <w:tcBorders>
              <w:top w:val="nil"/>
              <w:left w:val="single" w:sz="4" w:space="0" w:color="auto"/>
              <w:bottom w:val="single" w:sz="8" w:space="0" w:color="auto"/>
              <w:right w:val="single" w:sz="8" w:space="0" w:color="auto"/>
            </w:tcBorders>
            <w:shd w:val="clear" w:color="auto" w:fill="auto"/>
            <w:vAlign w:val="center"/>
            <w:hideMark/>
          </w:tcPr>
          <w:p w:rsidR="00C52AF3" w:rsidRPr="00EA531B" w:rsidRDefault="00C52AF3" w:rsidP="00901CAD">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Actual (A)</w:t>
            </w:r>
            <w:r w:rsidRPr="00EA531B">
              <w:rPr>
                <w:rFonts w:ascii="Calibri" w:eastAsia="Times New Roman" w:hAnsi="Calibri" w:cs="Times New Roman"/>
                <w:color w:val="000000"/>
                <w:sz w:val="20"/>
                <w:szCs w:val="18"/>
                <w:vertAlign w:val="superscript"/>
              </w:rPr>
              <w:t xml:space="preserve">b </w:t>
            </w:r>
          </w:p>
        </w:tc>
        <w:tc>
          <w:tcPr>
            <w:tcW w:w="1559" w:type="dxa"/>
            <w:tcBorders>
              <w:top w:val="nil"/>
              <w:left w:val="nil"/>
              <w:bottom w:val="single" w:sz="8" w:space="0" w:color="auto"/>
              <w:right w:val="single" w:sz="8" w:space="0" w:color="auto"/>
            </w:tcBorders>
            <w:shd w:val="clear" w:color="auto" w:fill="auto"/>
            <w:noWrap/>
            <w:vAlign w:val="center"/>
            <w:hideMark/>
          </w:tcPr>
          <w:p w:rsidR="00C52AF3" w:rsidRPr="003E4757" w:rsidRDefault="00C52AF3" w:rsidP="003E4757">
            <w:pPr>
              <w:spacing w:after="0"/>
              <w:jc w:val="center"/>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7,631</w:t>
            </w:r>
          </w:p>
        </w:tc>
        <w:tc>
          <w:tcPr>
            <w:tcW w:w="1587" w:type="dxa"/>
            <w:tcBorders>
              <w:top w:val="nil"/>
              <w:left w:val="nil"/>
              <w:bottom w:val="single" w:sz="8" w:space="0" w:color="auto"/>
              <w:right w:val="single" w:sz="8" w:space="0" w:color="auto"/>
            </w:tcBorders>
            <w:shd w:val="clear" w:color="auto" w:fill="auto"/>
            <w:noWrap/>
            <w:vAlign w:val="center"/>
            <w:hideMark/>
          </w:tcPr>
          <w:p w:rsidR="00C52AF3" w:rsidRPr="003E4757" w:rsidRDefault="00C52AF3" w:rsidP="003E4757">
            <w:pPr>
              <w:spacing w:after="0"/>
              <w:jc w:val="center"/>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14,580</w:t>
            </w:r>
          </w:p>
        </w:tc>
        <w:tc>
          <w:tcPr>
            <w:tcW w:w="1587" w:type="dxa"/>
            <w:tcBorders>
              <w:top w:val="nil"/>
              <w:left w:val="nil"/>
              <w:bottom w:val="single" w:sz="8" w:space="0" w:color="auto"/>
              <w:right w:val="single" w:sz="8" w:space="0" w:color="auto"/>
            </w:tcBorders>
            <w:shd w:val="clear" w:color="auto" w:fill="auto"/>
            <w:noWrap/>
            <w:vAlign w:val="center"/>
            <w:hideMark/>
          </w:tcPr>
          <w:p w:rsidR="00C52AF3" w:rsidRPr="003E4757" w:rsidRDefault="00C52AF3" w:rsidP="003E4757">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17,267 (YTD)*</w:t>
            </w:r>
          </w:p>
        </w:tc>
      </w:tr>
      <w:tr w:rsidR="00C52AF3" w:rsidRPr="003E4757" w:rsidTr="00AF7BBD">
        <w:trPr>
          <w:trHeight w:val="495"/>
        </w:trPr>
        <w:tc>
          <w:tcPr>
            <w:tcW w:w="26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52AF3" w:rsidRPr="00EA531B" w:rsidRDefault="00C52AF3" w:rsidP="003E4757">
            <w:pPr>
              <w:spacing w:after="0"/>
              <w:rPr>
                <w:rFonts w:ascii="Calibri" w:eastAsia="Times New Roman" w:hAnsi="Calibri" w:cs="Times New Roman"/>
                <w:color w:val="000000"/>
                <w:sz w:val="20"/>
              </w:rPr>
            </w:pPr>
          </w:p>
        </w:tc>
        <w:tc>
          <w:tcPr>
            <w:tcW w:w="1806" w:type="dxa"/>
            <w:tcBorders>
              <w:top w:val="nil"/>
              <w:left w:val="single" w:sz="4" w:space="0" w:color="auto"/>
              <w:bottom w:val="single" w:sz="8" w:space="0" w:color="auto"/>
              <w:right w:val="single" w:sz="8" w:space="0" w:color="auto"/>
            </w:tcBorders>
            <w:shd w:val="clear" w:color="auto" w:fill="auto"/>
            <w:vAlign w:val="center"/>
          </w:tcPr>
          <w:p w:rsidR="00C52AF3" w:rsidRPr="00EA531B" w:rsidRDefault="00C52AF3" w:rsidP="00A95568">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 Difference (A-P)/P</w:t>
            </w:r>
          </w:p>
        </w:tc>
        <w:tc>
          <w:tcPr>
            <w:tcW w:w="1559" w:type="dxa"/>
            <w:tcBorders>
              <w:top w:val="nil"/>
              <w:left w:val="nil"/>
              <w:bottom w:val="single" w:sz="8" w:space="0" w:color="auto"/>
              <w:right w:val="single" w:sz="8" w:space="0" w:color="auto"/>
            </w:tcBorders>
            <w:shd w:val="clear" w:color="auto" w:fill="auto"/>
            <w:noWrap/>
            <w:vAlign w:val="center"/>
          </w:tcPr>
          <w:p w:rsidR="00C52AF3" w:rsidRPr="00073AF2" w:rsidRDefault="00073AF2" w:rsidP="003E4757">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587" w:type="dxa"/>
            <w:tcBorders>
              <w:top w:val="nil"/>
              <w:left w:val="nil"/>
              <w:bottom w:val="single" w:sz="8" w:space="0" w:color="auto"/>
              <w:right w:val="single" w:sz="8" w:space="0" w:color="auto"/>
            </w:tcBorders>
            <w:shd w:val="clear" w:color="auto" w:fill="auto"/>
            <w:noWrap/>
            <w:vAlign w:val="center"/>
          </w:tcPr>
          <w:p w:rsidR="00C52AF3" w:rsidRPr="00073AF2" w:rsidRDefault="00073AF2" w:rsidP="003E4757">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587" w:type="dxa"/>
            <w:tcBorders>
              <w:top w:val="nil"/>
              <w:left w:val="nil"/>
              <w:bottom w:val="single" w:sz="8" w:space="0" w:color="auto"/>
              <w:right w:val="single" w:sz="8" w:space="0" w:color="auto"/>
            </w:tcBorders>
            <w:shd w:val="clear" w:color="auto" w:fill="auto"/>
            <w:noWrap/>
            <w:vAlign w:val="center"/>
          </w:tcPr>
          <w:p w:rsidR="00C52AF3" w:rsidRPr="00073AF2" w:rsidRDefault="00073AF2" w:rsidP="00F87E0B">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817489" w:rsidRPr="003E4757" w:rsidTr="00AF7BBD">
        <w:trPr>
          <w:trHeight w:val="495"/>
        </w:trPr>
        <w:tc>
          <w:tcPr>
            <w:tcW w:w="2604" w:type="dxa"/>
            <w:vMerge w:val="restart"/>
            <w:tcBorders>
              <w:top w:val="single" w:sz="4" w:space="0" w:color="auto"/>
              <w:left w:val="single" w:sz="8" w:space="0" w:color="auto"/>
              <w:right w:val="single" w:sz="8" w:space="0" w:color="auto"/>
            </w:tcBorders>
            <w:shd w:val="clear" w:color="auto" w:fill="auto"/>
            <w:noWrap/>
            <w:vAlign w:val="center"/>
          </w:tcPr>
          <w:p w:rsidR="00817489" w:rsidRPr="00EA531B" w:rsidRDefault="00817489" w:rsidP="00817489">
            <w:pPr>
              <w:spacing w:after="0"/>
              <w:rPr>
                <w:rFonts w:ascii="Calibri" w:eastAsia="Times New Roman" w:hAnsi="Calibri" w:cs="Times New Roman"/>
                <w:color w:val="000000"/>
                <w:sz w:val="20"/>
              </w:rPr>
            </w:pPr>
            <w:r w:rsidRPr="00EA531B">
              <w:rPr>
                <w:rFonts w:ascii="Calibri" w:eastAsia="Times New Roman" w:hAnsi="Calibri" w:cs="Times New Roman"/>
                <w:color w:val="000000"/>
                <w:sz w:val="20"/>
                <w:szCs w:val="18"/>
              </w:rPr>
              <w:t>Number of MBS services (not  including services for DVA patients)</w:t>
            </w:r>
          </w:p>
        </w:tc>
        <w:tc>
          <w:tcPr>
            <w:tcW w:w="1806" w:type="dxa"/>
            <w:tcBorders>
              <w:top w:val="nil"/>
              <w:left w:val="nil"/>
              <w:bottom w:val="single" w:sz="8" w:space="0" w:color="auto"/>
              <w:right w:val="single" w:sz="8" w:space="0" w:color="auto"/>
            </w:tcBorders>
            <w:shd w:val="clear" w:color="auto" w:fill="auto"/>
            <w:vAlign w:val="center"/>
          </w:tcPr>
          <w:p w:rsidR="00817489" w:rsidRPr="00EA531B" w:rsidRDefault="00817489" w:rsidP="008F5F4D">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Actual (A)</w:t>
            </w:r>
            <w:r w:rsidRPr="00EA531B">
              <w:rPr>
                <w:rFonts w:ascii="Calibri" w:eastAsia="Times New Roman" w:hAnsi="Calibri" w:cs="Times New Roman"/>
                <w:color w:val="000000"/>
                <w:sz w:val="20"/>
                <w:szCs w:val="18"/>
                <w:vertAlign w:val="superscript"/>
              </w:rPr>
              <w:t>a</w:t>
            </w:r>
            <w:r w:rsidRPr="00EA531B">
              <w:rPr>
                <w:rFonts w:ascii="Calibri" w:eastAsia="Times New Roman" w:hAnsi="Calibri" w:cs="Times New Roman"/>
                <w:color w:val="000000"/>
                <w:sz w:val="20"/>
                <w:szCs w:val="18"/>
              </w:rPr>
              <w:t xml:space="preserve"> </w:t>
            </w:r>
          </w:p>
        </w:tc>
        <w:tc>
          <w:tcPr>
            <w:tcW w:w="1559" w:type="dxa"/>
            <w:tcBorders>
              <w:top w:val="nil"/>
              <w:left w:val="nil"/>
              <w:bottom w:val="single" w:sz="8" w:space="0" w:color="auto"/>
              <w:right w:val="single" w:sz="8" w:space="0" w:color="auto"/>
            </w:tcBorders>
            <w:shd w:val="clear" w:color="auto" w:fill="auto"/>
            <w:noWrap/>
            <w:vAlign w:val="center"/>
          </w:tcPr>
          <w:p w:rsidR="00817489" w:rsidRPr="003E4757" w:rsidRDefault="00817489" w:rsidP="003E4757">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7,826</w:t>
            </w:r>
          </w:p>
        </w:tc>
        <w:tc>
          <w:tcPr>
            <w:tcW w:w="1587" w:type="dxa"/>
            <w:tcBorders>
              <w:top w:val="nil"/>
              <w:left w:val="nil"/>
              <w:bottom w:val="single" w:sz="8" w:space="0" w:color="auto"/>
              <w:right w:val="single" w:sz="8" w:space="0" w:color="auto"/>
            </w:tcBorders>
            <w:shd w:val="clear" w:color="auto" w:fill="auto"/>
            <w:noWrap/>
            <w:vAlign w:val="center"/>
          </w:tcPr>
          <w:p w:rsidR="00817489" w:rsidRPr="003E4757" w:rsidRDefault="00817489" w:rsidP="003E4757">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13,873</w:t>
            </w:r>
          </w:p>
        </w:tc>
        <w:tc>
          <w:tcPr>
            <w:tcW w:w="1587" w:type="dxa"/>
            <w:tcBorders>
              <w:top w:val="nil"/>
              <w:left w:val="nil"/>
              <w:bottom w:val="single" w:sz="8" w:space="0" w:color="auto"/>
              <w:right w:val="single" w:sz="8" w:space="0" w:color="auto"/>
            </w:tcBorders>
            <w:shd w:val="clear" w:color="auto" w:fill="auto"/>
            <w:noWrap/>
            <w:vAlign w:val="center"/>
          </w:tcPr>
          <w:p w:rsidR="00817489" w:rsidRPr="003E4757" w:rsidRDefault="00817489" w:rsidP="00F87E0B">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14,206 (YTD)</w:t>
            </w:r>
            <w:r>
              <w:rPr>
                <w:rFonts w:ascii="Calibri" w:eastAsia="Times New Roman" w:hAnsi="Calibri" w:cs="Times New Roman"/>
                <w:color w:val="000000"/>
                <w:sz w:val="20"/>
                <w:szCs w:val="20"/>
                <w:vertAlign w:val="superscript"/>
              </w:rPr>
              <w:t>**</w:t>
            </w:r>
          </w:p>
        </w:tc>
      </w:tr>
      <w:tr w:rsidR="00817489" w:rsidRPr="003E4757" w:rsidTr="00AF7BBD">
        <w:trPr>
          <w:trHeight w:val="495"/>
        </w:trPr>
        <w:tc>
          <w:tcPr>
            <w:tcW w:w="2604" w:type="dxa"/>
            <w:vMerge/>
            <w:tcBorders>
              <w:left w:val="single" w:sz="8" w:space="0" w:color="auto"/>
              <w:bottom w:val="nil"/>
              <w:right w:val="single" w:sz="8" w:space="0" w:color="auto"/>
            </w:tcBorders>
            <w:shd w:val="clear" w:color="auto" w:fill="auto"/>
            <w:noWrap/>
            <w:vAlign w:val="center"/>
            <w:hideMark/>
          </w:tcPr>
          <w:p w:rsidR="00817489" w:rsidRPr="00EA531B" w:rsidRDefault="00817489" w:rsidP="003E4757">
            <w:pPr>
              <w:spacing w:after="0"/>
              <w:rPr>
                <w:rFonts w:ascii="Calibri" w:eastAsia="Times New Roman" w:hAnsi="Calibri" w:cs="Times New Roman"/>
                <w:color w:val="000000"/>
                <w:sz w:val="20"/>
              </w:rPr>
            </w:pPr>
          </w:p>
        </w:tc>
        <w:tc>
          <w:tcPr>
            <w:tcW w:w="1806" w:type="dxa"/>
            <w:tcBorders>
              <w:top w:val="nil"/>
              <w:left w:val="nil"/>
              <w:bottom w:val="single" w:sz="8" w:space="0" w:color="auto"/>
              <w:right w:val="single" w:sz="8" w:space="0" w:color="auto"/>
            </w:tcBorders>
            <w:shd w:val="clear" w:color="auto" w:fill="auto"/>
            <w:vAlign w:val="center"/>
            <w:hideMark/>
          </w:tcPr>
          <w:p w:rsidR="00817489" w:rsidRPr="00EA531B" w:rsidRDefault="00817489" w:rsidP="00817489">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 xml:space="preserve">% Difference </w:t>
            </w:r>
            <w:r w:rsidRPr="00EA531B">
              <w:rPr>
                <w:rFonts w:ascii="Calibri" w:eastAsia="Times New Roman" w:hAnsi="Calibri" w:cs="Times New Roman"/>
                <w:color w:val="000000"/>
                <w:sz w:val="20"/>
                <w:szCs w:val="18"/>
                <w:vertAlign w:val="superscript"/>
              </w:rPr>
              <w:t>c</w:t>
            </w:r>
          </w:p>
          <w:p w:rsidR="00817489" w:rsidRPr="00EA531B" w:rsidRDefault="00817489" w:rsidP="00817489">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(A-P)/P</w:t>
            </w:r>
          </w:p>
        </w:tc>
        <w:tc>
          <w:tcPr>
            <w:tcW w:w="1559" w:type="dxa"/>
            <w:tcBorders>
              <w:top w:val="nil"/>
              <w:left w:val="nil"/>
              <w:bottom w:val="single" w:sz="8" w:space="0" w:color="auto"/>
              <w:right w:val="single" w:sz="8" w:space="0" w:color="auto"/>
            </w:tcBorders>
            <w:shd w:val="clear" w:color="auto" w:fill="auto"/>
            <w:noWrap/>
            <w:vAlign w:val="center"/>
          </w:tcPr>
          <w:p w:rsidR="00817489" w:rsidRPr="003E4757" w:rsidRDefault="00817489" w:rsidP="003E4757">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+125%</w:t>
            </w:r>
          </w:p>
        </w:tc>
        <w:tc>
          <w:tcPr>
            <w:tcW w:w="1587" w:type="dxa"/>
            <w:tcBorders>
              <w:top w:val="nil"/>
              <w:left w:val="nil"/>
              <w:bottom w:val="single" w:sz="8" w:space="0" w:color="auto"/>
              <w:right w:val="single" w:sz="8" w:space="0" w:color="auto"/>
            </w:tcBorders>
            <w:shd w:val="clear" w:color="auto" w:fill="auto"/>
            <w:noWrap/>
            <w:vAlign w:val="center"/>
          </w:tcPr>
          <w:p w:rsidR="00817489" w:rsidRPr="003E4757" w:rsidRDefault="00817489" w:rsidP="003E4757">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+64%</w:t>
            </w:r>
          </w:p>
        </w:tc>
        <w:tc>
          <w:tcPr>
            <w:tcW w:w="1587" w:type="dxa"/>
            <w:tcBorders>
              <w:top w:val="nil"/>
              <w:left w:val="nil"/>
              <w:bottom w:val="single" w:sz="8" w:space="0" w:color="auto"/>
              <w:right w:val="single" w:sz="8" w:space="0" w:color="auto"/>
            </w:tcBorders>
            <w:shd w:val="clear" w:color="auto" w:fill="auto"/>
            <w:noWrap/>
            <w:vAlign w:val="center"/>
          </w:tcPr>
          <w:p w:rsidR="00817489" w:rsidRPr="003E4757" w:rsidRDefault="00817489" w:rsidP="003E4757">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r>
      <w:tr w:rsidR="007218B2" w:rsidRPr="003E4757" w:rsidTr="00AF7BBD">
        <w:trPr>
          <w:trHeight w:val="330"/>
        </w:trPr>
        <w:tc>
          <w:tcPr>
            <w:tcW w:w="260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18B2" w:rsidRPr="00EA531B" w:rsidRDefault="007218B2" w:rsidP="008F5F4D">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Number of vials</w:t>
            </w:r>
          </w:p>
        </w:tc>
        <w:tc>
          <w:tcPr>
            <w:tcW w:w="1806" w:type="dxa"/>
            <w:tcBorders>
              <w:top w:val="nil"/>
              <w:left w:val="nil"/>
              <w:bottom w:val="single" w:sz="8" w:space="0" w:color="auto"/>
              <w:right w:val="single" w:sz="8" w:space="0" w:color="auto"/>
            </w:tcBorders>
            <w:shd w:val="clear" w:color="auto" w:fill="auto"/>
            <w:vAlign w:val="center"/>
            <w:hideMark/>
          </w:tcPr>
          <w:p w:rsidR="007218B2" w:rsidRPr="00EA531B" w:rsidRDefault="007218B2" w:rsidP="003E4757">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Predicted (P)</w:t>
            </w:r>
          </w:p>
        </w:tc>
        <w:tc>
          <w:tcPr>
            <w:tcW w:w="1559" w:type="dxa"/>
            <w:tcBorders>
              <w:top w:val="nil"/>
              <w:left w:val="nil"/>
              <w:bottom w:val="single" w:sz="8" w:space="0" w:color="auto"/>
              <w:right w:val="single" w:sz="8" w:space="0" w:color="auto"/>
            </w:tcBorders>
            <w:shd w:val="clear" w:color="auto" w:fill="auto"/>
            <w:vAlign w:val="center"/>
            <w:hideMark/>
          </w:tcPr>
          <w:p w:rsidR="007218B2" w:rsidRPr="00073AF2" w:rsidRDefault="00073AF2" w:rsidP="003E4757">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587" w:type="dxa"/>
            <w:tcBorders>
              <w:top w:val="nil"/>
              <w:left w:val="nil"/>
              <w:bottom w:val="single" w:sz="8" w:space="0" w:color="auto"/>
              <w:right w:val="single" w:sz="8" w:space="0" w:color="auto"/>
            </w:tcBorders>
            <w:shd w:val="clear" w:color="auto" w:fill="auto"/>
            <w:vAlign w:val="center"/>
            <w:hideMark/>
          </w:tcPr>
          <w:p w:rsidR="007218B2" w:rsidRPr="00073AF2" w:rsidRDefault="00073AF2" w:rsidP="003E4757">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587" w:type="dxa"/>
            <w:tcBorders>
              <w:top w:val="nil"/>
              <w:left w:val="nil"/>
              <w:bottom w:val="single" w:sz="8" w:space="0" w:color="auto"/>
              <w:right w:val="single" w:sz="8" w:space="0" w:color="auto"/>
            </w:tcBorders>
            <w:shd w:val="clear" w:color="auto" w:fill="auto"/>
            <w:vAlign w:val="center"/>
            <w:hideMark/>
          </w:tcPr>
          <w:p w:rsidR="007218B2" w:rsidRPr="00073AF2" w:rsidRDefault="00073AF2" w:rsidP="003E4757">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7218B2" w:rsidRPr="003E4757" w:rsidTr="00AF7BBD">
        <w:trPr>
          <w:trHeight w:val="330"/>
        </w:trPr>
        <w:tc>
          <w:tcPr>
            <w:tcW w:w="2604" w:type="dxa"/>
            <w:vMerge/>
            <w:tcBorders>
              <w:top w:val="single" w:sz="8" w:space="0" w:color="auto"/>
              <w:left w:val="single" w:sz="8" w:space="0" w:color="auto"/>
              <w:bottom w:val="single" w:sz="8" w:space="0" w:color="000000"/>
              <w:right w:val="single" w:sz="8" w:space="0" w:color="auto"/>
            </w:tcBorders>
            <w:vAlign w:val="center"/>
            <w:hideMark/>
          </w:tcPr>
          <w:p w:rsidR="007218B2" w:rsidRPr="00EA531B" w:rsidRDefault="007218B2" w:rsidP="003E4757">
            <w:pPr>
              <w:spacing w:after="0"/>
              <w:rPr>
                <w:rFonts w:ascii="Calibri" w:eastAsia="Times New Roman" w:hAnsi="Calibri" w:cs="Times New Roman"/>
                <w:color w:val="000000"/>
                <w:sz w:val="20"/>
                <w:szCs w:val="18"/>
              </w:rPr>
            </w:pPr>
          </w:p>
        </w:tc>
        <w:tc>
          <w:tcPr>
            <w:tcW w:w="1806" w:type="dxa"/>
            <w:tcBorders>
              <w:top w:val="nil"/>
              <w:left w:val="nil"/>
              <w:bottom w:val="single" w:sz="8" w:space="0" w:color="auto"/>
              <w:right w:val="single" w:sz="8" w:space="0" w:color="auto"/>
            </w:tcBorders>
            <w:shd w:val="clear" w:color="auto" w:fill="auto"/>
            <w:vAlign w:val="center"/>
            <w:hideMark/>
          </w:tcPr>
          <w:p w:rsidR="007218B2" w:rsidRPr="00EA531B" w:rsidRDefault="007218B2" w:rsidP="007218B2">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Actual (A)</w:t>
            </w:r>
            <w:r w:rsidRPr="00EA531B">
              <w:rPr>
                <w:rFonts w:ascii="Calibri" w:eastAsia="Times New Roman" w:hAnsi="Calibri" w:cs="Times New Roman"/>
                <w:color w:val="000000"/>
                <w:sz w:val="20"/>
                <w:szCs w:val="18"/>
                <w:vertAlign w:val="superscript"/>
              </w:rPr>
              <w:t xml:space="preserve"> b</w:t>
            </w:r>
          </w:p>
        </w:tc>
        <w:tc>
          <w:tcPr>
            <w:tcW w:w="1559" w:type="dxa"/>
            <w:tcBorders>
              <w:top w:val="nil"/>
              <w:left w:val="nil"/>
              <w:bottom w:val="single" w:sz="8" w:space="0" w:color="auto"/>
              <w:right w:val="single" w:sz="8" w:space="0" w:color="auto"/>
            </w:tcBorders>
            <w:shd w:val="clear" w:color="auto" w:fill="auto"/>
            <w:noWrap/>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14,081</w:t>
            </w:r>
          </w:p>
        </w:tc>
        <w:tc>
          <w:tcPr>
            <w:tcW w:w="1587" w:type="dxa"/>
            <w:tcBorders>
              <w:top w:val="nil"/>
              <w:left w:val="nil"/>
              <w:bottom w:val="single" w:sz="8" w:space="0" w:color="auto"/>
              <w:right w:val="single" w:sz="8" w:space="0" w:color="auto"/>
            </w:tcBorders>
            <w:shd w:val="clear" w:color="auto" w:fill="auto"/>
            <w:noWrap/>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27,894</w:t>
            </w:r>
          </w:p>
        </w:tc>
        <w:tc>
          <w:tcPr>
            <w:tcW w:w="1587" w:type="dxa"/>
            <w:tcBorders>
              <w:top w:val="nil"/>
              <w:left w:val="nil"/>
              <w:bottom w:val="single" w:sz="8" w:space="0" w:color="auto"/>
              <w:right w:val="single" w:sz="8" w:space="0" w:color="auto"/>
            </w:tcBorders>
            <w:shd w:val="clear" w:color="auto" w:fill="auto"/>
            <w:noWrap/>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33,306*</w:t>
            </w:r>
          </w:p>
        </w:tc>
      </w:tr>
      <w:tr w:rsidR="007218B2" w:rsidRPr="003E4757" w:rsidTr="00AF7BBD">
        <w:trPr>
          <w:trHeight w:val="495"/>
        </w:trPr>
        <w:tc>
          <w:tcPr>
            <w:tcW w:w="2604" w:type="dxa"/>
            <w:vMerge/>
            <w:tcBorders>
              <w:top w:val="single" w:sz="8" w:space="0" w:color="auto"/>
              <w:left w:val="single" w:sz="8" w:space="0" w:color="auto"/>
              <w:bottom w:val="single" w:sz="8" w:space="0" w:color="000000"/>
              <w:right w:val="single" w:sz="8" w:space="0" w:color="auto"/>
            </w:tcBorders>
            <w:vAlign w:val="center"/>
            <w:hideMark/>
          </w:tcPr>
          <w:p w:rsidR="007218B2" w:rsidRPr="00EA531B" w:rsidRDefault="007218B2" w:rsidP="003E4757">
            <w:pPr>
              <w:spacing w:after="0"/>
              <w:rPr>
                <w:rFonts w:ascii="Calibri" w:eastAsia="Times New Roman" w:hAnsi="Calibri" w:cs="Times New Roman"/>
                <w:color w:val="000000"/>
                <w:sz w:val="20"/>
                <w:szCs w:val="18"/>
              </w:rPr>
            </w:pPr>
          </w:p>
        </w:tc>
        <w:tc>
          <w:tcPr>
            <w:tcW w:w="1806" w:type="dxa"/>
            <w:tcBorders>
              <w:top w:val="nil"/>
              <w:left w:val="nil"/>
              <w:bottom w:val="single" w:sz="8" w:space="0" w:color="auto"/>
              <w:right w:val="single" w:sz="8" w:space="0" w:color="auto"/>
            </w:tcBorders>
            <w:shd w:val="clear" w:color="auto" w:fill="auto"/>
            <w:vAlign w:val="center"/>
            <w:hideMark/>
          </w:tcPr>
          <w:p w:rsidR="007218B2" w:rsidRPr="00EA531B" w:rsidRDefault="007218B2" w:rsidP="00A95568">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 Difference</w:t>
            </w:r>
            <w:r w:rsidR="00A95568" w:rsidRPr="00EA531B">
              <w:rPr>
                <w:rFonts w:ascii="Calibri" w:eastAsia="Times New Roman" w:hAnsi="Calibri" w:cs="Times New Roman"/>
                <w:color w:val="000000"/>
                <w:sz w:val="20"/>
                <w:szCs w:val="18"/>
              </w:rPr>
              <w:t xml:space="preserve"> </w:t>
            </w:r>
            <w:r w:rsidRPr="00EA531B">
              <w:rPr>
                <w:rFonts w:ascii="Calibri" w:eastAsia="Times New Roman" w:hAnsi="Calibri" w:cs="Times New Roman"/>
                <w:color w:val="000000"/>
                <w:sz w:val="20"/>
                <w:szCs w:val="18"/>
              </w:rPr>
              <w:t>(A-P)/P</w:t>
            </w:r>
          </w:p>
        </w:tc>
        <w:tc>
          <w:tcPr>
            <w:tcW w:w="1559" w:type="dxa"/>
            <w:tcBorders>
              <w:top w:val="nil"/>
              <w:left w:val="nil"/>
              <w:bottom w:val="single" w:sz="8" w:space="0" w:color="auto"/>
              <w:right w:val="single" w:sz="8" w:space="0" w:color="auto"/>
            </w:tcBorders>
            <w:shd w:val="clear" w:color="auto" w:fill="auto"/>
            <w:noWrap/>
            <w:vAlign w:val="center"/>
            <w:hideMark/>
          </w:tcPr>
          <w:p w:rsidR="007218B2" w:rsidRPr="00073AF2" w:rsidRDefault="00073AF2" w:rsidP="003E4757">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 ''''''''''</w:t>
            </w:r>
          </w:p>
        </w:tc>
        <w:tc>
          <w:tcPr>
            <w:tcW w:w="1587" w:type="dxa"/>
            <w:tcBorders>
              <w:top w:val="nil"/>
              <w:left w:val="nil"/>
              <w:bottom w:val="single" w:sz="8" w:space="0" w:color="auto"/>
              <w:right w:val="single" w:sz="8" w:space="0" w:color="auto"/>
            </w:tcBorders>
            <w:shd w:val="clear" w:color="auto" w:fill="auto"/>
            <w:noWrap/>
            <w:vAlign w:val="center"/>
            <w:hideMark/>
          </w:tcPr>
          <w:p w:rsidR="007218B2" w:rsidRPr="00073AF2" w:rsidRDefault="00073AF2" w:rsidP="003E4757">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587" w:type="dxa"/>
            <w:tcBorders>
              <w:top w:val="nil"/>
              <w:left w:val="nil"/>
              <w:bottom w:val="single" w:sz="8" w:space="0" w:color="auto"/>
              <w:right w:val="single" w:sz="8" w:space="0" w:color="auto"/>
            </w:tcBorders>
            <w:shd w:val="clear" w:color="auto" w:fill="auto"/>
            <w:noWrap/>
            <w:vAlign w:val="center"/>
            <w:hideMark/>
          </w:tcPr>
          <w:p w:rsidR="007218B2" w:rsidRPr="00073AF2" w:rsidRDefault="00073AF2" w:rsidP="003E4757">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7218B2" w:rsidRPr="003E4757" w:rsidTr="00AF7BBD">
        <w:trPr>
          <w:trHeight w:val="330"/>
        </w:trPr>
        <w:tc>
          <w:tcPr>
            <w:tcW w:w="260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218B2" w:rsidRPr="00EA531B" w:rsidRDefault="00B81283" w:rsidP="00BB6F7C">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Mean v</w:t>
            </w:r>
            <w:r w:rsidR="007218B2" w:rsidRPr="00EA531B">
              <w:rPr>
                <w:rFonts w:ascii="Calibri" w:eastAsia="Times New Roman" w:hAnsi="Calibri" w:cs="Times New Roman"/>
                <w:color w:val="000000"/>
                <w:sz w:val="20"/>
                <w:szCs w:val="18"/>
              </w:rPr>
              <w:t>ials per treatment/prescription</w:t>
            </w:r>
          </w:p>
        </w:tc>
        <w:tc>
          <w:tcPr>
            <w:tcW w:w="1806" w:type="dxa"/>
            <w:tcBorders>
              <w:top w:val="nil"/>
              <w:left w:val="nil"/>
              <w:bottom w:val="single" w:sz="8" w:space="0" w:color="auto"/>
              <w:right w:val="single" w:sz="8" w:space="0" w:color="auto"/>
            </w:tcBorders>
            <w:shd w:val="clear" w:color="auto" w:fill="auto"/>
            <w:vAlign w:val="center"/>
            <w:hideMark/>
          </w:tcPr>
          <w:p w:rsidR="007218B2" w:rsidRPr="00EA531B" w:rsidRDefault="007218B2" w:rsidP="003E4757">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Predicted (P)</w:t>
            </w:r>
          </w:p>
        </w:tc>
        <w:tc>
          <w:tcPr>
            <w:tcW w:w="1559" w:type="dxa"/>
            <w:tcBorders>
              <w:top w:val="nil"/>
              <w:left w:val="nil"/>
              <w:bottom w:val="single" w:sz="8" w:space="0" w:color="auto"/>
              <w:right w:val="single" w:sz="8" w:space="0" w:color="auto"/>
            </w:tcBorders>
            <w:shd w:val="clear" w:color="auto" w:fill="auto"/>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2.00</w:t>
            </w:r>
          </w:p>
        </w:tc>
        <w:tc>
          <w:tcPr>
            <w:tcW w:w="1587" w:type="dxa"/>
            <w:tcBorders>
              <w:top w:val="nil"/>
              <w:left w:val="nil"/>
              <w:bottom w:val="single" w:sz="8" w:space="0" w:color="auto"/>
              <w:right w:val="single" w:sz="8" w:space="0" w:color="auto"/>
            </w:tcBorders>
            <w:shd w:val="clear" w:color="auto" w:fill="auto"/>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2.00</w:t>
            </w:r>
          </w:p>
        </w:tc>
        <w:tc>
          <w:tcPr>
            <w:tcW w:w="1587" w:type="dxa"/>
            <w:tcBorders>
              <w:top w:val="nil"/>
              <w:left w:val="nil"/>
              <w:bottom w:val="single" w:sz="8" w:space="0" w:color="auto"/>
              <w:right w:val="single" w:sz="8" w:space="0" w:color="auto"/>
            </w:tcBorders>
            <w:shd w:val="clear" w:color="auto" w:fill="auto"/>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2.00</w:t>
            </w:r>
          </w:p>
        </w:tc>
      </w:tr>
      <w:tr w:rsidR="007218B2" w:rsidRPr="003E4757" w:rsidTr="00AF7BBD">
        <w:trPr>
          <w:trHeight w:val="330"/>
        </w:trPr>
        <w:tc>
          <w:tcPr>
            <w:tcW w:w="2604" w:type="dxa"/>
            <w:vMerge/>
            <w:tcBorders>
              <w:top w:val="nil"/>
              <w:left w:val="single" w:sz="8" w:space="0" w:color="auto"/>
              <w:bottom w:val="single" w:sz="8" w:space="0" w:color="000000"/>
              <w:right w:val="single" w:sz="8" w:space="0" w:color="auto"/>
            </w:tcBorders>
            <w:vAlign w:val="center"/>
            <w:hideMark/>
          </w:tcPr>
          <w:p w:rsidR="007218B2" w:rsidRPr="00EA531B" w:rsidRDefault="007218B2" w:rsidP="003E4757">
            <w:pPr>
              <w:spacing w:after="0"/>
              <w:rPr>
                <w:rFonts w:ascii="Calibri" w:eastAsia="Times New Roman" w:hAnsi="Calibri" w:cs="Times New Roman"/>
                <w:color w:val="000000"/>
                <w:sz w:val="20"/>
                <w:szCs w:val="18"/>
              </w:rPr>
            </w:pPr>
          </w:p>
        </w:tc>
        <w:tc>
          <w:tcPr>
            <w:tcW w:w="1806" w:type="dxa"/>
            <w:tcBorders>
              <w:top w:val="nil"/>
              <w:left w:val="nil"/>
              <w:bottom w:val="single" w:sz="8" w:space="0" w:color="auto"/>
              <w:right w:val="single" w:sz="8" w:space="0" w:color="auto"/>
            </w:tcBorders>
            <w:shd w:val="clear" w:color="auto" w:fill="auto"/>
            <w:vAlign w:val="center"/>
            <w:hideMark/>
          </w:tcPr>
          <w:p w:rsidR="007218B2" w:rsidRPr="00EA531B" w:rsidRDefault="007218B2" w:rsidP="007218B2">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Actual (A)</w:t>
            </w:r>
            <w:r w:rsidRPr="00EA531B">
              <w:rPr>
                <w:rFonts w:ascii="Calibri" w:eastAsia="Times New Roman" w:hAnsi="Calibri" w:cs="Times New Roman"/>
                <w:color w:val="000000"/>
                <w:sz w:val="20"/>
                <w:szCs w:val="18"/>
                <w:vertAlign w:val="superscript"/>
              </w:rPr>
              <w:t>b</w:t>
            </w:r>
          </w:p>
        </w:tc>
        <w:tc>
          <w:tcPr>
            <w:tcW w:w="1559" w:type="dxa"/>
            <w:tcBorders>
              <w:top w:val="nil"/>
              <w:left w:val="nil"/>
              <w:bottom w:val="single" w:sz="8" w:space="0" w:color="auto"/>
              <w:right w:val="single" w:sz="8" w:space="0" w:color="auto"/>
            </w:tcBorders>
            <w:shd w:val="clear" w:color="auto" w:fill="auto"/>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1.85</w:t>
            </w:r>
          </w:p>
        </w:tc>
        <w:tc>
          <w:tcPr>
            <w:tcW w:w="1587" w:type="dxa"/>
            <w:tcBorders>
              <w:top w:val="nil"/>
              <w:left w:val="nil"/>
              <w:bottom w:val="single" w:sz="8" w:space="0" w:color="auto"/>
              <w:right w:val="single" w:sz="8" w:space="0" w:color="auto"/>
            </w:tcBorders>
            <w:shd w:val="clear" w:color="auto" w:fill="auto"/>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1.91</w:t>
            </w:r>
          </w:p>
        </w:tc>
        <w:tc>
          <w:tcPr>
            <w:tcW w:w="1587" w:type="dxa"/>
            <w:tcBorders>
              <w:top w:val="nil"/>
              <w:left w:val="nil"/>
              <w:bottom w:val="single" w:sz="8" w:space="0" w:color="auto"/>
              <w:right w:val="single" w:sz="8" w:space="0" w:color="auto"/>
            </w:tcBorders>
            <w:shd w:val="clear" w:color="auto" w:fill="auto"/>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1.93*</w:t>
            </w:r>
          </w:p>
        </w:tc>
      </w:tr>
      <w:tr w:rsidR="007218B2" w:rsidRPr="003E4757" w:rsidTr="00AF7BBD">
        <w:trPr>
          <w:trHeight w:val="495"/>
        </w:trPr>
        <w:tc>
          <w:tcPr>
            <w:tcW w:w="2604" w:type="dxa"/>
            <w:vMerge/>
            <w:tcBorders>
              <w:top w:val="nil"/>
              <w:left w:val="single" w:sz="8" w:space="0" w:color="auto"/>
              <w:bottom w:val="single" w:sz="8" w:space="0" w:color="000000"/>
              <w:right w:val="single" w:sz="8" w:space="0" w:color="auto"/>
            </w:tcBorders>
            <w:vAlign w:val="center"/>
            <w:hideMark/>
          </w:tcPr>
          <w:p w:rsidR="007218B2" w:rsidRPr="00EA531B" w:rsidRDefault="007218B2" w:rsidP="003E4757">
            <w:pPr>
              <w:spacing w:after="0"/>
              <w:rPr>
                <w:rFonts w:ascii="Calibri" w:eastAsia="Times New Roman" w:hAnsi="Calibri" w:cs="Times New Roman"/>
                <w:color w:val="000000"/>
                <w:sz w:val="20"/>
                <w:szCs w:val="18"/>
              </w:rPr>
            </w:pPr>
          </w:p>
        </w:tc>
        <w:tc>
          <w:tcPr>
            <w:tcW w:w="1806" w:type="dxa"/>
            <w:tcBorders>
              <w:top w:val="nil"/>
              <w:left w:val="nil"/>
              <w:bottom w:val="single" w:sz="8" w:space="0" w:color="auto"/>
              <w:right w:val="single" w:sz="8" w:space="0" w:color="auto"/>
            </w:tcBorders>
            <w:shd w:val="clear" w:color="auto" w:fill="auto"/>
            <w:vAlign w:val="center"/>
            <w:hideMark/>
          </w:tcPr>
          <w:p w:rsidR="007218B2" w:rsidRPr="00EA531B" w:rsidRDefault="007218B2" w:rsidP="003E4757">
            <w:pPr>
              <w:spacing w:after="0"/>
              <w:rPr>
                <w:rFonts w:ascii="Calibri" w:eastAsia="Times New Roman" w:hAnsi="Calibri" w:cs="Times New Roman"/>
                <w:color w:val="000000"/>
                <w:sz w:val="20"/>
                <w:szCs w:val="18"/>
              </w:rPr>
            </w:pPr>
            <w:r w:rsidRPr="00EA531B">
              <w:rPr>
                <w:rFonts w:ascii="Calibri" w:eastAsia="Times New Roman" w:hAnsi="Calibri" w:cs="Times New Roman"/>
                <w:color w:val="000000"/>
                <w:sz w:val="20"/>
                <w:szCs w:val="18"/>
              </w:rPr>
              <w:t>% Difference (A-P)/P</w:t>
            </w:r>
          </w:p>
        </w:tc>
        <w:tc>
          <w:tcPr>
            <w:tcW w:w="1559" w:type="dxa"/>
            <w:tcBorders>
              <w:top w:val="nil"/>
              <w:left w:val="nil"/>
              <w:bottom w:val="single" w:sz="8" w:space="0" w:color="auto"/>
              <w:right w:val="single" w:sz="8" w:space="0" w:color="auto"/>
            </w:tcBorders>
            <w:shd w:val="clear" w:color="auto" w:fill="auto"/>
            <w:noWrap/>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-8%</w:t>
            </w:r>
          </w:p>
        </w:tc>
        <w:tc>
          <w:tcPr>
            <w:tcW w:w="1587" w:type="dxa"/>
            <w:tcBorders>
              <w:top w:val="nil"/>
              <w:left w:val="nil"/>
              <w:bottom w:val="single" w:sz="8" w:space="0" w:color="auto"/>
              <w:right w:val="single" w:sz="8" w:space="0" w:color="auto"/>
            </w:tcBorders>
            <w:shd w:val="clear" w:color="auto" w:fill="auto"/>
            <w:noWrap/>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-4%</w:t>
            </w:r>
          </w:p>
        </w:tc>
        <w:tc>
          <w:tcPr>
            <w:tcW w:w="1587" w:type="dxa"/>
            <w:tcBorders>
              <w:top w:val="nil"/>
              <w:left w:val="nil"/>
              <w:bottom w:val="single" w:sz="8" w:space="0" w:color="auto"/>
              <w:right w:val="single" w:sz="8" w:space="0" w:color="auto"/>
            </w:tcBorders>
            <w:shd w:val="clear" w:color="auto" w:fill="auto"/>
            <w:noWrap/>
            <w:vAlign w:val="center"/>
            <w:hideMark/>
          </w:tcPr>
          <w:p w:rsidR="007218B2" w:rsidRPr="003E4757" w:rsidRDefault="007218B2" w:rsidP="003E4757">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r>
    </w:tbl>
    <w:p w:rsidR="00813757" w:rsidRDefault="00813757" w:rsidP="005770A5">
      <w:pPr>
        <w:spacing w:after="0"/>
        <w:rPr>
          <w:rFonts w:ascii="Calibri" w:eastAsia="Times New Roman" w:hAnsi="Calibri" w:cs="Times New Roman"/>
          <w:color w:val="000000"/>
          <w:sz w:val="20"/>
          <w:szCs w:val="20"/>
        </w:rPr>
      </w:pPr>
      <w:r w:rsidRPr="00C52AF3">
        <w:rPr>
          <w:rFonts w:ascii="Calibri" w:eastAsia="Times New Roman" w:hAnsi="Calibri" w:cs="Times New Roman"/>
          <w:color w:val="000000"/>
          <w:sz w:val="20"/>
          <w:szCs w:val="20"/>
          <w:vertAlign w:val="superscript"/>
        </w:rPr>
        <w:t>a</w:t>
      </w:r>
      <w:r>
        <w:rPr>
          <w:rFonts w:ascii="Calibri" w:eastAsia="Times New Roman" w:hAnsi="Calibri" w:cs="Times New Roman"/>
          <w:color w:val="000000"/>
          <w:sz w:val="20"/>
          <w:szCs w:val="20"/>
        </w:rPr>
        <w:t xml:space="preserve"> ascertained from MBS data for item 18377. See methods section for details.</w:t>
      </w:r>
    </w:p>
    <w:p w:rsidR="00813757" w:rsidRDefault="00C52AF3" w:rsidP="005770A5">
      <w:pPr>
        <w:spacing w:after="0"/>
        <w:rPr>
          <w:rFonts w:ascii="Calibri" w:eastAsia="Times New Roman" w:hAnsi="Calibri" w:cs="Times New Roman"/>
          <w:color w:val="000000"/>
          <w:sz w:val="20"/>
          <w:szCs w:val="20"/>
        </w:rPr>
      </w:pPr>
      <w:r w:rsidRPr="00C52AF3">
        <w:rPr>
          <w:rFonts w:ascii="Calibri" w:eastAsia="Times New Roman" w:hAnsi="Calibri" w:cs="Times New Roman"/>
          <w:color w:val="000000"/>
          <w:sz w:val="20"/>
          <w:szCs w:val="20"/>
          <w:vertAlign w:val="superscript"/>
        </w:rPr>
        <w:t>b</w:t>
      </w:r>
      <w:r w:rsidR="00813757">
        <w:rPr>
          <w:rFonts w:ascii="Calibri" w:eastAsia="Times New Roman" w:hAnsi="Calibri" w:cs="Times New Roman"/>
          <w:color w:val="000000"/>
          <w:sz w:val="20"/>
          <w:szCs w:val="20"/>
        </w:rPr>
        <w:t xml:space="preserve"> ascertained </w:t>
      </w:r>
      <w:r>
        <w:rPr>
          <w:rFonts w:ascii="Calibri" w:eastAsia="Times New Roman" w:hAnsi="Calibri" w:cs="Times New Roman"/>
          <w:color w:val="000000"/>
          <w:sz w:val="20"/>
          <w:szCs w:val="20"/>
        </w:rPr>
        <w:t xml:space="preserve">from </w:t>
      </w:r>
      <w:r w:rsidR="006A24BD">
        <w:rPr>
          <w:rFonts w:ascii="Calibri" w:eastAsia="Times New Roman" w:hAnsi="Calibri" w:cs="Times New Roman"/>
          <w:color w:val="000000"/>
          <w:sz w:val="20"/>
          <w:szCs w:val="20"/>
        </w:rPr>
        <w:t>PBS data</w:t>
      </w:r>
    </w:p>
    <w:p w:rsidR="00817489" w:rsidRDefault="00817489" w:rsidP="005770A5">
      <w:pPr>
        <w:spacing w:after="0"/>
        <w:rPr>
          <w:rFonts w:ascii="Calibri" w:eastAsia="Times New Roman" w:hAnsi="Calibri" w:cs="Times New Roman"/>
          <w:color w:val="000000"/>
          <w:sz w:val="20"/>
          <w:szCs w:val="20"/>
        </w:rPr>
      </w:pPr>
      <w:r w:rsidRPr="00936540">
        <w:rPr>
          <w:rFonts w:ascii="Calibri" w:eastAsia="Times New Roman" w:hAnsi="Calibri" w:cs="Times New Roman"/>
          <w:color w:val="000000"/>
          <w:sz w:val="20"/>
          <w:szCs w:val="20"/>
          <w:vertAlign w:val="superscript"/>
        </w:rPr>
        <w:t>c</w:t>
      </w:r>
      <w:r>
        <w:rPr>
          <w:rFonts w:ascii="Calibri" w:eastAsia="Times New Roman" w:hAnsi="Calibri" w:cs="Times New Roman"/>
          <w:color w:val="000000"/>
          <w:sz w:val="20"/>
          <w:szCs w:val="20"/>
        </w:rPr>
        <w:t xml:space="preserve"> compared to the predicted number of PBS treatments / prescriptions</w:t>
      </w:r>
    </w:p>
    <w:p w:rsidR="00813757" w:rsidRDefault="00813757" w:rsidP="005770A5">
      <w:pPr>
        <w:spacing w:after="0"/>
        <w:rPr>
          <w:rFonts w:ascii="Calibri" w:eastAsia="Times New Roman" w:hAnsi="Calibri" w:cs="Times New Roman"/>
          <w:color w:val="000000"/>
          <w:sz w:val="20"/>
          <w:szCs w:val="20"/>
        </w:rPr>
      </w:pPr>
      <w:r w:rsidRPr="00C52AF3">
        <w:rPr>
          <w:rFonts w:ascii="Calibri" w:eastAsia="Times New Roman" w:hAnsi="Calibri" w:cs="Times New Roman"/>
          <w:color w:val="000000"/>
          <w:sz w:val="20"/>
          <w:szCs w:val="20"/>
          <w:vertAlign w:val="superscript"/>
        </w:rPr>
        <w:t xml:space="preserve"># </w:t>
      </w:r>
      <w:r>
        <w:rPr>
          <w:rFonts w:ascii="Calibri" w:eastAsia="Times New Roman" w:hAnsi="Calibri" w:cs="Times New Roman"/>
          <w:color w:val="000000"/>
          <w:sz w:val="20"/>
          <w:szCs w:val="20"/>
        </w:rPr>
        <w:t>the predicted estimates of use did not quantify prevalent patients</w:t>
      </w:r>
    </w:p>
    <w:p w:rsidR="00F87E0B" w:rsidRDefault="009D20AA" w:rsidP="005770A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F87E0B">
        <w:rPr>
          <w:rFonts w:ascii="Calibri" w:eastAsia="Times New Roman" w:hAnsi="Calibri" w:cs="Times New Roman"/>
          <w:color w:val="000000"/>
          <w:sz w:val="20"/>
          <w:szCs w:val="20"/>
        </w:rPr>
        <w:t>Year to date (Dec 16)</w:t>
      </w:r>
    </w:p>
    <w:p w:rsidR="00C52AF3" w:rsidRPr="005770A5" w:rsidRDefault="00F87E0B" w:rsidP="005770A5">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 Year to date (Nov 16)</w:t>
      </w:r>
      <w:r w:rsidR="0077058D">
        <w:rPr>
          <w:rFonts w:ascii="Calibri" w:eastAsia="Times New Roman" w:hAnsi="Calibri" w:cs="Times New Roman"/>
          <w:color w:val="000000"/>
          <w:sz w:val="20"/>
          <w:szCs w:val="20"/>
        </w:rPr>
        <w:br/>
      </w:r>
      <w:r w:rsidR="00C52AF3">
        <w:rPr>
          <w:rFonts w:ascii="Calibri" w:eastAsia="Times New Roman" w:hAnsi="Calibri" w:cs="Times New Roman"/>
          <w:snapToGrid w:val="0"/>
          <w:sz w:val="20"/>
          <w:szCs w:val="20"/>
          <w:lang w:eastAsia="zh-CN"/>
        </w:rPr>
        <w:t>^ RPBS was 0.39% of all prescriptions.</w:t>
      </w:r>
    </w:p>
    <w:p w:rsidR="00FF5CFC" w:rsidRDefault="00080CE6" w:rsidP="00F74FFD">
      <w:pPr>
        <w:rPr>
          <w:rFonts w:eastAsia="MS Mincho"/>
        </w:rPr>
      </w:pPr>
      <w:r>
        <w:rPr>
          <w:rFonts w:eastAsia="MS Mincho"/>
        </w:rPr>
        <w:t xml:space="preserve">Table </w:t>
      </w:r>
      <w:r w:rsidR="00A310B7">
        <w:rPr>
          <w:rFonts w:eastAsia="MS Mincho"/>
        </w:rPr>
        <w:t>4</w:t>
      </w:r>
      <w:r>
        <w:rPr>
          <w:rFonts w:eastAsia="MS Mincho"/>
        </w:rPr>
        <w:t xml:space="preserve"> shows tha</w:t>
      </w:r>
      <w:r w:rsidR="00441FB5">
        <w:rPr>
          <w:rFonts w:eastAsia="MS Mincho"/>
        </w:rPr>
        <w:t>t</w:t>
      </w:r>
      <w:r>
        <w:rPr>
          <w:rFonts w:eastAsia="MS Mincho"/>
        </w:rPr>
        <w:t xml:space="preserve"> utilisation has been </w:t>
      </w:r>
      <w:r w:rsidR="00013F2F">
        <w:rPr>
          <w:rFonts w:eastAsia="MS Mincho"/>
        </w:rPr>
        <w:t xml:space="preserve">much higher than </w:t>
      </w:r>
      <w:r>
        <w:rPr>
          <w:rFonts w:eastAsia="MS Mincho"/>
        </w:rPr>
        <w:t>predicted</w:t>
      </w:r>
      <w:r w:rsidR="00D75228">
        <w:rPr>
          <w:rFonts w:eastAsia="MS Mincho"/>
        </w:rPr>
        <w:t>.</w:t>
      </w:r>
      <w:r w:rsidR="005362DB">
        <w:rPr>
          <w:rFonts w:eastAsia="MS Mincho"/>
        </w:rPr>
        <w:t xml:space="preserve"> </w:t>
      </w:r>
    </w:p>
    <w:p w:rsidR="00B6524D" w:rsidRDefault="00FF5CFC" w:rsidP="00F74FFD">
      <w:pPr>
        <w:rPr>
          <w:rFonts w:eastAsia="MS Mincho"/>
        </w:rPr>
      </w:pPr>
      <w:r>
        <w:rPr>
          <w:rFonts w:eastAsia="MS Mincho"/>
        </w:rPr>
        <w:t xml:space="preserve">The higher than expected number of patients treated could be due to </w:t>
      </w:r>
      <w:r w:rsidR="007A556F">
        <w:rPr>
          <w:rFonts w:eastAsia="MS Mincho"/>
        </w:rPr>
        <w:t xml:space="preserve">an </w:t>
      </w:r>
      <w:r>
        <w:rPr>
          <w:rFonts w:eastAsia="MS Mincho"/>
        </w:rPr>
        <w:t>underestimate of the pool of eligible patients or a higher rate of uptake in eligible patients.</w:t>
      </w:r>
      <w:r w:rsidR="00CA345E">
        <w:rPr>
          <w:rFonts w:eastAsia="MS Mincho"/>
        </w:rPr>
        <w:t xml:space="preserve"> </w:t>
      </w:r>
      <w:r w:rsidR="00073AF2">
        <w:rPr>
          <w:rFonts w:eastAsia="MS Mincho"/>
          <w:noProof/>
          <w:color w:val="000000"/>
          <w:highlight w:val="black"/>
        </w:rPr>
        <w:t>''''''' '''''''''''''''''''''' ''''''''' ''''' ''''''''''' ''''''' ''''''''''''''''''' '''' ''''''' '''''' ''''''''''''''''' ''' ''''''''''' ''''</w:t>
      </w:r>
      <w:r>
        <w:rPr>
          <w:rFonts w:eastAsia="MS Mincho"/>
        </w:rPr>
        <w:t xml:space="preserve"> There is limited evidence available to assess the reasons for any difference, and the risk sharing arrangement was developed </w:t>
      </w:r>
      <w:r w:rsidR="007D69B9">
        <w:rPr>
          <w:rFonts w:eastAsia="MS Mincho"/>
        </w:rPr>
        <w:t xml:space="preserve">to </w:t>
      </w:r>
      <w:r>
        <w:rPr>
          <w:rFonts w:eastAsia="MS Mincho"/>
        </w:rPr>
        <w:t>address this uncertainty.</w:t>
      </w:r>
    </w:p>
    <w:p w:rsidR="00B6524D" w:rsidRPr="00B6524D" w:rsidRDefault="00B6524D" w:rsidP="00F74FFD">
      <w:pPr>
        <w:rPr>
          <w:rFonts w:eastAsia="MS Mincho"/>
        </w:rPr>
      </w:pPr>
      <w:r w:rsidRPr="00B6524D">
        <w:rPr>
          <w:rFonts w:eastAsia="MS Mincho"/>
        </w:rPr>
        <w:lastRenderedPageBreak/>
        <w:t xml:space="preserve">One assumption that can be tested is the proportion of neurologists who inject botulinum toxin.  The </w:t>
      </w:r>
      <w:r w:rsidR="00CA345E">
        <w:rPr>
          <w:rFonts w:eastAsia="MS Mincho"/>
        </w:rPr>
        <w:t>re</w:t>
      </w:r>
      <w:r w:rsidRPr="00B6524D">
        <w:rPr>
          <w:rFonts w:eastAsia="MS Mincho"/>
        </w:rPr>
        <w:t xml:space="preserve">submission assumed that 25.3% of neurologists would inject botulinum toxin (based on the proportion who were registered to inject botulinum toxin), and that this figure would increase by 2% per year. This means that </w:t>
      </w:r>
      <w:r w:rsidR="00CA345E">
        <w:rPr>
          <w:rFonts w:eastAsia="MS Mincho"/>
        </w:rPr>
        <w:t xml:space="preserve">it was expected that </w:t>
      </w:r>
      <w:r w:rsidRPr="00B6524D">
        <w:rPr>
          <w:rFonts w:eastAsia="MS Mincho"/>
        </w:rPr>
        <w:t xml:space="preserve">31.3% of neurologists would </w:t>
      </w:r>
      <w:r w:rsidR="002C1F2E">
        <w:rPr>
          <w:rFonts w:eastAsia="MS Mincho"/>
        </w:rPr>
        <w:t>inject</w:t>
      </w:r>
      <w:r w:rsidR="002C1F2E" w:rsidRPr="00B6524D">
        <w:rPr>
          <w:rFonts w:eastAsia="MS Mincho"/>
        </w:rPr>
        <w:t xml:space="preserve"> </w:t>
      </w:r>
      <w:r w:rsidRPr="00B6524D">
        <w:rPr>
          <w:rFonts w:eastAsia="MS Mincho"/>
        </w:rPr>
        <w:t>botulinum toxin in 2016.</w:t>
      </w:r>
    </w:p>
    <w:p w:rsidR="00FF5CFC" w:rsidRDefault="00B6524D" w:rsidP="00F74FFD">
      <w:pPr>
        <w:rPr>
          <w:rFonts w:eastAsia="MS Mincho"/>
        </w:rPr>
      </w:pPr>
      <w:r w:rsidRPr="00B6524D">
        <w:rPr>
          <w:rFonts w:eastAsia="MS Mincho"/>
        </w:rPr>
        <w:t xml:space="preserve">The total number of </w:t>
      </w:r>
      <w:r w:rsidR="00F96DCB">
        <w:rPr>
          <w:rFonts w:eastAsia="MS Mincho"/>
        </w:rPr>
        <w:t xml:space="preserve">PBS claiming </w:t>
      </w:r>
      <w:r w:rsidRPr="00B6524D">
        <w:rPr>
          <w:rFonts w:eastAsia="MS Mincho"/>
        </w:rPr>
        <w:t>neurologists was counted from the PBS prescription data which contains a prescriber ID variable. There were 609 neurologists that prescribed at least one PBS prescription of any drug in 2016, and 156 (25.6</w:t>
      </w:r>
      <w:r w:rsidR="00400931" w:rsidRPr="00B6524D">
        <w:rPr>
          <w:rFonts w:eastAsia="MS Mincho"/>
        </w:rPr>
        <w:t>%)</w:t>
      </w:r>
      <w:r w:rsidRPr="00B6524D">
        <w:rPr>
          <w:rFonts w:eastAsia="MS Mincho"/>
        </w:rPr>
        <w:t xml:space="preserve"> of these prescribed botulinum toxin for chronic migraine in 2016. The number of neurologists who prescribed botulinum toxin for any indication was 186 (30.5%). This finding suggests that the higher than expected number of patients treated cannot be accounted for by an increase in the proportion of neurologists offering botulinum treatment.  </w:t>
      </w:r>
    </w:p>
    <w:p w:rsidR="00013F2F" w:rsidRDefault="005362DB" w:rsidP="00F74FFD">
      <w:pPr>
        <w:rPr>
          <w:rFonts w:eastAsia="MS Mincho"/>
        </w:rPr>
      </w:pPr>
      <w:r w:rsidRPr="00F74FFD">
        <w:t xml:space="preserve">The difference in predicted and actual use is </w:t>
      </w:r>
      <w:r w:rsidR="002B2C83" w:rsidRPr="00F74FFD">
        <w:t>disproportionate</w:t>
      </w:r>
      <w:r w:rsidRPr="00F74FFD">
        <w:t xml:space="preserve"> across the number of</w:t>
      </w:r>
      <w:r>
        <w:rPr>
          <w:rFonts w:eastAsia="MS Mincho"/>
        </w:rPr>
        <w:t xml:space="preserve"> patients and the number of prescriptions. For example, i</w:t>
      </w:r>
      <w:r w:rsidR="00013F2F">
        <w:rPr>
          <w:rFonts w:eastAsia="MS Mincho"/>
        </w:rPr>
        <w:t xml:space="preserve">n the first year of listing the number of patients starting treatment was 54% higher than expected but the number of prescriptions was approximately 120% higher than expected. Possible reasons for the disproportionate difference between patients and prescriptions could </w:t>
      </w:r>
      <w:r w:rsidR="00731449">
        <w:rPr>
          <w:rFonts w:eastAsia="MS Mincho"/>
        </w:rPr>
        <w:t>include</w:t>
      </w:r>
      <w:r w:rsidR="00013F2F">
        <w:rPr>
          <w:rFonts w:eastAsia="MS Mincho"/>
        </w:rPr>
        <w:t>:</w:t>
      </w:r>
    </w:p>
    <w:p w:rsidR="00013F2F" w:rsidRPr="00F74FFD" w:rsidRDefault="00013F2F" w:rsidP="00F74FFD">
      <w:pPr>
        <w:pStyle w:val="ListParagraph"/>
        <w:numPr>
          <w:ilvl w:val="0"/>
          <w:numId w:val="31"/>
        </w:numPr>
        <w:rPr>
          <w:rFonts w:eastAsia="MS Mincho"/>
        </w:rPr>
      </w:pPr>
      <w:r w:rsidRPr="00F74FFD">
        <w:rPr>
          <w:rFonts w:eastAsia="MS Mincho"/>
        </w:rPr>
        <w:t>The number of presc</w:t>
      </w:r>
      <w:r w:rsidR="005362DB" w:rsidRPr="00F74FFD">
        <w:rPr>
          <w:rFonts w:eastAsia="MS Mincho"/>
        </w:rPr>
        <w:t>r</w:t>
      </w:r>
      <w:r w:rsidRPr="00F74FFD">
        <w:rPr>
          <w:rFonts w:eastAsia="MS Mincho"/>
        </w:rPr>
        <w:t>iptions in year 1 for patients wh</w:t>
      </w:r>
      <w:r w:rsidR="007A556F" w:rsidRPr="00F74FFD">
        <w:rPr>
          <w:rFonts w:eastAsia="MS Mincho"/>
        </w:rPr>
        <w:t>o had received botulinum</w:t>
      </w:r>
      <w:r w:rsidRPr="00F74FFD">
        <w:rPr>
          <w:rFonts w:eastAsia="MS Mincho"/>
        </w:rPr>
        <w:t xml:space="preserve"> toxin through the private market </w:t>
      </w:r>
      <w:r w:rsidR="002C1F2E" w:rsidRPr="00F74FFD">
        <w:rPr>
          <w:rFonts w:eastAsia="MS Mincho"/>
        </w:rPr>
        <w:t xml:space="preserve">prior to </w:t>
      </w:r>
      <w:r w:rsidRPr="00F74FFD">
        <w:rPr>
          <w:rFonts w:eastAsia="MS Mincho"/>
        </w:rPr>
        <w:t>PBS listing may have been underestimated because the</w:t>
      </w:r>
      <w:r w:rsidR="00FF5CFC" w:rsidRPr="00F74FFD">
        <w:rPr>
          <w:rFonts w:eastAsia="MS Mincho"/>
        </w:rPr>
        <w:t>se patients would have already</w:t>
      </w:r>
      <w:r w:rsidRPr="00F74FFD">
        <w:rPr>
          <w:rFonts w:eastAsia="MS Mincho"/>
        </w:rPr>
        <w:t xml:space="preserve"> demonstrated a response;</w:t>
      </w:r>
    </w:p>
    <w:p w:rsidR="00817489" w:rsidRPr="00F74FFD" w:rsidRDefault="00923C64" w:rsidP="00F74FFD">
      <w:pPr>
        <w:pStyle w:val="ListParagraph"/>
        <w:numPr>
          <w:ilvl w:val="0"/>
          <w:numId w:val="31"/>
        </w:numPr>
        <w:rPr>
          <w:rFonts w:eastAsia="MS Mincho"/>
        </w:rPr>
      </w:pPr>
      <w:r w:rsidRPr="00F74FFD">
        <w:rPr>
          <w:rFonts w:eastAsia="MS Mincho"/>
        </w:rPr>
        <w:t>The rate of continuation</w:t>
      </w:r>
      <w:r w:rsidR="005362DB" w:rsidRPr="00F74FFD">
        <w:rPr>
          <w:rFonts w:eastAsia="MS Mincho"/>
        </w:rPr>
        <w:t xml:space="preserve"> in the first and subsequent years of a patient’s treatment, and therefore the number of prescripti</w:t>
      </w:r>
      <w:r w:rsidR="00731449" w:rsidRPr="00F74FFD">
        <w:rPr>
          <w:rFonts w:eastAsia="MS Mincho"/>
        </w:rPr>
        <w:t>o</w:t>
      </w:r>
      <w:r w:rsidR="005362DB" w:rsidRPr="00F74FFD">
        <w:rPr>
          <w:rFonts w:eastAsia="MS Mincho"/>
        </w:rPr>
        <w:t>ns</w:t>
      </w:r>
      <w:r w:rsidR="00731449" w:rsidRPr="00F74FFD">
        <w:rPr>
          <w:rFonts w:eastAsia="MS Mincho"/>
        </w:rPr>
        <w:t xml:space="preserve"> supplied,</w:t>
      </w:r>
      <w:r w:rsidRPr="00F74FFD">
        <w:rPr>
          <w:rFonts w:eastAsia="MS Mincho"/>
        </w:rPr>
        <w:t xml:space="preserve"> </w:t>
      </w:r>
      <w:r w:rsidR="005362DB" w:rsidRPr="00F74FFD">
        <w:rPr>
          <w:rFonts w:eastAsia="MS Mincho"/>
        </w:rPr>
        <w:t xml:space="preserve">may be higher than expected. </w:t>
      </w:r>
      <w:r w:rsidR="00731449" w:rsidRPr="00F74FFD">
        <w:rPr>
          <w:rFonts w:eastAsia="MS Mincho"/>
        </w:rPr>
        <w:t>Continuation rates are</w:t>
      </w:r>
      <w:r w:rsidR="005362DB" w:rsidRPr="00F74FFD">
        <w:rPr>
          <w:rFonts w:eastAsia="MS Mincho"/>
        </w:rPr>
        <w:t xml:space="preserve"> investigated further below.</w:t>
      </w:r>
    </w:p>
    <w:p w:rsidR="00817489" w:rsidRPr="00F74FFD" w:rsidRDefault="00817489" w:rsidP="00F74FFD">
      <w:pPr>
        <w:pStyle w:val="ListParagraph"/>
        <w:numPr>
          <w:ilvl w:val="0"/>
          <w:numId w:val="31"/>
        </w:numPr>
        <w:rPr>
          <w:rFonts w:eastAsia="MS Mincho"/>
        </w:rPr>
      </w:pPr>
      <w:r w:rsidRPr="00F74FFD">
        <w:rPr>
          <w:rFonts w:eastAsia="MS Mincho"/>
        </w:rPr>
        <w:t xml:space="preserve">The “half year correction” applied to the estimates in year 1 was based on the assumption the patients would initiate </w:t>
      </w:r>
      <w:r w:rsidR="005F241F" w:rsidRPr="00F74FFD">
        <w:rPr>
          <w:rFonts w:eastAsia="MS Mincho"/>
        </w:rPr>
        <w:t>evenly throughout the year. However a higher proportion of patients initiated earl</w:t>
      </w:r>
      <w:r w:rsidR="002C1F2E" w:rsidRPr="00F74FFD">
        <w:rPr>
          <w:rFonts w:eastAsia="MS Mincho"/>
        </w:rPr>
        <w:t>ier</w:t>
      </w:r>
      <w:r w:rsidR="005F241F" w:rsidRPr="00F74FFD">
        <w:rPr>
          <w:rFonts w:eastAsia="MS Mincho"/>
        </w:rPr>
        <w:t xml:space="preserve"> in the </w:t>
      </w:r>
      <w:r w:rsidR="002C1F2E" w:rsidRPr="00F74FFD">
        <w:rPr>
          <w:rFonts w:eastAsia="MS Mincho"/>
        </w:rPr>
        <w:t xml:space="preserve">listing </w:t>
      </w:r>
      <w:r w:rsidR="005F241F" w:rsidRPr="00F74FFD">
        <w:rPr>
          <w:rFonts w:eastAsia="MS Mincho"/>
        </w:rPr>
        <w:t>year (</w:t>
      </w:r>
      <w:r w:rsidR="00FF5CFC" w:rsidRPr="00F74FFD">
        <w:rPr>
          <w:rFonts w:eastAsia="MS Mincho"/>
        </w:rPr>
        <w:t>see Figure 2). N</w:t>
      </w:r>
      <w:r w:rsidR="005F241F" w:rsidRPr="00F74FFD">
        <w:rPr>
          <w:rFonts w:eastAsia="MS Mincho"/>
        </w:rPr>
        <w:t xml:space="preserve">ote that </w:t>
      </w:r>
      <w:r w:rsidR="00FF5CFC" w:rsidRPr="00F74FFD">
        <w:rPr>
          <w:rFonts w:eastAsia="MS Mincho"/>
        </w:rPr>
        <w:t>Q2 in</w:t>
      </w:r>
      <w:r w:rsidR="005F241F" w:rsidRPr="00F74FFD">
        <w:rPr>
          <w:rFonts w:eastAsia="MS Mincho"/>
        </w:rPr>
        <w:t xml:space="preserve"> </w:t>
      </w:r>
      <w:r w:rsidR="00400931" w:rsidRPr="00F74FFD">
        <w:rPr>
          <w:rFonts w:eastAsia="MS Mincho"/>
        </w:rPr>
        <w:t>2014 only</w:t>
      </w:r>
      <w:r w:rsidR="005F241F" w:rsidRPr="00F74FFD">
        <w:rPr>
          <w:rFonts w:eastAsia="MS Mincho"/>
        </w:rPr>
        <w:t xml:space="preserve"> contains one month of data, March 2014</w:t>
      </w:r>
      <w:r w:rsidR="005B4648" w:rsidRPr="00F74FFD">
        <w:rPr>
          <w:rFonts w:eastAsia="MS Mincho"/>
        </w:rPr>
        <w:t>, so the first year of listing is approximately 2014 Q2 to 2015 Q1</w:t>
      </w:r>
      <w:r w:rsidR="00FF5CFC" w:rsidRPr="00F74FFD">
        <w:rPr>
          <w:rFonts w:eastAsia="MS Mincho"/>
        </w:rPr>
        <w:t>.</w:t>
      </w:r>
    </w:p>
    <w:p w:rsidR="008F4457" w:rsidRDefault="00B81283" w:rsidP="00F74FFD">
      <w:pPr>
        <w:rPr>
          <w:rFonts w:eastAsia="MS Mincho"/>
        </w:rPr>
      </w:pPr>
      <w:r>
        <w:rPr>
          <w:rFonts w:eastAsia="MS Mincho"/>
        </w:rPr>
        <w:t xml:space="preserve">The </w:t>
      </w:r>
      <w:r w:rsidRPr="00B81283">
        <w:rPr>
          <w:rFonts w:eastAsia="MS Mincho"/>
        </w:rPr>
        <w:t>recommended dose for treating chronic migraine is 155 U to 195 U</w:t>
      </w:r>
      <w:r w:rsidR="002C1F2E">
        <w:rPr>
          <w:rFonts w:eastAsia="MS Mincho"/>
        </w:rPr>
        <w:t>,</w:t>
      </w:r>
      <w:r>
        <w:rPr>
          <w:rFonts w:eastAsia="MS Mincho"/>
        </w:rPr>
        <w:t xml:space="preserve"> therefore requiring</w:t>
      </w:r>
      <w:r w:rsidR="005362DB">
        <w:rPr>
          <w:rFonts w:eastAsia="MS Mincho"/>
        </w:rPr>
        <w:t xml:space="preserve"> two </w:t>
      </w:r>
      <w:r w:rsidRPr="00817489">
        <w:t>100</w:t>
      </w:r>
      <w:r>
        <w:t> </w:t>
      </w:r>
      <w:r w:rsidRPr="00817489">
        <w:t>U</w:t>
      </w:r>
      <w:r>
        <w:rPr>
          <w:rFonts w:eastAsia="MS Mincho"/>
        </w:rPr>
        <w:t xml:space="preserve"> </w:t>
      </w:r>
      <w:r w:rsidR="005362DB">
        <w:rPr>
          <w:rFonts w:eastAsia="MS Mincho"/>
        </w:rPr>
        <w:t xml:space="preserve">vials. </w:t>
      </w:r>
      <w:r w:rsidR="00080CE6">
        <w:rPr>
          <w:rFonts w:eastAsia="MS Mincho"/>
        </w:rPr>
        <w:t xml:space="preserve">The </w:t>
      </w:r>
      <w:r w:rsidR="00D82DD3">
        <w:rPr>
          <w:rFonts w:eastAsia="MS Mincho"/>
        </w:rPr>
        <w:t xml:space="preserve">mean </w:t>
      </w:r>
      <w:r w:rsidR="00080CE6">
        <w:rPr>
          <w:rFonts w:eastAsia="MS Mincho"/>
        </w:rPr>
        <w:t xml:space="preserve">number of vials per treatment </w:t>
      </w:r>
      <w:r w:rsidR="00936540">
        <w:rPr>
          <w:rFonts w:eastAsia="MS Mincho"/>
        </w:rPr>
        <w:t>was</w:t>
      </w:r>
      <w:r w:rsidR="00080CE6">
        <w:rPr>
          <w:rFonts w:eastAsia="MS Mincho"/>
        </w:rPr>
        <w:t xml:space="preserve"> </w:t>
      </w:r>
      <w:r w:rsidR="005362DB">
        <w:rPr>
          <w:rFonts w:eastAsia="MS Mincho"/>
        </w:rPr>
        <w:t xml:space="preserve">slightly lower than </w:t>
      </w:r>
      <w:r w:rsidR="00080CE6">
        <w:rPr>
          <w:rFonts w:eastAsia="MS Mincho"/>
        </w:rPr>
        <w:t>predicted.</w:t>
      </w:r>
      <w:r w:rsidR="005362DB">
        <w:rPr>
          <w:rFonts w:eastAsia="MS Mincho"/>
        </w:rPr>
        <w:t xml:space="preserve"> One possible reason for </w:t>
      </w:r>
      <w:r w:rsidR="00040616">
        <w:rPr>
          <w:rFonts w:eastAsia="MS Mincho"/>
        </w:rPr>
        <w:t xml:space="preserve">this </w:t>
      </w:r>
      <w:r w:rsidR="00D82DD3">
        <w:rPr>
          <w:rFonts w:eastAsia="MS Mincho"/>
        </w:rPr>
        <w:t>may be</w:t>
      </w:r>
      <w:r w:rsidR="005362DB">
        <w:rPr>
          <w:rFonts w:eastAsia="MS Mincho"/>
        </w:rPr>
        <w:t xml:space="preserve"> that some patients only use</w:t>
      </w:r>
      <w:r w:rsidR="00936540">
        <w:rPr>
          <w:rFonts w:eastAsia="MS Mincho"/>
        </w:rPr>
        <w:t>d</w:t>
      </w:r>
      <w:r w:rsidR="005362DB">
        <w:rPr>
          <w:rFonts w:eastAsia="MS Mincho"/>
        </w:rPr>
        <w:t xml:space="preserve"> one vial. In the submission</w:t>
      </w:r>
      <w:r w:rsidR="001F30D5">
        <w:rPr>
          <w:rFonts w:eastAsia="MS Mincho"/>
        </w:rPr>
        <w:t xml:space="preserve"> to the July 2013 PBAC (p27)</w:t>
      </w:r>
      <w:r w:rsidR="005362DB">
        <w:rPr>
          <w:rFonts w:eastAsia="MS Mincho"/>
        </w:rPr>
        <w:t xml:space="preserve"> the sponsor h</w:t>
      </w:r>
      <w:r w:rsidR="001F30D5">
        <w:rPr>
          <w:rFonts w:eastAsia="MS Mincho"/>
        </w:rPr>
        <w:t xml:space="preserve">ad noted that some patients paying for botulinum toxin </w:t>
      </w:r>
      <w:r w:rsidR="002B2C83">
        <w:rPr>
          <w:rFonts w:eastAsia="MS Mincho"/>
        </w:rPr>
        <w:t>privately prior</w:t>
      </w:r>
      <w:r w:rsidR="001F30D5">
        <w:rPr>
          <w:rFonts w:eastAsia="MS Mincho"/>
        </w:rPr>
        <w:t xml:space="preserve"> to PBS listing were treated at a lower dose</w:t>
      </w:r>
      <w:r w:rsidR="002B2C83">
        <w:rPr>
          <w:rFonts w:eastAsia="MS Mincho"/>
        </w:rPr>
        <w:t xml:space="preserve"> of 100 U due to cost</w:t>
      </w:r>
      <w:r w:rsidR="005362DB">
        <w:rPr>
          <w:rFonts w:eastAsia="MS Mincho"/>
        </w:rPr>
        <w:t>. Another possibility is that vials were shared</w:t>
      </w:r>
      <w:r w:rsidR="009C554F">
        <w:rPr>
          <w:rFonts w:eastAsia="MS Mincho"/>
        </w:rPr>
        <w:t xml:space="preserve"> between patient</w:t>
      </w:r>
      <w:r w:rsidR="001F30D5">
        <w:rPr>
          <w:rFonts w:eastAsia="MS Mincho"/>
        </w:rPr>
        <w:t>s in clinics</w:t>
      </w:r>
      <w:r w:rsidR="005362DB">
        <w:rPr>
          <w:rFonts w:eastAsia="MS Mincho"/>
        </w:rPr>
        <w:t xml:space="preserve">, however </w:t>
      </w:r>
      <w:r w:rsidR="009C554F" w:rsidRPr="009C554F">
        <w:rPr>
          <w:rFonts w:eastAsia="MS Mincho"/>
        </w:rPr>
        <w:t>PBS-subsided botulinum toxin vials must not be split across patients as multi-use is not permitted</w:t>
      </w:r>
      <w:r w:rsidR="001F30D5">
        <w:rPr>
          <w:rFonts w:eastAsia="MS Mincho"/>
        </w:rPr>
        <w:t xml:space="preserve"> </w:t>
      </w:r>
      <w:r w:rsidR="009C554F" w:rsidRPr="009C554F">
        <w:rPr>
          <w:rFonts w:eastAsia="MS Mincho"/>
        </w:rPr>
        <w:t>under PBS Regulations.</w:t>
      </w:r>
      <w:r w:rsidR="00091AAB">
        <w:rPr>
          <w:rFonts w:eastAsia="MS Mincho"/>
        </w:rPr>
        <w:t xml:space="preserve"> </w:t>
      </w:r>
      <w:r w:rsidR="00DB55A1">
        <w:rPr>
          <w:rFonts w:eastAsia="MS Mincho"/>
        </w:rPr>
        <w:t>Table 5</w:t>
      </w:r>
      <w:r w:rsidR="00091AAB">
        <w:rPr>
          <w:rFonts w:eastAsia="MS Mincho"/>
        </w:rPr>
        <w:t xml:space="preserve"> shows the distribution of the number of vials per prescription for all prescriptions from September 2015 to the end of December 2016.</w:t>
      </w:r>
    </w:p>
    <w:p w:rsidR="00B455E6" w:rsidRDefault="00B455E6">
      <w:pPr>
        <w:spacing w:line="276" w:lineRule="auto"/>
        <w:rPr>
          <w:rFonts w:ascii="Calibri" w:eastAsia="Times New Roman" w:hAnsi="Calibri" w:cs="Times New Roman"/>
          <w:b/>
          <w:iCs/>
          <w:snapToGrid w:val="0"/>
          <w:lang w:eastAsia="en-US"/>
        </w:rPr>
      </w:pPr>
      <w:r>
        <w:rPr>
          <w:rFonts w:ascii="Calibri" w:eastAsia="Times New Roman" w:hAnsi="Calibri" w:cs="Times New Roman"/>
          <w:b/>
          <w:iCs/>
          <w:snapToGrid w:val="0"/>
          <w:lang w:eastAsia="en-US"/>
        </w:rPr>
        <w:br w:type="page"/>
      </w:r>
    </w:p>
    <w:p w:rsidR="00DB55A1" w:rsidRPr="00B87CD5" w:rsidRDefault="00DB55A1" w:rsidP="00DB55A1">
      <w:pPr>
        <w:widowControl w:val="0"/>
        <w:spacing w:after="0"/>
        <w:rPr>
          <w:rFonts w:ascii="Calibri" w:eastAsia="Times New Roman" w:hAnsi="Calibri" w:cs="Times New Roman"/>
          <w:b/>
          <w:iCs/>
          <w:snapToGrid w:val="0"/>
          <w:lang w:eastAsia="en-US"/>
        </w:rPr>
      </w:pPr>
      <w:r w:rsidRPr="00B87CD5">
        <w:rPr>
          <w:rFonts w:ascii="Calibri" w:eastAsia="Times New Roman" w:hAnsi="Calibri" w:cs="Times New Roman"/>
          <w:b/>
          <w:iCs/>
          <w:snapToGrid w:val="0"/>
          <w:lang w:eastAsia="en-US"/>
        </w:rPr>
        <w:lastRenderedPageBreak/>
        <w:t xml:space="preserve">Table </w:t>
      </w:r>
      <w:r>
        <w:rPr>
          <w:rFonts w:ascii="Calibri" w:eastAsia="Times New Roman" w:hAnsi="Calibri" w:cs="Times New Roman"/>
          <w:b/>
          <w:iCs/>
          <w:snapToGrid w:val="0"/>
          <w:lang w:eastAsia="en-US"/>
        </w:rPr>
        <w:t>5</w:t>
      </w:r>
      <w:r w:rsidRPr="00B87CD5">
        <w:rPr>
          <w:rFonts w:ascii="Calibri" w:eastAsia="Times New Roman" w:hAnsi="Calibri" w:cs="Times New Roman"/>
          <w:b/>
          <w:iCs/>
          <w:snapToGrid w:val="0"/>
          <w:lang w:eastAsia="en-US"/>
        </w:rPr>
        <w:t xml:space="preserve">: </w:t>
      </w:r>
      <w:r>
        <w:rPr>
          <w:rFonts w:ascii="Calibri" w:eastAsia="MS Mincho" w:hAnsi="Calibri" w:cs="Times New Roman"/>
          <w:b/>
        </w:rPr>
        <w:t>D</w:t>
      </w:r>
      <w:r w:rsidRPr="00091AAB">
        <w:rPr>
          <w:rFonts w:ascii="Calibri" w:eastAsia="MS Mincho" w:hAnsi="Calibri" w:cs="Times New Roman"/>
          <w:b/>
          <w:szCs w:val="28"/>
        </w:rPr>
        <w:t>istribution of the number of vials per prescription for chronic migraine</w:t>
      </w:r>
    </w:p>
    <w:tbl>
      <w:tblPr>
        <w:tblW w:w="3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Number of vials of botulinum per perscription"/>
        <w:tblDescription w:val="A table showing the distribution of the number of vials per prescription of botulinum for the treatment of migraine."/>
      </w:tblPr>
      <w:tblGrid>
        <w:gridCol w:w="1716"/>
        <w:gridCol w:w="1843"/>
      </w:tblGrid>
      <w:tr w:rsidR="00DB55A1" w:rsidRPr="00DB55A1" w:rsidTr="00DB55A1">
        <w:trPr>
          <w:trHeight w:val="300"/>
        </w:trPr>
        <w:tc>
          <w:tcPr>
            <w:tcW w:w="1716" w:type="dxa"/>
            <w:shd w:val="clear" w:color="auto" w:fill="BFBFBF" w:themeFill="background1" w:themeFillShade="BF"/>
            <w:noWrap/>
            <w:vAlign w:val="center"/>
            <w:hideMark/>
          </w:tcPr>
          <w:p w:rsidR="00DB55A1" w:rsidRPr="00DB55A1" w:rsidRDefault="00DB55A1" w:rsidP="00DB55A1">
            <w:pPr>
              <w:spacing w:after="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Number of vials</w:t>
            </w:r>
          </w:p>
        </w:tc>
        <w:tc>
          <w:tcPr>
            <w:tcW w:w="1843" w:type="dxa"/>
            <w:shd w:val="clear" w:color="auto" w:fill="BFBFBF" w:themeFill="background1" w:themeFillShade="BF"/>
            <w:noWrap/>
            <w:vAlign w:val="center"/>
            <w:hideMark/>
          </w:tcPr>
          <w:p w:rsidR="00DB55A1" w:rsidRPr="00DB55A1" w:rsidRDefault="00DB55A1" w:rsidP="00DB55A1">
            <w:pPr>
              <w:spacing w:after="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Prescriptions</w:t>
            </w:r>
          </w:p>
        </w:tc>
      </w:tr>
      <w:tr w:rsidR="00DB55A1" w:rsidRPr="00DB55A1" w:rsidTr="00DB55A1">
        <w:trPr>
          <w:trHeight w:val="300"/>
        </w:trPr>
        <w:tc>
          <w:tcPr>
            <w:tcW w:w="1716" w:type="dxa"/>
            <w:shd w:val="clear" w:color="auto" w:fill="auto"/>
            <w:noWrap/>
            <w:vAlign w:val="center"/>
            <w:hideMark/>
          </w:tcPr>
          <w:p w:rsidR="00DB55A1" w:rsidRPr="00DB55A1" w:rsidRDefault="00DB55A1" w:rsidP="00DB55A1">
            <w:pPr>
              <w:spacing w:after="0"/>
              <w:jc w:val="center"/>
              <w:rPr>
                <w:rFonts w:ascii="Calibri" w:eastAsia="Times New Roman" w:hAnsi="Calibri" w:cs="Times New Roman"/>
                <w:sz w:val="22"/>
                <w:szCs w:val="22"/>
              </w:rPr>
            </w:pPr>
            <w:r w:rsidRPr="00DB55A1">
              <w:rPr>
                <w:rFonts w:ascii="Calibri" w:eastAsia="Times New Roman" w:hAnsi="Calibri" w:cs="Times New Roman"/>
                <w:sz w:val="22"/>
                <w:szCs w:val="22"/>
              </w:rPr>
              <w:t>1</w:t>
            </w:r>
          </w:p>
        </w:tc>
        <w:tc>
          <w:tcPr>
            <w:tcW w:w="1843" w:type="dxa"/>
            <w:shd w:val="clear" w:color="auto" w:fill="auto"/>
            <w:noWrap/>
            <w:vAlign w:val="center"/>
            <w:hideMark/>
          </w:tcPr>
          <w:p w:rsidR="00DB55A1" w:rsidRPr="00DB55A1" w:rsidRDefault="00DB55A1" w:rsidP="00DB55A1">
            <w:pPr>
              <w:spacing w:after="0"/>
              <w:jc w:val="center"/>
              <w:rPr>
                <w:rFonts w:ascii="Calibri" w:eastAsia="Times New Roman" w:hAnsi="Calibri" w:cs="Times New Roman"/>
                <w:sz w:val="22"/>
                <w:szCs w:val="22"/>
              </w:rPr>
            </w:pPr>
            <w:r w:rsidRPr="00DB55A1">
              <w:rPr>
                <w:rFonts w:ascii="Calibri" w:eastAsia="Times New Roman" w:hAnsi="Calibri" w:cs="Times New Roman"/>
                <w:sz w:val="22"/>
                <w:szCs w:val="22"/>
              </w:rPr>
              <w:t>8.53%</w:t>
            </w:r>
          </w:p>
        </w:tc>
      </w:tr>
      <w:tr w:rsidR="00DB55A1" w:rsidRPr="00DB55A1" w:rsidTr="00DB55A1">
        <w:trPr>
          <w:trHeight w:val="300"/>
        </w:trPr>
        <w:tc>
          <w:tcPr>
            <w:tcW w:w="1716" w:type="dxa"/>
            <w:shd w:val="clear" w:color="auto" w:fill="auto"/>
            <w:noWrap/>
            <w:vAlign w:val="center"/>
            <w:hideMark/>
          </w:tcPr>
          <w:p w:rsidR="00DB55A1" w:rsidRPr="00DB55A1" w:rsidRDefault="00DB55A1" w:rsidP="00DB55A1">
            <w:pPr>
              <w:spacing w:after="0"/>
              <w:jc w:val="center"/>
              <w:rPr>
                <w:rFonts w:ascii="Calibri" w:eastAsia="Times New Roman" w:hAnsi="Calibri" w:cs="Times New Roman"/>
                <w:sz w:val="22"/>
                <w:szCs w:val="22"/>
              </w:rPr>
            </w:pPr>
            <w:r w:rsidRPr="00DB55A1">
              <w:rPr>
                <w:rFonts w:ascii="Calibri" w:eastAsia="Times New Roman" w:hAnsi="Calibri" w:cs="Times New Roman"/>
                <w:sz w:val="22"/>
                <w:szCs w:val="22"/>
              </w:rPr>
              <w:t>2</w:t>
            </w:r>
          </w:p>
        </w:tc>
        <w:tc>
          <w:tcPr>
            <w:tcW w:w="1843" w:type="dxa"/>
            <w:shd w:val="clear" w:color="auto" w:fill="auto"/>
            <w:noWrap/>
            <w:vAlign w:val="center"/>
            <w:hideMark/>
          </w:tcPr>
          <w:p w:rsidR="00DB55A1" w:rsidRPr="00DB55A1" w:rsidRDefault="00DB55A1" w:rsidP="00DB55A1">
            <w:pPr>
              <w:spacing w:after="0"/>
              <w:jc w:val="center"/>
              <w:rPr>
                <w:rFonts w:ascii="Calibri" w:eastAsia="Times New Roman" w:hAnsi="Calibri" w:cs="Times New Roman"/>
                <w:sz w:val="22"/>
                <w:szCs w:val="22"/>
              </w:rPr>
            </w:pPr>
            <w:r w:rsidRPr="00DB55A1">
              <w:rPr>
                <w:rFonts w:ascii="Calibri" w:eastAsia="Times New Roman" w:hAnsi="Calibri" w:cs="Times New Roman"/>
                <w:sz w:val="22"/>
                <w:szCs w:val="22"/>
              </w:rPr>
              <w:t>90.79%</w:t>
            </w:r>
          </w:p>
        </w:tc>
      </w:tr>
      <w:tr w:rsidR="00DB55A1" w:rsidRPr="00DB55A1" w:rsidTr="00DB55A1">
        <w:trPr>
          <w:trHeight w:val="300"/>
        </w:trPr>
        <w:tc>
          <w:tcPr>
            <w:tcW w:w="1716" w:type="dxa"/>
            <w:shd w:val="clear" w:color="auto" w:fill="auto"/>
            <w:noWrap/>
            <w:vAlign w:val="center"/>
            <w:hideMark/>
          </w:tcPr>
          <w:p w:rsidR="00DB55A1" w:rsidRPr="00DB55A1" w:rsidRDefault="00DB55A1" w:rsidP="00DB55A1">
            <w:pPr>
              <w:spacing w:after="0"/>
              <w:jc w:val="center"/>
              <w:rPr>
                <w:rFonts w:ascii="Calibri" w:eastAsia="Times New Roman" w:hAnsi="Calibri" w:cs="Times New Roman"/>
                <w:sz w:val="22"/>
                <w:szCs w:val="22"/>
              </w:rPr>
            </w:pPr>
            <w:r w:rsidRPr="00DB55A1">
              <w:rPr>
                <w:rFonts w:ascii="Calibri" w:eastAsia="Times New Roman" w:hAnsi="Calibri" w:cs="Times New Roman"/>
                <w:sz w:val="22"/>
                <w:szCs w:val="22"/>
              </w:rPr>
              <w:t>3</w:t>
            </w:r>
          </w:p>
        </w:tc>
        <w:tc>
          <w:tcPr>
            <w:tcW w:w="1843" w:type="dxa"/>
            <w:shd w:val="clear" w:color="auto" w:fill="auto"/>
            <w:noWrap/>
            <w:vAlign w:val="center"/>
            <w:hideMark/>
          </w:tcPr>
          <w:p w:rsidR="00DB55A1" w:rsidRPr="00DB55A1" w:rsidRDefault="00DB55A1" w:rsidP="00DB55A1">
            <w:pPr>
              <w:spacing w:after="0"/>
              <w:jc w:val="center"/>
              <w:rPr>
                <w:rFonts w:ascii="Calibri" w:eastAsia="Times New Roman" w:hAnsi="Calibri" w:cs="Times New Roman"/>
                <w:sz w:val="22"/>
                <w:szCs w:val="22"/>
              </w:rPr>
            </w:pPr>
            <w:r w:rsidRPr="00DB55A1">
              <w:rPr>
                <w:rFonts w:ascii="Calibri" w:eastAsia="Times New Roman" w:hAnsi="Calibri" w:cs="Times New Roman"/>
                <w:sz w:val="22"/>
                <w:szCs w:val="22"/>
              </w:rPr>
              <w:t>0.43%</w:t>
            </w:r>
          </w:p>
        </w:tc>
      </w:tr>
      <w:tr w:rsidR="00DB55A1" w:rsidRPr="00DB55A1" w:rsidTr="00DB55A1">
        <w:trPr>
          <w:trHeight w:val="300"/>
        </w:trPr>
        <w:tc>
          <w:tcPr>
            <w:tcW w:w="1716" w:type="dxa"/>
            <w:shd w:val="clear" w:color="auto" w:fill="auto"/>
            <w:noWrap/>
            <w:vAlign w:val="center"/>
            <w:hideMark/>
          </w:tcPr>
          <w:p w:rsidR="00DB55A1" w:rsidRPr="00DB55A1" w:rsidRDefault="00DB55A1" w:rsidP="00DB55A1">
            <w:pPr>
              <w:spacing w:after="0"/>
              <w:jc w:val="center"/>
              <w:rPr>
                <w:rFonts w:ascii="Calibri" w:eastAsia="Times New Roman" w:hAnsi="Calibri" w:cs="Times New Roman"/>
                <w:sz w:val="22"/>
                <w:szCs w:val="22"/>
              </w:rPr>
            </w:pPr>
            <w:r w:rsidRPr="00DB55A1">
              <w:rPr>
                <w:rFonts w:ascii="Calibri" w:eastAsia="Times New Roman" w:hAnsi="Calibri" w:cs="Times New Roman"/>
                <w:sz w:val="22"/>
                <w:szCs w:val="22"/>
              </w:rPr>
              <w:t>4</w:t>
            </w:r>
          </w:p>
        </w:tc>
        <w:tc>
          <w:tcPr>
            <w:tcW w:w="1843" w:type="dxa"/>
            <w:shd w:val="clear" w:color="auto" w:fill="auto"/>
            <w:noWrap/>
            <w:vAlign w:val="center"/>
            <w:hideMark/>
          </w:tcPr>
          <w:p w:rsidR="00DB55A1" w:rsidRPr="00DB55A1" w:rsidRDefault="00DB55A1" w:rsidP="00DB55A1">
            <w:pPr>
              <w:spacing w:after="0"/>
              <w:jc w:val="center"/>
              <w:rPr>
                <w:rFonts w:ascii="Calibri" w:eastAsia="Times New Roman" w:hAnsi="Calibri" w:cs="Times New Roman"/>
                <w:sz w:val="22"/>
                <w:szCs w:val="22"/>
              </w:rPr>
            </w:pPr>
            <w:r w:rsidRPr="00DB55A1">
              <w:rPr>
                <w:rFonts w:ascii="Calibri" w:eastAsia="Times New Roman" w:hAnsi="Calibri" w:cs="Times New Roman"/>
                <w:sz w:val="22"/>
                <w:szCs w:val="22"/>
              </w:rPr>
              <w:t>0.25%</w:t>
            </w:r>
          </w:p>
        </w:tc>
      </w:tr>
      <w:tr w:rsidR="00DB55A1" w:rsidRPr="00DB55A1" w:rsidTr="00DB55A1">
        <w:trPr>
          <w:trHeight w:val="300"/>
        </w:trPr>
        <w:tc>
          <w:tcPr>
            <w:tcW w:w="1716" w:type="dxa"/>
            <w:shd w:val="clear" w:color="auto" w:fill="FFFFFF" w:themeFill="background1"/>
            <w:noWrap/>
            <w:vAlign w:val="center"/>
            <w:hideMark/>
          </w:tcPr>
          <w:p w:rsidR="00DB55A1" w:rsidRPr="00DB55A1" w:rsidRDefault="00DB55A1" w:rsidP="00DB55A1">
            <w:pPr>
              <w:spacing w:after="0"/>
              <w:jc w:val="center"/>
              <w:rPr>
                <w:rFonts w:ascii="Calibri" w:eastAsia="Times New Roman" w:hAnsi="Calibri" w:cs="Times New Roman"/>
                <w:sz w:val="22"/>
                <w:szCs w:val="22"/>
              </w:rPr>
            </w:pPr>
            <w:r w:rsidRPr="00DB55A1">
              <w:rPr>
                <w:rFonts w:ascii="Calibri" w:eastAsia="Times New Roman" w:hAnsi="Calibri" w:cs="Times New Roman"/>
                <w:sz w:val="22"/>
                <w:szCs w:val="22"/>
              </w:rPr>
              <w:t>Total</w:t>
            </w:r>
          </w:p>
        </w:tc>
        <w:tc>
          <w:tcPr>
            <w:tcW w:w="1843" w:type="dxa"/>
            <w:shd w:val="clear" w:color="auto" w:fill="FFFFFF" w:themeFill="background1"/>
            <w:noWrap/>
            <w:vAlign w:val="center"/>
            <w:hideMark/>
          </w:tcPr>
          <w:p w:rsidR="00DB55A1" w:rsidRPr="00DB55A1" w:rsidRDefault="00DB55A1" w:rsidP="00DB55A1">
            <w:pPr>
              <w:spacing w:after="0"/>
              <w:jc w:val="center"/>
              <w:rPr>
                <w:rFonts w:ascii="Calibri" w:eastAsia="Times New Roman" w:hAnsi="Calibri" w:cs="Times New Roman"/>
                <w:sz w:val="22"/>
                <w:szCs w:val="22"/>
              </w:rPr>
            </w:pPr>
            <w:r w:rsidRPr="00DB55A1">
              <w:rPr>
                <w:rFonts w:ascii="Calibri" w:eastAsia="Times New Roman" w:hAnsi="Calibri" w:cs="Times New Roman"/>
                <w:sz w:val="22"/>
                <w:szCs w:val="22"/>
              </w:rPr>
              <w:t>100.00%</w:t>
            </w:r>
          </w:p>
        </w:tc>
      </w:tr>
    </w:tbl>
    <w:p w:rsidR="00F74FFD" w:rsidRDefault="00F74FFD" w:rsidP="00F74FFD">
      <w:pPr>
        <w:rPr>
          <w:rFonts w:eastAsia="MS Mincho"/>
        </w:rPr>
      </w:pPr>
    </w:p>
    <w:p w:rsidR="00091AAB" w:rsidRDefault="00DB55A1" w:rsidP="00F74FFD">
      <w:pPr>
        <w:rPr>
          <w:rFonts w:eastAsia="MS Mincho"/>
        </w:rPr>
      </w:pPr>
      <w:r>
        <w:rPr>
          <w:rFonts w:eastAsia="MS Mincho"/>
        </w:rPr>
        <w:t>Table 5</w:t>
      </w:r>
      <w:r w:rsidR="00091AAB">
        <w:rPr>
          <w:rFonts w:eastAsia="MS Mincho"/>
        </w:rPr>
        <w:t xml:space="preserve"> shows that even though the maximum quantity in the PBS listing is 4</w:t>
      </w:r>
      <w:r w:rsidR="002B2DFF">
        <w:rPr>
          <w:rFonts w:eastAsia="MS Mincho"/>
        </w:rPr>
        <w:t> </w:t>
      </w:r>
      <w:r w:rsidR="00091AAB">
        <w:rPr>
          <w:rFonts w:eastAsia="MS Mincho"/>
        </w:rPr>
        <w:t xml:space="preserve">vials, </w:t>
      </w:r>
      <w:r w:rsidR="00E311A6">
        <w:rPr>
          <w:rFonts w:eastAsia="MS Mincho"/>
        </w:rPr>
        <w:t xml:space="preserve">neurologists </w:t>
      </w:r>
      <w:r w:rsidR="00091AAB">
        <w:rPr>
          <w:rFonts w:eastAsia="MS Mincho"/>
        </w:rPr>
        <w:t xml:space="preserve">are </w:t>
      </w:r>
      <w:r w:rsidR="002B2DFF">
        <w:rPr>
          <w:rFonts w:eastAsia="MS Mincho"/>
        </w:rPr>
        <w:t>appropriately prescribing 2 vials (or occasionally one vial) in accordance with the usual dose for this indication.</w:t>
      </w:r>
    </w:p>
    <w:p w:rsidR="0042576E" w:rsidRDefault="0042576E" w:rsidP="0042576E">
      <w:pPr>
        <w:spacing w:before="240"/>
        <w:outlineLvl w:val="2"/>
        <w:rPr>
          <w:rFonts w:ascii="Calibri" w:eastAsia="MS Mincho" w:hAnsi="Calibri" w:cs="Times New Roman"/>
          <w:b/>
          <w:i/>
          <w:szCs w:val="28"/>
        </w:rPr>
      </w:pPr>
      <w:r>
        <w:rPr>
          <w:rFonts w:ascii="Calibri" w:eastAsia="MS Mincho" w:hAnsi="Calibri" w:cs="Times New Roman"/>
          <w:b/>
          <w:i/>
          <w:szCs w:val="28"/>
        </w:rPr>
        <w:t>Treatment Continuation Rate</w:t>
      </w:r>
    </w:p>
    <w:p w:rsidR="00A21490" w:rsidRDefault="0042576E" w:rsidP="00F74FFD">
      <w:pPr>
        <w:rPr>
          <w:rFonts w:eastAsia="MS Mincho"/>
        </w:rPr>
      </w:pPr>
      <w:r w:rsidRPr="00A21490">
        <w:rPr>
          <w:rFonts w:eastAsia="MS Mincho"/>
        </w:rPr>
        <w:t xml:space="preserve">The </w:t>
      </w:r>
      <w:r w:rsidR="00CD3078" w:rsidRPr="00A21490">
        <w:rPr>
          <w:rFonts w:eastAsia="MS Mincho"/>
        </w:rPr>
        <w:t xml:space="preserve">predicted </w:t>
      </w:r>
      <w:r w:rsidRPr="00A21490">
        <w:rPr>
          <w:rFonts w:eastAsia="MS Mincho"/>
        </w:rPr>
        <w:t>continuation rate at week 24 (</w:t>
      </w:r>
      <w:r w:rsidR="00354FE8" w:rsidRPr="00A21490">
        <w:rPr>
          <w:rFonts w:eastAsia="MS Mincho"/>
        </w:rPr>
        <w:t>i.e.</w:t>
      </w:r>
      <w:r w:rsidRPr="00A21490">
        <w:rPr>
          <w:rFonts w:eastAsia="MS Mincho"/>
        </w:rPr>
        <w:t xml:space="preserve"> after the 2</w:t>
      </w:r>
      <w:r w:rsidRPr="00A21490">
        <w:rPr>
          <w:rFonts w:eastAsia="MS Mincho"/>
          <w:vertAlign w:val="superscript"/>
        </w:rPr>
        <w:t>nd</w:t>
      </w:r>
      <w:r w:rsidRPr="00A21490">
        <w:rPr>
          <w:rFonts w:eastAsia="MS Mincho"/>
        </w:rPr>
        <w:t xml:space="preserve"> treatment) </w:t>
      </w:r>
      <w:r w:rsidR="008F1C32" w:rsidRPr="00A21490">
        <w:rPr>
          <w:rFonts w:eastAsia="MS Mincho"/>
        </w:rPr>
        <w:t xml:space="preserve">in the June 2012 </w:t>
      </w:r>
      <w:r w:rsidR="00A21490">
        <w:rPr>
          <w:rFonts w:eastAsia="MS Mincho"/>
        </w:rPr>
        <w:t>re</w:t>
      </w:r>
      <w:r w:rsidR="008F1C32" w:rsidRPr="00A21490">
        <w:rPr>
          <w:rFonts w:eastAsia="MS Mincho"/>
        </w:rPr>
        <w:t xml:space="preserve">submission was </w:t>
      </w:r>
      <w:r w:rsidRPr="00A21490">
        <w:rPr>
          <w:rFonts w:eastAsia="MS Mincho"/>
        </w:rPr>
        <w:t>32.9%</w:t>
      </w:r>
      <w:r w:rsidR="00CD3078" w:rsidRPr="00A21490">
        <w:rPr>
          <w:rFonts w:eastAsia="MS Mincho"/>
        </w:rPr>
        <w:t xml:space="preserve"> based on</w:t>
      </w:r>
      <w:r w:rsidR="008F1C32" w:rsidRPr="00A21490">
        <w:rPr>
          <w:rFonts w:eastAsia="MS Mincho"/>
        </w:rPr>
        <w:t xml:space="preserve"> the pooled response rate in the population</w:t>
      </w:r>
      <w:r w:rsidR="00A21490">
        <w:rPr>
          <w:rFonts w:eastAsia="MS Mincho"/>
        </w:rPr>
        <w:t xml:space="preserve"> </w:t>
      </w:r>
      <w:r w:rsidR="008F1C32" w:rsidRPr="00A21490">
        <w:rPr>
          <w:rFonts w:eastAsia="MS Mincho"/>
        </w:rPr>
        <w:t xml:space="preserve">in the </w:t>
      </w:r>
      <w:r w:rsidR="00527CCA">
        <w:rPr>
          <w:rFonts w:eastAsia="MS Mincho"/>
        </w:rPr>
        <w:t xml:space="preserve">PREEMPT </w:t>
      </w:r>
      <w:r w:rsidR="008F1C32" w:rsidRPr="00A21490">
        <w:rPr>
          <w:rFonts w:eastAsia="MS Mincho"/>
        </w:rPr>
        <w:t>trial that had received 3 prior prophylactic medicines</w:t>
      </w:r>
      <w:r w:rsidRPr="00A21490">
        <w:rPr>
          <w:rFonts w:eastAsia="MS Mincho"/>
        </w:rPr>
        <w:t>.</w:t>
      </w:r>
      <w:r w:rsidR="008F1C32" w:rsidRPr="00A21490">
        <w:rPr>
          <w:rFonts w:eastAsia="MS Mincho"/>
        </w:rPr>
        <w:t xml:space="preserve"> </w:t>
      </w:r>
      <w:r w:rsidR="00A21490">
        <w:rPr>
          <w:rFonts w:eastAsia="MS Mincho"/>
        </w:rPr>
        <w:t>C</w:t>
      </w:r>
      <w:r w:rsidR="00A21490" w:rsidRPr="00A21490">
        <w:rPr>
          <w:rFonts w:eastAsia="MS Mincho"/>
        </w:rPr>
        <w:t xml:space="preserve">ontinuation after this was </w:t>
      </w:r>
      <w:r w:rsidR="00527CCA">
        <w:rPr>
          <w:rFonts w:eastAsia="MS Mincho"/>
        </w:rPr>
        <w:t xml:space="preserve">arbitrarily </w:t>
      </w:r>
      <w:r w:rsidR="00A21490" w:rsidRPr="00A21490">
        <w:rPr>
          <w:rFonts w:eastAsia="MS Mincho"/>
        </w:rPr>
        <w:t>predicted to be 80% every 24 weeks.</w:t>
      </w:r>
    </w:p>
    <w:p w:rsidR="0042576E" w:rsidRDefault="0042576E" w:rsidP="00F74FFD">
      <w:pPr>
        <w:rPr>
          <w:rFonts w:eastAsia="MS Mincho"/>
        </w:rPr>
      </w:pPr>
      <w:r>
        <w:rPr>
          <w:rFonts w:eastAsia="MS Mincho"/>
        </w:rPr>
        <w:t>Continuation rates were assessed using MBS service data (Item 18377) for injection of botulinum to</w:t>
      </w:r>
      <w:r w:rsidR="00415682">
        <w:rPr>
          <w:rFonts w:eastAsia="MS Mincho"/>
        </w:rPr>
        <w:t>x</w:t>
      </w:r>
      <w:r>
        <w:rPr>
          <w:rFonts w:eastAsia="MS Mincho"/>
        </w:rPr>
        <w:t xml:space="preserve">in for chronic migraine as the patient level PBS data is incomplete. </w:t>
      </w:r>
      <w:r w:rsidRPr="0042576E">
        <w:rPr>
          <w:rFonts w:eastAsia="MS Mincho"/>
        </w:rPr>
        <w:t xml:space="preserve">Figure </w:t>
      </w:r>
      <w:r w:rsidR="00527CCA">
        <w:rPr>
          <w:rFonts w:eastAsia="MS Mincho"/>
        </w:rPr>
        <w:t>3</w:t>
      </w:r>
      <w:r w:rsidRPr="0042576E">
        <w:rPr>
          <w:rFonts w:eastAsia="MS Mincho"/>
        </w:rPr>
        <w:t xml:space="preserve"> shows the continuation rate for patients who initiated </w:t>
      </w:r>
      <w:r w:rsidR="00415682">
        <w:rPr>
          <w:rFonts w:eastAsia="MS Mincho"/>
        </w:rPr>
        <w:t>botulinum toxin</w:t>
      </w:r>
      <w:r w:rsidRPr="0042576E">
        <w:rPr>
          <w:rFonts w:eastAsia="MS Mincho"/>
        </w:rPr>
        <w:t xml:space="preserve"> for chronic migraine </w:t>
      </w:r>
      <w:r w:rsidR="00415682">
        <w:rPr>
          <w:rFonts w:eastAsia="MS Mincho"/>
        </w:rPr>
        <w:t>between 1</w:t>
      </w:r>
      <w:r w:rsidRPr="0042576E">
        <w:rPr>
          <w:rFonts w:eastAsia="MS Mincho"/>
        </w:rPr>
        <w:t xml:space="preserve"> September </w:t>
      </w:r>
      <w:r w:rsidR="00415682">
        <w:rPr>
          <w:rFonts w:eastAsia="MS Mincho"/>
        </w:rPr>
        <w:t xml:space="preserve">and 30 </w:t>
      </w:r>
      <w:r w:rsidRPr="0042576E">
        <w:rPr>
          <w:rFonts w:eastAsia="MS Mincho"/>
        </w:rPr>
        <w:t xml:space="preserve">November 2014. </w:t>
      </w:r>
      <w:r w:rsidR="00415682">
        <w:rPr>
          <w:rFonts w:eastAsia="MS Mincho"/>
        </w:rPr>
        <w:t xml:space="preserve">Patients who claimed their first MBS service in the first 6 months of listing </w:t>
      </w:r>
      <w:r w:rsidRPr="0042576E">
        <w:rPr>
          <w:rFonts w:eastAsia="MS Mincho"/>
        </w:rPr>
        <w:t>(</w:t>
      </w:r>
      <w:r w:rsidR="00CD3078">
        <w:rPr>
          <w:rFonts w:eastAsia="MS Mincho"/>
        </w:rPr>
        <w:t xml:space="preserve">1 </w:t>
      </w:r>
      <w:r w:rsidRPr="0042576E">
        <w:rPr>
          <w:rFonts w:eastAsia="MS Mincho"/>
        </w:rPr>
        <w:t xml:space="preserve">March to </w:t>
      </w:r>
      <w:r w:rsidR="00CD3078">
        <w:rPr>
          <w:rFonts w:eastAsia="MS Mincho"/>
        </w:rPr>
        <w:t>31</w:t>
      </w:r>
      <w:r w:rsidRPr="0042576E">
        <w:rPr>
          <w:rFonts w:eastAsia="MS Mincho"/>
        </w:rPr>
        <w:t xml:space="preserve"> August 2014) were not included as they may have been grandfathered from </w:t>
      </w:r>
      <w:r w:rsidR="009A6D06">
        <w:rPr>
          <w:rFonts w:eastAsia="MS Mincho"/>
        </w:rPr>
        <w:t>non-MBS funded</w:t>
      </w:r>
      <w:r w:rsidR="009A6D06" w:rsidRPr="0042576E">
        <w:rPr>
          <w:rFonts w:eastAsia="MS Mincho"/>
        </w:rPr>
        <w:t xml:space="preserve"> </w:t>
      </w:r>
      <w:r w:rsidRPr="0042576E">
        <w:rPr>
          <w:rFonts w:eastAsia="MS Mincho"/>
        </w:rPr>
        <w:t xml:space="preserve">treatment and </w:t>
      </w:r>
      <w:r w:rsidR="00415682">
        <w:rPr>
          <w:rFonts w:eastAsia="MS Mincho"/>
        </w:rPr>
        <w:t>may have already been assessed for treatment re</w:t>
      </w:r>
      <w:r w:rsidR="00CD3078">
        <w:rPr>
          <w:rFonts w:eastAsia="MS Mincho"/>
        </w:rPr>
        <w:t>s</w:t>
      </w:r>
      <w:r w:rsidR="00415682">
        <w:rPr>
          <w:rFonts w:eastAsia="MS Mincho"/>
        </w:rPr>
        <w:t>ponse</w:t>
      </w:r>
      <w:r w:rsidRPr="0042576E">
        <w:rPr>
          <w:rFonts w:eastAsia="MS Mincho"/>
        </w:rPr>
        <w:t>. All initiators in the cohort were given equal follow up of exactly 24 months from each patient</w:t>
      </w:r>
      <w:r w:rsidR="00415682">
        <w:rPr>
          <w:rFonts w:eastAsia="MS Mincho"/>
        </w:rPr>
        <w:t>’</w:t>
      </w:r>
      <w:r w:rsidRPr="0042576E">
        <w:rPr>
          <w:rFonts w:eastAsia="MS Mincho"/>
        </w:rPr>
        <w:t>s initiation date to eliminate any confounding that could result from unequal follow up. The initiators from December 2014 onwards were not included as they had less than 24 months follow up.</w:t>
      </w:r>
    </w:p>
    <w:p w:rsidR="00305F84" w:rsidRDefault="0042576E" w:rsidP="008D514C">
      <w:pPr>
        <w:keepNext/>
        <w:spacing w:after="0" w:line="276" w:lineRule="auto"/>
        <w:rPr>
          <w:rFonts w:ascii="Calibri" w:eastAsia="MS Mincho" w:hAnsi="Calibri" w:cs="Times New Roman"/>
          <w:b/>
        </w:rPr>
      </w:pPr>
      <w:r>
        <w:rPr>
          <w:noProof/>
        </w:rPr>
        <w:lastRenderedPageBreak/>
        <w:drawing>
          <wp:inline distT="0" distB="0" distL="0" distR="0" wp14:anchorId="77AFC880" wp14:editId="2DABBF1A">
            <wp:extent cx="5687695" cy="3221204"/>
            <wp:effectExtent l="0" t="0" r="27305" b="17780"/>
            <wp:docPr id="2" name="Chart 2" descr="A chart showing the proportion of patients by thenumber of injections of botox for migraine.&#10;" title="Figure 3: Number of MBS injections of botox for migra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7CCA" w:rsidRDefault="0042576E" w:rsidP="00527CCA">
      <w:pPr>
        <w:spacing w:after="0"/>
        <w:rPr>
          <w:rFonts w:ascii="Calibri" w:eastAsia="MS Mincho" w:hAnsi="Calibri" w:cs="Times New Roman"/>
          <w:b/>
        </w:rPr>
      </w:pPr>
      <w:r w:rsidRPr="00E775A7">
        <w:rPr>
          <w:rFonts w:ascii="Calibri" w:eastAsia="MS Mincho" w:hAnsi="Calibri" w:cs="Times New Roman"/>
          <w:b/>
        </w:rPr>
        <w:t xml:space="preserve">Figure </w:t>
      </w:r>
      <w:r>
        <w:rPr>
          <w:rFonts w:ascii="Calibri" w:eastAsia="MS Mincho" w:hAnsi="Calibri" w:cs="Times New Roman"/>
          <w:b/>
        </w:rPr>
        <w:t>3</w:t>
      </w:r>
      <w:r w:rsidR="00B455E6">
        <w:rPr>
          <w:rFonts w:ascii="Calibri" w:eastAsia="MS Mincho" w:hAnsi="Calibri" w:cs="Times New Roman"/>
          <w:b/>
        </w:rPr>
        <w:t xml:space="preserve">: </w:t>
      </w:r>
      <w:r w:rsidR="00527CCA">
        <w:rPr>
          <w:rFonts w:ascii="Calibri" w:eastAsia="MS Mincho" w:hAnsi="Calibri" w:cs="Times New Roman"/>
          <w:b/>
        </w:rPr>
        <w:t>C</w:t>
      </w:r>
      <w:r>
        <w:rPr>
          <w:rFonts w:ascii="Calibri" w:eastAsia="MS Mincho" w:hAnsi="Calibri" w:cs="Times New Roman"/>
          <w:b/>
        </w:rPr>
        <w:t>ontinu</w:t>
      </w:r>
      <w:r w:rsidR="00527CCA">
        <w:rPr>
          <w:rFonts w:ascii="Calibri" w:eastAsia="MS Mincho" w:hAnsi="Calibri" w:cs="Times New Roman"/>
          <w:b/>
        </w:rPr>
        <w:t>ation on</w:t>
      </w:r>
      <w:r>
        <w:rPr>
          <w:rFonts w:ascii="Calibri" w:eastAsia="MS Mincho" w:hAnsi="Calibri" w:cs="Times New Roman"/>
          <w:b/>
        </w:rPr>
        <w:t xml:space="preserve"> </w:t>
      </w:r>
      <w:r w:rsidR="00527CCA">
        <w:rPr>
          <w:rFonts w:ascii="Calibri" w:eastAsia="MS Mincho" w:hAnsi="Calibri" w:cs="Times New Roman"/>
          <w:b/>
        </w:rPr>
        <w:t xml:space="preserve">botulinum toxin </w:t>
      </w:r>
      <w:r>
        <w:rPr>
          <w:rFonts w:ascii="Calibri" w:eastAsia="MS Mincho" w:hAnsi="Calibri" w:cs="Times New Roman"/>
          <w:b/>
        </w:rPr>
        <w:t>treatment for</w:t>
      </w:r>
      <w:r w:rsidR="00527CCA">
        <w:rPr>
          <w:rFonts w:ascii="Calibri" w:eastAsia="MS Mincho" w:hAnsi="Calibri" w:cs="Times New Roman"/>
          <w:b/>
        </w:rPr>
        <w:t xml:space="preserve"> chronic migraine for </w:t>
      </w:r>
      <w:r w:rsidR="00305F84">
        <w:rPr>
          <w:rFonts w:ascii="Calibri" w:eastAsia="MS Mincho" w:hAnsi="Calibri" w:cs="Times New Roman"/>
          <w:b/>
        </w:rPr>
        <w:t>patients initiating between 1</w:t>
      </w:r>
      <w:r>
        <w:rPr>
          <w:rFonts w:ascii="Calibri" w:eastAsia="MS Mincho" w:hAnsi="Calibri" w:cs="Times New Roman"/>
          <w:b/>
        </w:rPr>
        <w:t xml:space="preserve"> Sep</w:t>
      </w:r>
      <w:r w:rsidR="00305F84">
        <w:rPr>
          <w:rFonts w:ascii="Calibri" w:eastAsia="MS Mincho" w:hAnsi="Calibri" w:cs="Times New Roman"/>
          <w:b/>
        </w:rPr>
        <w:t xml:space="preserve">tember and 30 </w:t>
      </w:r>
      <w:r>
        <w:rPr>
          <w:rFonts w:ascii="Calibri" w:eastAsia="MS Mincho" w:hAnsi="Calibri" w:cs="Times New Roman"/>
          <w:b/>
        </w:rPr>
        <w:t>Nov</w:t>
      </w:r>
      <w:r w:rsidR="00305F84">
        <w:rPr>
          <w:rFonts w:ascii="Calibri" w:eastAsia="MS Mincho" w:hAnsi="Calibri" w:cs="Times New Roman"/>
          <w:b/>
        </w:rPr>
        <w:t>ember 20</w:t>
      </w:r>
      <w:r>
        <w:rPr>
          <w:rFonts w:ascii="Calibri" w:eastAsia="MS Mincho" w:hAnsi="Calibri" w:cs="Times New Roman"/>
          <w:b/>
        </w:rPr>
        <w:t>14 (n=795)</w:t>
      </w:r>
      <w:r w:rsidR="00305F84">
        <w:rPr>
          <w:rFonts w:ascii="Calibri" w:eastAsia="MS Mincho" w:hAnsi="Calibri" w:cs="Times New Roman"/>
          <w:b/>
        </w:rPr>
        <w:t xml:space="preserve">. </w:t>
      </w:r>
    </w:p>
    <w:p w:rsidR="00D738B8" w:rsidRPr="00527CCA" w:rsidRDefault="00527CCA" w:rsidP="008D514C">
      <w:pPr>
        <w:rPr>
          <w:rFonts w:ascii="Calibri" w:eastAsia="MS Mincho" w:hAnsi="Calibri" w:cs="Times New Roman"/>
          <w:sz w:val="20"/>
          <w:szCs w:val="20"/>
        </w:rPr>
      </w:pPr>
      <w:r w:rsidRPr="00527CCA">
        <w:rPr>
          <w:rFonts w:ascii="Calibri" w:eastAsia="MS Mincho" w:hAnsi="Calibri" w:cs="Times New Roman"/>
          <w:sz w:val="20"/>
          <w:szCs w:val="20"/>
        </w:rPr>
        <w:t xml:space="preserve">Note: </w:t>
      </w:r>
      <w:r w:rsidR="00305F84" w:rsidRPr="00527CCA">
        <w:rPr>
          <w:rFonts w:ascii="Calibri" w:eastAsia="MS Mincho" w:hAnsi="Calibri" w:cs="Times New Roman"/>
          <w:sz w:val="20"/>
          <w:szCs w:val="20"/>
        </w:rPr>
        <w:t>Each patient was followed for</w:t>
      </w:r>
      <w:r w:rsidR="0042576E" w:rsidRPr="00527CCA">
        <w:rPr>
          <w:rFonts w:ascii="Calibri" w:eastAsia="MS Mincho" w:hAnsi="Calibri" w:cs="Times New Roman"/>
          <w:sz w:val="20"/>
          <w:szCs w:val="20"/>
        </w:rPr>
        <w:t xml:space="preserve"> exactly 24 months </w:t>
      </w:r>
      <w:r w:rsidR="00305F84" w:rsidRPr="00527CCA">
        <w:rPr>
          <w:rFonts w:ascii="Calibri" w:eastAsia="MS Mincho" w:hAnsi="Calibri" w:cs="Times New Roman"/>
          <w:sz w:val="20"/>
          <w:szCs w:val="20"/>
        </w:rPr>
        <w:t xml:space="preserve">from </w:t>
      </w:r>
      <w:r w:rsidR="00CD3078" w:rsidRPr="00527CCA">
        <w:rPr>
          <w:rFonts w:ascii="Calibri" w:eastAsia="MS Mincho" w:hAnsi="Calibri" w:cs="Times New Roman"/>
          <w:sz w:val="20"/>
          <w:szCs w:val="20"/>
        </w:rPr>
        <w:t xml:space="preserve">the date of </w:t>
      </w:r>
      <w:r w:rsidR="00305F84" w:rsidRPr="00527CCA">
        <w:rPr>
          <w:rFonts w:ascii="Calibri" w:eastAsia="MS Mincho" w:hAnsi="Calibri" w:cs="Times New Roman"/>
          <w:sz w:val="20"/>
          <w:szCs w:val="20"/>
        </w:rPr>
        <w:t>their first service</w:t>
      </w:r>
      <w:r w:rsidR="0042576E" w:rsidRPr="00527CCA">
        <w:rPr>
          <w:rFonts w:ascii="Calibri" w:eastAsia="MS Mincho" w:hAnsi="Calibri" w:cs="Times New Roman"/>
          <w:sz w:val="20"/>
          <w:szCs w:val="20"/>
        </w:rPr>
        <w:t>.</w:t>
      </w:r>
      <w:r w:rsidRPr="00527CCA">
        <w:rPr>
          <w:rFonts w:ascii="Calibri" w:eastAsia="MS Mincho" w:hAnsi="Calibri" w:cs="Times New Roman"/>
          <w:sz w:val="20"/>
          <w:szCs w:val="20"/>
        </w:rPr>
        <w:t xml:space="preserve"> T</w:t>
      </w:r>
      <w:r w:rsidR="00D738B8" w:rsidRPr="00527CCA">
        <w:rPr>
          <w:rFonts w:ascii="Calibri" w:eastAsia="MS Mincho" w:hAnsi="Calibri" w:cs="Times New Roman"/>
          <w:sz w:val="20"/>
          <w:szCs w:val="20"/>
        </w:rPr>
        <w:t>he continuation rate for the higher number of services (</w:t>
      </w:r>
      <w:r w:rsidR="00354FE8" w:rsidRPr="00527CCA">
        <w:rPr>
          <w:rFonts w:ascii="Calibri" w:eastAsia="MS Mincho" w:hAnsi="Calibri" w:cs="Times New Roman"/>
          <w:sz w:val="20"/>
          <w:szCs w:val="20"/>
        </w:rPr>
        <w:t>e.g.</w:t>
      </w:r>
      <w:r w:rsidR="00D738B8" w:rsidRPr="00527CCA">
        <w:rPr>
          <w:rFonts w:ascii="Calibri" w:eastAsia="MS Mincho" w:hAnsi="Calibri" w:cs="Times New Roman"/>
          <w:sz w:val="20"/>
          <w:szCs w:val="20"/>
        </w:rPr>
        <w:t xml:space="preserve"> 7, 8 and 9) is artefactually low as some patients, who had longer than average between treatments, would have these services after 24 months</w:t>
      </w:r>
    </w:p>
    <w:p w:rsidR="00CD3078" w:rsidRDefault="0042576E" w:rsidP="0042576E">
      <w:pPr>
        <w:spacing w:line="276" w:lineRule="auto"/>
        <w:rPr>
          <w:rFonts w:ascii="Calibri" w:eastAsia="MS Mincho" w:hAnsi="Calibri" w:cs="Times New Roman"/>
        </w:rPr>
      </w:pPr>
      <w:r>
        <w:rPr>
          <w:rFonts w:ascii="Calibri" w:eastAsia="MS Mincho" w:hAnsi="Calibri" w:cs="Times New Roman"/>
        </w:rPr>
        <w:t xml:space="preserve">In Figure </w:t>
      </w:r>
      <w:r w:rsidR="00305F84">
        <w:rPr>
          <w:rFonts w:ascii="Calibri" w:eastAsia="MS Mincho" w:hAnsi="Calibri" w:cs="Times New Roman"/>
        </w:rPr>
        <w:t>3</w:t>
      </w:r>
      <w:r>
        <w:rPr>
          <w:rFonts w:ascii="Calibri" w:eastAsia="MS Mincho" w:hAnsi="Calibri" w:cs="Times New Roman"/>
        </w:rPr>
        <w:t xml:space="preserve"> the continuation rate after 24 weeks</w:t>
      </w:r>
      <w:r w:rsidR="00D738B8">
        <w:rPr>
          <w:rFonts w:ascii="Calibri" w:eastAsia="MS Mincho" w:hAnsi="Calibri" w:cs="Times New Roman"/>
        </w:rPr>
        <w:t>,</w:t>
      </w:r>
      <w:r>
        <w:rPr>
          <w:rFonts w:ascii="Calibri" w:eastAsia="MS Mincho" w:hAnsi="Calibri" w:cs="Times New Roman"/>
        </w:rPr>
        <w:t xml:space="preserve"> </w:t>
      </w:r>
      <w:r w:rsidR="00A21490">
        <w:rPr>
          <w:rFonts w:ascii="Calibri" w:eastAsia="MS Mincho" w:hAnsi="Calibri" w:cs="Times New Roman"/>
        </w:rPr>
        <w:t>defined as the percent of p</w:t>
      </w:r>
      <w:r>
        <w:rPr>
          <w:rFonts w:ascii="Calibri" w:eastAsia="MS Mincho" w:hAnsi="Calibri" w:cs="Times New Roman"/>
        </w:rPr>
        <w:t>atients that had a 3</w:t>
      </w:r>
      <w:r w:rsidRPr="00ED5659">
        <w:rPr>
          <w:rFonts w:ascii="Calibri" w:eastAsia="MS Mincho" w:hAnsi="Calibri" w:cs="Times New Roman"/>
          <w:vertAlign w:val="superscript"/>
        </w:rPr>
        <w:t>rd</w:t>
      </w:r>
      <w:r>
        <w:rPr>
          <w:rFonts w:ascii="Calibri" w:eastAsia="MS Mincho" w:hAnsi="Calibri" w:cs="Times New Roman"/>
        </w:rPr>
        <w:t xml:space="preserve"> injection</w:t>
      </w:r>
      <w:r w:rsidR="00D738B8">
        <w:rPr>
          <w:rFonts w:ascii="Calibri" w:eastAsia="MS Mincho" w:hAnsi="Calibri" w:cs="Times New Roman"/>
        </w:rPr>
        <w:t>,</w:t>
      </w:r>
      <w:r>
        <w:rPr>
          <w:rFonts w:ascii="Calibri" w:eastAsia="MS Mincho" w:hAnsi="Calibri" w:cs="Times New Roman"/>
        </w:rPr>
        <w:t xml:space="preserve"> was 71.4% w</w:t>
      </w:r>
      <w:r w:rsidR="00A21490">
        <w:rPr>
          <w:rFonts w:ascii="Calibri" w:eastAsia="MS Mincho" w:hAnsi="Calibri" w:cs="Times New Roman"/>
        </w:rPr>
        <w:t>hich is approximately double that</w:t>
      </w:r>
      <w:r>
        <w:rPr>
          <w:rFonts w:ascii="Calibri" w:eastAsia="MS Mincho" w:hAnsi="Calibri" w:cs="Times New Roman"/>
        </w:rPr>
        <w:t xml:space="preserve"> predicted </w:t>
      </w:r>
      <w:r w:rsidR="00A21490">
        <w:rPr>
          <w:rFonts w:ascii="Calibri" w:eastAsia="MS Mincho" w:hAnsi="Calibri" w:cs="Times New Roman"/>
        </w:rPr>
        <w:t>from the clinical trial (</w:t>
      </w:r>
      <w:r>
        <w:rPr>
          <w:rFonts w:ascii="Calibri" w:eastAsia="MS Mincho" w:hAnsi="Calibri" w:cs="Times New Roman"/>
        </w:rPr>
        <w:t>32.9%</w:t>
      </w:r>
      <w:r w:rsidR="00A21490">
        <w:rPr>
          <w:rFonts w:ascii="Calibri" w:eastAsia="MS Mincho" w:hAnsi="Calibri" w:cs="Times New Roman"/>
        </w:rPr>
        <w:t>)</w:t>
      </w:r>
      <w:r>
        <w:rPr>
          <w:rFonts w:ascii="Calibri" w:eastAsia="MS Mincho" w:hAnsi="Calibri" w:cs="Times New Roman"/>
        </w:rPr>
        <w:t xml:space="preserve">. </w:t>
      </w:r>
    </w:p>
    <w:p w:rsidR="008F1C32" w:rsidRDefault="008F1C32" w:rsidP="008F1C32">
      <w:pPr>
        <w:spacing w:line="276" w:lineRule="auto"/>
        <w:rPr>
          <w:rFonts w:ascii="Calibri" w:eastAsia="MS Mincho" w:hAnsi="Calibri" w:cs="Times New Roman"/>
        </w:rPr>
      </w:pPr>
      <w:r>
        <w:rPr>
          <w:rFonts w:ascii="Calibri" w:eastAsia="MS Mincho" w:hAnsi="Calibri" w:cs="Times New Roman"/>
        </w:rPr>
        <w:t>The continuation rate after 48 weeks</w:t>
      </w:r>
      <w:r w:rsidR="00D738B8">
        <w:rPr>
          <w:rFonts w:ascii="Calibri" w:eastAsia="MS Mincho" w:hAnsi="Calibri" w:cs="Times New Roman"/>
        </w:rPr>
        <w:t>,</w:t>
      </w:r>
      <w:r>
        <w:rPr>
          <w:rFonts w:ascii="Calibri" w:eastAsia="MS Mincho" w:hAnsi="Calibri" w:cs="Times New Roman"/>
        </w:rPr>
        <w:t xml:space="preserve"> </w:t>
      </w:r>
      <w:r w:rsidR="00D738B8">
        <w:rPr>
          <w:rFonts w:ascii="Calibri" w:eastAsia="MS Mincho" w:hAnsi="Calibri" w:cs="Times New Roman"/>
        </w:rPr>
        <w:t xml:space="preserve">defined as the percent of patients </w:t>
      </w:r>
      <w:r>
        <w:rPr>
          <w:rFonts w:ascii="Calibri" w:eastAsia="MS Mincho" w:hAnsi="Calibri" w:cs="Times New Roman"/>
        </w:rPr>
        <w:t>that had a 5</w:t>
      </w:r>
      <w:r w:rsidRPr="00DF01D3">
        <w:rPr>
          <w:rFonts w:ascii="Calibri" w:eastAsia="MS Mincho" w:hAnsi="Calibri" w:cs="Times New Roman"/>
          <w:vertAlign w:val="superscript"/>
        </w:rPr>
        <w:t>th</w:t>
      </w:r>
      <w:r>
        <w:rPr>
          <w:rFonts w:ascii="Calibri" w:eastAsia="MS Mincho" w:hAnsi="Calibri" w:cs="Times New Roman"/>
        </w:rPr>
        <w:t xml:space="preserve">  injection</w:t>
      </w:r>
      <w:r w:rsidR="00D738B8">
        <w:rPr>
          <w:rFonts w:ascii="Calibri" w:eastAsia="MS Mincho" w:hAnsi="Calibri" w:cs="Times New Roman"/>
        </w:rPr>
        <w:t>,</w:t>
      </w:r>
      <w:r>
        <w:rPr>
          <w:rFonts w:ascii="Calibri" w:eastAsia="MS Mincho" w:hAnsi="Calibri" w:cs="Times New Roman"/>
        </w:rPr>
        <w:t xml:space="preserve"> was 58.1%. This </w:t>
      </w:r>
      <w:r w:rsidR="00D738B8">
        <w:rPr>
          <w:rFonts w:ascii="Calibri" w:eastAsia="MS Mincho" w:hAnsi="Calibri" w:cs="Times New Roman"/>
        </w:rPr>
        <w:t>implies a</w:t>
      </w:r>
      <w:r>
        <w:rPr>
          <w:rFonts w:ascii="Calibri" w:eastAsia="MS Mincho" w:hAnsi="Calibri" w:cs="Times New Roman"/>
        </w:rPr>
        <w:t xml:space="preserve"> continuation rate between 24 and 48 weeks </w:t>
      </w:r>
      <w:r w:rsidR="00D738B8">
        <w:rPr>
          <w:rFonts w:ascii="Calibri" w:eastAsia="MS Mincho" w:hAnsi="Calibri" w:cs="Times New Roman"/>
        </w:rPr>
        <w:t>of</w:t>
      </w:r>
      <w:r>
        <w:rPr>
          <w:rFonts w:ascii="Calibri" w:eastAsia="MS Mincho" w:hAnsi="Calibri" w:cs="Times New Roman"/>
        </w:rPr>
        <w:t xml:space="preserve"> 58.1%</w:t>
      </w:r>
      <w:r w:rsidR="00D738B8">
        <w:rPr>
          <w:rFonts w:ascii="Calibri" w:eastAsia="MS Mincho" w:hAnsi="Calibri" w:cs="Times New Roman"/>
        </w:rPr>
        <w:t> </w:t>
      </w:r>
      <w:r>
        <w:rPr>
          <w:rFonts w:ascii="Calibri" w:eastAsia="MS Mincho" w:hAnsi="Calibri" w:cs="Times New Roman"/>
        </w:rPr>
        <w:t>/</w:t>
      </w:r>
      <w:r w:rsidR="00D738B8">
        <w:rPr>
          <w:rFonts w:ascii="Calibri" w:eastAsia="MS Mincho" w:hAnsi="Calibri" w:cs="Times New Roman"/>
        </w:rPr>
        <w:t> </w:t>
      </w:r>
      <w:r w:rsidR="00527CCA">
        <w:rPr>
          <w:rFonts w:ascii="Calibri" w:eastAsia="MS Mincho" w:hAnsi="Calibri" w:cs="Times New Roman"/>
        </w:rPr>
        <w:t xml:space="preserve">71.4% = 81.4%. This </w:t>
      </w:r>
      <w:r>
        <w:rPr>
          <w:rFonts w:ascii="Calibri" w:eastAsia="MS Mincho" w:hAnsi="Calibri" w:cs="Times New Roman"/>
        </w:rPr>
        <w:t>is appr</w:t>
      </w:r>
      <w:r w:rsidR="00D738B8">
        <w:rPr>
          <w:rFonts w:ascii="Calibri" w:eastAsia="MS Mincho" w:hAnsi="Calibri" w:cs="Times New Roman"/>
        </w:rPr>
        <w:t>oximately equal to the predict</w:t>
      </w:r>
      <w:r w:rsidR="00527CCA">
        <w:rPr>
          <w:rFonts w:ascii="Calibri" w:eastAsia="MS Mincho" w:hAnsi="Calibri" w:cs="Times New Roman"/>
        </w:rPr>
        <w:t xml:space="preserve">ed </w:t>
      </w:r>
      <w:r w:rsidR="00D738B8">
        <w:rPr>
          <w:rFonts w:ascii="Calibri" w:eastAsia="MS Mincho" w:hAnsi="Calibri" w:cs="Times New Roman"/>
        </w:rPr>
        <w:t xml:space="preserve">ongoing continuation rate of </w:t>
      </w:r>
      <w:r>
        <w:rPr>
          <w:rFonts w:ascii="Calibri" w:eastAsia="MS Mincho" w:hAnsi="Calibri" w:cs="Times New Roman"/>
        </w:rPr>
        <w:t>80%</w:t>
      </w:r>
      <w:r w:rsidR="00D738B8">
        <w:rPr>
          <w:rFonts w:ascii="Calibri" w:eastAsia="MS Mincho" w:hAnsi="Calibri" w:cs="Times New Roman"/>
        </w:rPr>
        <w:t xml:space="preserve"> every 24 weeks, albeit from a higher </w:t>
      </w:r>
      <w:r>
        <w:rPr>
          <w:rFonts w:ascii="Calibri" w:eastAsia="MS Mincho" w:hAnsi="Calibri" w:cs="Times New Roman"/>
        </w:rPr>
        <w:t>starting point</w:t>
      </w:r>
      <w:r w:rsidR="00D738B8">
        <w:rPr>
          <w:rFonts w:ascii="Calibri" w:eastAsia="MS Mincho" w:hAnsi="Calibri" w:cs="Times New Roman"/>
        </w:rPr>
        <w:t>.</w:t>
      </w:r>
    </w:p>
    <w:p w:rsidR="00D738B8" w:rsidRPr="008F1C32" w:rsidRDefault="00D738B8" w:rsidP="00F74FFD">
      <w:pPr>
        <w:rPr>
          <w:rFonts w:eastAsia="MS Mincho"/>
        </w:rPr>
      </w:pPr>
      <w:r w:rsidRPr="00A21490">
        <w:rPr>
          <w:rFonts w:eastAsia="MS Mincho"/>
        </w:rPr>
        <w:t>In the July 2013 resubmission</w:t>
      </w:r>
      <w:r>
        <w:rPr>
          <w:rFonts w:eastAsia="MS Mincho"/>
        </w:rPr>
        <w:t>,</w:t>
      </w:r>
      <w:r w:rsidRPr="00A21490">
        <w:rPr>
          <w:rFonts w:eastAsia="MS Mincho"/>
        </w:rPr>
        <w:t xml:space="preserve"> continuation rates (treatments per year)</w:t>
      </w:r>
      <w:r>
        <w:rPr>
          <w:rFonts w:eastAsia="MS Mincho"/>
        </w:rPr>
        <w:t xml:space="preserve"> were</w:t>
      </w:r>
      <w:r w:rsidRPr="00A21490">
        <w:rPr>
          <w:rFonts w:eastAsia="MS Mincho"/>
        </w:rPr>
        <w:t xml:space="preserve"> derived from the economic model</w:t>
      </w:r>
      <w:r>
        <w:rPr>
          <w:rFonts w:eastAsia="MS Mincho"/>
        </w:rPr>
        <w:t>. It was estimated that patient</w:t>
      </w:r>
      <w:r w:rsidR="0053587C">
        <w:rPr>
          <w:rFonts w:eastAsia="MS Mincho"/>
        </w:rPr>
        <w:t>s</w:t>
      </w:r>
      <w:r>
        <w:rPr>
          <w:rFonts w:eastAsia="MS Mincho"/>
        </w:rPr>
        <w:t xml:space="preserve"> would use 3.05 prescriptions </w:t>
      </w:r>
      <w:r w:rsidR="00860F84">
        <w:rPr>
          <w:rFonts w:eastAsia="MS Mincho"/>
        </w:rPr>
        <w:t xml:space="preserve">based on </w:t>
      </w:r>
      <w:r w:rsidR="00860F84" w:rsidRPr="003338D3">
        <w:rPr>
          <w:rFonts w:eastAsia="MS Mincho"/>
        </w:rPr>
        <w:t xml:space="preserve">the 50% </w:t>
      </w:r>
      <w:r w:rsidR="003338D3">
        <w:rPr>
          <w:rFonts w:eastAsia="MS Mincho"/>
        </w:rPr>
        <w:t xml:space="preserve">reduction in headache days </w:t>
      </w:r>
      <w:r w:rsidR="00860F84" w:rsidRPr="003338D3">
        <w:rPr>
          <w:rFonts w:eastAsia="MS Mincho"/>
        </w:rPr>
        <w:t>response</w:t>
      </w:r>
      <w:r w:rsidR="00860F84">
        <w:rPr>
          <w:rFonts w:eastAsia="MS Mincho"/>
        </w:rPr>
        <w:t xml:space="preserve"> criterion </w:t>
      </w:r>
      <w:r>
        <w:rPr>
          <w:rFonts w:eastAsia="MS Mincho"/>
        </w:rPr>
        <w:t>in the first year of treatment</w:t>
      </w:r>
      <w:r w:rsidR="00AD2F7D">
        <w:rPr>
          <w:rFonts w:eastAsia="MS Mincho"/>
        </w:rPr>
        <w:t>.</w:t>
      </w:r>
      <w:r w:rsidR="00860F84">
        <w:rPr>
          <w:rFonts w:eastAsia="MS Mincho"/>
        </w:rPr>
        <w:t xml:space="preserve"> </w:t>
      </w:r>
      <w:r w:rsidR="003338D3">
        <w:rPr>
          <w:rFonts w:eastAsia="MS Mincho"/>
        </w:rPr>
        <w:t xml:space="preserve">When a 30% reduction in headache days was </w:t>
      </w:r>
      <w:r w:rsidR="00AD2F7D">
        <w:rPr>
          <w:rFonts w:eastAsia="MS Mincho"/>
        </w:rPr>
        <w:t>used</w:t>
      </w:r>
      <w:r w:rsidR="003338D3">
        <w:rPr>
          <w:rFonts w:eastAsia="MS Mincho"/>
        </w:rPr>
        <w:t xml:space="preserve"> as the response criteria, it was predicted that patients would use 3.54 prescriptions in the first year of treatment.</w:t>
      </w:r>
    </w:p>
    <w:p w:rsidR="00D738B8" w:rsidRDefault="00860F84" w:rsidP="00F74FFD">
      <w:r>
        <w:t xml:space="preserve">To assess </w:t>
      </w:r>
      <w:r w:rsidR="003338D3">
        <w:t>these assumption</w:t>
      </w:r>
      <w:r>
        <w:t>s, t</w:t>
      </w:r>
      <w:r w:rsidR="00D738B8">
        <w:t xml:space="preserve">he number of </w:t>
      </w:r>
      <w:r w:rsidR="00D738B8" w:rsidRPr="00A7368D">
        <w:t>MBS injection services for chronic migraine</w:t>
      </w:r>
      <w:r w:rsidR="00D738B8">
        <w:t xml:space="preserve"> in the first 12 month</w:t>
      </w:r>
      <w:r w:rsidR="003338D3">
        <w:t>s</w:t>
      </w:r>
      <w:r w:rsidR="00D738B8">
        <w:t xml:space="preserve"> after initiation was calculated for each patient. The median was 4 and the mean was 3.23 services. </w:t>
      </w:r>
    </w:p>
    <w:p w:rsidR="00991E6F" w:rsidRDefault="00991E6F">
      <w:pPr>
        <w:spacing w:line="276" w:lineRule="auto"/>
        <w:rPr>
          <w:rFonts w:ascii="Calibri" w:eastAsia="MS Mincho" w:hAnsi="Calibri" w:cs="Times New Roman"/>
          <w:b/>
          <w:i/>
          <w:szCs w:val="28"/>
        </w:rPr>
      </w:pPr>
      <w:r>
        <w:rPr>
          <w:rFonts w:ascii="Calibri" w:eastAsia="MS Mincho" w:hAnsi="Calibri" w:cs="Times New Roman"/>
          <w:b/>
          <w:i/>
          <w:szCs w:val="28"/>
        </w:rPr>
        <w:br w:type="page"/>
      </w:r>
    </w:p>
    <w:p w:rsidR="007161BE" w:rsidRDefault="007161BE" w:rsidP="007161BE">
      <w:pPr>
        <w:spacing w:before="240"/>
        <w:outlineLvl w:val="2"/>
        <w:rPr>
          <w:rFonts w:ascii="Calibri" w:eastAsia="MS Mincho" w:hAnsi="Calibri" w:cs="Times New Roman"/>
          <w:b/>
          <w:i/>
          <w:szCs w:val="28"/>
        </w:rPr>
      </w:pPr>
      <w:r>
        <w:rPr>
          <w:rFonts w:ascii="Calibri" w:eastAsia="MS Mincho" w:hAnsi="Calibri" w:cs="Times New Roman"/>
          <w:b/>
          <w:i/>
          <w:szCs w:val="28"/>
        </w:rPr>
        <w:lastRenderedPageBreak/>
        <w:t>M</w:t>
      </w:r>
      <w:r w:rsidRPr="007161BE">
        <w:rPr>
          <w:rFonts w:ascii="Calibri" w:eastAsia="MS Mincho" w:hAnsi="Calibri" w:cs="Times New Roman"/>
          <w:b/>
          <w:i/>
          <w:szCs w:val="28"/>
        </w:rPr>
        <w:t xml:space="preserve">igraine </w:t>
      </w:r>
      <w:r>
        <w:rPr>
          <w:rFonts w:ascii="Calibri" w:eastAsia="MS Mincho" w:hAnsi="Calibri" w:cs="Times New Roman"/>
          <w:b/>
          <w:i/>
          <w:szCs w:val="28"/>
        </w:rPr>
        <w:t>medications supplied prior to initi</w:t>
      </w:r>
      <w:r w:rsidR="00C11B88">
        <w:rPr>
          <w:rFonts w:ascii="Calibri" w:eastAsia="MS Mincho" w:hAnsi="Calibri" w:cs="Times New Roman"/>
          <w:b/>
          <w:i/>
          <w:szCs w:val="28"/>
        </w:rPr>
        <w:t>ation of Botox for c</w:t>
      </w:r>
      <w:r>
        <w:rPr>
          <w:rFonts w:ascii="Calibri" w:eastAsia="MS Mincho" w:hAnsi="Calibri" w:cs="Times New Roman"/>
          <w:b/>
          <w:i/>
          <w:szCs w:val="28"/>
        </w:rPr>
        <w:t xml:space="preserve">hronic </w:t>
      </w:r>
      <w:r w:rsidR="00C11B88">
        <w:rPr>
          <w:rFonts w:ascii="Calibri" w:eastAsia="MS Mincho" w:hAnsi="Calibri" w:cs="Times New Roman"/>
          <w:b/>
          <w:i/>
          <w:szCs w:val="28"/>
        </w:rPr>
        <w:t>m</w:t>
      </w:r>
      <w:r>
        <w:rPr>
          <w:rFonts w:ascii="Calibri" w:eastAsia="MS Mincho" w:hAnsi="Calibri" w:cs="Times New Roman"/>
          <w:b/>
          <w:i/>
          <w:szCs w:val="28"/>
        </w:rPr>
        <w:t>igraine</w:t>
      </w:r>
    </w:p>
    <w:p w:rsidR="000A5BFC" w:rsidRDefault="00AF213B" w:rsidP="00B87CD5">
      <w:pPr>
        <w:spacing w:after="0"/>
        <w:rPr>
          <w:rFonts w:cs="Arial"/>
        </w:rPr>
      </w:pPr>
      <w:r>
        <w:rPr>
          <w:rFonts w:cs="Arial"/>
        </w:rPr>
        <w:t xml:space="preserve">The PBS restriction requires that patients </w:t>
      </w:r>
      <w:r w:rsidR="000A5BFC">
        <w:rPr>
          <w:rFonts w:cs="Arial"/>
        </w:rPr>
        <w:t xml:space="preserve">must </w:t>
      </w:r>
      <w:r>
        <w:rPr>
          <w:rFonts w:cs="Arial"/>
        </w:rPr>
        <w:t>have</w:t>
      </w:r>
      <w:r w:rsidR="002B65E3">
        <w:rPr>
          <w:rFonts w:cs="Arial"/>
        </w:rPr>
        <w:t xml:space="preserve"> failed, be intolerant or contraindicated to at least three prophylactic migraine medicines to be eligible for botulinum toxin. </w:t>
      </w:r>
      <w:r w:rsidR="00400931">
        <w:rPr>
          <w:rFonts w:cs="Arial"/>
        </w:rPr>
        <w:t>P</w:t>
      </w:r>
      <w:r w:rsidR="00400931" w:rsidRPr="000A2FDC">
        <w:rPr>
          <w:rFonts w:cs="Arial"/>
        </w:rPr>
        <w:t>ropranolol</w:t>
      </w:r>
      <w:r w:rsidR="00F8749B" w:rsidRPr="000A2FDC">
        <w:rPr>
          <w:rFonts w:cs="Arial"/>
        </w:rPr>
        <w:t>, amitriptylin</w:t>
      </w:r>
      <w:r w:rsidR="00F8749B">
        <w:rPr>
          <w:rFonts w:cs="Arial"/>
        </w:rPr>
        <w:t>e</w:t>
      </w:r>
      <w:r w:rsidR="00F8749B" w:rsidRPr="000A2FDC">
        <w:rPr>
          <w:rFonts w:cs="Arial"/>
        </w:rPr>
        <w:t>, meth</w:t>
      </w:r>
      <w:r w:rsidR="00F8749B">
        <w:rPr>
          <w:rFonts w:cs="Arial"/>
        </w:rPr>
        <w:t>y</w:t>
      </w:r>
      <w:r w:rsidR="00F8749B" w:rsidRPr="000A2FDC">
        <w:rPr>
          <w:rFonts w:cs="Arial"/>
        </w:rPr>
        <w:t>sergide, pizotife</w:t>
      </w:r>
      <w:r w:rsidR="00F8749B">
        <w:rPr>
          <w:rFonts w:cs="Arial"/>
        </w:rPr>
        <w:t xml:space="preserve">n, cyproheptadine or topiramate </w:t>
      </w:r>
      <w:r w:rsidR="000A5BFC">
        <w:rPr>
          <w:rFonts w:cs="Arial"/>
        </w:rPr>
        <w:t>are the p</w:t>
      </w:r>
      <w:r w:rsidR="00F8749B" w:rsidRPr="000A2FDC">
        <w:rPr>
          <w:rFonts w:cs="Arial"/>
        </w:rPr>
        <w:t>rophylactic migraine medications</w:t>
      </w:r>
      <w:r w:rsidR="000A5BFC">
        <w:rPr>
          <w:rFonts w:cs="Arial"/>
        </w:rPr>
        <w:t xml:space="preserve"> specified in the restriction</w:t>
      </w:r>
      <w:r w:rsidR="00F8749B">
        <w:rPr>
          <w:rFonts w:cs="Arial"/>
        </w:rPr>
        <w:t>.</w:t>
      </w:r>
    </w:p>
    <w:p w:rsidR="00525746" w:rsidRDefault="00525746" w:rsidP="00B87CD5">
      <w:pPr>
        <w:spacing w:after="0"/>
        <w:rPr>
          <w:rFonts w:cs="Arial"/>
        </w:rPr>
      </w:pPr>
    </w:p>
    <w:p w:rsidR="00525746" w:rsidRPr="00525746" w:rsidRDefault="00525746" w:rsidP="00525746">
      <w:pPr>
        <w:spacing w:after="0"/>
        <w:rPr>
          <w:rFonts w:cs="Arial"/>
        </w:rPr>
      </w:pPr>
      <w:r w:rsidRPr="00525746">
        <w:rPr>
          <w:rFonts w:cs="Arial"/>
        </w:rPr>
        <w:t>To assess compliance with the restriction an analysis of prior medicines was undertaken. DUSC had also previously suggested that analysis of other migraine therapies (at a patient level) would provide insight into whether the use of botulinum toxin is for chronic migraine (June 2016).</w:t>
      </w:r>
    </w:p>
    <w:p w:rsidR="000A5BFC" w:rsidRDefault="000A5BFC" w:rsidP="00B87CD5">
      <w:pPr>
        <w:spacing w:after="0"/>
        <w:rPr>
          <w:rFonts w:cs="Arial"/>
        </w:rPr>
      </w:pPr>
    </w:p>
    <w:p w:rsidR="00525746" w:rsidRDefault="00525746" w:rsidP="00525746">
      <w:pPr>
        <w:spacing w:after="0"/>
        <w:rPr>
          <w:rFonts w:cs="Arial"/>
        </w:rPr>
      </w:pPr>
      <w:r>
        <w:rPr>
          <w:rFonts w:cs="Arial"/>
        </w:rPr>
        <w:t>M</w:t>
      </w:r>
      <w:r w:rsidRPr="000A2FDC">
        <w:rPr>
          <w:rFonts w:cs="Arial"/>
        </w:rPr>
        <w:t>igraine medications</w:t>
      </w:r>
      <w:r>
        <w:rPr>
          <w:rFonts w:cs="Arial"/>
        </w:rPr>
        <w:t xml:space="preserve"> were divided into the following groups for this analysis;</w:t>
      </w:r>
    </w:p>
    <w:p w:rsidR="00525746" w:rsidRDefault="00525746" w:rsidP="00525746">
      <w:pPr>
        <w:spacing w:after="0"/>
        <w:rPr>
          <w:rFonts w:cs="Arial"/>
        </w:rPr>
      </w:pPr>
    </w:p>
    <w:p w:rsidR="00525746" w:rsidRPr="00AF158B" w:rsidRDefault="00525746" w:rsidP="00525746">
      <w:pPr>
        <w:pStyle w:val="ListParagraph"/>
        <w:numPr>
          <w:ilvl w:val="0"/>
          <w:numId w:val="21"/>
        </w:numPr>
        <w:spacing w:after="0"/>
        <w:rPr>
          <w:rFonts w:cs="Arial"/>
        </w:rPr>
      </w:pPr>
      <w:r w:rsidRPr="00AF158B">
        <w:rPr>
          <w:rFonts w:cs="Arial"/>
        </w:rPr>
        <w:t xml:space="preserve">Botulinum </w:t>
      </w:r>
      <w:r w:rsidR="00D62F9B">
        <w:rPr>
          <w:rFonts w:cs="Arial"/>
        </w:rPr>
        <w:t>toxin t</w:t>
      </w:r>
      <w:r>
        <w:rPr>
          <w:rFonts w:cs="Arial"/>
        </w:rPr>
        <w:t xml:space="preserve">ype </w:t>
      </w:r>
      <w:r w:rsidR="00D62F9B">
        <w:rPr>
          <w:rFonts w:cs="Arial"/>
        </w:rPr>
        <w:t>A</w:t>
      </w:r>
    </w:p>
    <w:p w:rsidR="00525746" w:rsidRPr="00AF158B" w:rsidRDefault="00525746" w:rsidP="00525746">
      <w:pPr>
        <w:pStyle w:val="ListParagraph"/>
        <w:numPr>
          <w:ilvl w:val="0"/>
          <w:numId w:val="21"/>
        </w:numPr>
        <w:spacing w:after="0"/>
        <w:rPr>
          <w:rFonts w:cs="Arial"/>
        </w:rPr>
      </w:pPr>
      <w:r w:rsidRPr="00AF158B">
        <w:rPr>
          <w:rFonts w:cs="Arial"/>
        </w:rPr>
        <w:t xml:space="preserve">Botulinum Toxin </w:t>
      </w:r>
      <w:r>
        <w:rPr>
          <w:rFonts w:cs="Arial"/>
        </w:rPr>
        <w:t xml:space="preserve">Type </w:t>
      </w:r>
      <w:r w:rsidRPr="00AF158B">
        <w:rPr>
          <w:rFonts w:cs="Arial"/>
        </w:rPr>
        <w:t>A pre-</w:t>
      </w:r>
      <w:r w:rsidR="00400931" w:rsidRPr="00AF158B">
        <w:rPr>
          <w:rFonts w:cs="Arial"/>
        </w:rPr>
        <w:t>requisite</w:t>
      </w:r>
      <w:r w:rsidRPr="00AF158B">
        <w:rPr>
          <w:rFonts w:cs="Arial"/>
        </w:rPr>
        <w:t xml:space="preserve"> prophylactic migraine drugs</w:t>
      </w:r>
      <w:r>
        <w:rPr>
          <w:rFonts w:cs="Arial"/>
        </w:rPr>
        <w:t xml:space="preserve"> listed in the PBS restriction for chronic migraine.</w:t>
      </w:r>
    </w:p>
    <w:p w:rsidR="00525746" w:rsidRPr="00AF158B" w:rsidRDefault="00525746" w:rsidP="00525746">
      <w:pPr>
        <w:pStyle w:val="ListParagraph"/>
        <w:numPr>
          <w:ilvl w:val="0"/>
          <w:numId w:val="21"/>
        </w:numPr>
        <w:spacing w:after="0"/>
        <w:rPr>
          <w:rFonts w:cs="Arial"/>
        </w:rPr>
      </w:pPr>
      <w:r w:rsidRPr="00AF158B">
        <w:rPr>
          <w:rFonts w:cs="Arial"/>
        </w:rPr>
        <w:t>Other prophylactic</w:t>
      </w:r>
      <w:r>
        <w:rPr>
          <w:rFonts w:cs="Arial"/>
        </w:rPr>
        <w:t xml:space="preserve"> </w:t>
      </w:r>
      <w:r w:rsidRPr="00AF158B">
        <w:rPr>
          <w:rFonts w:cs="Arial"/>
        </w:rPr>
        <w:t xml:space="preserve">migraine </w:t>
      </w:r>
      <w:r>
        <w:rPr>
          <w:rFonts w:cs="Arial"/>
        </w:rPr>
        <w:t>medicines recognised for use in Australia</w:t>
      </w:r>
      <w:r>
        <w:rPr>
          <w:rStyle w:val="FootnoteReference"/>
          <w:rFonts w:cs="Arial"/>
        </w:rPr>
        <w:footnoteReference w:id="5"/>
      </w:r>
      <w:r w:rsidRPr="002B65E3">
        <w:rPr>
          <w:rFonts w:cs="Arial"/>
          <w:vertAlign w:val="superscript"/>
        </w:rPr>
        <w:t>,</w:t>
      </w:r>
      <w:r>
        <w:rPr>
          <w:rStyle w:val="FootnoteReference"/>
          <w:rFonts w:cs="Arial"/>
        </w:rPr>
        <w:footnoteReference w:id="6"/>
      </w:r>
      <w:r>
        <w:rPr>
          <w:rFonts w:cs="Arial"/>
        </w:rPr>
        <w:t xml:space="preserve"> </w:t>
      </w:r>
    </w:p>
    <w:p w:rsidR="00525746" w:rsidRPr="00AF158B" w:rsidRDefault="00525746" w:rsidP="00525746">
      <w:pPr>
        <w:pStyle w:val="ListParagraph"/>
        <w:spacing w:after="0"/>
        <w:rPr>
          <w:rFonts w:cs="Arial"/>
        </w:rPr>
      </w:pPr>
    </w:p>
    <w:p w:rsidR="00525746" w:rsidRDefault="00525746" w:rsidP="00525746">
      <w:pPr>
        <w:spacing w:after="0"/>
        <w:rPr>
          <w:rFonts w:ascii="Calibri" w:eastAsia="MS Mincho" w:hAnsi="Calibri" w:cs="Times New Roman"/>
          <w:b/>
          <w:lang w:eastAsia="en-US"/>
        </w:rPr>
      </w:pPr>
      <w:r w:rsidRPr="00B87CD5">
        <w:rPr>
          <w:rFonts w:ascii="Calibri" w:eastAsia="MS Mincho" w:hAnsi="Calibri" w:cs="Times New Roman"/>
          <w:b/>
          <w:lang w:eastAsia="en-US"/>
        </w:rPr>
        <w:t>Table</w:t>
      </w:r>
      <w:r>
        <w:rPr>
          <w:rFonts w:ascii="Calibri" w:eastAsia="MS Mincho" w:hAnsi="Calibri" w:cs="Times New Roman"/>
          <w:b/>
          <w:lang w:eastAsia="en-US"/>
        </w:rPr>
        <w:t xml:space="preserve"> 6</w:t>
      </w:r>
      <w:r w:rsidRPr="00B87CD5">
        <w:rPr>
          <w:rFonts w:ascii="Calibri" w:eastAsia="MS Mincho" w:hAnsi="Calibri" w:cs="Times New Roman"/>
          <w:b/>
          <w:lang w:eastAsia="en-US"/>
        </w:rPr>
        <w:t xml:space="preserve">: </w:t>
      </w:r>
      <w:r w:rsidR="00400931">
        <w:rPr>
          <w:rFonts w:ascii="Calibri" w:eastAsia="MS Mincho" w:hAnsi="Calibri" w:cs="Times New Roman"/>
          <w:b/>
          <w:lang w:eastAsia="en-US"/>
        </w:rPr>
        <w:t>Classification</w:t>
      </w:r>
      <w:r>
        <w:rPr>
          <w:rFonts w:ascii="Calibri" w:eastAsia="MS Mincho" w:hAnsi="Calibri" w:cs="Times New Roman"/>
          <w:b/>
          <w:lang w:eastAsia="en-US"/>
        </w:rPr>
        <w:t xml:space="preserve"> of medicines </w:t>
      </w:r>
    </w:p>
    <w:tbl>
      <w:tblPr>
        <w:tblW w:w="9104" w:type="dxa"/>
        <w:tblInd w:w="93" w:type="dxa"/>
        <w:tblLook w:val="04A0" w:firstRow="1" w:lastRow="0" w:firstColumn="1" w:lastColumn="0" w:noHBand="0" w:noVBand="1"/>
        <w:tblCaption w:val="Table 6: Classification of medicines for migraine"/>
        <w:tblDescription w:val="Table showing the classification of medicines for migraine"/>
      </w:tblPr>
      <w:tblGrid>
        <w:gridCol w:w="4246"/>
        <w:gridCol w:w="1109"/>
        <w:gridCol w:w="3749"/>
      </w:tblGrid>
      <w:tr w:rsidR="00525746" w:rsidRPr="00AF158B" w:rsidTr="00EB1C3C">
        <w:trPr>
          <w:trHeight w:val="300"/>
        </w:trPr>
        <w:tc>
          <w:tcPr>
            <w:tcW w:w="4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25746" w:rsidRPr="00AF158B" w:rsidRDefault="00525746" w:rsidP="00421AB0">
            <w:pPr>
              <w:spacing w:after="0"/>
              <w:rPr>
                <w:rFonts w:ascii="Calibri" w:eastAsia="Times New Roman" w:hAnsi="Calibri" w:cs="Times New Roman"/>
                <w:b/>
                <w:sz w:val="20"/>
                <w:szCs w:val="20"/>
              </w:rPr>
            </w:pPr>
            <w:r w:rsidRPr="00AF158B">
              <w:rPr>
                <w:rFonts w:ascii="Calibri" w:eastAsia="Times New Roman" w:hAnsi="Calibri" w:cs="Times New Roman"/>
                <w:b/>
                <w:sz w:val="20"/>
                <w:szCs w:val="20"/>
              </w:rPr>
              <w:t>Drug group</w:t>
            </w:r>
          </w:p>
        </w:tc>
        <w:tc>
          <w:tcPr>
            <w:tcW w:w="11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25746" w:rsidRPr="00AF158B" w:rsidRDefault="00525746" w:rsidP="00421AB0">
            <w:pPr>
              <w:spacing w:after="0"/>
              <w:rPr>
                <w:rFonts w:ascii="Calibri" w:eastAsia="Times New Roman" w:hAnsi="Calibri" w:cs="Times New Roman"/>
                <w:b/>
                <w:sz w:val="20"/>
                <w:szCs w:val="20"/>
              </w:rPr>
            </w:pPr>
            <w:r w:rsidRPr="00AF158B">
              <w:rPr>
                <w:rFonts w:ascii="Calibri" w:eastAsia="Times New Roman" w:hAnsi="Calibri" w:cs="Times New Roman"/>
                <w:b/>
                <w:sz w:val="20"/>
                <w:szCs w:val="20"/>
              </w:rPr>
              <w:t>ATC code</w:t>
            </w:r>
          </w:p>
        </w:tc>
        <w:tc>
          <w:tcPr>
            <w:tcW w:w="37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25746" w:rsidRPr="00AF158B" w:rsidRDefault="00525746" w:rsidP="00421AB0">
            <w:pPr>
              <w:spacing w:after="0"/>
              <w:rPr>
                <w:rFonts w:ascii="Calibri" w:eastAsia="Times New Roman" w:hAnsi="Calibri" w:cs="Times New Roman"/>
                <w:b/>
                <w:sz w:val="20"/>
                <w:szCs w:val="20"/>
              </w:rPr>
            </w:pPr>
            <w:r w:rsidRPr="00AF158B">
              <w:rPr>
                <w:rFonts w:ascii="Calibri" w:eastAsia="Times New Roman" w:hAnsi="Calibri" w:cs="Times New Roman"/>
                <w:b/>
                <w:sz w:val="20"/>
                <w:szCs w:val="20"/>
              </w:rPr>
              <w:t>Drug name</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 xml:space="preserve">Botulinum </w:t>
            </w:r>
            <w:r>
              <w:rPr>
                <w:rFonts w:ascii="Calibri" w:eastAsia="Times New Roman" w:hAnsi="Calibri" w:cs="Times New Roman"/>
                <w:sz w:val="20"/>
                <w:szCs w:val="20"/>
              </w:rPr>
              <w:t>t</w:t>
            </w:r>
            <w:r w:rsidRPr="00AF158B">
              <w:rPr>
                <w:rFonts w:ascii="Calibri" w:eastAsia="Times New Roman" w:hAnsi="Calibri" w:cs="Times New Roman"/>
                <w:sz w:val="20"/>
                <w:szCs w:val="20"/>
              </w:rPr>
              <w:t xml:space="preserve">oxin </w:t>
            </w:r>
            <w:r>
              <w:rPr>
                <w:rFonts w:ascii="Calibri" w:eastAsia="Times New Roman" w:hAnsi="Calibri" w:cs="Times New Roman"/>
                <w:sz w:val="20"/>
                <w:szCs w:val="20"/>
              </w:rPr>
              <w:t>t</w:t>
            </w:r>
            <w:r w:rsidRPr="00AF158B">
              <w:rPr>
                <w:rFonts w:ascii="Calibri" w:eastAsia="Times New Roman" w:hAnsi="Calibri" w:cs="Times New Roman"/>
                <w:sz w:val="20"/>
                <w:szCs w:val="20"/>
              </w:rPr>
              <w:t>ype A</w:t>
            </w:r>
          </w:p>
        </w:tc>
        <w:tc>
          <w:tcPr>
            <w:tcW w:w="110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M03AX01</w:t>
            </w:r>
          </w:p>
        </w:tc>
        <w:tc>
          <w:tcPr>
            <w:tcW w:w="374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Pr>
                <w:rFonts w:ascii="Calibri" w:eastAsia="Times New Roman" w:hAnsi="Calibri" w:cs="Times New Roman"/>
                <w:sz w:val="20"/>
                <w:szCs w:val="20"/>
              </w:rPr>
              <w:t>botulinum toxin type A</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525746" w:rsidRPr="00AF158B" w:rsidRDefault="00525746" w:rsidP="00421AB0">
            <w:pPr>
              <w:spacing w:after="0"/>
              <w:rPr>
                <w:rFonts w:ascii="Calibri" w:eastAsia="Times New Roman" w:hAnsi="Calibri" w:cs="Times New Roman"/>
                <w:sz w:val="20"/>
                <w:szCs w:val="20"/>
              </w:rPr>
            </w:pPr>
            <w:r>
              <w:rPr>
                <w:rFonts w:ascii="Calibri" w:eastAsia="Times New Roman" w:hAnsi="Calibri" w:cs="Times New Roman"/>
                <w:sz w:val="20"/>
                <w:szCs w:val="20"/>
              </w:rPr>
              <w:t>Botulinum toxin</w:t>
            </w:r>
            <w:r w:rsidRPr="00AF158B">
              <w:rPr>
                <w:rFonts w:ascii="Calibri" w:eastAsia="Times New Roman" w:hAnsi="Calibri" w:cs="Times New Roman"/>
                <w:sz w:val="20"/>
                <w:szCs w:val="20"/>
              </w:rPr>
              <w:t xml:space="preserve"> pre-</w:t>
            </w:r>
            <w:r w:rsidR="00400931" w:rsidRPr="00AF158B">
              <w:rPr>
                <w:rFonts w:ascii="Calibri" w:eastAsia="Times New Roman" w:hAnsi="Calibri" w:cs="Times New Roman"/>
                <w:sz w:val="20"/>
                <w:szCs w:val="20"/>
              </w:rPr>
              <w:t>requisite</w:t>
            </w:r>
            <w:r w:rsidRPr="00AF158B">
              <w:rPr>
                <w:rFonts w:ascii="Calibri" w:eastAsia="Times New Roman" w:hAnsi="Calibri" w:cs="Times New Roman"/>
                <w:sz w:val="20"/>
                <w:szCs w:val="20"/>
              </w:rPr>
              <w:t xml:space="preserve"> prophylactic migraine drugs</w:t>
            </w:r>
          </w:p>
        </w:tc>
        <w:tc>
          <w:tcPr>
            <w:tcW w:w="110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N03AX11</w:t>
            </w:r>
          </w:p>
        </w:tc>
        <w:tc>
          <w:tcPr>
            <w:tcW w:w="3749" w:type="dxa"/>
            <w:tcBorders>
              <w:top w:val="nil"/>
              <w:left w:val="nil"/>
              <w:bottom w:val="single" w:sz="4" w:space="0" w:color="auto"/>
              <w:right w:val="single" w:sz="4" w:space="0" w:color="auto"/>
            </w:tcBorders>
            <w:shd w:val="clear" w:color="auto" w:fill="auto"/>
            <w:noWrap/>
            <w:vAlign w:val="center"/>
            <w:hideMark/>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topiramate</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N06AA09</w:t>
            </w:r>
          </w:p>
        </w:tc>
        <w:tc>
          <w:tcPr>
            <w:tcW w:w="3749" w:type="dxa"/>
            <w:tcBorders>
              <w:top w:val="nil"/>
              <w:left w:val="nil"/>
              <w:bottom w:val="single" w:sz="4" w:space="0" w:color="auto"/>
              <w:right w:val="single" w:sz="4" w:space="0" w:color="auto"/>
            </w:tcBorders>
            <w:shd w:val="clear" w:color="auto" w:fill="auto"/>
            <w:noWrap/>
            <w:vAlign w:val="center"/>
            <w:hideMark/>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amitriptyline</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C07AA05</w:t>
            </w:r>
          </w:p>
        </w:tc>
        <w:tc>
          <w:tcPr>
            <w:tcW w:w="3749" w:type="dxa"/>
            <w:tcBorders>
              <w:top w:val="nil"/>
              <w:left w:val="nil"/>
              <w:bottom w:val="single" w:sz="4" w:space="0" w:color="auto"/>
              <w:right w:val="single" w:sz="4" w:space="0" w:color="auto"/>
            </w:tcBorders>
            <w:shd w:val="clear" w:color="auto" w:fill="auto"/>
            <w:noWrap/>
            <w:vAlign w:val="center"/>
            <w:hideMark/>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propranolol</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N02CX01</w:t>
            </w:r>
          </w:p>
        </w:tc>
        <w:tc>
          <w:tcPr>
            <w:tcW w:w="3749" w:type="dxa"/>
            <w:tcBorders>
              <w:top w:val="nil"/>
              <w:left w:val="nil"/>
              <w:bottom w:val="single" w:sz="4" w:space="0" w:color="auto"/>
              <w:right w:val="single" w:sz="4" w:space="0" w:color="auto"/>
            </w:tcBorders>
            <w:shd w:val="clear" w:color="auto" w:fill="auto"/>
            <w:noWrap/>
            <w:vAlign w:val="center"/>
            <w:hideMark/>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pizotifen</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N02CA04</w:t>
            </w:r>
          </w:p>
        </w:tc>
        <w:tc>
          <w:tcPr>
            <w:tcW w:w="3749" w:type="dxa"/>
            <w:tcBorders>
              <w:top w:val="nil"/>
              <w:left w:val="nil"/>
              <w:bottom w:val="single" w:sz="4" w:space="0" w:color="auto"/>
              <w:right w:val="single" w:sz="4" w:space="0" w:color="auto"/>
            </w:tcBorders>
            <w:shd w:val="clear" w:color="auto" w:fill="auto"/>
            <w:noWrap/>
            <w:vAlign w:val="center"/>
            <w:hideMark/>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methysergide</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N02CX</w:t>
            </w:r>
          </w:p>
        </w:tc>
        <w:tc>
          <w:tcPr>
            <w:tcW w:w="3749" w:type="dxa"/>
            <w:tcBorders>
              <w:top w:val="nil"/>
              <w:left w:val="nil"/>
              <w:bottom w:val="single" w:sz="4" w:space="0" w:color="auto"/>
              <w:right w:val="single" w:sz="4" w:space="0" w:color="auto"/>
            </w:tcBorders>
            <w:shd w:val="clear" w:color="auto" w:fill="auto"/>
            <w:noWrap/>
            <w:vAlign w:val="center"/>
            <w:hideMark/>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cyproheptadine</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Other prophylactic migraine drugs</w:t>
            </w:r>
          </w:p>
        </w:tc>
        <w:tc>
          <w:tcPr>
            <w:tcW w:w="110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C08DA01</w:t>
            </w:r>
          </w:p>
        </w:tc>
        <w:tc>
          <w:tcPr>
            <w:tcW w:w="3749" w:type="dxa"/>
            <w:tcBorders>
              <w:top w:val="nil"/>
              <w:left w:val="nil"/>
              <w:bottom w:val="single" w:sz="4" w:space="0" w:color="auto"/>
              <w:right w:val="single" w:sz="4" w:space="0" w:color="auto"/>
            </w:tcBorders>
            <w:shd w:val="clear" w:color="auto" w:fill="auto"/>
            <w:noWrap/>
            <w:vAlign w:val="center"/>
            <w:hideMark/>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verapamil</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C07AB03</w:t>
            </w:r>
          </w:p>
        </w:tc>
        <w:tc>
          <w:tcPr>
            <w:tcW w:w="3749" w:type="dxa"/>
            <w:tcBorders>
              <w:top w:val="nil"/>
              <w:left w:val="nil"/>
              <w:bottom w:val="single" w:sz="4" w:space="0" w:color="auto"/>
              <w:right w:val="single" w:sz="4" w:space="0" w:color="auto"/>
            </w:tcBorders>
            <w:shd w:val="clear" w:color="auto" w:fill="auto"/>
            <w:noWrap/>
            <w:vAlign w:val="center"/>
            <w:hideMark/>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atenolol</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C07AB02</w:t>
            </w:r>
          </w:p>
        </w:tc>
        <w:tc>
          <w:tcPr>
            <w:tcW w:w="3749" w:type="dxa"/>
            <w:tcBorders>
              <w:top w:val="nil"/>
              <w:left w:val="nil"/>
              <w:bottom w:val="single" w:sz="4" w:space="0" w:color="auto"/>
              <w:right w:val="single" w:sz="4" w:space="0" w:color="auto"/>
            </w:tcBorders>
            <w:shd w:val="clear" w:color="auto" w:fill="auto"/>
            <w:noWrap/>
            <w:vAlign w:val="center"/>
            <w:hideMark/>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 xml:space="preserve">metoprolol </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N03AG01</w:t>
            </w:r>
          </w:p>
        </w:tc>
        <w:tc>
          <w:tcPr>
            <w:tcW w:w="3749" w:type="dxa"/>
            <w:tcBorders>
              <w:top w:val="nil"/>
              <w:left w:val="nil"/>
              <w:bottom w:val="single" w:sz="4" w:space="0" w:color="auto"/>
              <w:right w:val="single" w:sz="4" w:space="0" w:color="auto"/>
            </w:tcBorders>
            <w:shd w:val="clear" w:color="auto" w:fill="auto"/>
            <w:noWrap/>
            <w:vAlign w:val="center"/>
            <w:hideMark/>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valproate</w:t>
            </w:r>
          </w:p>
        </w:tc>
      </w:tr>
      <w:tr w:rsidR="00525746" w:rsidRPr="0054277E"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tcPr>
          <w:p w:rsidR="00525746" w:rsidRPr="00AF158B" w:rsidRDefault="00525746" w:rsidP="00421AB0">
            <w:pPr>
              <w:spacing w:after="0"/>
              <w:rPr>
                <w:rFonts w:ascii="Calibri" w:eastAsia="Times New Roman" w:hAnsi="Calibri" w:cs="Times New Roman"/>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C09CA06</w:t>
            </w:r>
          </w:p>
        </w:tc>
        <w:tc>
          <w:tcPr>
            <w:tcW w:w="3749" w:type="dxa"/>
            <w:tcBorders>
              <w:top w:val="nil"/>
              <w:left w:val="nil"/>
              <w:bottom w:val="single" w:sz="4" w:space="0" w:color="auto"/>
              <w:right w:val="single" w:sz="4" w:space="0" w:color="auto"/>
            </w:tcBorders>
            <w:shd w:val="clear" w:color="auto" w:fill="auto"/>
            <w:noWrap/>
            <w:vAlign w:val="center"/>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candesartan (plain form only)</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tcPr>
          <w:p w:rsidR="00525746" w:rsidRPr="00AF158B" w:rsidRDefault="00525746" w:rsidP="00421AB0">
            <w:pPr>
              <w:spacing w:after="0"/>
              <w:rPr>
                <w:rFonts w:ascii="Calibri" w:eastAsia="Times New Roman" w:hAnsi="Calibri" w:cs="Times New Roman"/>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C09AA03</w:t>
            </w:r>
          </w:p>
        </w:tc>
        <w:tc>
          <w:tcPr>
            <w:tcW w:w="3749" w:type="dxa"/>
            <w:tcBorders>
              <w:top w:val="nil"/>
              <w:left w:val="nil"/>
              <w:bottom w:val="single" w:sz="4" w:space="0" w:color="auto"/>
              <w:right w:val="single" w:sz="4" w:space="0" w:color="auto"/>
            </w:tcBorders>
            <w:shd w:val="clear" w:color="auto" w:fill="auto"/>
            <w:noWrap/>
            <w:vAlign w:val="center"/>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lisinopril (plain form only)</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tcPr>
          <w:p w:rsidR="00525746" w:rsidRPr="00AF158B" w:rsidRDefault="00525746" w:rsidP="00421AB0">
            <w:pPr>
              <w:spacing w:after="0"/>
              <w:rPr>
                <w:rFonts w:ascii="Calibri" w:eastAsia="Times New Roman" w:hAnsi="Calibri" w:cs="Times New Roman"/>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525746" w:rsidRPr="00AF158B" w:rsidRDefault="00525746" w:rsidP="00421AB0">
            <w:pPr>
              <w:spacing w:after="0"/>
              <w:rPr>
                <w:rFonts w:ascii="Calibri" w:eastAsia="Times New Roman" w:hAnsi="Calibri" w:cs="Times New Roman"/>
                <w:sz w:val="20"/>
                <w:szCs w:val="20"/>
              </w:rPr>
            </w:pPr>
            <w:r w:rsidRPr="00AF158B">
              <w:rPr>
                <w:rFonts w:ascii="Calibri" w:eastAsia="Times New Roman" w:hAnsi="Calibri" w:cs="Times New Roman"/>
                <w:sz w:val="20"/>
                <w:szCs w:val="20"/>
              </w:rPr>
              <w:t>N02BG</w:t>
            </w:r>
          </w:p>
        </w:tc>
        <w:tc>
          <w:tcPr>
            <w:tcW w:w="3749" w:type="dxa"/>
            <w:tcBorders>
              <w:top w:val="nil"/>
              <w:left w:val="nil"/>
              <w:bottom w:val="single" w:sz="4" w:space="0" w:color="auto"/>
              <w:right w:val="single" w:sz="4" w:space="0" w:color="auto"/>
            </w:tcBorders>
            <w:shd w:val="clear" w:color="auto" w:fill="auto"/>
            <w:noWrap/>
            <w:vAlign w:val="center"/>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gabapentin</w:t>
            </w:r>
          </w:p>
        </w:tc>
      </w:tr>
      <w:tr w:rsidR="00525746" w:rsidRPr="00AF158B" w:rsidTr="00421AB0">
        <w:trPr>
          <w:trHeight w:val="300"/>
        </w:trPr>
        <w:tc>
          <w:tcPr>
            <w:tcW w:w="4246" w:type="dxa"/>
            <w:tcBorders>
              <w:top w:val="nil"/>
              <w:left w:val="single" w:sz="4" w:space="0" w:color="auto"/>
              <w:bottom w:val="single" w:sz="4" w:space="0" w:color="auto"/>
              <w:right w:val="single" w:sz="4" w:space="0" w:color="auto"/>
            </w:tcBorders>
            <w:shd w:val="clear" w:color="auto" w:fill="auto"/>
            <w:noWrap/>
            <w:vAlign w:val="bottom"/>
          </w:tcPr>
          <w:p w:rsidR="00525746" w:rsidRPr="00AF158B" w:rsidRDefault="00525746" w:rsidP="00421AB0">
            <w:pPr>
              <w:spacing w:after="0"/>
              <w:rPr>
                <w:rFonts w:ascii="Calibri" w:eastAsia="Times New Roman" w:hAnsi="Calibri" w:cs="Times New Roman"/>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C02AC01</w:t>
            </w:r>
          </w:p>
        </w:tc>
        <w:tc>
          <w:tcPr>
            <w:tcW w:w="3749" w:type="dxa"/>
            <w:tcBorders>
              <w:top w:val="nil"/>
              <w:left w:val="nil"/>
              <w:bottom w:val="single" w:sz="4" w:space="0" w:color="auto"/>
              <w:right w:val="single" w:sz="4" w:space="0" w:color="auto"/>
            </w:tcBorders>
            <w:shd w:val="clear" w:color="auto" w:fill="auto"/>
            <w:noWrap/>
            <w:vAlign w:val="center"/>
          </w:tcPr>
          <w:p w:rsidR="00525746" w:rsidRPr="0054277E" w:rsidRDefault="00525746" w:rsidP="00421AB0">
            <w:pPr>
              <w:spacing w:after="0"/>
              <w:rPr>
                <w:rFonts w:ascii="Calibri" w:eastAsia="Times New Roman" w:hAnsi="Calibri" w:cs="Times New Roman"/>
                <w:sz w:val="20"/>
                <w:szCs w:val="20"/>
              </w:rPr>
            </w:pPr>
            <w:r w:rsidRPr="0054277E">
              <w:rPr>
                <w:rFonts w:ascii="Calibri" w:eastAsia="Times New Roman" w:hAnsi="Calibri" w:cs="Times New Roman"/>
                <w:sz w:val="20"/>
                <w:szCs w:val="20"/>
              </w:rPr>
              <w:t>clonidine</w:t>
            </w:r>
          </w:p>
        </w:tc>
      </w:tr>
    </w:tbl>
    <w:p w:rsidR="00525746" w:rsidRDefault="00525746" w:rsidP="00B87CD5">
      <w:pPr>
        <w:spacing w:after="0"/>
        <w:rPr>
          <w:rFonts w:cs="Arial"/>
        </w:rPr>
      </w:pPr>
    </w:p>
    <w:p w:rsidR="00525746" w:rsidRDefault="007D69B9" w:rsidP="00B87CD5">
      <w:pPr>
        <w:spacing w:after="0"/>
        <w:rPr>
          <w:rFonts w:cs="Arial"/>
        </w:rPr>
      </w:pPr>
      <w:r>
        <w:rPr>
          <w:rFonts w:cs="Arial"/>
        </w:rPr>
        <w:t xml:space="preserve">Under previous administrative arrangements for </w:t>
      </w:r>
      <w:r w:rsidR="00F75B18">
        <w:rPr>
          <w:rFonts w:cs="Arial"/>
        </w:rPr>
        <w:t>the Botulinum Toxin Program</w:t>
      </w:r>
      <w:r>
        <w:rPr>
          <w:rFonts w:cs="Arial"/>
        </w:rPr>
        <w:t>,</w:t>
      </w:r>
      <w:r w:rsidR="00F75B18">
        <w:rPr>
          <w:rFonts w:cs="Arial"/>
        </w:rPr>
        <w:t xml:space="preserve"> the data did not include a patient identifier</w:t>
      </w:r>
      <w:r w:rsidR="00BF7FDC">
        <w:rPr>
          <w:rFonts w:cs="Arial"/>
        </w:rPr>
        <w:t xml:space="preserve"> and cannot be used for this analysis. T</w:t>
      </w:r>
      <w:r w:rsidR="00F75B18">
        <w:rPr>
          <w:rFonts w:cs="Arial"/>
        </w:rPr>
        <w:t>herefore the MBS service data was linked to PBS data allowing the number of prophylactic therapies prior to a patient’s first service for in</w:t>
      </w:r>
      <w:r w:rsidR="00F20D47">
        <w:rPr>
          <w:rFonts w:cs="Arial"/>
        </w:rPr>
        <w:t>jection of</w:t>
      </w:r>
      <w:r w:rsidR="00F75B18">
        <w:rPr>
          <w:rFonts w:cs="Arial"/>
        </w:rPr>
        <w:t xml:space="preserve"> botulinum to be assessed. </w:t>
      </w:r>
      <w:r w:rsidR="00F75B18">
        <w:rPr>
          <w:rFonts w:ascii="Calibri" w:eastAsia="MS Mincho" w:hAnsi="Calibri" w:cs="Times New Roman"/>
        </w:rPr>
        <w:t>The patient cohort analysed initiated botulinum toxin from 1 April to the 30 November 2016.</w:t>
      </w:r>
    </w:p>
    <w:p w:rsidR="00F75B18" w:rsidRDefault="00F75B18" w:rsidP="00B87CD5">
      <w:pPr>
        <w:spacing w:after="0"/>
        <w:rPr>
          <w:rFonts w:cs="Arial"/>
        </w:rPr>
      </w:pPr>
    </w:p>
    <w:p w:rsidR="00F75B18" w:rsidRDefault="0010262E" w:rsidP="00126D93">
      <w:pPr>
        <w:spacing w:after="0"/>
        <w:rPr>
          <w:rFonts w:cs="Arial"/>
        </w:rPr>
      </w:pPr>
      <w:r w:rsidRPr="0010262E">
        <w:rPr>
          <w:rFonts w:cs="Arial"/>
        </w:rPr>
        <w:t xml:space="preserve">An important limitation to be considered when interpreting this analysis is that there is likely to be missing data because many prophylaxis medicines are priced under the general patient copayment. </w:t>
      </w:r>
      <w:r w:rsidR="00F75B18">
        <w:rPr>
          <w:rFonts w:cs="Arial"/>
        </w:rPr>
        <w:t>U</w:t>
      </w:r>
      <w:r w:rsidR="00126D93">
        <w:rPr>
          <w:rFonts w:cs="Arial"/>
        </w:rPr>
        <w:t>ndercopayment PBS prescriptions</w:t>
      </w:r>
      <w:r w:rsidRPr="0010262E">
        <w:rPr>
          <w:rFonts w:cs="Arial"/>
        </w:rPr>
        <w:t xml:space="preserve"> </w:t>
      </w:r>
      <w:r w:rsidR="00BF7FDC">
        <w:rPr>
          <w:rFonts w:cs="Arial"/>
        </w:rPr>
        <w:t>data</w:t>
      </w:r>
      <w:r w:rsidR="00F75B18">
        <w:rPr>
          <w:rFonts w:cs="Arial"/>
        </w:rPr>
        <w:t xml:space="preserve"> </w:t>
      </w:r>
      <w:r w:rsidRPr="0010262E">
        <w:rPr>
          <w:rFonts w:cs="Arial"/>
        </w:rPr>
        <w:t xml:space="preserve">for general patients is only available from April 2012. </w:t>
      </w:r>
      <w:r w:rsidR="00525746" w:rsidRPr="00525746">
        <w:rPr>
          <w:rFonts w:cs="Arial"/>
        </w:rPr>
        <w:t xml:space="preserve">Of the six drugs listed as </w:t>
      </w:r>
      <w:r w:rsidR="00400931" w:rsidRPr="00525746">
        <w:rPr>
          <w:rFonts w:cs="Arial"/>
        </w:rPr>
        <w:t>prophylactic</w:t>
      </w:r>
      <w:r w:rsidR="00525746" w:rsidRPr="00525746">
        <w:rPr>
          <w:rFonts w:cs="Arial"/>
        </w:rPr>
        <w:t xml:space="preserve"> agents in the restriction, four were priced under the general copayment prior to April 2012.</w:t>
      </w:r>
      <w:r w:rsidR="00126D93" w:rsidRPr="00126D93">
        <w:rPr>
          <w:rFonts w:cs="Arial"/>
        </w:rPr>
        <w:t xml:space="preserve"> </w:t>
      </w:r>
      <w:r w:rsidR="00126D93" w:rsidRPr="00525746">
        <w:rPr>
          <w:rFonts w:cs="Arial"/>
        </w:rPr>
        <w:t>Of the eight drugs in the “Other prophylactic migraine drugs” group, seven were priced under the general copayment prior to April 2012.</w:t>
      </w:r>
      <w:r w:rsidR="00DB449B">
        <w:rPr>
          <w:rFonts w:cs="Arial"/>
        </w:rPr>
        <w:t xml:space="preserve"> </w:t>
      </w:r>
      <w:r w:rsidR="00DB449B" w:rsidRPr="00DB449B">
        <w:rPr>
          <w:rFonts w:cs="Arial"/>
        </w:rPr>
        <w:t>Given the chronic nature of this condition (patients in the PREEMPT clinical trial had a mean duration since onset of chronic migraine of  18−21 years) it is likely that some medicines trialled by general patients will be missing in the available PBS data.</w:t>
      </w:r>
    </w:p>
    <w:p w:rsidR="00F75B18" w:rsidRDefault="00F75B18" w:rsidP="00126D93">
      <w:pPr>
        <w:spacing w:after="0"/>
        <w:rPr>
          <w:rFonts w:cs="Arial"/>
        </w:rPr>
      </w:pPr>
    </w:p>
    <w:p w:rsidR="00F75B18" w:rsidRDefault="00F75B18" w:rsidP="00126D93">
      <w:pPr>
        <w:spacing w:after="0"/>
        <w:rPr>
          <w:rFonts w:cs="Arial"/>
        </w:rPr>
      </w:pPr>
      <w:r w:rsidRPr="00F75B18">
        <w:rPr>
          <w:rFonts w:cs="Arial"/>
        </w:rPr>
        <w:t xml:space="preserve">To investigate this issue further the percentage of patients </w:t>
      </w:r>
      <w:r>
        <w:rPr>
          <w:rFonts w:cs="Arial"/>
        </w:rPr>
        <w:t>in the cohor</w:t>
      </w:r>
      <w:r w:rsidRPr="00F75B18">
        <w:rPr>
          <w:rFonts w:cs="Arial"/>
        </w:rPr>
        <w:t xml:space="preserve">t </w:t>
      </w:r>
      <w:r w:rsidR="00626FD2">
        <w:rPr>
          <w:rFonts w:cs="Arial"/>
        </w:rPr>
        <w:t>with</w:t>
      </w:r>
      <w:r w:rsidRPr="00F75B18">
        <w:rPr>
          <w:rFonts w:cs="Arial"/>
        </w:rPr>
        <w:t xml:space="preserve"> only General patient scripts in a year was determined for the years prior to the collection of under</w:t>
      </w:r>
      <w:r>
        <w:rPr>
          <w:rFonts w:cs="Arial"/>
        </w:rPr>
        <w:noBreakHyphen/>
      </w:r>
      <w:r w:rsidRPr="00F75B18">
        <w:rPr>
          <w:rFonts w:cs="Arial"/>
        </w:rPr>
        <w:t xml:space="preserve">copayment data. From 2003 to 2011 approximately 50% of all patients in the cohort had only general scripts in each year, thus it is likely that the percentage of patients estimated to have fulfilled the restriction requirement </w:t>
      </w:r>
      <w:r>
        <w:rPr>
          <w:rFonts w:cs="Arial"/>
        </w:rPr>
        <w:t>will be a significant</w:t>
      </w:r>
      <w:r w:rsidRPr="00F75B18">
        <w:rPr>
          <w:rFonts w:cs="Arial"/>
        </w:rPr>
        <w:t xml:space="preserve"> underestimate.</w:t>
      </w:r>
    </w:p>
    <w:p w:rsidR="00F75B18" w:rsidRDefault="00F75B18" w:rsidP="00126D93">
      <w:pPr>
        <w:spacing w:after="0"/>
        <w:rPr>
          <w:rFonts w:cs="Arial"/>
        </w:rPr>
      </w:pPr>
    </w:p>
    <w:p w:rsidR="00126D93" w:rsidRDefault="00DB449B" w:rsidP="00126D93">
      <w:pPr>
        <w:spacing w:after="0"/>
        <w:rPr>
          <w:rFonts w:cs="Arial"/>
        </w:rPr>
      </w:pPr>
      <w:r>
        <w:rPr>
          <w:rFonts w:cs="Arial"/>
        </w:rPr>
        <w:t xml:space="preserve">A concessional </w:t>
      </w:r>
      <w:r w:rsidR="00F75B18">
        <w:rPr>
          <w:rFonts w:cs="Arial"/>
        </w:rPr>
        <w:t xml:space="preserve">only cohort was considered, however thought unlikely to be representative </w:t>
      </w:r>
      <w:r w:rsidR="00F75B18" w:rsidRPr="00F75B18">
        <w:rPr>
          <w:rFonts w:cs="Arial"/>
        </w:rPr>
        <w:t xml:space="preserve">because it is </w:t>
      </w:r>
      <w:r w:rsidR="00626FD2">
        <w:rPr>
          <w:rFonts w:cs="Arial"/>
        </w:rPr>
        <w:t>may</w:t>
      </w:r>
      <w:r w:rsidR="00BF7FDC">
        <w:rPr>
          <w:rFonts w:cs="Arial"/>
        </w:rPr>
        <w:t xml:space="preserve"> be biased toward</w:t>
      </w:r>
      <w:r w:rsidR="00F75B18" w:rsidRPr="00F75B18">
        <w:rPr>
          <w:rFonts w:cs="Arial"/>
        </w:rPr>
        <w:t xml:space="preserve"> those people more severely affected by chronic migraine and unable to work.</w:t>
      </w:r>
    </w:p>
    <w:p w:rsidR="00525746" w:rsidRDefault="00525746" w:rsidP="0010262E">
      <w:pPr>
        <w:spacing w:after="0"/>
        <w:rPr>
          <w:rFonts w:cs="Arial"/>
        </w:rPr>
      </w:pPr>
    </w:p>
    <w:p w:rsidR="00F75B18" w:rsidRDefault="00F20D47" w:rsidP="0010262E">
      <w:pPr>
        <w:spacing w:after="0"/>
        <w:rPr>
          <w:rFonts w:cs="Arial"/>
        </w:rPr>
      </w:pPr>
      <w:r>
        <w:rPr>
          <w:rFonts w:cs="Arial"/>
        </w:rPr>
        <w:t>Another lim</w:t>
      </w:r>
      <w:r w:rsidR="00F75B18">
        <w:rPr>
          <w:rFonts w:cs="Arial"/>
        </w:rPr>
        <w:t xml:space="preserve">itation is that </w:t>
      </w:r>
      <w:r w:rsidR="00F75B18" w:rsidRPr="00F75B18">
        <w:rPr>
          <w:rFonts w:cs="Arial"/>
        </w:rPr>
        <w:t xml:space="preserve">some of these </w:t>
      </w:r>
      <w:r w:rsidR="00626FD2">
        <w:rPr>
          <w:rFonts w:cs="Arial"/>
        </w:rPr>
        <w:t xml:space="preserve">prophylactic </w:t>
      </w:r>
      <w:r w:rsidR="00F75B18" w:rsidRPr="00F75B18">
        <w:rPr>
          <w:rFonts w:cs="Arial"/>
        </w:rPr>
        <w:t>medicines are available over the counter</w:t>
      </w:r>
      <w:r>
        <w:rPr>
          <w:rFonts w:cs="Arial"/>
        </w:rPr>
        <w:t xml:space="preserve"> (</w:t>
      </w:r>
      <w:r w:rsidR="00354FE8">
        <w:rPr>
          <w:rFonts w:cs="Arial"/>
        </w:rPr>
        <w:t>e.g.</w:t>
      </w:r>
      <w:r>
        <w:rPr>
          <w:rFonts w:cs="Arial"/>
        </w:rPr>
        <w:t> cyproheptadine)</w:t>
      </w:r>
      <w:r w:rsidR="00F75B18" w:rsidRPr="00F75B18">
        <w:rPr>
          <w:rFonts w:cs="Arial"/>
        </w:rPr>
        <w:t xml:space="preserve"> or on private prescription</w:t>
      </w:r>
      <w:r>
        <w:rPr>
          <w:rFonts w:cs="Arial"/>
        </w:rPr>
        <w:t xml:space="preserve"> (</w:t>
      </w:r>
      <w:r w:rsidR="00354FE8">
        <w:rPr>
          <w:rFonts w:cs="Arial"/>
        </w:rPr>
        <w:t>e.g.</w:t>
      </w:r>
      <w:r>
        <w:rPr>
          <w:rFonts w:cs="Arial"/>
        </w:rPr>
        <w:t xml:space="preserve"> gabapentin is not on the PBS for migraine)</w:t>
      </w:r>
      <w:r w:rsidR="00F75B18" w:rsidRPr="00F75B18">
        <w:rPr>
          <w:rFonts w:cs="Arial"/>
        </w:rPr>
        <w:t>.</w:t>
      </w:r>
    </w:p>
    <w:p w:rsidR="00F75B18" w:rsidRDefault="00F75B18" w:rsidP="0010262E">
      <w:pPr>
        <w:spacing w:after="0"/>
        <w:rPr>
          <w:rFonts w:cs="Arial"/>
        </w:rPr>
      </w:pPr>
    </w:p>
    <w:p w:rsidR="00AB4CE4" w:rsidRDefault="00AB4CE4" w:rsidP="0010262E">
      <w:pPr>
        <w:spacing w:after="0"/>
        <w:rPr>
          <w:rFonts w:ascii="Calibri" w:eastAsia="MS Mincho" w:hAnsi="Calibri" w:cs="Times New Roman"/>
        </w:rPr>
      </w:pPr>
      <w:r>
        <w:rPr>
          <w:rFonts w:ascii="Calibri" w:eastAsia="MS Mincho" w:hAnsi="Calibri" w:cs="Times New Roman"/>
        </w:rPr>
        <w:t>The cohort</w:t>
      </w:r>
      <w:r w:rsidR="00F20D47">
        <w:rPr>
          <w:rFonts w:ascii="Calibri" w:eastAsia="MS Mincho" w:hAnsi="Calibri" w:cs="Times New Roman"/>
        </w:rPr>
        <w:t xml:space="preserve"> </w:t>
      </w:r>
      <w:r w:rsidR="00BF7FDC">
        <w:rPr>
          <w:rFonts w:ascii="Calibri" w:eastAsia="MS Mincho" w:hAnsi="Calibri" w:cs="Times New Roman"/>
        </w:rPr>
        <w:t>(</w:t>
      </w:r>
      <w:r w:rsidR="00F20D47">
        <w:rPr>
          <w:rFonts w:ascii="Calibri" w:eastAsia="MS Mincho" w:hAnsi="Calibri" w:cs="Times New Roman"/>
        </w:rPr>
        <w:t xml:space="preserve">patients who commenced botulinum toxin </w:t>
      </w:r>
      <w:r w:rsidR="002365DB">
        <w:rPr>
          <w:rFonts w:ascii="Calibri" w:eastAsia="MS Mincho" w:hAnsi="Calibri" w:cs="Times New Roman"/>
        </w:rPr>
        <w:t xml:space="preserve">from </w:t>
      </w:r>
      <w:r w:rsidR="0010262E">
        <w:rPr>
          <w:rFonts w:ascii="Calibri" w:eastAsia="MS Mincho" w:hAnsi="Calibri" w:cs="Times New Roman"/>
        </w:rPr>
        <w:t xml:space="preserve">1 </w:t>
      </w:r>
      <w:r>
        <w:rPr>
          <w:rFonts w:ascii="Calibri" w:eastAsia="MS Mincho" w:hAnsi="Calibri" w:cs="Times New Roman"/>
        </w:rPr>
        <w:t xml:space="preserve">April to the </w:t>
      </w:r>
      <w:r w:rsidR="0010262E">
        <w:rPr>
          <w:rFonts w:ascii="Calibri" w:eastAsia="MS Mincho" w:hAnsi="Calibri" w:cs="Times New Roman"/>
        </w:rPr>
        <w:t>30 </w:t>
      </w:r>
      <w:r w:rsidR="002365DB">
        <w:rPr>
          <w:rFonts w:ascii="Calibri" w:eastAsia="MS Mincho" w:hAnsi="Calibri" w:cs="Times New Roman"/>
        </w:rPr>
        <w:t>Novembe</w:t>
      </w:r>
      <w:r w:rsidR="00BF7FDC">
        <w:rPr>
          <w:rFonts w:ascii="Calibri" w:eastAsia="MS Mincho" w:hAnsi="Calibri" w:cs="Times New Roman"/>
        </w:rPr>
        <w:t>r </w:t>
      </w:r>
      <w:r w:rsidR="002365DB">
        <w:rPr>
          <w:rFonts w:ascii="Calibri" w:eastAsia="MS Mincho" w:hAnsi="Calibri" w:cs="Times New Roman"/>
        </w:rPr>
        <w:t>2016</w:t>
      </w:r>
      <w:r w:rsidR="00BF7FDC">
        <w:rPr>
          <w:rFonts w:ascii="Calibri" w:eastAsia="MS Mincho" w:hAnsi="Calibri" w:cs="Times New Roman"/>
        </w:rPr>
        <w:t>)</w:t>
      </w:r>
      <w:r w:rsidR="002365DB">
        <w:rPr>
          <w:rFonts w:ascii="Calibri" w:eastAsia="MS Mincho" w:hAnsi="Calibri" w:cs="Times New Roman"/>
        </w:rPr>
        <w:t xml:space="preserve"> </w:t>
      </w:r>
      <w:r>
        <w:rPr>
          <w:rFonts w:ascii="Calibri" w:eastAsia="MS Mincho" w:hAnsi="Calibri" w:cs="Times New Roman"/>
        </w:rPr>
        <w:t xml:space="preserve">was chosen to maximise the look back period where there was undercopayment </w:t>
      </w:r>
      <w:r w:rsidR="0010262E">
        <w:rPr>
          <w:rFonts w:ascii="Calibri" w:eastAsia="MS Mincho" w:hAnsi="Calibri" w:cs="Times New Roman"/>
        </w:rPr>
        <w:t xml:space="preserve">prescription </w:t>
      </w:r>
      <w:r>
        <w:rPr>
          <w:rFonts w:ascii="Calibri" w:eastAsia="MS Mincho" w:hAnsi="Calibri" w:cs="Times New Roman"/>
        </w:rPr>
        <w:t>capture in the PBS data (</w:t>
      </w:r>
      <w:r w:rsidR="00354FE8">
        <w:rPr>
          <w:rFonts w:ascii="Calibri" w:eastAsia="MS Mincho" w:hAnsi="Calibri" w:cs="Times New Roman"/>
        </w:rPr>
        <w:t>i.e.</w:t>
      </w:r>
      <w:r>
        <w:rPr>
          <w:rFonts w:ascii="Calibri" w:eastAsia="MS Mincho" w:hAnsi="Calibri" w:cs="Times New Roman"/>
        </w:rPr>
        <w:t xml:space="preserve"> from April 2012). Thus there was at least </w:t>
      </w:r>
      <w:r w:rsidR="002365DB">
        <w:rPr>
          <w:rFonts w:ascii="Calibri" w:eastAsia="MS Mincho" w:hAnsi="Calibri" w:cs="Times New Roman"/>
        </w:rPr>
        <w:t xml:space="preserve">a </w:t>
      </w:r>
      <w:r>
        <w:rPr>
          <w:rFonts w:ascii="Calibri" w:eastAsia="MS Mincho" w:hAnsi="Calibri" w:cs="Times New Roman"/>
        </w:rPr>
        <w:t>4 year lookback across PBS data with complete capture and then a further lookback from March 2012 to January 2003 where there was incomplete capture for PBS items priced under the general copayment.</w:t>
      </w:r>
    </w:p>
    <w:p w:rsidR="00AB4CE4" w:rsidRDefault="00AB4CE4" w:rsidP="00B87CD5">
      <w:pPr>
        <w:spacing w:after="0"/>
        <w:rPr>
          <w:rFonts w:cs="Arial"/>
        </w:rPr>
      </w:pPr>
    </w:p>
    <w:p w:rsidR="005E1FAB" w:rsidRDefault="00626FD2" w:rsidP="00B87CD5">
      <w:pPr>
        <w:spacing w:after="0"/>
        <w:rPr>
          <w:rFonts w:cs="Arial"/>
        </w:rPr>
      </w:pPr>
      <w:r>
        <w:rPr>
          <w:rFonts w:cs="Arial"/>
        </w:rPr>
        <w:t>The results of the analy</w:t>
      </w:r>
      <w:r w:rsidR="00DF6136">
        <w:rPr>
          <w:rFonts w:cs="Arial"/>
        </w:rPr>
        <w:t>s</w:t>
      </w:r>
      <w:r>
        <w:rPr>
          <w:rFonts w:cs="Arial"/>
        </w:rPr>
        <w:t xml:space="preserve">is are provided in Figure 5. </w:t>
      </w:r>
    </w:p>
    <w:p w:rsidR="006D5481" w:rsidRDefault="006D5481" w:rsidP="00EA531B">
      <w:pPr>
        <w:rPr>
          <w:rFonts w:ascii="Calibri" w:eastAsia="MS Mincho" w:hAnsi="Calibri" w:cs="Times New Roman"/>
        </w:rPr>
      </w:pPr>
      <w:r>
        <w:rPr>
          <w:noProof/>
        </w:rPr>
        <w:lastRenderedPageBreak/>
        <w:drawing>
          <wp:inline distT="0" distB="0" distL="0" distR="0" wp14:anchorId="30CF11CD" wp14:editId="12EAB8A5">
            <wp:extent cx="5687695" cy="3728600"/>
            <wp:effectExtent l="0" t="0" r="27305" b="24765"/>
            <wp:docPr id="5" name="Chart 5" descr="Chart showing the distribution of the number of prior PBS drugs for patients initiating botulinum toxin for chronic migraine from April to the end of November 2016." title="Figure 5 prior therapy before botox"/>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A4251" w:rsidRPr="00E775A7">
        <w:rPr>
          <w:rFonts w:ascii="Calibri" w:eastAsia="MS Mincho" w:hAnsi="Calibri" w:cs="Times New Roman"/>
          <w:b/>
        </w:rPr>
        <w:t xml:space="preserve">Figure </w:t>
      </w:r>
      <w:r w:rsidR="00AA4251">
        <w:rPr>
          <w:rFonts w:ascii="Calibri" w:eastAsia="MS Mincho" w:hAnsi="Calibri" w:cs="Times New Roman"/>
          <w:b/>
        </w:rPr>
        <w:t>5</w:t>
      </w:r>
      <w:r w:rsidR="00AA4251" w:rsidRPr="00E775A7">
        <w:rPr>
          <w:rFonts w:ascii="Calibri" w:eastAsia="MS Mincho" w:hAnsi="Calibri" w:cs="Times New Roman"/>
          <w:b/>
        </w:rPr>
        <w:t xml:space="preserve">:  </w:t>
      </w:r>
      <w:r w:rsidR="00AA4251">
        <w:rPr>
          <w:rFonts w:ascii="Calibri" w:eastAsia="MS Mincho" w:hAnsi="Calibri" w:cs="Times New Roman"/>
          <w:b/>
        </w:rPr>
        <w:t xml:space="preserve">Distribution of the number of prior </w:t>
      </w:r>
      <w:r w:rsidR="00DF6136">
        <w:rPr>
          <w:rFonts w:ascii="Calibri" w:eastAsia="MS Mincho" w:hAnsi="Calibri" w:cs="Times New Roman"/>
          <w:b/>
        </w:rPr>
        <w:t xml:space="preserve">PBS </w:t>
      </w:r>
      <w:r w:rsidR="00AA4251">
        <w:rPr>
          <w:rFonts w:ascii="Calibri" w:eastAsia="MS Mincho" w:hAnsi="Calibri" w:cs="Times New Roman"/>
          <w:b/>
        </w:rPr>
        <w:t xml:space="preserve">drugs for patients initiating </w:t>
      </w:r>
      <w:r w:rsidR="00DF6136">
        <w:rPr>
          <w:rFonts w:ascii="Calibri" w:eastAsia="MS Mincho" w:hAnsi="Calibri" w:cs="Times New Roman"/>
          <w:b/>
        </w:rPr>
        <w:t>botulinum toxin</w:t>
      </w:r>
      <w:r w:rsidR="00AA4251">
        <w:rPr>
          <w:rFonts w:ascii="Calibri" w:eastAsia="MS Mincho" w:hAnsi="Calibri" w:cs="Times New Roman"/>
          <w:b/>
        </w:rPr>
        <w:t xml:space="preserve"> for chronic migraine from April to the end of November 2016.</w:t>
      </w:r>
    </w:p>
    <w:p w:rsidR="00DF6136" w:rsidRDefault="00AA4251" w:rsidP="00EA531B">
      <w:pPr>
        <w:rPr>
          <w:rFonts w:ascii="Calibri" w:eastAsia="MS Mincho" w:hAnsi="Calibri" w:cs="Times New Roman"/>
        </w:rPr>
      </w:pPr>
      <w:r>
        <w:rPr>
          <w:rFonts w:ascii="Calibri" w:eastAsia="MS Mincho" w:hAnsi="Calibri" w:cs="Times New Roman"/>
        </w:rPr>
        <w:t>Figure 5 shows that 34.5% of patients had</w:t>
      </w:r>
      <w:r w:rsidR="00DF6136">
        <w:rPr>
          <w:rFonts w:ascii="Calibri" w:eastAsia="MS Mincho" w:hAnsi="Calibri" w:cs="Times New Roman"/>
        </w:rPr>
        <w:t xml:space="preserve"> evidence in their PBS prescription history of </w:t>
      </w:r>
      <w:r>
        <w:rPr>
          <w:rFonts w:ascii="Calibri" w:eastAsia="MS Mincho" w:hAnsi="Calibri" w:cs="Times New Roman"/>
        </w:rPr>
        <w:t xml:space="preserve">3 or more Botox restriction pre-requisite prophylactic migraine drugs </w:t>
      </w:r>
      <w:r w:rsidR="006D7510">
        <w:rPr>
          <w:rFonts w:ascii="Calibri" w:eastAsia="MS Mincho" w:hAnsi="Calibri" w:cs="Times New Roman"/>
        </w:rPr>
        <w:t xml:space="preserve">and </w:t>
      </w:r>
      <w:r>
        <w:rPr>
          <w:rFonts w:ascii="Calibri" w:eastAsia="MS Mincho" w:hAnsi="Calibri" w:cs="Times New Roman"/>
        </w:rPr>
        <w:t>53% of patients had 3 or more prophylactic</w:t>
      </w:r>
      <w:r w:rsidR="00DF6136">
        <w:rPr>
          <w:rFonts w:ascii="Calibri" w:eastAsia="MS Mincho" w:hAnsi="Calibri" w:cs="Times New Roman"/>
        </w:rPr>
        <w:t xml:space="preserve"> </w:t>
      </w:r>
      <w:r>
        <w:rPr>
          <w:rFonts w:ascii="Calibri" w:eastAsia="MS Mincho" w:hAnsi="Calibri" w:cs="Times New Roman"/>
        </w:rPr>
        <w:t>migraine drugs in total</w:t>
      </w:r>
      <w:r w:rsidR="006D7510">
        <w:rPr>
          <w:rFonts w:ascii="Calibri" w:eastAsia="MS Mincho" w:hAnsi="Calibri" w:cs="Times New Roman"/>
        </w:rPr>
        <w:t xml:space="preserve">. </w:t>
      </w:r>
    </w:p>
    <w:p w:rsidR="006444FF" w:rsidRDefault="006D7510" w:rsidP="00EA531B">
      <w:pPr>
        <w:rPr>
          <w:rFonts w:ascii="Calibri" w:eastAsia="MS Mincho" w:hAnsi="Calibri" w:cs="Times New Roman"/>
        </w:rPr>
      </w:pPr>
      <w:r>
        <w:rPr>
          <w:rFonts w:ascii="Calibri" w:eastAsia="MS Mincho" w:hAnsi="Calibri" w:cs="Times New Roman"/>
        </w:rPr>
        <w:t xml:space="preserve">Even if the PBS data were complete and the estimate was accurate, it would not take into account the </w:t>
      </w:r>
      <w:r w:rsidR="006444FF">
        <w:rPr>
          <w:rFonts w:ascii="Calibri" w:eastAsia="MS Mincho" w:hAnsi="Calibri" w:cs="Times New Roman"/>
        </w:rPr>
        <w:t xml:space="preserve">patients that were </w:t>
      </w:r>
      <w:r w:rsidR="006444FF" w:rsidRPr="006D7510">
        <w:rPr>
          <w:rFonts w:ascii="Calibri" w:eastAsia="MS Mincho" w:hAnsi="Calibri" w:cs="Times New Roman"/>
        </w:rPr>
        <w:t>contraindicat</w:t>
      </w:r>
      <w:r w:rsidR="006444FF">
        <w:rPr>
          <w:rFonts w:ascii="Calibri" w:eastAsia="MS Mincho" w:hAnsi="Calibri" w:cs="Times New Roman"/>
        </w:rPr>
        <w:t>ed to some of the drugs</w:t>
      </w:r>
      <w:r w:rsidR="003F613C">
        <w:rPr>
          <w:rFonts w:ascii="Calibri" w:eastAsia="MS Mincho" w:hAnsi="Calibri" w:cs="Times New Roman"/>
        </w:rPr>
        <w:t>,</w:t>
      </w:r>
      <w:r w:rsidR="006444FF">
        <w:rPr>
          <w:rFonts w:ascii="Calibri" w:eastAsia="MS Mincho" w:hAnsi="Calibri" w:cs="Times New Roman"/>
        </w:rPr>
        <w:t xml:space="preserve"> as these patients would not have be</w:t>
      </w:r>
      <w:r w:rsidR="003F613C">
        <w:rPr>
          <w:rFonts w:ascii="Calibri" w:eastAsia="MS Mincho" w:hAnsi="Calibri" w:cs="Times New Roman"/>
        </w:rPr>
        <w:t>en</w:t>
      </w:r>
      <w:r w:rsidR="006444FF">
        <w:rPr>
          <w:rFonts w:ascii="Calibri" w:eastAsia="MS Mincho" w:hAnsi="Calibri" w:cs="Times New Roman"/>
        </w:rPr>
        <w:t xml:space="preserve"> prescribed these drugs.</w:t>
      </w:r>
    </w:p>
    <w:p w:rsidR="00993FCD" w:rsidRPr="00DF6136" w:rsidRDefault="002365DB" w:rsidP="00EA531B">
      <w:pPr>
        <w:rPr>
          <w:rFonts w:ascii="Calibri" w:eastAsia="MS Mincho" w:hAnsi="Calibri" w:cs="Times New Roman"/>
          <w:i/>
        </w:rPr>
      </w:pPr>
      <w:r w:rsidRPr="00DF6136">
        <w:rPr>
          <w:rFonts w:ascii="Calibri" w:eastAsia="MS Mincho" w:hAnsi="Calibri" w:cs="Times New Roman"/>
          <w:i/>
        </w:rPr>
        <w:t xml:space="preserve">The DUSC is requested to advise whether </w:t>
      </w:r>
      <w:r w:rsidR="00DF6136">
        <w:rPr>
          <w:rFonts w:ascii="Calibri" w:eastAsia="MS Mincho" w:hAnsi="Calibri" w:cs="Times New Roman"/>
          <w:i/>
        </w:rPr>
        <w:t xml:space="preserve">it </w:t>
      </w:r>
      <w:r w:rsidR="00400931">
        <w:rPr>
          <w:rFonts w:ascii="Calibri" w:eastAsia="MS Mincho" w:hAnsi="Calibri" w:cs="Times New Roman"/>
          <w:i/>
        </w:rPr>
        <w:t xml:space="preserve">is </w:t>
      </w:r>
      <w:r w:rsidR="00400931" w:rsidRPr="00DF6136">
        <w:rPr>
          <w:rFonts w:ascii="Calibri" w:eastAsia="MS Mincho" w:hAnsi="Calibri" w:cs="Times New Roman"/>
          <w:i/>
        </w:rPr>
        <w:t>worthwhile</w:t>
      </w:r>
      <w:r w:rsidRPr="00DF6136">
        <w:rPr>
          <w:rFonts w:ascii="Calibri" w:eastAsia="MS Mincho" w:hAnsi="Calibri" w:cs="Times New Roman"/>
          <w:i/>
        </w:rPr>
        <w:t xml:space="preserve"> to retain </w:t>
      </w:r>
      <w:r w:rsidR="00DF6136">
        <w:rPr>
          <w:rFonts w:ascii="Calibri" w:eastAsia="MS Mincho" w:hAnsi="Calibri" w:cs="Times New Roman"/>
          <w:i/>
        </w:rPr>
        <w:t xml:space="preserve">this analysis </w:t>
      </w:r>
      <w:r w:rsidRPr="00DF6136">
        <w:rPr>
          <w:rFonts w:ascii="Calibri" w:eastAsia="MS Mincho" w:hAnsi="Calibri" w:cs="Times New Roman"/>
          <w:i/>
        </w:rPr>
        <w:t>in the report when it is published as DUSC Public Release Document on pbs.gov.au</w:t>
      </w:r>
    </w:p>
    <w:p w:rsidR="00157B97" w:rsidRDefault="00157B97" w:rsidP="00EA531B">
      <w:pPr>
        <w:spacing w:before="240"/>
        <w:outlineLvl w:val="2"/>
        <w:rPr>
          <w:rFonts w:ascii="Calibri" w:eastAsia="MS Mincho" w:hAnsi="Calibri" w:cs="Times New Roman"/>
          <w:b/>
          <w:i/>
          <w:szCs w:val="28"/>
        </w:rPr>
      </w:pPr>
      <w:r>
        <w:rPr>
          <w:rFonts w:ascii="Calibri" w:eastAsia="MS Mincho" w:hAnsi="Calibri" w:cs="Times New Roman"/>
          <w:b/>
          <w:i/>
          <w:szCs w:val="28"/>
        </w:rPr>
        <w:t>Analysis by State</w:t>
      </w:r>
    </w:p>
    <w:p w:rsidR="00157B97" w:rsidRDefault="00BF7FDC" w:rsidP="00EA531B">
      <w:pPr>
        <w:rPr>
          <w:rFonts w:ascii="Calibri" w:hAnsi="Calibri"/>
        </w:rPr>
      </w:pPr>
      <w:r>
        <w:rPr>
          <w:rFonts w:ascii="Calibri" w:hAnsi="Calibri"/>
        </w:rPr>
        <w:t>Figure 6</w:t>
      </w:r>
      <w:r w:rsidR="00157B97">
        <w:rPr>
          <w:rFonts w:ascii="Calibri" w:hAnsi="Calibri"/>
        </w:rPr>
        <w:t xml:space="preserve"> shows the number of patients that received an MBS servic</w:t>
      </w:r>
      <w:r w:rsidR="00B73014">
        <w:rPr>
          <w:rFonts w:ascii="Calibri" w:hAnsi="Calibri"/>
        </w:rPr>
        <w:t xml:space="preserve">e for the injection of Botox </w:t>
      </w:r>
      <w:r w:rsidR="00305F84">
        <w:rPr>
          <w:rFonts w:ascii="Calibri" w:hAnsi="Calibri"/>
        </w:rPr>
        <w:t xml:space="preserve">for chronic migraine </w:t>
      </w:r>
      <w:r w:rsidR="00157B97">
        <w:rPr>
          <w:rFonts w:ascii="Calibri" w:hAnsi="Calibri"/>
        </w:rPr>
        <w:t>from Dece</w:t>
      </w:r>
      <w:r w:rsidR="00305F84">
        <w:rPr>
          <w:rFonts w:ascii="Calibri" w:hAnsi="Calibri"/>
        </w:rPr>
        <w:t>m</w:t>
      </w:r>
      <w:r w:rsidR="00157B97">
        <w:rPr>
          <w:rFonts w:ascii="Calibri" w:hAnsi="Calibri"/>
        </w:rPr>
        <w:t xml:space="preserve">ber 2015 to the end of </w:t>
      </w:r>
      <w:r w:rsidR="00305F84">
        <w:rPr>
          <w:rFonts w:ascii="Calibri" w:hAnsi="Calibri"/>
        </w:rPr>
        <w:t xml:space="preserve">November </w:t>
      </w:r>
      <w:r w:rsidR="00157B97">
        <w:rPr>
          <w:rFonts w:ascii="Calibri" w:hAnsi="Calibri"/>
        </w:rPr>
        <w:t xml:space="preserve">2016 </w:t>
      </w:r>
      <w:r w:rsidR="00B73014">
        <w:rPr>
          <w:rFonts w:ascii="Calibri" w:hAnsi="Calibri"/>
        </w:rPr>
        <w:t xml:space="preserve">(the most recent year of MBS data) </w:t>
      </w:r>
      <w:r w:rsidR="00000AC9">
        <w:rPr>
          <w:rFonts w:ascii="Calibri" w:hAnsi="Calibri"/>
        </w:rPr>
        <w:t>and patient State. The patient State was based on the patient’s Medicare enrolment address at the time the service was processed by DHS.</w:t>
      </w:r>
    </w:p>
    <w:p w:rsidR="006140B3" w:rsidRDefault="006140B3" w:rsidP="00157B97">
      <w:pPr>
        <w:spacing w:line="276" w:lineRule="auto"/>
        <w:rPr>
          <w:rFonts w:ascii="Calibri" w:hAnsi="Calibri"/>
          <w:b/>
        </w:rPr>
      </w:pPr>
    </w:p>
    <w:p w:rsidR="00157B97" w:rsidRPr="00157B97" w:rsidRDefault="00D64CDB" w:rsidP="00EA531B">
      <w:pPr>
        <w:rPr>
          <w:rFonts w:ascii="Calibri" w:hAnsi="Calibri"/>
          <w:b/>
        </w:rPr>
      </w:pPr>
      <w:r>
        <w:rPr>
          <w:noProof/>
        </w:rPr>
        <w:lastRenderedPageBreak/>
        <w:drawing>
          <wp:inline distT="0" distB="0" distL="0" distR="0" wp14:anchorId="51BA5D3E" wp14:editId="7598026A">
            <wp:extent cx="5687695" cy="3729815"/>
            <wp:effectExtent l="0" t="0" r="27305" b="23495"/>
            <wp:docPr id="3" name="Chart 3" descr="Chart showing patients that received an MBS service for the injection of Botox for chronic migraine from December 2015 to the end of November 2016 by patient state." title="Figure 6 botox services by state and territ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57B97" w:rsidRPr="00157B97">
        <w:rPr>
          <w:rFonts w:ascii="Calibri" w:hAnsi="Calibri"/>
          <w:b/>
        </w:rPr>
        <w:t xml:space="preserve">Figure </w:t>
      </w:r>
      <w:r w:rsidR="00BF7FDC">
        <w:rPr>
          <w:rFonts w:ascii="Calibri" w:hAnsi="Calibri"/>
          <w:b/>
        </w:rPr>
        <w:t>6</w:t>
      </w:r>
      <w:r w:rsidR="00157B97">
        <w:rPr>
          <w:rFonts w:ascii="Calibri" w:hAnsi="Calibri"/>
          <w:b/>
        </w:rPr>
        <w:t>: P</w:t>
      </w:r>
      <w:r w:rsidR="00157B97" w:rsidRPr="00157B97">
        <w:rPr>
          <w:rFonts w:ascii="Calibri" w:hAnsi="Calibri"/>
          <w:b/>
        </w:rPr>
        <w:t>atients that received an MBS service for the injection of Bo</w:t>
      </w:r>
      <w:r w:rsidR="00157B97">
        <w:rPr>
          <w:rFonts w:ascii="Calibri" w:hAnsi="Calibri"/>
          <w:b/>
        </w:rPr>
        <w:t>tox</w:t>
      </w:r>
      <w:r w:rsidR="00BF7FDC">
        <w:rPr>
          <w:rFonts w:ascii="Calibri" w:hAnsi="Calibri"/>
          <w:b/>
        </w:rPr>
        <w:t xml:space="preserve"> for chronic migraine</w:t>
      </w:r>
      <w:r w:rsidR="00157B97">
        <w:rPr>
          <w:rFonts w:ascii="Calibri" w:hAnsi="Calibri"/>
          <w:b/>
        </w:rPr>
        <w:t xml:space="preserve"> </w:t>
      </w:r>
      <w:r w:rsidR="008E1F11">
        <w:rPr>
          <w:rFonts w:ascii="Calibri" w:hAnsi="Calibri"/>
          <w:b/>
        </w:rPr>
        <w:t>from December 2015 to the end of November 2016</w:t>
      </w:r>
      <w:r w:rsidR="00157B97">
        <w:rPr>
          <w:rFonts w:ascii="Calibri" w:hAnsi="Calibri"/>
          <w:b/>
        </w:rPr>
        <w:t xml:space="preserve"> by </w:t>
      </w:r>
      <w:r w:rsidR="00000AC9">
        <w:rPr>
          <w:rFonts w:ascii="Calibri" w:hAnsi="Calibri"/>
          <w:b/>
        </w:rPr>
        <w:t>patient state.</w:t>
      </w:r>
    </w:p>
    <w:p w:rsidR="00157B97" w:rsidRDefault="00BF7FDC" w:rsidP="00EA531B">
      <w:pPr>
        <w:rPr>
          <w:rFonts w:ascii="Calibri" w:hAnsi="Calibri"/>
        </w:rPr>
      </w:pPr>
      <w:r>
        <w:rPr>
          <w:rFonts w:ascii="Calibri" w:hAnsi="Calibri"/>
        </w:rPr>
        <w:t>Figure 7 shows the Figure 6</w:t>
      </w:r>
      <w:r w:rsidR="00157B97">
        <w:rPr>
          <w:rFonts w:ascii="Calibri" w:hAnsi="Calibri"/>
        </w:rPr>
        <w:t xml:space="preserve"> </w:t>
      </w:r>
      <w:r w:rsidR="00000AC9">
        <w:rPr>
          <w:rFonts w:ascii="Calibri" w:hAnsi="Calibri"/>
        </w:rPr>
        <w:t xml:space="preserve">data </w:t>
      </w:r>
      <w:r w:rsidR="00157B97">
        <w:rPr>
          <w:rFonts w:ascii="Calibri" w:hAnsi="Calibri"/>
        </w:rPr>
        <w:t>converted to a treatment rate (</w:t>
      </w:r>
      <w:r w:rsidR="00354FE8">
        <w:rPr>
          <w:rFonts w:ascii="Calibri" w:hAnsi="Calibri"/>
        </w:rPr>
        <w:t>i.e.</w:t>
      </w:r>
      <w:r w:rsidR="00157B97">
        <w:rPr>
          <w:rFonts w:ascii="Calibri" w:hAnsi="Calibri"/>
        </w:rPr>
        <w:t xml:space="preserve"> patients as a % of the state population</w:t>
      </w:r>
      <w:r w:rsidR="00157B97">
        <w:rPr>
          <w:rStyle w:val="FootnoteReference"/>
          <w:rFonts w:ascii="Calibri" w:hAnsi="Calibri"/>
        </w:rPr>
        <w:footnoteReference w:id="7"/>
      </w:r>
      <w:r w:rsidR="00157B97">
        <w:rPr>
          <w:rFonts w:ascii="Calibri" w:hAnsi="Calibri"/>
        </w:rPr>
        <w:t>)</w:t>
      </w:r>
    </w:p>
    <w:p w:rsidR="008E1F11" w:rsidRDefault="008E1F11">
      <w:pPr>
        <w:spacing w:line="276" w:lineRule="auto"/>
        <w:rPr>
          <w:rFonts w:ascii="Calibri" w:hAnsi="Calibri"/>
          <w:b/>
        </w:rPr>
      </w:pPr>
    </w:p>
    <w:p w:rsidR="00157B97" w:rsidRDefault="008E1F11" w:rsidP="00EA531B">
      <w:pPr>
        <w:rPr>
          <w:rFonts w:ascii="Calibri" w:hAnsi="Calibri"/>
        </w:rPr>
      </w:pPr>
      <w:r>
        <w:rPr>
          <w:noProof/>
        </w:rPr>
        <w:lastRenderedPageBreak/>
        <w:drawing>
          <wp:inline distT="0" distB="0" distL="0" distR="0" wp14:anchorId="63A1961D" wp14:editId="4908CF3F">
            <wp:extent cx="5687695" cy="3725562"/>
            <wp:effectExtent l="0" t="0" r="27305" b="27305"/>
            <wp:docPr id="4" name="Chart 4" descr="A chart showing the treatment rate (patients as % of population) for the injection of Botox for chronic migraine from December 2015 to the end of November 2016" title="Figure 7 botox treatment rate by state and territ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73014" w:rsidRPr="00157B97">
        <w:rPr>
          <w:rFonts w:ascii="Calibri" w:hAnsi="Calibri"/>
          <w:b/>
        </w:rPr>
        <w:t xml:space="preserve">Figure </w:t>
      </w:r>
      <w:r w:rsidR="00BF7FDC">
        <w:rPr>
          <w:rFonts w:ascii="Calibri" w:hAnsi="Calibri"/>
          <w:b/>
        </w:rPr>
        <w:t>7</w:t>
      </w:r>
      <w:r w:rsidR="00B73014">
        <w:rPr>
          <w:rFonts w:ascii="Calibri" w:hAnsi="Calibri"/>
          <w:b/>
        </w:rPr>
        <w:t xml:space="preserve">: Treatment rate (patients as % of population) </w:t>
      </w:r>
      <w:r w:rsidR="00B73014" w:rsidRPr="00157B97">
        <w:rPr>
          <w:rFonts w:ascii="Calibri" w:hAnsi="Calibri"/>
          <w:b/>
        </w:rPr>
        <w:t>for the injection of Bo</w:t>
      </w:r>
      <w:r w:rsidR="00B73014">
        <w:rPr>
          <w:rFonts w:ascii="Calibri" w:hAnsi="Calibri"/>
          <w:b/>
        </w:rPr>
        <w:t xml:space="preserve">tox </w:t>
      </w:r>
      <w:r w:rsidR="00BF7FDC">
        <w:rPr>
          <w:rFonts w:ascii="Calibri" w:hAnsi="Calibri"/>
          <w:b/>
        </w:rPr>
        <w:t xml:space="preserve">for chronic migraine </w:t>
      </w:r>
      <w:r>
        <w:rPr>
          <w:rFonts w:ascii="Calibri" w:hAnsi="Calibri"/>
          <w:b/>
        </w:rPr>
        <w:t>from December 2015 to the end of November 2016</w:t>
      </w:r>
    </w:p>
    <w:p w:rsidR="001900DA" w:rsidRPr="001900DA" w:rsidRDefault="001900DA" w:rsidP="00EA531B">
      <w:pPr>
        <w:rPr>
          <w:rFonts w:ascii="Calibri" w:hAnsi="Calibri"/>
        </w:rPr>
      </w:pPr>
      <w:r>
        <w:rPr>
          <w:rFonts w:ascii="Calibri" w:hAnsi="Calibri"/>
        </w:rPr>
        <w:t>The t</w:t>
      </w:r>
      <w:r w:rsidRPr="001900DA">
        <w:rPr>
          <w:rFonts w:ascii="Calibri" w:hAnsi="Calibri"/>
        </w:rPr>
        <w:t xml:space="preserve">reatment rates in most states were similar with approximately 23-32 patients per 100,000. Treatment rates were substantially higher in the ACT (105 per 100,000) and substantially lower in the NT (5 per 100,000). </w:t>
      </w:r>
    </w:p>
    <w:p w:rsidR="00BA785F" w:rsidRDefault="00BA785F" w:rsidP="00EA531B">
      <w:pPr>
        <w:rPr>
          <w:rFonts w:ascii="Calibri" w:hAnsi="Calibri"/>
        </w:rPr>
      </w:pPr>
      <w:r>
        <w:rPr>
          <w:rFonts w:ascii="Calibri" w:hAnsi="Calibri"/>
        </w:rPr>
        <w:t xml:space="preserve">The number of </w:t>
      </w:r>
      <w:r w:rsidR="00305F84">
        <w:rPr>
          <w:rFonts w:ascii="Calibri" w:hAnsi="Calibri"/>
        </w:rPr>
        <w:t xml:space="preserve">botulinum toxin </w:t>
      </w:r>
      <w:r w:rsidR="00E83FF8">
        <w:rPr>
          <w:rFonts w:ascii="Calibri" w:hAnsi="Calibri"/>
        </w:rPr>
        <w:t>providers</w:t>
      </w:r>
      <w:r w:rsidR="00571621">
        <w:rPr>
          <w:rFonts w:ascii="Calibri" w:hAnsi="Calibri"/>
        </w:rPr>
        <w:t xml:space="preserve"> (prescribers)</w:t>
      </w:r>
      <w:r>
        <w:rPr>
          <w:rFonts w:ascii="Calibri" w:hAnsi="Calibri"/>
        </w:rPr>
        <w:t xml:space="preserve"> per capita was also investigated and it was found that the ACT has a similar number of prescribers per capita to the other States for </w:t>
      </w:r>
      <w:r w:rsidR="00305F84">
        <w:rPr>
          <w:rFonts w:ascii="Calibri" w:hAnsi="Calibri"/>
        </w:rPr>
        <w:t xml:space="preserve">the </w:t>
      </w:r>
      <w:r>
        <w:rPr>
          <w:rFonts w:ascii="Calibri" w:hAnsi="Calibri"/>
        </w:rPr>
        <w:t>chronic migraine indications</w:t>
      </w:r>
      <w:r w:rsidR="00571621">
        <w:rPr>
          <w:rFonts w:ascii="Calibri" w:hAnsi="Calibri"/>
        </w:rPr>
        <w:t xml:space="preserve">. </w:t>
      </w:r>
      <w:r>
        <w:rPr>
          <w:rFonts w:ascii="Calibri" w:hAnsi="Calibri"/>
        </w:rPr>
        <w:t>This means that the increase</w:t>
      </w:r>
      <w:r w:rsidR="00000AC9">
        <w:rPr>
          <w:rFonts w:ascii="Calibri" w:hAnsi="Calibri"/>
        </w:rPr>
        <w:t>d treatment rate in the ACT wa</w:t>
      </w:r>
      <w:r>
        <w:rPr>
          <w:rFonts w:ascii="Calibri" w:hAnsi="Calibri"/>
        </w:rPr>
        <w:t>s due to prescribers treating more patients each rather than a higher number of prescribers per capita.</w:t>
      </w:r>
    </w:p>
    <w:p w:rsidR="00157B97" w:rsidRDefault="00BF7FDC" w:rsidP="00EA531B">
      <w:pPr>
        <w:rPr>
          <w:rFonts w:ascii="Calibri" w:hAnsi="Calibri"/>
        </w:rPr>
      </w:pPr>
      <w:r>
        <w:rPr>
          <w:rFonts w:ascii="Calibri" w:hAnsi="Calibri"/>
        </w:rPr>
        <w:t>The above analyses (</w:t>
      </w:r>
      <w:r w:rsidR="00354FE8">
        <w:rPr>
          <w:rFonts w:ascii="Calibri" w:hAnsi="Calibri"/>
        </w:rPr>
        <w:t>i.e.</w:t>
      </w:r>
      <w:r>
        <w:rPr>
          <w:rFonts w:ascii="Calibri" w:hAnsi="Calibri"/>
        </w:rPr>
        <w:t xml:space="preserve"> Figure 6 &amp; 7</w:t>
      </w:r>
      <w:r w:rsidR="00157B97">
        <w:rPr>
          <w:rFonts w:ascii="Calibri" w:hAnsi="Calibri"/>
        </w:rPr>
        <w:t>) were repeated using the PBS prescription data for 2016 and the results were very similar.</w:t>
      </w:r>
    </w:p>
    <w:p w:rsidR="00991E6F" w:rsidRDefault="00991E6F">
      <w:pPr>
        <w:spacing w:line="276" w:lineRule="auto"/>
        <w:rPr>
          <w:rFonts w:ascii="Calibri" w:eastAsia="MS Gothic" w:hAnsi="Calibri" w:cs="Times New Roman"/>
          <w:b/>
          <w:bCs/>
          <w:sz w:val="32"/>
          <w:szCs w:val="32"/>
        </w:rPr>
      </w:pPr>
      <w:r>
        <w:rPr>
          <w:rFonts w:ascii="Calibri" w:eastAsia="MS Gothic" w:hAnsi="Calibri" w:cs="Times New Roman"/>
          <w:b/>
          <w:bCs/>
          <w:sz w:val="32"/>
          <w:szCs w:val="32"/>
        </w:rPr>
        <w:br w:type="page"/>
      </w:r>
    </w:p>
    <w:p w:rsidR="002729E4" w:rsidRDefault="00746A4C" w:rsidP="0012529D">
      <w:pPr>
        <w:keepNext/>
        <w:keepLines/>
        <w:spacing w:before="480" w:after="240"/>
        <w:outlineLvl w:val="0"/>
        <w:rPr>
          <w:rFonts w:ascii="Calibri" w:eastAsia="MS Gothic" w:hAnsi="Calibri" w:cs="Times New Roman"/>
          <w:b/>
          <w:bCs/>
          <w:sz w:val="32"/>
          <w:szCs w:val="32"/>
        </w:rPr>
      </w:pPr>
      <w:r>
        <w:rPr>
          <w:rFonts w:ascii="Calibri" w:eastAsia="MS Gothic" w:hAnsi="Calibri" w:cs="Times New Roman"/>
          <w:b/>
          <w:bCs/>
          <w:sz w:val="32"/>
          <w:szCs w:val="32"/>
        </w:rPr>
        <w:lastRenderedPageBreak/>
        <w:t>Risk Sh</w:t>
      </w:r>
      <w:r w:rsidR="005768E6">
        <w:rPr>
          <w:rFonts w:ascii="Calibri" w:eastAsia="MS Gothic" w:hAnsi="Calibri" w:cs="Times New Roman"/>
          <w:b/>
          <w:bCs/>
          <w:sz w:val="32"/>
          <w:szCs w:val="32"/>
        </w:rPr>
        <w:t>aring Arrangement</w:t>
      </w:r>
    </w:p>
    <w:p w:rsidR="00746A4C" w:rsidRDefault="00E26DA1" w:rsidP="00F74FFD">
      <w:pPr>
        <w:rPr>
          <w:rFonts w:eastAsia="MS Mincho"/>
        </w:rPr>
      </w:pPr>
      <w:r>
        <w:rPr>
          <w:rFonts w:eastAsia="MS Mincho"/>
        </w:rPr>
        <w:t>T</w:t>
      </w:r>
      <w:r w:rsidR="00E81C29" w:rsidRPr="00E81C29">
        <w:rPr>
          <w:rFonts w:eastAsia="MS Mincho"/>
        </w:rPr>
        <w:t>o manage uncertainty in the financial estimates</w:t>
      </w:r>
      <w:r w:rsidR="0042504D">
        <w:rPr>
          <w:rFonts w:eastAsia="MS Mincho"/>
        </w:rPr>
        <w:t xml:space="preserve">, </w:t>
      </w:r>
      <w:r w:rsidR="00E81C29" w:rsidRPr="00E81C29">
        <w:rPr>
          <w:rFonts w:eastAsia="MS Mincho"/>
        </w:rPr>
        <w:t>to address concerns with potential usage beyond the restriction</w:t>
      </w:r>
      <w:r w:rsidR="00E81C29">
        <w:rPr>
          <w:rFonts w:eastAsia="MS Mincho"/>
        </w:rPr>
        <w:t xml:space="preserve"> and the expected difficulty differentiating use within and beyond the intent of the restriction</w:t>
      </w:r>
      <w:r w:rsidR="00DD16E3">
        <w:rPr>
          <w:rFonts w:eastAsia="MS Mincho"/>
        </w:rPr>
        <w:t xml:space="preserve"> (see page 6)</w:t>
      </w:r>
      <w:r w:rsidR="0042504D">
        <w:rPr>
          <w:rFonts w:eastAsia="MS Mincho"/>
        </w:rPr>
        <w:t>,</w:t>
      </w:r>
      <w:r w:rsidR="00E81C29" w:rsidRPr="00E81C29">
        <w:rPr>
          <w:rFonts w:eastAsia="MS Mincho"/>
        </w:rPr>
        <w:t xml:space="preserve"> a risk sharing arrangement</w:t>
      </w:r>
      <w:r w:rsidR="00E81C29">
        <w:rPr>
          <w:rFonts w:eastAsia="MS Mincho"/>
        </w:rPr>
        <w:t xml:space="preserve"> was agreed</w:t>
      </w:r>
      <w:r w:rsidR="00E81C29" w:rsidRPr="00E81C29">
        <w:rPr>
          <w:rFonts w:eastAsia="MS Mincho"/>
        </w:rPr>
        <w:t xml:space="preserve">. </w:t>
      </w:r>
    </w:p>
    <w:p w:rsidR="00AD2F7D" w:rsidRPr="00073AF2" w:rsidRDefault="00073AF2" w:rsidP="00F74FFD">
      <w:pPr>
        <w:rPr>
          <w:rFonts w:eastAsia="MS Mincho"/>
          <w:highlight w:val="black"/>
        </w:rPr>
      </w:pPr>
      <w:r>
        <w:rPr>
          <w:rFonts w:eastAsia="MS Mincho"/>
          <w:noProof/>
          <w:color w:val="000000"/>
          <w:highlight w:val="black"/>
        </w:rPr>
        <w:t>'''''''''''' '''''''''''''''''''''' '''' ''''''' '''''''''''''''''''''''''' ''''''''' ''' ''''''' '''''''''''''''''''''' ''''' '''''' '''''''''''''''' ''''''' '''''' ''''''''''''''''''''''' '''''''' ''''''''''' ''''''''' ''''''''''''''''' ''''' ''''''' ''''''''' ''''''''''' '''''' ''''''''''''''''' '''' '''''' ''''''''''''''''''''' '''''''''' ''''''''''''''''' ''''''''' ''''''' ''''' '''''''''''''' '''''' ''''''''''' '''''' ''''''''''''''' ''''' '''''' ''''''''''''''''''''' ''''' ''''''''''' '''''''' ''''''''' '''' ''''''''''''''''''''''''''''''''''''' ''''' ''''''' ''''''' ''''''''''''''''''''''' '''''''''''''' ''''' ''' '''''''' ''''''''''''' '''' ''''''''' ''' ''''''' '''''''''''''''''''''''''''' ''''''''''''''' ''''''''''''' ''''''''''''''''''''''' '''''''' '''''''''</w:t>
      </w:r>
    </w:p>
    <w:p w:rsidR="00DA5FEF" w:rsidRDefault="00DA5FEF" w:rsidP="00B87CD5">
      <w:pPr>
        <w:keepNext/>
        <w:keepLines/>
        <w:spacing w:before="480" w:after="240"/>
        <w:outlineLvl w:val="0"/>
        <w:rPr>
          <w:rFonts w:ascii="Calibri" w:eastAsia="MS Gothic" w:hAnsi="Calibri" w:cs="Times New Roman"/>
          <w:b/>
          <w:bCs/>
          <w:sz w:val="32"/>
          <w:szCs w:val="32"/>
        </w:rPr>
      </w:pPr>
      <w:r>
        <w:rPr>
          <w:rFonts w:ascii="Calibri" w:eastAsia="MS Gothic" w:hAnsi="Calibri" w:cs="Times New Roman"/>
          <w:b/>
          <w:bCs/>
          <w:sz w:val="32"/>
          <w:szCs w:val="32"/>
        </w:rPr>
        <w:t>Discussion</w:t>
      </w:r>
    </w:p>
    <w:p w:rsidR="001A52EE" w:rsidRDefault="002E51C2" w:rsidP="002E51C2">
      <w:pPr>
        <w:rPr>
          <w:rFonts w:ascii="Calibri" w:eastAsia="MS Mincho" w:hAnsi="Calibri" w:cs="Times New Roman"/>
          <w:szCs w:val="28"/>
        </w:rPr>
      </w:pPr>
      <w:r>
        <w:rPr>
          <w:rFonts w:ascii="Calibri" w:eastAsia="MS Mincho" w:hAnsi="Calibri" w:cs="Times New Roman"/>
          <w:szCs w:val="28"/>
        </w:rPr>
        <w:t>The utilisation of botulinum toxin for migraine has been substantially higher than estimated</w:t>
      </w:r>
      <w:r w:rsidR="005362AB">
        <w:rPr>
          <w:rFonts w:ascii="Calibri" w:eastAsia="MS Mincho" w:hAnsi="Calibri" w:cs="Times New Roman"/>
          <w:szCs w:val="28"/>
        </w:rPr>
        <w:t xml:space="preserve">. This is due to more patients treated, but to a greater extent, is driven by high rates of continuation on treatment. </w:t>
      </w:r>
    </w:p>
    <w:p w:rsidR="001D2FC8" w:rsidRPr="001D2FC8" w:rsidRDefault="001D2FC8" w:rsidP="001D2FC8">
      <w:pPr>
        <w:spacing w:after="120"/>
        <w:rPr>
          <w:rFonts w:ascii="Calibri" w:eastAsia="MS Mincho" w:hAnsi="Calibri" w:cs="Times New Roman"/>
          <w:b/>
          <w:i/>
          <w:szCs w:val="28"/>
        </w:rPr>
      </w:pPr>
      <w:r w:rsidRPr="001D2FC8">
        <w:rPr>
          <w:rFonts w:ascii="Calibri" w:eastAsia="MS Mincho" w:hAnsi="Calibri" w:cs="Times New Roman"/>
          <w:b/>
          <w:i/>
          <w:szCs w:val="28"/>
        </w:rPr>
        <w:t xml:space="preserve">Size of </w:t>
      </w:r>
      <w:r>
        <w:rPr>
          <w:rFonts w:ascii="Calibri" w:eastAsia="MS Mincho" w:hAnsi="Calibri" w:cs="Times New Roman"/>
          <w:b/>
          <w:i/>
          <w:szCs w:val="28"/>
        </w:rPr>
        <w:t xml:space="preserve">the </w:t>
      </w:r>
      <w:r w:rsidRPr="001D2FC8">
        <w:rPr>
          <w:rFonts w:ascii="Calibri" w:eastAsia="MS Mincho" w:hAnsi="Calibri" w:cs="Times New Roman"/>
          <w:b/>
          <w:i/>
          <w:szCs w:val="28"/>
        </w:rPr>
        <w:t xml:space="preserve">eligible population </w:t>
      </w:r>
    </w:p>
    <w:p w:rsidR="0027079D" w:rsidRPr="0027079D" w:rsidRDefault="005362AB" w:rsidP="0027079D">
      <w:pPr>
        <w:rPr>
          <w:rFonts w:ascii="Calibri" w:eastAsia="MS Mincho" w:hAnsi="Calibri" w:cs="Times New Roman"/>
          <w:i/>
          <w:szCs w:val="28"/>
        </w:rPr>
      </w:pPr>
      <w:r>
        <w:rPr>
          <w:rFonts w:ascii="Calibri" w:eastAsia="MS Mincho" w:hAnsi="Calibri" w:cs="Times New Roman"/>
          <w:szCs w:val="28"/>
        </w:rPr>
        <w:t xml:space="preserve">There was considerable uncertainty in </w:t>
      </w:r>
      <w:r w:rsidR="000C6197">
        <w:rPr>
          <w:rFonts w:ascii="Calibri" w:eastAsia="MS Mincho" w:hAnsi="Calibri" w:cs="Times New Roman"/>
          <w:szCs w:val="28"/>
        </w:rPr>
        <w:t>estimating the size of the eligible population and uptake rates for botulinum toxin as identified by</w:t>
      </w:r>
      <w:r w:rsidR="002729E4">
        <w:rPr>
          <w:rFonts w:ascii="Calibri" w:eastAsia="MS Mincho" w:hAnsi="Calibri" w:cs="Times New Roman"/>
          <w:szCs w:val="28"/>
        </w:rPr>
        <w:t xml:space="preserve"> the</w:t>
      </w:r>
      <w:r w:rsidR="000C6197">
        <w:rPr>
          <w:rFonts w:ascii="Calibri" w:eastAsia="MS Mincho" w:hAnsi="Calibri" w:cs="Times New Roman"/>
          <w:szCs w:val="28"/>
        </w:rPr>
        <w:t xml:space="preserve"> DUSC and the PBAC</w:t>
      </w:r>
      <w:r w:rsidR="002729E4">
        <w:rPr>
          <w:rFonts w:ascii="Calibri" w:eastAsia="MS Mincho" w:hAnsi="Calibri" w:cs="Times New Roman"/>
          <w:szCs w:val="28"/>
        </w:rPr>
        <w:t>,</w:t>
      </w:r>
      <w:r w:rsidR="000C6197">
        <w:rPr>
          <w:rFonts w:ascii="Calibri" w:eastAsia="MS Mincho" w:hAnsi="Calibri" w:cs="Times New Roman"/>
          <w:szCs w:val="28"/>
        </w:rPr>
        <w:t xml:space="preserve"> and acknowledged by the sponsor. </w:t>
      </w:r>
      <w:r w:rsidR="002729E4" w:rsidRPr="0027079D">
        <w:rPr>
          <w:rFonts w:ascii="Calibri" w:eastAsia="MS Mincho" w:hAnsi="Calibri" w:cs="Times New Roman"/>
          <w:i/>
          <w:szCs w:val="28"/>
        </w:rPr>
        <w:t xml:space="preserve">It is possible that the size of the eligible </w:t>
      </w:r>
      <w:r w:rsidR="00A0750E" w:rsidRPr="0027079D">
        <w:rPr>
          <w:rFonts w:ascii="Calibri" w:eastAsia="MS Mincho" w:hAnsi="Calibri" w:cs="Times New Roman"/>
          <w:i/>
          <w:szCs w:val="28"/>
        </w:rPr>
        <w:t>population was underestimate</w:t>
      </w:r>
      <w:r w:rsidR="00C6088F" w:rsidRPr="0027079D">
        <w:rPr>
          <w:rFonts w:ascii="Calibri" w:eastAsia="MS Mincho" w:hAnsi="Calibri" w:cs="Times New Roman"/>
          <w:i/>
          <w:szCs w:val="28"/>
        </w:rPr>
        <w:t>d</w:t>
      </w:r>
      <w:r w:rsidR="00A0750E" w:rsidRPr="0027079D">
        <w:rPr>
          <w:rFonts w:ascii="Calibri" w:eastAsia="MS Mincho" w:hAnsi="Calibri" w:cs="Times New Roman"/>
          <w:i/>
          <w:szCs w:val="28"/>
        </w:rPr>
        <w:t>. T</w:t>
      </w:r>
      <w:r w:rsidR="001456FD" w:rsidRPr="0027079D">
        <w:rPr>
          <w:rFonts w:ascii="Calibri" w:eastAsia="MS Mincho" w:hAnsi="Calibri" w:cs="Times New Roman"/>
          <w:i/>
          <w:szCs w:val="28"/>
        </w:rPr>
        <w:t xml:space="preserve">o our knowledge there are no new </w:t>
      </w:r>
      <w:r w:rsidR="00A0750E" w:rsidRPr="0027079D">
        <w:rPr>
          <w:rFonts w:ascii="Calibri" w:eastAsia="MS Mincho" w:hAnsi="Calibri" w:cs="Times New Roman"/>
          <w:i/>
          <w:szCs w:val="28"/>
        </w:rPr>
        <w:t>relevant</w:t>
      </w:r>
      <w:r w:rsidR="001456FD" w:rsidRPr="0027079D">
        <w:rPr>
          <w:rFonts w:ascii="Calibri" w:eastAsia="MS Mincho" w:hAnsi="Calibri" w:cs="Times New Roman"/>
          <w:i/>
          <w:szCs w:val="28"/>
        </w:rPr>
        <w:t xml:space="preserve"> prevalence studies to verify </w:t>
      </w:r>
      <w:r w:rsidR="00C6088F" w:rsidRPr="0027079D">
        <w:rPr>
          <w:rFonts w:ascii="Calibri" w:eastAsia="MS Mincho" w:hAnsi="Calibri" w:cs="Times New Roman"/>
          <w:i/>
          <w:szCs w:val="28"/>
        </w:rPr>
        <w:t>that this is the case</w:t>
      </w:r>
      <w:r w:rsidR="001456FD" w:rsidRPr="0027079D">
        <w:rPr>
          <w:rFonts w:ascii="Calibri" w:eastAsia="MS Mincho" w:hAnsi="Calibri" w:cs="Times New Roman"/>
          <w:i/>
          <w:szCs w:val="28"/>
        </w:rPr>
        <w:t xml:space="preserve">. </w:t>
      </w:r>
      <w:r w:rsidR="0027079D" w:rsidRPr="0027079D">
        <w:rPr>
          <w:rFonts w:ascii="Calibri" w:eastAsia="MS Mincho" w:hAnsi="Calibri" w:cs="Times New Roman"/>
          <w:i/>
          <w:szCs w:val="28"/>
        </w:rPr>
        <w:t>The higher than expected number of patients does not app</w:t>
      </w:r>
      <w:r w:rsidR="001A52EE">
        <w:rPr>
          <w:rFonts w:ascii="Calibri" w:eastAsia="MS Mincho" w:hAnsi="Calibri" w:cs="Times New Roman"/>
          <w:i/>
          <w:szCs w:val="28"/>
        </w:rPr>
        <w:t>e</w:t>
      </w:r>
      <w:r w:rsidR="0027079D" w:rsidRPr="0027079D">
        <w:rPr>
          <w:rFonts w:ascii="Calibri" w:eastAsia="MS Mincho" w:hAnsi="Calibri" w:cs="Times New Roman"/>
          <w:i/>
          <w:szCs w:val="28"/>
        </w:rPr>
        <w:t xml:space="preserve">ar to be due to an increase in the number of neurologists providing botulinum toxin, although it is possible that treatment throughput has improved with increased experience in use of botulinum toxin from this indication. </w:t>
      </w:r>
    </w:p>
    <w:p w:rsidR="000126E8" w:rsidRPr="00C6088F" w:rsidRDefault="00C921C8" w:rsidP="000126E8">
      <w:r>
        <w:rPr>
          <w:rFonts w:ascii="Calibri" w:eastAsia="MS Mincho" w:hAnsi="Calibri" w:cs="Times New Roman"/>
          <w:szCs w:val="28"/>
        </w:rPr>
        <w:t>Commencement of</w:t>
      </w:r>
      <w:r w:rsidR="00A0750E" w:rsidRPr="00C6088F">
        <w:rPr>
          <w:rFonts w:ascii="Calibri" w:eastAsia="MS Mincho" w:hAnsi="Calibri" w:cs="Times New Roman"/>
          <w:szCs w:val="28"/>
        </w:rPr>
        <w:t xml:space="preserve"> botulinum as an earlier line therapy is </w:t>
      </w:r>
      <w:r w:rsidR="00C6088F" w:rsidRPr="00C6088F">
        <w:rPr>
          <w:rFonts w:ascii="Calibri" w:eastAsia="MS Mincho" w:hAnsi="Calibri" w:cs="Times New Roman"/>
          <w:szCs w:val="28"/>
        </w:rPr>
        <w:t xml:space="preserve">also </w:t>
      </w:r>
      <w:r w:rsidR="00A0750E" w:rsidRPr="00C6088F">
        <w:rPr>
          <w:rFonts w:ascii="Calibri" w:eastAsia="MS Mincho" w:hAnsi="Calibri" w:cs="Times New Roman"/>
          <w:szCs w:val="28"/>
        </w:rPr>
        <w:t>a possible reason for the higher number of patients</w:t>
      </w:r>
      <w:r w:rsidR="00C6088F" w:rsidRPr="00C6088F">
        <w:rPr>
          <w:rFonts w:ascii="Calibri" w:eastAsia="MS Mincho" w:hAnsi="Calibri" w:cs="Times New Roman"/>
          <w:szCs w:val="28"/>
        </w:rPr>
        <w:t>. The recommendation to list botulinum toxin was based on acceptance of best supportive care as the appropriate comparator for patients who have failed at least three lines of therapy.</w:t>
      </w:r>
      <w:r w:rsidR="00C6088F">
        <w:rPr>
          <w:rFonts w:ascii="Calibri" w:eastAsia="MS Mincho" w:hAnsi="Calibri" w:cs="Times New Roman"/>
          <w:szCs w:val="28"/>
        </w:rPr>
        <w:t xml:space="preserve"> </w:t>
      </w:r>
      <w:r w:rsidR="001456FD" w:rsidRPr="0027079D">
        <w:rPr>
          <w:rFonts w:ascii="Calibri" w:eastAsia="MS Mincho" w:hAnsi="Calibri" w:cs="Times New Roman"/>
          <w:i/>
          <w:szCs w:val="28"/>
        </w:rPr>
        <w:t>An an</w:t>
      </w:r>
      <w:r w:rsidR="0090569C" w:rsidRPr="0027079D">
        <w:rPr>
          <w:rFonts w:ascii="Calibri" w:eastAsia="MS Mincho" w:hAnsi="Calibri" w:cs="Times New Roman"/>
          <w:i/>
          <w:szCs w:val="28"/>
        </w:rPr>
        <w:t>a</w:t>
      </w:r>
      <w:r w:rsidR="001456FD" w:rsidRPr="0027079D">
        <w:rPr>
          <w:rFonts w:ascii="Calibri" w:eastAsia="MS Mincho" w:hAnsi="Calibri" w:cs="Times New Roman"/>
          <w:i/>
          <w:szCs w:val="28"/>
        </w:rPr>
        <w:t xml:space="preserve">lysis to investigate whether patients are commencing botulinum toxin </w:t>
      </w:r>
      <w:r w:rsidR="0090569C" w:rsidRPr="0027079D">
        <w:rPr>
          <w:rFonts w:ascii="Calibri" w:eastAsia="MS Mincho" w:hAnsi="Calibri" w:cs="Times New Roman"/>
          <w:i/>
          <w:szCs w:val="28"/>
        </w:rPr>
        <w:t xml:space="preserve">after failure of three oral prophylactic medicines </w:t>
      </w:r>
      <w:r w:rsidR="00A0750E" w:rsidRPr="0027079D">
        <w:rPr>
          <w:rFonts w:ascii="Calibri" w:eastAsia="MS Mincho" w:hAnsi="Calibri" w:cs="Times New Roman"/>
          <w:i/>
          <w:szCs w:val="28"/>
        </w:rPr>
        <w:t>wa</w:t>
      </w:r>
      <w:r w:rsidR="001456FD" w:rsidRPr="0027079D">
        <w:rPr>
          <w:rFonts w:ascii="Calibri" w:eastAsia="MS Mincho" w:hAnsi="Calibri" w:cs="Times New Roman"/>
          <w:i/>
          <w:szCs w:val="28"/>
        </w:rPr>
        <w:t xml:space="preserve">s </w:t>
      </w:r>
      <w:r w:rsidR="00B02848" w:rsidRPr="0027079D">
        <w:rPr>
          <w:rFonts w:ascii="Calibri" w:eastAsia="MS Mincho" w:hAnsi="Calibri" w:cs="Times New Roman"/>
          <w:i/>
          <w:szCs w:val="28"/>
        </w:rPr>
        <w:t>in</w:t>
      </w:r>
      <w:r w:rsidR="000126E8" w:rsidRPr="0027079D">
        <w:rPr>
          <w:rFonts w:ascii="Calibri" w:eastAsia="MS Mincho" w:hAnsi="Calibri" w:cs="Times New Roman"/>
          <w:i/>
          <w:szCs w:val="28"/>
        </w:rPr>
        <w:t>concl</w:t>
      </w:r>
      <w:r w:rsidR="00B02848" w:rsidRPr="0027079D">
        <w:rPr>
          <w:rFonts w:ascii="Calibri" w:eastAsia="MS Mincho" w:hAnsi="Calibri" w:cs="Times New Roman"/>
          <w:i/>
          <w:szCs w:val="28"/>
        </w:rPr>
        <w:t>u</w:t>
      </w:r>
      <w:r w:rsidR="000126E8" w:rsidRPr="0027079D">
        <w:rPr>
          <w:rFonts w:ascii="Calibri" w:eastAsia="MS Mincho" w:hAnsi="Calibri" w:cs="Times New Roman"/>
          <w:i/>
          <w:szCs w:val="28"/>
        </w:rPr>
        <w:t xml:space="preserve">sive because </w:t>
      </w:r>
      <w:r w:rsidR="00B02848" w:rsidRPr="0027079D">
        <w:rPr>
          <w:rFonts w:ascii="Calibri" w:eastAsia="MS Mincho" w:hAnsi="Calibri" w:cs="Times New Roman"/>
          <w:i/>
          <w:szCs w:val="28"/>
        </w:rPr>
        <w:t xml:space="preserve">of data limitations. </w:t>
      </w:r>
      <w:r w:rsidR="0090569C" w:rsidRPr="0027079D">
        <w:rPr>
          <w:rFonts w:ascii="Calibri" w:eastAsia="MS Mincho" w:hAnsi="Calibri" w:cs="Times New Roman"/>
          <w:i/>
          <w:szCs w:val="28"/>
        </w:rPr>
        <w:t xml:space="preserve">Similarly, assessing whether </w:t>
      </w:r>
      <w:r w:rsidR="000126E8" w:rsidRPr="0027079D">
        <w:rPr>
          <w:rFonts w:ascii="Calibri" w:eastAsia="MS Mincho" w:hAnsi="Calibri" w:cs="Times New Roman"/>
          <w:i/>
          <w:szCs w:val="28"/>
        </w:rPr>
        <w:t xml:space="preserve">medication overuse headache has been managed prior to commencing botulinum toxin </w:t>
      </w:r>
      <w:r w:rsidR="00C6088F" w:rsidRPr="0027079D">
        <w:rPr>
          <w:rFonts w:ascii="Calibri" w:eastAsia="MS Mincho" w:hAnsi="Calibri" w:cs="Times New Roman"/>
          <w:i/>
          <w:szCs w:val="28"/>
        </w:rPr>
        <w:t xml:space="preserve">from PBS data </w:t>
      </w:r>
      <w:r w:rsidR="000126E8" w:rsidRPr="0027079D">
        <w:rPr>
          <w:rFonts w:ascii="Calibri" w:eastAsia="MS Mincho" w:hAnsi="Calibri" w:cs="Times New Roman"/>
          <w:i/>
          <w:szCs w:val="28"/>
        </w:rPr>
        <w:t xml:space="preserve">is </w:t>
      </w:r>
      <w:r w:rsidR="00C6088F" w:rsidRPr="0027079D">
        <w:rPr>
          <w:rFonts w:ascii="Calibri" w:eastAsia="MS Mincho" w:hAnsi="Calibri" w:cs="Times New Roman"/>
          <w:i/>
          <w:szCs w:val="28"/>
        </w:rPr>
        <w:t xml:space="preserve">challenging </w:t>
      </w:r>
      <w:r w:rsidR="000126E8" w:rsidRPr="0027079D">
        <w:rPr>
          <w:rFonts w:ascii="Calibri" w:eastAsia="MS Mincho" w:hAnsi="Calibri" w:cs="Times New Roman"/>
          <w:i/>
          <w:szCs w:val="28"/>
        </w:rPr>
        <w:t>because many</w:t>
      </w:r>
      <w:r w:rsidR="0090569C" w:rsidRPr="0027079D">
        <w:rPr>
          <w:i/>
        </w:rPr>
        <w:t xml:space="preserve"> acute treatments are available over the counter</w:t>
      </w:r>
      <w:r w:rsidR="000126E8" w:rsidRPr="0027079D">
        <w:rPr>
          <w:i/>
        </w:rPr>
        <w:t xml:space="preserve"> or</w:t>
      </w:r>
      <w:r w:rsidR="0090569C" w:rsidRPr="0027079D">
        <w:rPr>
          <w:i/>
        </w:rPr>
        <w:t xml:space="preserve"> may be provided on private prescription.</w:t>
      </w:r>
      <w:r w:rsidR="000126E8" w:rsidRPr="00C6088F">
        <w:t xml:space="preserve"> </w:t>
      </w:r>
    </w:p>
    <w:p w:rsidR="005D6A03" w:rsidRDefault="00C6088F" w:rsidP="000D5F6D">
      <w:r>
        <w:t>A furth</w:t>
      </w:r>
      <w:r w:rsidR="0027079D">
        <w:t>e</w:t>
      </w:r>
      <w:r>
        <w:t xml:space="preserve">r concern raised </w:t>
      </w:r>
      <w:r w:rsidR="00C921C8">
        <w:t xml:space="preserve">by PBAC </w:t>
      </w:r>
      <w:r w:rsidR="0027079D">
        <w:t>was</w:t>
      </w:r>
      <w:r w:rsidR="005D6A03">
        <w:t xml:space="preserve"> a risk th</w:t>
      </w:r>
      <w:r w:rsidR="00C921C8">
        <w:t>at</w:t>
      </w:r>
      <w:r w:rsidR="005D6A03">
        <w:t xml:space="preserve"> PBS subsidised botulinum toxin may be used in </w:t>
      </w:r>
      <w:r w:rsidR="0027079D" w:rsidRPr="0027079D">
        <w:t>other chronic headache indications</w:t>
      </w:r>
      <w:r w:rsidR="005D6A03">
        <w:t xml:space="preserve"> or for cosmetic effects. </w:t>
      </w:r>
      <w:r w:rsidR="005D6A03" w:rsidRPr="00C921C8">
        <w:rPr>
          <w:i/>
        </w:rPr>
        <w:t xml:space="preserve">While these risks remain, the limitation to neurologists </w:t>
      </w:r>
      <w:r w:rsidR="00C921C8">
        <w:rPr>
          <w:i/>
        </w:rPr>
        <w:t>may</w:t>
      </w:r>
      <w:r w:rsidR="005D6A03" w:rsidRPr="00C921C8">
        <w:rPr>
          <w:i/>
        </w:rPr>
        <w:t xml:space="preserve"> minimise risks</w:t>
      </w:r>
      <w:r w:rsidR="002427F0">
        <w:rPr>
          <w:i/>
        </w:rPr>
        <w:t xml:space="preserve"> for different headache types or for</w:t>
      </w:r>
      <w:r w:rsidR="005D6A03" w:rsidRPr="00C921C8">
        <w:rPr>
          <w:i/>
        </w:rPr>
        <w:t xml:space="preserve"> cosmetic use.</w:t>
      </w:r>
      <w:r w:rsidR="005D6A03">
        <w:t xml:space="preserve"> The sponsor</w:t>
      </w:r>
      <w:r w:rsidR="00D66625">
        <w:t>,</w:t>
      </w:r>
      <w:r w:rsidR="005D6A03">
        <w:t xml:space="preserve"> </w:t>
      </w:r>
      <w:r w:rsidR="002427F0">
        <w:t>in the May 2012 pre</w:t>
      </w:r>
      <w:r w:rsidR="00D66625">
        <w:noBreakHyphen/>
      </w:r>
      <w:r w:rsidR="002427F0">
        <w:t>subcommittee response</w:t>
      </w:r>
      <w:r w:rsidR="00D66625">
        <w:t>,</w:t>
      </w:r>
      <w:r w:rsidR="002427F0">
        <w:t xml:space="preserve"> noted that chronic migraine and chronic tension type headache (CTTH) are distinct conditions, that neurologists are able to differentiate, and referenced a published meta-analysis indicating </w:t>
      </w:r>
      <w:r w:rsidR="002427F0">
        <w:lastRenderedPageBreak/>
        <w:t>that botulinum toxin is not effective for tension headache or episodic migraine.</w:t>
      </w:r>
      <w:r w:rsidR="002427F0">
        <w:rPr>
          <w:rStyle w:val="FootnoteReference"/>
        </w:rPr>
        <w:footnoteReference w:id="8"/>
      </w:r>
      <w:r w:rsidR="002427F0">
        <w:t xml:space="preserve">  </w:t>
      </w:r>
      <w:r w:rsidR="00E430DA">
        <w:t xml:space="preserve">The sponsor had reasoned that the closest medical indication to cosmetic use, blepharospasm, which is PBS listed </w:t>
      </w:r>
      <w:r w:rsidR="00400931">
        <w:t>for a</w:t>
      </w:r>
      <w:r w:rsidR="00E430DA">
        <w:t xml:space="preserve"> broader group o</w:t>
      </w:r>
      <w:r w:rsidR="007D69B9">
        <w:t>f</w:t>
      </w:r>
      <w:r w:rsidR="00E430DA">
        <w:t xml:space="preserve"> specialties than just neurology, had steady predictable annual claims indicative of responsible usage (May 2013 pre-subcommittee response). </w:t>
      </w:r>
      <w:r w:rsidR="00C921C8">
        <w:t xml:space="preserve"> </w:t>
      </w:r>
      <w:r w:rsidR="000D5F6D" w:rsidRPr="000D5F6D">
        <w:rPr>
          <w:i/>
        </w:rPr>
        <w:t>While PBS subsidised botulinum toxin may</w:t>
      </w:r>
      <w:r w:rsidR="00453EBE">
        <w:rPr>
          <w:i/>
        </w:rPr>
        <w:t xml:space="preserve"> be</w:t>
      </w:r>
      <w:r w:rsidR="000D5F6D" w:rsidRPr="000D5F6D">
        <w:rPr>
          <w:i/>
        </w:rPr>
        <w:t xml:space="preserve"> </w:t>
      </w:r>
      <w:r w:rsidR="000D5F6D">
        <w:rPr>
          <w:i/>
        </w:rPr>
        <w:t>initiated in</w:t>
      </w:r>
      <w:r w:rsidR="000D5F6D" w:rsidRPr="000D5F6D">
        <w:rPr>
          <w:i/>
        </w:rPr>
        <w:t xml:space="preserve"> patients meeting the eligibility criteria for chronic migraine, cosmetic effects may be a factor contributing to the high continuation rates.</w:t>
      </w:r>
      <w:r w:rsidR="000D5F6D" w:rsidRPr="000D5F6D">
        <w:rPr>
          <w:rFonts w:ascii="HelveticaNeue-Light" w:eastAsiaTheme="minorHAnsi" w:hAnsi="HelveticaNeue-Light" w:cs="HelveticaNeue-Light"/>
          <w:sz w:val="21"/>
          <w:szCs w:val="21"/>
          <w:lang w:eastAsia="en-US"/>
        </w:rPr>
        <w:t xml:space="preserve"> </w:t>
      </w:r>
      <w:r w:rsidR="00400931">
        <w:t>As described by Rothr</w:t>
      </w:r>
      <w:r w:rsidR="000D5F6D" w:rsidRPr="00076DD1">
        <w:t>ock 2012</w:t>
      </w:r>
      <w:r w:rsidR="00400931">
        <w:t>,</w:t>
      </w:r>
      <w:r w:rsidR="000D5F6D" w:rsidRPr="00076DD1">
        <w:t xml:space="preserve"> botulinum toxin</w:t>
      </w:r>
      <w:r w:rsidR="000D5F6D" w:rsidRPr="000D5F6D">
        <w:rPr>
          <w:i/>
        </w:rPr>
        <w:t xml:space="preserve"> </w:t>
      </w:r>
      <w:r w:rsidR="00453EBE">
        <w:rPr>
          <w:i/>
        </w:rPr>
        <w:t>“</w:t>
      </w:r>
      <w:r w:rsidR="000D5F6D" w:rsidRPr="000D5F6D">
        <w:rPr>
          <w:i/>
        </w:rPr>
        <w:t>will cause paralysis of the</w:t>
      </w:r>
      <w:r w:rsidR="00076DD1">
        <w:rPr>
          <w:i/>
        </w:rPr>
        <w:t xml:space="preserve"> </w:t>
      </w:r>
      <w:r w:rsidR="000D5F6D" w:rsidRPr="000D5F6D">
        <w:rPr>
          <w:i/>
        </w:rPr>
        <w:t>muscles into which it is injected, and patients</w:t>
      </w:r>
      <w:r w:rsidR="00076DD1">
        <w:rPr>
          <w:i/>
        </w:rPr>
        <w:t xml:space="preserve"> </w:t>
      </w:r>
      <w:r w:rsidR="000D5F6D" w:rsidRPr="000D5F6D">
        <w:rPr>
          <w:i/>
        </w:rPr>
        <w:t>may note associated smoothing of forehead</w:t>
      </w:r>
      <w:r w:rsidR="000D5F6D">
        <w:rPr>
          <w:i/>
        </w:rPr>
        <w:t xml:space="preserve"> </w:t>
      </w:r>
      <w:r w:rsidR="000D5F6D" w:rsidRPr="000D5F6D">
        <w:rPr>
          <w:i/>
        </w:rPr>
        <w:t>wrinkles and some difficulty in voluntarily</w:t>
      </w:r>
      <w:r w:rsidR="000D5F6D">
        <w:rPr>
          <w:i/>
        </w:rPr>
        <w:t xml:space="preserve"> </w:t>
      </w:r>
      <w:r w:rsidR="000D5F6D" w:rsidRPr="000D5F6D">
        <w:rPr>
          <w:i/>
        </w:rPr>
        <w:t>lifting the eyebrows; when present, these particular</w:t>
      </w:r>
      <w:r w:rsidR="000D5F6D">
        <w:rPr>
          <w:i/>
        </w:rPr>
        <w:t xml:space="preserve"> </w:t>
      </w:r>
      <w:r w:rsidR="000D5F6D" w:rsidRPr="000D5F6D">
        <w:rPr>
          <w:i/>
        </w:rPr>
        <w:t>effects tend to vanish within 3 to 4</w:t>
      </w:r>
      <w:r w:rsidR="000D5F6D">
        <w:rPr>
          <w:i/>
        </w:rPr>
        <w:t xml:space="preserve"> </w:t>
      </w:r>
      <w:r w:rsidR="000D5F6D" w:rsidRPr="000D5F6D">
        <w:rPr>
          <w:i/>
        </w:rPr>
        <w:t>months</w:t>
      </w:r>
      <w:r w:rsidR="00453EBE">
        <w:rPr>
          <w:i/>
        </w:rPr>
        <w:t>”</w:t>
      </w:r>
      <w:r w:rsidR="000D5F6D" w:rsidRPr="000D5F6D">
        <w:rPr>
          <w:i/>
        </w:rPr>
        <w:t>.</w:t>
      </w:r>
      <w:r w:rsidR="000D5F6D">
        <w:rPr>
          <w:rStyle w:val="FootnoteReference"/>
          <w:i/>
        </w:rPr>
        <w:footnoteReference w:id="9"/>
      </w:r>
    </w:p>
    <w:p w:rsidR="001D2FC8" w:rsidRPr="001D2FC8" w:rsidRDefault="001D2FC8" w:rsidP="000126E8">
      <w:pPr>
        <w:rPr>
          <w:b/>
          <w:i/>
        </w:rPr>
      </w:pPr>
      <w:r w:rsidRPr="001D2FC8">
        <w:rPr>
          <w:b/>
          <w:i/>
        </w:rPr>
        <w:t>Treatment Continuation</w:t>
      </w:r>
    </w:p>
    <w:p w:rsidR="00D57BAF" w:rsidRDefault="00D66625" w:rsidP="00D66625">
      <w:pPr>
        <w:rPr>
          <w:i/>
        </w:rPr>
      </w:pPr>
      <w:r>
        <w:t>T</w:t>
      </w:r>
      <w:r w:rsidRPr="00D66625">
        <w:t xml:space="preserve">he PBAC expressed considerable concern that there would be </w:t>
      </w:r>
      <w:r>
        <w:t xml:space="preserve">continued use of botulinum toxin </w:t>
      </w:r>
      <w:r w:rsidRPr="00D66625">
        <w:t>in partial responders although acknowledged that the invasive nature of botulinum toxin administration may serve to limit use in partial and non-responders.</w:t>
      </w:r>
      <w:r>
        <w:t xml:space="preserve"> </w:t>
      </w:r>
      <w:r w:rsidRPr="00D66625">
        <w:rPr>
          <w:i/>
        </w:rPr>
        <w:t>The very high continuation rates</w:t>
      </w:r>
      <w:r>
        <w:rPr>
          <w:i/>
        </w:rPr>
        <w:t xml:space="preserve">, approximately double that </w:t>
      </w:r>
      <w:r w:rsidR="00B30959">
        <w:rPr>
          <w:i/>
        </w:rPr>
        <w:t>compared with</w:t>
      </w:r>
      <w:r>
        <w:rPr>
          <w:i/>
        </w:rPr>
        <w:t xml:space="preserve"> </w:t>
      </w:r>
      <w:r w:rsidR="00400931">
        <w:rPr>
          <w:i/>
        </w:rPr>
        <w:t>clinical</w:t>
      </w:r>
      <w:r w:rsidR="00D57BAF">
        <w:rPr>
          <w:i/>
        </w:rPr>
        <w:t xml:space="preserve"> trial </w:t>
      </w:r>
      <w:r w:rsidR="00B30959">
        <w:rPr>
          <w:i/>
        </w:rPr>
        <w:t>response rates after 2 treatment</w:t>
      </w:r>
      <w:r>
        <w:rPr>
          <w:i/>
        </w:rPr>
        <w:t>s,</w:t>
      </w:r>
      <w:r w:rsidRPr="00D66625">
        <w:rPr>
          <w:i/>
        </w:rPr>
        <w:t xml:space="preserve"> </w:t>
      </w:r>
      <w:r w:rsidR="00B30959">
        <w:rPr>
          <w:i/>
        </w:rPr>
        <w:t xml:space="preserve">could indicate </w:t>
      </w:r>
      <w:r w:rsidRPr="00D66625">
        <w:rPr>
          <w:i/>
        </w:rPr>
        <w:t xml:space="preserve">that botulinum is being continued in patients achieving some improvement but who are not fulfilling the criteria of a 50% reduction in headache days. </w:t>
      </w:r>
      <w:r w:rsidR="00D57BAF" w:rsidRPr="00D57BAF">
        <w:rPr>
          <w:i/>
        </w:rPr>
        <w:t>There is likely to be differences between clinical trial and real world setting reporting of the reduction in headache days per month, particularly given the subjective nature of this outcome.</w:t>
      </w:r>
    </w:p>
    <w:p w:rsidR="00D57BAF" w:rsidRDefault="00D57BAF" w:rsidP="00D66625">
      <w:r>
        <w:rPr>
          <w:i/>
        </w:rPr>
        <w:t xml:space="preserve">The modelled number of treatments per year from the July 2013 resubmission resulted in a higher number of prescriptions than the trial based continuation rates. </w:t>
      </w:r>
      <w:r w:rsidRPr="00D57BAF">
        <w:t xml:space="preserve">The PBAC had raised </w:t>
      </w:r>
      <w:r w:rsidR="00400931" w:rsidRPr="00D57BAF">
        <w:t xml:space="preserve">a </w:t>
      </w:r>
      <w:r w:rsidR="00400931">
        <w:t>number</w:t>
      </w:r>
      <w:r>
        <w:t xml:space="preserve"> of </w:t>
      </w:r>
      <w:r w:rsidRPr="00D57BAF">
        <w:t xml:space="preserve">issues with the economic evaluation including the transition </w:t>
      </w:r>
      <w:r w:rsidR="00400931" w:rsidRPr="00D57BAF">
        <w:t xml:space="preserve">probabilities </w:t>
      </w:r>
      <w:r w:rsidR="00400931">
        <w:t xml:space="preserve">and </w:t>
      </w:r>
      <w:r w:rsidR="00400931" w:rsidRPr="00D57BAF">
        <w:t>the</w:t>
      </w:r>
      <w:r w:rsidRPr="00D57BAF">
        <w:t xml:space="preserve"> extrapolation of the incremental treatment effect of botulinum toxin beyond the trial duration to 5 years in the absence of supportive evidence</w:t>
      </w:r>
      <w:r>
        <w:t>.</w:t>
      </w:r>
      <w:r w:rsidR="00E430DA">
        <w:t xml:space="preserve"> </w:t>
      </w:r>
      <w:r w:rsidR="00076DD1">
        <w:t>As outlined in Section F of the submission to the July 2012 PBAC, a</w:t>
      </w:r>
      <w:r w:rsidR="00E430DA" w:rsidRPr="00E430DA">
        <w:t xml:space="preserve"> single arm open label postmarketing study, COMPEL (NCT01516892) to evaluate the long-term efficacy, safety, and tolerability study of BOTOX® in patients with chronic </w:t>
      </w:r>
      <w:r w:rsidR="00400931" w:rsidRPr="00E430DA">
        <w:t>migraine</w:t>
      </w:r>
      <w:r w:rsidR="00400931">
        <w:t xml:space="preserve"> was</w:t>
      </w:r>
      <w:r w:rsidR="00076DD1">
        <w:t xml:space="preserve"> expected to be completed in March 2016</w:t>
      </w:r>
      <w:r w:rsidR="00E430DA" w:rsidRPr="00E430DA">
        <w:t xml:space="preserve">. The study </w:t>
      </w:r>
      <w:r w:rsidR="00076DD1">
        <w:t>was designed to</w:t>
      </w:r>
      <w:r w:rsidR="00E430DA" w:rsidRPr="00E430DA">
        <w:t xml:space="preserve"> evaluate the 155 U (fixed site, fixed dose) PREEMPT regimen given every 12 weeks for 2 years (a total of 9 treatment cycles</w:t>
      </w:r>
      <w:r w:rsidR="00076DD1">
        <w:t>)</w:t>
      </w:r>
      <w:r w:rsidR="00E430DA" w:rsidRPr="00E430DA">
        <w:t>.</w:t>
      </w:r>
      <w:r w:rsidR="00076DD1">
        <w:t xml:space="preserve"> The study was expected to include patients from </w:t>
      </w:r>
      <w:r w:rsidR="00E430DA" w:rsidRPr="00E430DA">
        <w:t xml:space="preserve">five Australian sites. </w:t>
      </w:r>
      <w:r w:rsidR="00076DD1" w:rsidRPr="00076DD1">
        <w:rPr>
          <w:i/>
        </w:rPr>
        <w:t xml:space="preserve">The sponsor may wish to provide the PBAC </w:t>
      </w:r>
      <w:r w:rsidR="00400931" w:rsidRPr="00076DD1">
        <w:rPr>
          <w:i/>
        </w:rPr>
        <w:t>with the</w:t>
      </w:r>
      <w:r w:rsidR="00076DD1" w:rsidRPr="00076DD1">
        <w:rPr>
          <w:i/>
        </w:rPr>
        <w:t xml:space="preserve"> final results of this study via the pre-DUSC </w:t>
      </w:r>
      <w:r w:rsidR="00400931" w:rsidRPr="00076DD1">
        <w:rPr>
          <w:i/>
        </w:rPr>
        <w:t>response</w:t>
      </w:r>
      <w:r w:rsidR="00076DD1">
        <w:t>.</w:t>
      </w:r>
    </w:p>
    <w:p w:rsidR="005362AB" w:rsidRPr="001D2FC8" w:rsidRDefault="001D2FC8" w:rsidP="002E51C2">
      <w:pPr>
        <w:rPr>
          <w:rFonts w:ascii="Calibri" w:eastAsia="MS Mincho" w:hAnsi="Calibri" w:cs="Times New Roman"/>
          <w:b/>
          <w:i/>
          <w:szCs w:val="28"/>
        </w:rPr>
      </w:pPr>
      <w:r w:rsidRPr="001D2FC8">
        <w:rPr>
          <w:rFonts w:ascii="Calibri" w:eastAsia="MS Mincho" w:hAnsi="Calibri" w:cs="Times New Roman"/>
          <w:b/>
          <w:i/>
          <w:szCs w:val="28"/>
        </w:rPr>
        <w:t>Other matters</w:t>
      </w:r>
    </w:p>
    <w:p w:rsidR="001D2FC8" w:rsidRPr="003F67F5" w:rsidRDefault="001D2FC8" w:rsidP="002E51C2">
      <w:pPr>
        <w:rPr>
          <w:rFonts w:ascii="Calibri" w:eastAsia="MS Mincho" w:hAnsi="Calibri" w:cs="Times New Roman"/>
          <w:i/>
          <w:szCs w:val="28"/>
        </w:rPr>
      </w:pPr>
      <w:r>
        <w:rPr>
          <w:rFonts w:ascii="Calibri" w:eastAsia="MS Mincho" w:hAnsi="Calibri" w:cs="Times New Roman"/>
          <w:szCs w:val="28"/>
        </w:rPr>
        <w:t xml:space="preserve">Methysergide was </w:t>
      </w:r>
      <w:r w:rsidR="00514722">
        <w:rPr>
          <w:rFonts w:ascii="Calibri" w:eastAsia="MS Mincho" w:hAnsi="Calibri" w:cs="Times New Roman"/>
          <w:szCs w:val="28"/>
        </w:rPr>
        <w:t>discontinued by the manufacturer in October 2013 (no longer on the Australian market) and delisted from the PBS from 1 May 2014</w:t>
      </w:r>
      <w:r>
        <w:rPr>
          <w:rFonts w:ascii="Calibri" w:eastAsia="MS Mincho" w:hAnsi="Calibri" w:cs="Times New Roman"/>
          <w:szCs w:val="28"/>
        </w:rPr>
        <w:t xml:space="preserve">. </w:t>
      </w:r>
      <w:r w:rsidRPr="003F67F5">
        <w:rPr>
          <w:rFonts w:ascii="Calibri" w:eastAsia="MS Mincho" w:hAnsi="Calibri" w:cs="Times New Roman"/>
          <w:i/>
          <w:szCs w:val="28"/>
        </w:rPr>
        <w:t xml:space="preserve">The PBAC may wish to consider whether this medicine should be </w:t>
      </w:r>
      <w:r w:rsidR="004A4DD8" w:rsidRPr="003F67F5">
        <w:rPr>
          <w:rFonts w:ascii="Calibri" w:eastAsia="MS Mincho" w:hAnsi="Calibri" w:cs="Times New Roman"/>
          <w:i/>
          <w:szCs w:val="28"/>
        </w:rPr>
        <w:t>deleted</w:t>
      </w:r>
      <w:r w:rsidRPr="003F67F5">
        <w:rPr>
          <w:rFonts w:ascii="Calibri" w:eastAsia="MS Mincho" w:hAnsi="Calibri" w:cs="Times New Roman"/>
          <w:i/>
          <w:szCs w:val="28"/>
        </w:rPr>
        <w:t xml:space="preserve"> from the list of prophylactic medicines in the botulinum toxin restriction. </w:t>
      </w:r>
    </w:p>
    <w:p w:rsidR="004A4DD8" w:rsidRPr="00A770EC" w:rsidRDefault="004A4DD8" w:rsidP="002E51C2">
      <w:pPr>
        <w:rPr>
          <w:rFonts w:ascii="Calibri" w:eastAsia="MS Mincho" w:hAnsi="Calibri" w:cs="Times New Roman"/>
          <w:i/>
          <w:szCs w:val="28"/>
        </w:rPr>
      </w:pPr>
      <w:r w:rsidRPr="00A770EC">
        <w:rPr>
          <w:rFonts w:ascii="Calibri" w:eastAsia="MS Mincho" w:hAnsi="Calibri" w:cs="Times New Roman"/>
          <w:i/>
          <w:szCs w:val="28"/>
        </w:rPr>
        <w:lastRenderedPageBreak/>
        <w:t xml:space="preserve">Typographical errors in the spelling </w:t>
      </w:r>
      <w:r w:rsidRPr="00FD5478">
        <w:rPr>
          <w:rFonts w:ascii="Calibri" w:eastAsia="MS Mincho" w:hAnsi="Calibri" w:cs="Times New Roman"/>
          <w:i/>
          <w:szCs w:val="28"/>
        </w:rPr>
        <w:t>of am</w:t>
      </w:r>
      <w:r w:rsidR="00FD5478">
        <w:rPr>
          <w:rFonts w:ascii="Calibri" w:eastAsia="MS Mincho" w:hAnsi="Calibri" w:cs="Times New Roman"/>
          <w:i/>
          <w:szCs w:val="28"/>
        </w:rPr>
        <w:t>i</w:t>
      </w:r>
      <w:r w:rsidRPr="00FD5478">
        <w:rPr>
          <w:rFonts w:ascii="Calibri" w:eastAsia="MS Mincho" w:hAnsi="Calibri" w:cs="Times New Roman"/>
          <w:i/>
          <w:szCs w:val="28"/>
        </w:rPr>
        <w:t>tript</w:t>
      </w:r>
      <w:r w:rsidR="00FD5478">
        <w:rPr>
          <w:rFonts w:ascii="Calibri" w:eastAsia="MS Mincho" w:hAnsi="Calibri" w:cs="Times New Roman"/>
          <w:i/>
          <w:szCs w:val="28"/>
        </w:rPr>
        <w:t>y</w:t>
      </w:r>
      <w:r w:rsidRPr="00FD5478">
        <w:rPr>
          <w:rFonts w:ascii="Calibri" w:eastAsia="MS Mincho" w:hAnsi="Calibri" w:cs="Times New Roman"/>
          <w:i/>
          <w:szCs w:val="28"/>
        </w:rPr>
        <w:t>lin</w:t>
      </w:r>
      <w:r w:rsidR="003F67F5" w:rsidRPr="00FD5478">
        <w:rPr>
          <w:rFonts w:ascii="Calibri" w:eastAsia="MS Mincho" w:hAnsi="Calibri" w:cs="Times New Roman"/>
          <w:i/>
          <w:szCs w:val="28"/>
        </w:rPr>
        <w:t xml:space="preserve">e, </w:t>
      </w:r>
      <w:r w:rsidR="00FD5478" w:rsidRPr="00FD5478">
        <w:rPr>
          <w:rFonts w:ascii="Calibri" w:eastAsia="MS Mincho" w:hAnsi="Calibri" w:cs="Times New Roman"/>
          <w:i/>
          <w:szCs w:val="28"/>
        </w:rPr>
        <w:t>propranolol</w:t>
      </w:r>
      <w:r w:rsidRPr="00FD5478">
        <w:rPr>
          <w:rFonts w:ascii="Calibri" w:eastAsia="MS Mincho" w:hAnsi="Calibri" w:cs="Times New Roman"/>
          <w:i/>
          <w:szCs w:val="28"/>
        </w:rPr>
        <w:t xml:space="preserve"> and methysergide in</w:t>
      </w:r>
      <w:r w:rsidRPr="00A770EC">
        <w:rPr>
          <w:rFonts w:ascii="Calibri" w:eastAsia="MS Mincho" w:hAnsi="Calibri" w:cs="Times New Roman"/>
          <w:i/>
          <w:szCs w:val="28"/>
        </w:rPr>
        <w:t xml:space="preserve"> the restriction for botulinum toxin have been noted and will be </w:t>
      </w:r>
      <w:r w:rsidR="00400931">
        <w:rPr>
          <w:rFonts w:ascii="Calibri" w:eastAsia="MS Mincho" w:hAnsi="Calibri" w:cs="Times New Roman"/>
          <w:i/>
          <w:szCs w:val="28"/>
        </w:rPr>
        <w:t>corrected</w:t>
      </w:r>
      <w:r w:rsidRPr="00A770EC">
        <w:rPr>
          <w:rFonts w:ascii="Calibri" w:eastAsia="MS Mincho" w:hAnsi="Calibri" w:cs="Times New Roman"/>
          <w:i/>
          <w:szCs w:val="28"/>
        </w:rPr>
        <w:t xml:space="preserve"> in future version</w:t>
      </w:r>
      <w:r w:rsidR="00A770EC">
        <w:rPr>
          <w:rFonts w:ascii="Calibri" w:eastAsia="MS Mincho" w:hAnsi="Calibri" w:cs="Times New Roman"/>
          <w:i/>
          <w:szCs w:val="28"/>
        </w:rPr>
        <w:t xml:space="preserve">s of the </w:t>
      </w:r>
      <w:r w:rsidR="00A770EC" w:rsidRPr="00A770EC">
        <w:rPr>
          <w:rFonts w:ascii="Calibri" w:eastAsia="MS Mincho" w:hAnsi="Calibri" w:cs="Times New Roman"/>
          <w:i/>
          <w:szCs w:val="28"/>
        </w:rPr>
        <w:t>PBS schedule</w:t>
      </w:r>
      <w:r w:rsidRPr="00A770EC">
        <w:rPr>
          <w:rFonts w:ascii="Calibri" w:eastAsia="MS Mincho" w:hAnsi="Calibri" w:cs="Times New Roman"/>
          <w:i/>
          <w:szCs w:val="28"/>
        </w:rPr>
        <w:t>.</w:t>
      </w:r>
    </w:p>
    <w:p w:rsidR="00C14DEC" w:rsidRPr="00FD5478" w:rsidRDefault="00400931" w:rsidP="002E51C2">
      <w:pPr>
        <w:rPr>
          <w:i/>
        </w:rPr>
      </w:pPr>
      <w:r>
        <w:t>There</w:t>
      </w:r>
      <w:r w:rsidR="00FD5478">
        <w:t xml:space="preserve"> were differences in treatment rates across the states, with the treatment rate in the ACT </w:t>
      </w:r>
      <w:r w:rsidR="00C14DEC">
        <w:t>more than triple that for any other state or territory</w:t>
      </w:r>
      <w:r w:rsidR="00FD5478">
        <w:t xml:space="preserve">. </w:t>
      </w:r>
      <w:r w:rsidR="00FD5478" w:rsidRPr="00FD5478">
        <w:rPr>
          <w:i/>
        </w:rPr>
        <w:t>T</w:t>
      </w:r>
      <w:r w:rsidR="00A770EC" w:rsidRPr="00FD5478">
        <w:rPr>
          <w:i/>
        </w:rPr>
        <w:t xml:space="preserve">reatment rates </w:t>
      </w:r>
      <w:r w:rsidR="00FD5478" w:rsidRPr="00FD5478">
        <w:rPr>
          <w:i/>
        </w:rPr>
        <w:t>presented in</w:t>
      </w:r>
      <w:r w:rsidR="00A770EC" w:rsidRPr="00FD5478">
        <w:rPr>
          <w:i/>
        </w:rPr>
        <w:t xml:space="preserve"> this report are based on the state of the patient </w:t>
      </w:r>
      <w:r w:rsidRPr="00FD5478">
        <w:rPr>
          <w:i/>
        </w:rPr>
        <w:t>Medicare</w:t>
      </w:r>
      <w:r w:rsidR="00A770EC" w:rsidRPr="00FD5478">
        <w:rPr>
          <w:i/>
        </w:rPr>
        <w:t xml:space="preserve"> enrolment address. Therefore treatment by a provider, or supply or distribution by a pharmacy in a different state, does not account for these differences.</w:t>
      </w:r>
    </w:p>
    <w:p w:rsidR="001E1BAE" w:rsidRPr="005C2511" w:rsidRDefault="001E1BAE" w:rsidP="005C2511">
      <w:pPr>
        <w:pStyle w:val="Heading2"/>
        <w:rPr>
          <w:sz w:val="32"/>
          <w:szCs w:val="32"/>
        </w:rPr>
      </w:pPr>
      <w:r w:rsidRPr="005C2511">
        <w:rPr>
          <w:sz w:val="32"/>
          <w:szCs w:val="32"/>
        </w:rPr>
        <w:t>DUSC consideration</w:t>
      </w:r>
    </w:p>
    <w:p w:rsidR="001E1BAE" w:rsidRPr="001E1BAE" w:rsidRDefault="001E1BAE" w:rsidP="001E1BAE">
      <w:r w:rsidRPr="001E1BAE">
        <w:t>The DUSC considered that:</w:t>
      </w:r>
    </w:p>
    <w:p w:rsidR="001E1BAE" w:rsidRPr="001E1BAE" w:rsidRDefault="001E1BAE" w:rsidP="001E1BAE">
      <w:pPr>
        <w:pStyle w:val="ListParagraph"/>
        <w:numPr>
          <w:ilvl w:val="0"/>
          <w:numId w:val="30"/>
        </w:numPr>
        <w:spacing w:after="0"/>
      </w:pPr>
      <w:r w:rsidRPr="001E1BAE">
        <w:t>Use of botulinum toxin was substantially higher than predicted. There are a higher than predicted number of initiating patients but the key driver was the higher than expected continuation rates.</w:t>
      </w:r>
    </w:p>
    <w:p w:rsidR="001E1BAE" w:rsidRPr="001E1BAE" w:rsidRDefault="001E1BAE" w:rsidP="001E1BAE">
      <w:pPr>
        <w:pStyle w:val="ListParagraph"/>
        <w:numPr>
          <w:ilvl w:val="0"/>
          <w:numId w:val="28"/>
        </w:numPr>
        <w:spacing w:after="0"/>
      </w:pPr>
      <w:r w:rsidRPr="001E1BAE">
        <w:t>The proportion of neurologists that administered botulinum toxin for chronic migraine was very close to that predicted, so this was not a factor in the higher than predicted use.</w:t>
      </w:r>
    </w:p>
    <w:p w:rsidR="001E1BAE" w:rsidRPr="001E1BAE" w:rsidRDefault="001E1BAE" w:rsidP="001E1BAE">
      <w:pPr>
        <w:pStyle w:val="ListParagraph"/>
        <w:numPr>
          <w:ilvl w:val="0"/>
          <w:numId w:val="28"/>
        </w:numPr>
        <w:spacing w:after="0"/>
      </w:pPr>
      <w:r w:rsidRPr="001E1BAE">
        <w:t xml:space="preserve">Data limitations meant that it was not possible to determine whether or not use is occurring earlier in the treatment algorithm than proposed in the submission (i.e. before experiencing an inadequate response, intolerance or a contraindication to three or more prophylactic migraine medicines). </w:t>
      </w:r>
    </w:p>
    <w:p w:rsidR="001E1BAE" w:rsidRPr="001E1BAE" w:rsidRDefault="001E1BAE" w:rsidP="001E1BAE">
      <w:pPr>
        <w:pStyle w:val="ListParagraph"/>
        <w:numPr>
          <w:ilvl w:val="0"/>
          <w:numId w:val="28"/>
        </w:numPr>
        <w:spacing w:after="0"/>
      </w:pPr>
      <w:r w:rsidRPr="001E1BAE">
        <w:t>The mean number of vials per treatment analysis suggests that the dose used is consistent with recommendations.</w:t>
      </w:r>
    </w:p>
    <w:p w:rsidR="001E1BAE" w:rsidRPr="001E1BAE" w:rsidRDefault="001E1BAE" w:rsidP="001E1BAE">
      <w:pPr>
        <w:pStyle w:val="ListParagraph"/>
        <w:numPr>
          <w:ilvl w:val="0"/>
          <w:numId w:val="28"/>
        </w:numPr>
        <w:spacing w:after="0"/>
      </w:pPr>
      <w:r w:rsidRPr="001E1BAE">
        <w:t>There may be QUM concerns associated with the continuation rate being double (i.e. 71.4%) that predicted from the pooled data of the PREEMPT trial (i.e. 32.9%). DUSC considered the high continuation rate was due to use in partial responders. However, DUSC noted that in its PSCR the sponsor presented medical chart audit data from seven clinicians that indicated that 73.9% of patients achieved the PBS continuation criterion of ‘achieved and maintained a 50% or greater reduction from baseline in the number of headache days per month after two treatment cycles’. The difference between the trial and real world continuation rates may be the subjective nature of the assessment (headache days), the lack of alternative treatments or the patients appreciation of the cosmetic effects of the treatment.</w:t>
      </w:r>
      <w:r w:rsidRPr="001E1BAE">
        <w:br/>
        <w:t>Another QUM issue is that partial responders may be unnecessarily exposed to the adverse effects of botulinum toxin. Compared with best supportive care, statistically significant differences were found for eyelid ptosis (3.5% vs. 0.3%), neck pain (9.0% vs. 2.7%), musculoskeletal stiffness (3.2% vs. 0.9%), muscular weakness (5.5% vs. 0.3%) and myalgia (3.1% vs. 0.9%) in PREEMPT trials.</w:t>
      </w:r>
      <w:r w:rsidRPr="001E1BAE">
        <w:rPr>
          <w:rStyle w:val="FootnoteReference"/>
        </w:rPr>
        <w:footnoteReference w:id="10"/>
      </w:r>
    </w:p>
    <w:p w:rsidR="001E1BAE" w:rsidRPr="001E1BAE" w:rsidRDefault="001E1BAE" w:rsidP="001E1BAE">
      <w:pPr>
        <w:pStyle w:val="ListParagraph"/>
        <w:numPr>
          <w:ilvl w:val="0"/>
          <w:numId w:val="28"/>
        </w:numPr>
        <w:spacing w:after="0"/>
      </w:pPr>
      <w:r w:rsidRPr="001E1BAE">
        <w:t>The government expenditure associated with the higher than expected use has been managed effectively by the Risk Share Agreement. If the sponsor were to request a change to the RSA, a submission to the PBAC would be required to justify this.</w:t>
      </w:r>
    </w:p>
    <w:p w:rsidR="001E1BAE" w:rsidRPr="001E1BAE" w:rsidRDefault="001E1BAE" w:rsidP="001E1BAE">
      <w:pPr>
        <w:pStyle w:val="ListParagraph"/>
        <w:numPr>
          <w:ilvl w:val="0"/>
          <w:numId w:val="28"/>
        </w:numPr>
        <w:spacing w:after="0"/>
      </w:pPr>
      <w:r w:rsidRPr="001E1BAE">
        <w:lastRenderedPageBreak/>
        <w:t xml:space="preserve">There was no apparent reason for the substantially higher treatment rates of patients in the ACT. It was pointed out that there is, in addition, a processing anomaly where most of the botulinum toxin prescriptions in Australia are dispensed through a hospital pharmacy in the ACT. However, the Secretariat clarified that the analysis in the report was based on patient location and so should not be affected by the dispensing arrangements. DUSC considered that further investigation into utilisation in the ACT appears warranted. The Department advised of referral of this matter to the compliance area. </w:t>
      </w:r>
    </w:p>
    <w:p w:rsidR="001E1BAE" w:rsidRPr="00B3038D" w:rsidRDefault="001E1BAE" w:rsidP="001E1BAE">
      <w:pPr>
        <w:pStyle w:val="ListParagraph"/>
        <w:numPr>
          <w:ilvl w:val="0"/>
          <w:numId w:val="28"/>
        </w:numPr>
        <w:spacing w:after="0"/>
        <w:rPr>
          <w:i/>
        </w:rPr>
      </w:pPr>
      <w:r w:rsidRPr="001E1BAE">
        <w:t>The use of MBS data to supplement the patient level analysis was valid and useful for the predicted vs actual analysis. In particular it enabled the count of patients since the listing of botulinum toxin for chronic migraine and patient’s initiation date for the purpose of assessing prior p</w:t>
      </w:r>
      <w:r w:rsidR="006147CE">
        <w:t>rophylactic migraine medicines.</w:t>
      </w:r>
    </w:p>
    <w:p w:rsidR="001E1BAE" w:rsidRPr="005C2511" w:rsidRDefault="001E1BAE" w:rsidP="005C2511">
      <w:pPr>
        <w:pStyle w:val="Heading3"/>
        <w:rPr>
          <w:i w:val="0"/>
          <w:sz w:val="32"/>
          <w:szCs w:val="32"/>
        </w:rPr>
      </w:pPr>
      <w:r w:rsidRPr="005C2511">
        <w:rPr>
          <w:i w:val="0"/>
          <w:sz w:val="32"/>
          <w:szCs w:val="32"/>
        </w:rPr>
        <w:t>DUSC actions</w:t>
      </w:r>
    </w:p>
    <w:p w:rsidR="006147CE" w:rsidRPr="00217C75" w:rsidRDefault="006147CE" w:rsidP="006147CE">
      <w:r>
        <w:t>T</w:t>
      </w:r>
      <w:r w:rsidRPr="00217C75">
        <w:t>he report, Sponsor response</w:t>
      </w:r>
      <w:r w:rsidR="00F67838">
        <w:t>,</w:t>
      </w:r>
      <w:r w:rsidRPr="00217C75">
        <w:t xml:space="preserve"> and DUSC minutes </w:t>
      </w:r>
      <w:r>
        <w:t xml:space="preserve">were referred </w:t>
      </w:r>
      <w:r w:rsidRPr="00217C75">
        <w:t>to the PBAC noting:</w:t>
      </w:r>
    </w:p>
    <w:p w:rsidR="006147CE" w:rsidRPr="004520A1" w:rsidRDefault="006147CE" w:rsidP="006147CE">
      <w:pPr>
        <w:pStyle w:val="ListParagraph"/>
        <w:numPr>
          <w:ilvl w:val="0"/>
          <w:numId w:val="29"/>
        </w:numPr>
        <w:spacing w:after="0"/>
        <w:rPr>
          <w:b/>
          <w:bCs/>
        </w:rPr>
      </w:pPr>
      <w:r w:rsidRPr="00217C75">
        <w:rPr>
          <w:lang w:val="en-US"/>
        </w:rPr>
        <w:t>Methysergide was discontinued by the manufacturer in October 2013 (no longer on the Australian market) and delisted from the PBS from 1 May 2014. The PBAC may wish to consider whether this medicine should be deleted from the list of prophylactic medicines in the botulinum toxin restriction.</w:t>
      </w:r>
    </w:p>
    <w:p w:rsidR="004520A1" w:rsidRDefault="004520A1" w:rsidP="004520A1">
      <w:pPr>
        <w:spacing w:after="0"/>
        <w:rPr>
          <w:b/>
          <w:bCs/>
        </w:rPr>
      </w:pPr>
    </w:p>
    <w:p w:rsidR="004520A1" w:rsidRPr="004520A1" w:rsidRDefault="004520A1" w:rsidP="004520A1">
      <w:pPr>
        <w:spacing w:after="0"/>
      </w:pPr>
      <w:r w:rsidRPr="004520A1">
        <w:t>A response received from the Australian and New Zealand Association of Neurologists was also provided to the PBAC.</w:t>
      </w:r>
    </w:p>
    <w:p w:rsidR="006147CE" w:rsidRPr="00F51D99" w:rsidRDefault="006147CE" w:rsidP="00F51D99">
      <w:pPr>
        <w:pStyle w:val="Heading4"/>
        <w:rPr>
          <w:i w:val="0"/>
        </w:rPr>
      </w:pPr>
      <w:r w:rsidRPr="00F51D99">
        <w:rPr>
          <w:i w:val="0"/>
        </w:rPr>
        <w:t>Context for analysis</w:t>
      </w:r>
    </w:p>
    <w:p w:rsidR="006147CE" w:rsidRDefault="006147CE" w:rsidP="006147CE">
      <w:r>
        <w:t>The DUSC is a Sub Committee of the Pharmaceutical Benefits Advisory Committee (PBAC). The DUSC assesses estimates on projected usage and financial cost of medicines.</w:t>
      </w:r>
    </w:p>
    <w:p w:rsidR="006147CE" w:rsidRDefault="006147CE" w:rsidP="006147CE">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6147CE" w:rsidRDefault="006147CE" w:rsidP="006147CE">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6147CE" w:rsidRDefault="006147CE" w:rsidP="006147CE">
      <w:r>
        <w:t>The utilisation analysis report was provided to the pharmaceutical sponsors of each drug and comments on the report were provided to DUSC prior to its consideration of the analysis.</w:t>
      </w:r>
    </w:p>
    <w:p w:rsidR="006147CE" w:rsidRPr="00F51D99" w:rsidRDefault="006147CE" w:rsidP="00F51D99">
      <w:pPr>
        <w:pStyle w:val="Heading4"/>
        <w:rPr>
          <w:i w:val="0"/>
        </w:rPr>
      </w:pPr>
      <w:r w:rsidRPr="00F51D99">
        <w:rPr>
          <w:i w:val="0"/>
        </w:rPr>
        <w:t>Sponsors’ comments</w:t>
      </w:r>
    </w:p>
    <w:p w:rsidR="00F51D99" w:rsidRPr="00F51D99" w:rsidRDefault="00F67838" w:rsidP="006147CE">
      <w:r>
        <w:t>Allergan</w:t>
      </w:r>
      <w:r w:rsidR="00F51D99" w:rsidRPr="00F51D99">
        <w:t>:</w:t>
      </w:r>
      <w:r w:rsidR="00A6149B">
        <w:t xml:space="preserve"> The sponsor has no comment.</w:t>
      </w:r>
    </w:p>
    <w:p w:rsidR="006147CE" w:rsidRPr="00F51D99" w:rsidRDefault="006147CE" w:rsidP="006147CE">
      <w:pPr>
        <w:pStyle w:val="Heading4"/>
        <w:rPr>
          <w:i w:val="0"/>
        </w:rPr>
      </w:pPr>
      <w:r w:rsidRPr="00F51D99">
        <w:rPr>
          <w:i w:val="0"/>
        </w:rPr>
        <w:lastRenderedPageBreak/>
        <w:t>Disclaimer</w:t>
      </w:r>
    </w:p>
    <w:p w:rsidR="006147CE" w:rsidRDefault="006147CE" w:rsidP="006147CE">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6147CE" w:rsidRDefault="006147CE" w:rsidP="006147CE">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6147CE" w:rsidRDefault="006147CE" w:rsidP="006147CE">
      <w:r>
        <w:t xml:space="preserve">To the extent provided by law, DoH makes no warranties or representations as to accuracy or completeness of information contained in this report. </w:t>
      </w:r>
    </w:p>
    <w:p w:rsidR="006147CE" w:rsidRDefault="006147CE" w:rsidP="006147CE">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6147CE" w:rsidRPr="00B87CD5" w:rsidRDefault="006147CE" w:rsidP="00B87CD5">
      <w:pPr>
        <w:rPr>
          <w:rFonts w:ascii="Calibri" w:eastAsia="MS Mincho" w:hAnsi="Calibri" w:cs="Times New Roman"/>
        </w:rPr>
      </w:pPr>
    </w:p>
    <w:p w:rsidR="00B87CD5" w:rsidRPr="00B87CD5" w:rsidRDefault="00B87CD5" w:rsidP="00B87CD5">
      <w:pPr>
        <w:spacing w:line="276" w:lineRule="auto"/>
        <w:rPr>
          <w:rFonts w:ascii="Calibri" w:eastAsia="MS Gothic" w:hAnsi="Calibri" w:cs="Times New Roman"/>
          <w:b/>
          <w:bCs/>
          <w:sz w:val="32"/>
          <w:szCs w:val="32"/>
        </w:rPr>
      </w:pPr>
      <w:r w:rsidRPr="00B87CD5">
        <w:rPr>
          <w:rFonts w:ascii="Calibri" w:eastAsia="MS Mincho" w:hAnsi="Calibri" w:cs="Times New Roman"/>
        </w:rPr>
        <w:br w:type="page"/>
      </w:r>
    </w:p>
    <w:p w:rsidR="00624AF1" w:rsidRDefault="00624AF1">
      <w:pPr>
        <w:spacing w:line="276" w:lineRule="auto"/>
        <w:rPr>
          <w:rFonts w:ascii="Calibri" w:eastAsia="MS Gothic" w:hAnsi="Calibri" w:cs="Times New Roman"/>
          <w:b/>
          <w:bCs/>
          <w:sz w:val="32"/>
          <w:szCs w:val="32"/>
        </w:rPr>
      </w:pPr>
      <w:r>
        <w:rPr>
          <w:rFonts w:ascii="Calibri" w:eastAsia="MS Gothic" w:hAnsi="Calibri" w:cs="Times New Roman"/>
          <w:b/>
          <w:bCs/>
          <w:sz w:val="32"/>
          <w:szCs w:val="32"/>
        </w:rPr>
        <w:lastRenderedPageBreak/>
        <w:t>Appendix A: Admini</w:t>
      </w:r>
      <w:r w:rsidR="00C84342">
        <w:rPr>
          <w:rFonts w:ascii="Calibri" w:eastAsia="MS Gothic" w:hAnsi="Calibri" w:cs="Times New Roman"/>
          <w:b/>
          <w:bCs/>
          <w:sz w:val="32"/>
          <w:szCs w:val="32"/>
        </w:rPr>
        <w:t>s</w:t>
      </w:r>
      <w:r>
        <w:rPr>
          <w:rFonts w:ascii="Calibri" w:eastAsia="MS Gothic" w:hAnsi="Calibri" w:cs="Times New Roman"/>
          <w:b/>
          <w:bCs/>
          <w:sz w:val="32"/>
          <w:szCs w:val="32"/>
        </w:rPr>
        <w:t>tration of Botox for chronic migraine</w:t>
      </w:r>
    </w:p>
    <w:p w:rsidR="00C84342" w:rsidRDefault="00C84342" w:rsidP="00C84342">
      <w:r>
        <w:t xml:space="preserve">The recommended dose for treating chronic migraine is 155 U to 195 U administered intramuscularly (IM) using a 30-gauge, 0.5 inch needle as 0.1 ml (5 U) injections per each site. Injections should be divided across 7 specific head/neck muscle areas as specified in the table below. A 1-inch needle may be needed in the neck region for patients with extremely thick neck muscles. With the exception of the procerus muscle, which should be injected at 1 site (midline), all muscles should be injected bilaterally with the minimum dose per muscle as indicated below, with half the number of injections sites administered to the left, and half to the right side of the head and neck. If there is a predominant pain location(s), additional injections to one or both sides may be administered in up to 3 specific muscle groups (occipitalis, temporalis and trapezius), up to the maximum dose per muscle as indicated in the table below. </w:t>
      </w:r>
    </w:p>
    <w:p w:rsidR="00624AF1" w:rsidRDefault="00624AF1" w:rsidP="00624AF1">
      <w:r>
        <w:t xml:space="preserve">Recommended injection sites for chronic migraine: </w:t>
      </w:r>
    </w:p>
    <w:p w:rsidR="00624AF1" w:rsidRDefault="00624AF1" w:rsidP="00624AF1">
      <w:r>
        <w:rPr>
          <w:noProof/>
        </w:rPr>
        <w:drawing>
          <wp:inline distT="0" distB="0" distL="0" distR="0" wp14:anchorId="0F6A3B45" wp14:editId="7970853A">
            <wp:extent cx="5687695" cy="2168957"/>
            <wp:effectExtent l="0" t="0" r="8255" b="3175"/>
            <wp:docPr id="10" name="Picture 10" descr="A picture showing the injections sites for botox to treat migraine" title="Figure showing botox injection sites for mig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7695" cy="2168957"/>
                    </a:xfrm>
                    <a:prstGeom prst="rect">
                      <a:avLst/>
                    </a:prstGeom>
                    <a:noFill/>
                    <a:ln>
                      <a:noFill/>
                    </a:ln>
                  </pic:spPr>
                </pic:pic>
              </a:graphicData>
            </a:graphic>
          </wp:inline>
        </w:drawing>
      </w:r>
    </w:p>
    <w:p w:rsidR="00624AF1" w:rsidRPr="0013377C" w:rsidRDefault="00624AF1" w:rsidP="00624AF1">
      <w:pPr>
        <w:tabs>
          <w:tab w:val="left" w:pos="1725"/>
        </w:tabs>
      </w:pPr>
      <w:r w:rsidRPr="004D7D4C">
        <w:rPr>
          <w:rFonts w:eastAsiaTheme="minorHAnsi" w:cs="Times New Roman"/>
          <w:color w:val="000000"/>
          <w:lang w:eastAsia="en-US"/>
        </w:rPr>
        <w:t>BOTOX</w:t>
      </w:r>
      <w:r w:rsidRPr="004D7D4C">
        <w:rPr>
          <w:rFonts w:eastAsiaTheme="minorHAnsi" w:cs="Times New Roman"/>
          <w:b/>
          <w:bCs/>
          <w:color w:val="000000"/>
          <w:lang w:eastAsia="en-US"/>
        </w:rPr>
        <w:t xml:space="preserve">® </w:t>
      </w:r>
      <w:r w:rsidRPr="004D7D4C">
        <w:rPr>
          <w:rFonts w:eastAsiaTheme="minorHAnsi" w:cs="Times New Roman"/>
          <w:color w:val="000000"/>
          <w:lang w:eastAsia="en-US"/>
        </w:rPr>
        <w:t>Dosing By Muscle for Chronic Migraine</w:t>
      </w:r>
      <w:r w:rsidRPr="0013377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521"/>
      </w:tblGrid>
      <w:tr w:rsidR="00624AF1" w:rsidRPr="0013377C" w:rsidTr="00CE094B">
        <w:trPr>
          <w:trHeight w:val="107"/>
        </w:trPr>
        <w:tc>
          <w:tcPr>
            <w:tcW w:w="2518" w:type="dxa"/>
          </w:tcPr>
          <w:p w:rsidR="00624AF1" w:rsidRPr="0013377C" w:rsidRDefault="00624AF1" w:rsidP="00CE094B">
            <w:pPr>
              <w:autoSpaceDE w:val="0"/>
              <w:autoSpaceDN w:val="0"/>
              <w:adjustRightInd w:val="0"/>
              <w:spacing w:after="0"/>
              <w:rPr>
                <w:rFonts w:eastAsiaTheme="minorHAnsi" w:cs="Times New Roman"/>
                <w:color w:val="000000"/>
                <w:sz w:val="20"/>
                <w:szCs w:val="20"/>
                <w:lang w:eastAsia="en-US"/>
              </w:rPr>
            </w:pPr>
          </w:p>
        </w:tc>
        <w:tc>
          <w:tcPr>
            <w:tcW w:w="6521" w:type="dxa"/>
          </w:tcPr>
          <w:p w:rsidR="00624AF1" w:rsidRPr="004D7D4C" w:rsidRDefault="00624AF1" w:rsidP="00CE094B">
            <w:pPr>
              <w:autoSpaceDE w:val="0"/>
              <w:autoSpaceDN w:val="0"/>
              <w:adjustRightInd w:val="0"/>
              <w:spacing w:after="0"/>
              <w:jc w:val="center"/>
              <w:rPr>
                <w:rFonts w:eastAsiaTheme="minorHAnsi" w:cs="Times New Roman"/>
                <w:color w:val="000000"/>
                <w:sz w:val="20"/>
                <w:szCs w:val="20"/>
                <w:lang w:eastAsia="en-US"/>
              </w:rPr>
            </w:pPr>
            <w:r w:rsidRPr="004D7D4C">
              <w:rPr>
                <w:rFonts w:eastAsiaTheme="minorHAnsi" w:cs="Times New Roman"/>
                <w:b/>
                <w:bCs/>
                <w:color w:val="000000"/>
                <w:sz w:val="20"/>
                <w:szCs w:val="20"/>
                <w:lang w:eastAsia="en-US"/>
              </w:rPr>
              <w:t>Recommended Dose</w:t>
            </w:r>
          </w:p>
        </w:tc>
      </w:tr>
      <w:tr w:rsidR="00624AF1" w:rsidRPr="004D7D4C" w:rsidTr="00CE094B">
        <w:trPr>
          <w:trHeight w:val="119"/>
        </w:trPr>
        <w:tc>
          <w:tcPr>
            <w:tcW w:w="2518" w:type="dxa"/>
          </w:tcPr>
          <w:p w:rsidR="00624AF1" w:rsidRPr="004D7D4C" w:rsidRDefault="00624AF1" w:rsidP="00CE094B">
            <w:pPr>
              <w:autoSpaceDE w:val="0"/>
              <w:autoSpaceDN w:val="0"/>
              <w:adjustRightInd w:val="0"/>
              <w:spacing w:after="0"/>
              <w:rPr>
                <w:rFonts w:eastAsiaTheme="minorHAnsi" w:cs="Times New Roman"/>
                <w:color w:val="000000"/>
                <w:sz w:val="20"/>
                <w:szCs w:val="20"/>
                <w:lang w:eastAsia="en-US"/>
              </w:rPr>
            </w:pPr>
            <w:r w:rsidRPr="004D7D4C">
              <w:rPr>
                <w:rFonts w:eastAsiaTheme="minorHAnsi" w:cs="Times New Roman"/>
                <w:b/>
                <w:bCs/>
                <w:color w:val="000000"/>
                <w:sz w:val="20"/>
                <w:szCs w:val="20"/>
                <w:lang w:eastAsia="en-US"/>
              </w:rPr>
              <w:t xml:space="preserve">Head/Neck Area </w:t>
            </w:r>
          </w:p>
        </w:tc>
        <w:tc>
          <w:tcPr>
            <w:tcW w:w="6521" w:type="dxa"/>
          </w:tcPr>
          <w:p w:rsidR="00624AF1" w:rsidRPr="004D7D4C" w:rsidRDefault="00624AF1" w:rsidP="00CE094B">
            <w:pPr>
              <w:autoSpaceDE w:val="0"/>
              <w:autoSpaceDN w:val="0"/>
              <w:adjustRightInd w:val="0"/>
              <w:spacing w:after="0"/>
              <w:jc w:val="center"/>
              <w:rPr>
                <w:rFonts w:eastAsiaTheme="minorHAnsi" w:cs="Times New Roman"/>
                <w:color w:val="000000"/>
                <w:sz w:val="20"/>
                <w:szCs w:val="20"/>
                <w:lang w:eastAsia="en-US"/>
              </w:rPr>
            </w:pPr>
            <w:r w:rsidRPr="004D7D4C">
              <w:rPr>
                <w:rFonts w:eastAsiaTheme="minorHAnsi" w:cs="Times New Roman"/>
                <w:b/>
                <w:bCs/>
                <w:color w:val="000000"/>
                <w:sz w:val="20"/>
                <w:szCs w:val="20"/>
                <w:lang w:eastAsia="en-US"/>
              </w:rPr>
              <w:t>Total Number of Units (U) (number of IM injection sites</w:t>
            </w:r>
            <w:r w:rsidRPr="004D7D4C">
              <w:rPr>
                <w:rFonts w:eastAsiaTheme="minorHAnsi" w:cs="Times New Roman"/>
                <w:b/>
                <w:bCs/>
                <w:color w:val="000000"/>
                <w:sz w:val="20"/>
                <w:szCs w:val="20"/>
                <w:vertAlign w:val="superscript"/>
                <w:lang w:eastAsia="en-US"/>
              </w:rPr>
              <w:t>a</w:t>
            </w:r>
            <w:r w:rsidRPr="004D7D4C">
              <w:rPr>
                <w:rFonts w:eastAsiaTheme="minorHAnsi" w:cs="Times New Roman"/>
                <w:b/>
                <w:bCs/>
                <w:color w:val="000000"/>
                <w:sz w:val="20"/>
                <w:szCs w:val="20"/>
                <w:lang w:eastAsia="en-US"/>
              </w:rPr>
              <w:t>)</w:t>
            </w:r>
          </w:p>
        </w:tc>
      </w:tr>
      <w:tr w:rsidR="00624AF1" w:rsidRPr="004D7D4C" w:rsidTr="00CE094B">
        <w:trPr>
          <w:trHeight w:val="127"/>
        </w:trPr>
        <w:tc>
          <w:tcPr>
            <w:tcW w:w="2518" w:type="dxa"/>
          </w:tcPr>
          <w:p w:rsidR="00624AF1" w:rsidRPr="004D7D4C" w:rsidRDefault="00624AF1" w:rsidP="00CE094B">
            <w:pPr>
              <w:autoSpaceDE w:val="0"/>
              <w:autoSpaceDN w:val="0"/>
              <w:adjustRightInd w:val="0"/>
              <w:spacing w:after="0"/>
              <w:rPr>
                <w:rFonts w:eastAsiaTheme="minorHAnsi" w:cs="Times New Roman"/>
                <w:color w:val="000000"/>
                <w:sz w:val="20"/>
                <w:szCs w:val="20"/>
                <w:lang w:eastAsia="en-US"/>
              </w:rPr>
            </w:pPr>
            <w:r w:rsidRPr="004D7D4C">
              <w:rPr>
                <w:rFonts w:eastAsiaTheme="minorHAnsi" w:cs="Times New Roman"/>
                <w:color w:val="000000"/>
                <w:sz w:val="20"/>
                <w:szCs w:val="20"/>
                <w:lang w:eastAsia="en-US"/>
              </w:rPr>
              <w:t>Frontalis</w:t>
            </w:r>
            <w:r w:rsidRPr="004D7D4C">
              <w:rPr>
                <w:rFonts w:eastAsiaTheme="minorHAnsi" w:cs="Times New Roman"/>
                <w:color w:val="000000"/>
                <w:sz w:val="20"/>
                <w:szCs w:val="20"/>
                <w:vertAlign w:val="superscript"/>
                <w:lang w:eastAsia="en-US"/>
              </w:rPr>
              <w:t>b</w:t>
            </w:r>
            <w:r w:rsidRPr="004D7D4C">
              <w:rPr>
                <w:rFonts w:eastAsiaTheme="minorHAnsi" w:cs="Times New Roman"/>
                <w:color w:val="000000"/>
                <w:sz w:val="20"/>
                <w:szCs w:val="20"/>
                <w:lang w:eastAsia="en-US"/>
              </w:rPr>
              <w:t xml:space="preserve"> </w:t>
            </w:r>
          </w:p>
        </w:tc>
        <w:tc>
          <w:tcPr>
            <w:tcW w:w="6521" w:type="dxa"/>
          </w:tcPr>
          <w:p w:rsidR="00624AF1" w:rsidRPr="004D7D4C" w:rsidRDefault="00624AF1" w:rsidP="00CE094B">
            <w:pPr>
              <w:autoSpaceDE w:val="0"/>
              <w:autoSpaceDN w:val="0"/>
              <w:adjustRightInd w:val="0"/>
              <w:spacing w:after="0"/>
              <w:jc w:val="center"/>
              <w:rPr>
                <w:rFonts w:eastAsiaTheme="minorHAnsi" w:cs="Times New Roman"/>
                <w:color w:val="000000"/>
                <w:sz w:val="20"/>
                <w:szCs w:val="20"/>
                <w:lang w:eastAsia="en-US"/>
              </w:rPr>
            </w:pPr>
            <w:r w:rsidRPr="004D7D4C">
              <w:rPr>
                <w:rFonts w:eastAsiaTheme="minorHAnsi" w:cs="Times New Roman"/>
                <w:color w:val="000000"/>
                <w:sz w:val="20"/>
                <w:szCs w:val="20"/>
                <w:lang w:eastAsia="en-US"/>
              </w:rPr>
              <w:t>20 U (4 sites)</w:t>
            </w:r>
          </w:p>
        </w:tc>
      </w:tr>
      <w:tr w:rsidR="00624AF1" w:rsidRPr="004D7D4C" w:rsidTr="00CE094B">
        <w:trPr>
          <w:trHeight w:val="127"/>
        </w:trPr>
        <w:tc>
          <w:tcPr>
            <w:tcW w:w="2518" w:type="dxa"/>
          </w:tcPr>
          <w:p w:rsidR="00624AF1" w:rsidRPr="004D7D4C" w:rsidRDefault="00624AF1" w:rsidP="00CE094B">
            <w:pPr>
              <w:autoSpaceDE w:val="0"/>
              <w:autoSpaceDN w:val="0"/>
              <w:adjustRightInd w:val="0"/>
              <w:spacing w:after="0"/>
              <w:rPr>
                <w:rFonts w:eastAsiaTheme="minorHAnsi" w:cs="Times New Roman"/>
                <w:color w:val="000000"/>
                <w:sz w:val="20"/>
                <w:szCs w:val="20"/>
                <w:lang w:eastAsia="en-US"/>
              </w:rPr>
            </w:pPr>
            <w:r w:rsidRPr="004D7D4C">
              <w:rPr>
                <w:rFonts w:eastAsiaTheme="minorHAnsi" w:cs="Times New Roman"/>
                <w:color w:val="000000"/>
                <w:sz w:val="20"/>
                <w:szCs w:val="20"/>
                <w:lang w:eastAsia="en-US"/>
              </w:rPr>
              <w:t>Corrugator</w:t>
            </w:r>
            <w:r w:rsidRPr="004D7D4C">
              <w:rPr>
                <w:rFonts w:eastAsiaTheme="minorHAnsi" w:cs="Times New Roman"/>
                <w:color w:val="000000"/>
                <w:sz w:val="20"/>
                <w:szCs w:val="20"/>
                <w:vertAlign w:val="superscript"/>
                <w:lang w:eastAsia="en-US"/>
              </w:rPr>
              <w:t>b</w:t>
            </w:r>
            <w:r w:rsidRPr="004D7D4C">
              <w:rPr>
                <w:rFonts w:eastAsiaTheme="minorHAnsi" w:cs="Times New Roman"/>
                <w:color w:val="000000"/>
                <w:sz w:val="20"/>
                <w:szCs w:val="20"/>
                <w:lang w:eastAsia="en-US"/>
              </w:rPr>
              <w:t xml:space="preserve"> </w:t>
            </w:r>
          </w:p>
        </w:tc>
        <w:tc>
          <w:tcPr>
            <w:tcW w:w="6521" w:type="dxa"/>
          </w:tcPr>
          <w:p w:rsidR="00624AF1" w:rsidRPr="004D7D4C" w:rsidRDefault="00624AF1" w:rsidP="00CE094B">
            <w:pPr>
              <w:autoSpaceDE w:val="0"/>
              <w:autoSpaceDN w:val="0"/>
              <w:adjustRightInd w:val="0"/>
              <w:spacing w:after="0"/>
              <w:jc w:val="center"/>
              <w:rPr>
                <w:rFonts w:eastAsiaTheme="minorHAnsi" w:cs="Times New Roman"/>
                <w:color w:val="000000"/>
                <w:sz w:val="20"/>
                <w:szCs w:val="20"/>
                <w:lang w:eastAsia="en-US"/>
              </w:rPr>
            </w:pPr>
            <w:r w:rsidRPr="004D7D4C">
              <w:rPr>
                <w:rFonts w:eastAsiaTheme="minorHAnsi" w:cs="Times New Roman"/>
                <w:color w:val="000000"/>
                <w:sz w:val="20"/>
                <w:szCs w:val="20"/>
                <w:lang w:eastAsia="en-US"/>
              </w:rPr>
              <w:t>10 U (2 sites)</w:t>
            </w:r>
          </w:p>
        </w:tc>
      </w:tr>
      <w:tr w:rsidR="00624AF1" w:rsidRPr="004D7D4C" w:rsidTr="00CE094B">
        <w:trPr>
          <w:trHeight w:val="109"/>
        </w:trPr>
        <w:tc>
          <w:tcPr>
            <w:tcW w:w="2518" w:type="dxa"/>
          </w:tcPr>
          <w:p w:rsidR="00624AF1" w:rsidRPr="004D7D4C" w:rsidRDefault="00624AF1" w:rsidP="00CE094B">
            <w:pPr>
              <w:autoSpaceDE w:val="0"/>
              <w:autoSpaceDN w:val="0"/>
              <w:adjustRightInd w:val="0"/>
              <w:spacing w:after="0"/>
              <w:rPr>
                <w:rFonts w:eastAsiaTheme="minorHAnsi" w:cs="Times New Roman"/>
                <w:color w:val="000000"/>
                <w:sz w:val="20"/>
                <w:szCs w:val="20"/>
                <w:lang w:eastAsia="en-US"/>
              </w:rPr>
            </w:pPr>
            <w:r w:rsidRPr="004D7D4C">
              <w:rPr>
                <w:rFonts w:eastAsiaTheme="minorHAnsi" w:cs="Times New Roman"/>
                <w:color w:val="000000"/>
                <w:sz w:val="20"/>
                <w:szCs w:val="20"/>
                <w:lang w:eastAsia="en-US"/>
              </w:rPr>
              <w:t xml:space="preserve">Procerus </w:t>
            </w:r>
          </w:p>
        </w:tc>
        <w:tc>
          <w:tcPr>
            <w:tcW w:w="6521" w:type="dxa"/>
          </w:tcPr>
          <w:p w:rsidR="00624AF1" w:rsidRPr="004D7D4C" w:rsidRDefault="00624AF1" w:rsidP="00CE094B">
            <w:pPr>
              <w:autoSpaceDE w:val="0"/>
              <w:autoSpaceDN w:val="0"/>
              <w:adjustRightInd w:val="0"/>
              <w:spacing w:after="0"/>
              <w:jc w:val="center"/>
              <w:rPr>
                <w:rFonts w:eastAsiaTheme="minorHAnsi" w:cs="Times New Roman"/>
                <w:color w:val="000000"/>
                <w:sz w:val="20"/>
                <w:szCs w:val="20"/>
                <w:lang w:eastAsia="en-US"/>
              </w:rPr>
            </w:pPr>
            <w:r w:rsidRPr="004D7D4C">
              <w:rPr>
                <w:rFonts w:eastAsiaTheme="minorHAnsi" w:cs="Times New Roman"/>
                <w:color w:val="000000"/>
                <w:sz w:val="20"/>
                <w:szCs w:val="20"/>
                <w:lang w:eastAsia="en-US"/>
              </w:rPr>
              <w:t>5 U (1 site)</w:t>
            </w:r>
          </w:p>
        </w:tc>
      </w:tr>
      <w:tr w:rsidR="00624AF1" w:rsidRPr="004D7D4C" w:rsidTr="00CE094B">
        <w:trPr>
          <w:trHeight w:val="127"/>
        </w:trPr>
        <w:tc>
          <w:tcPr>
            <w:tcW w:w="2518" w:type="dxa"/>
          </w:tcPr>
          <w:p w:rsidR="00624AF1" w:rsidRPr="004D7D4C" w:rsidRDefault="00624AF1" w:rsidP="00CE094B">
            <w:pPr>
              <w:autoSpaceDE w:val="0"/>
              <w:autoSpaceDN w:val="0"/>
              <w:adjustRightInd w:val="0"/>
              <w:spacing w:after="0"/>
              <w:rPr>
                <w:rFonts w:eastAsiaTheme="minorHAnsi" w:cs="Times New Roman"/>
                <w:color w:val="000000"/>
                <w:sz w:val="20"/>
                <w:szCs w:val="20"/>
                <w:lang w:eastAsia="en-US"/>
              </w:rPr>
            </w:pPr>
            <w:r w:rsidRPr="004D7D4C">
              <w:rPr>
                <w:rFonts w:eastAsiaTheme="minorHAnsi" w:cs="Times New Roman"/>
                <w:color w:val="000000"/>
                <w:sz w:val="20"/>
                <w:szCs w:val="20"/>
                <w:lang w:eastAsia="en-US"/>
              </w:rPr>
              <w:t>Occipitalis</w:t>
            </w:r>
            <w:r w:rsidRPr="004D7D4C">
              <w:rPr>
                <w:rFonts w:eastAsiaTheme="minorHAnsi" w:cs="Times New Roman"/>
                <w:color w:val="000000"/>
                <w:sz w:val="20"/>
                <w:szCs w:val="20"/>
                <w:vertAlign w:val="superscript"/>
                <w:lang w:eastAsia="en-US"/>
              </w:rPr>
              <w:t>b</w:t>
            </w:r>
            <w:r w:rsidRPr="004D7D4C">
              <w:rPr>
                <w:rFonts w:eastAsiaTheme="minorHAnsi" w:cs="Times New Roman"/>
                <w:color w:val="000000"/>
                <w:sz w:val="20"/>
                <w:szCs w:val="20"/>
                <w:lang w:eastAsia="en-US"/>
              </w:rPr>
              <w:t xml:space="preserve"> </w:t>
            </w:r>
          </w:p>
        </w:tc>
        <w:tc>
          <w:tcPr>
            <w:tcW w:w="6521" w:type="dxa"/>
          </w:tcPr>
          <w:p w:rsidR="00624AF1" w:rsidRPr="004D7D4C" w:rsidRDefault="00624AF1" w:rsidP="00CE094B">
            <w:pPr>
              <w:autoSpaceDE w:val="0"/>
              <w:autoSpaceDN w:val="0"/>
              <w:adjustRightInd w:val="0"/>
              <w:spacing w:after="0"/>
              <w:jc w:val="center"/>
              <w:rPr>
                <w:rFonts w:eastAsiaTheme="minorHAnsi" w:cs="Times New Roman"/>
                <w:color w:val="000000"/>
                <w:sz w:val="20"/>
                <w:szCs w:val="20"/>
                <w:lang w:eastAsia="en-US"/>
              </w:rPr>
            </w:pPr>
            <w:r w:rsidRPr="004D7D4C">
              <w:rPr>
                <w:rFonts w:eastAsiaTheme="minorHAnsi" w:cs="Times New Roman"/>
                <w:color w:val="000000"/>
                <w:sz w:val="20"/>
                <w:szCs w:val="20"/>
                <w:lang w:eastAsia="en-US"/>
              </w:rPr>
              <w:t>30 U (6 sites) up to 40 U (up to 8 sites)</w:t>
            </w:r>
          </w:p>
        </w:tc>
      </w:tr>
      <w:tr w:rsidR="00624AF1" w:rsidRPr="004D7D4C" w:rsidTr="00CE094B">
        <w:trPr>
          <w:trHeight w:val="127"/>
        </w:trPr>
        <w:tc>
          <w:tcPr>
            <w:tcW w:w="2518" w:type="dxa"/>
          </w:tcPr>
          <w:p w:rsidR="00624AF1" w:rsidRPr="004D7D4C" w:rsidRDefault="00624AF1" w:rsidP="00CE094B">
            <w:pPr>
              <w:autoSpaceDE w:val="0"/>
              <w:autoSpaceDN w:val="0"/>
              <w:adjustRightInd w:val="0"/>
              <w:spacing w:after="0"/>
              <w:rPr>
                <w:rFonts w:eastAsiaTheme="minorHAnsi" w:cs="Times New Roman"/>
                <w:color w:val="000000"/>
                <w:sz w:val="20"/>
                <w:szCs w:val="20"/>
                <w:lang w:eastAsia="en-US"/>
              </w:rPr>
            </w:pPr>
            <w:r w:rsidRPr="004D7D4C">
              <w:rPr>
                <w:rFonts w:eastAsiaTheme="minorHAnsi" w:cs="Times New Roman"/>
                <w:color w:val="000000"/>
                <w:sz w:val="20"/>
                <w:szCs w:val="20"/>
                <w:lang w:eastAsia="en-US"/>
              </w:rPr>
              <w:t>Temporalis</w:t>
            </w:r>
            <w:r w:rsidRPr="004D7D4C">
              <w:rPr>
                <w:rFonts w:eastAsiaTheme="minorHAnsi" w:cs="Times New Roman"/>
                <w:color w:val="000000"/>
                <w:sz w:val="20"/>
                <w:szCs w:val="20"/>
                <w:vertAlign w:val="superscript"/>
                <w:lang w:eastAsia="en-US"/>
              </w:rPr>
              <w:t>b</w:t>
            </w:r>
            <w:r w:rsidRPr="004D7D4C">
              <w:rPr>
                <w:rFonts w:eastAsiaTheme="minorHAnsi" w:cs="Times New Roman"/>
                <w:color w:val="000000"/>
                <w:sz w:val="20"/>
                <w:szCs w:val="20"/>
                <w:lang w:eastAsia="en-US"/>
              </w:rPr>
              <w:t xml:space="preserve"> </w:t>
            </w:r>
          </w:p>
        </w:tc>
        <w:tc>
          <w:tcPr>
            <w:tcW w:w="6521" w:type="dxa"/>
          </w:tcPr>
          <w:p w:rsidR="00624AF1" w:rsidRPr="004D7D4C" w:rsidRDefault="00624AF1" w:rsidP="00CE094B">
            <w:pPr>
              <w:autoSpaceDE w:val="0"/>
              <w:autoSpaceDN w:val="0"/>
              <w:adjustRightInd w:val="0"/>
              <w:spacing w:after="0"/>
              <w:jc w:val="center"/>
              <w:rPr>
                <w:rFonts w:eastAsiaTheme="minorHAnsi" w:cs="Times New Roman"/>
                <w:color w:val="000000"/>
                <w:sz w:val="20"/>
                <w:szCs w:val="20"/>
                <w:lang w:eastAsia="en-US"/>
              </w:rPr>
            </w:pPr>
            <w:r w:rsidRPr="004D7D4C">
              <w:rPr>
                <w:rFonts w:eastAsiaTheme="minorHAnsi" w:cs="Times New Roman"/>
                <w:color w:val="000000"/>
                <w:sz w:val="20"/>
                <w:szCs w:val="20"/>
                <w:lang w:eastAsia="en-US"/>
              </w:rPr>
              <w:t>40 U (8 sites) up to 50 U (up to 10 sites)</w:t>
            </w:r>
          </w:p>
        </w:tc>
      </w:tr>
      <w:tr w:rsidR="00624AF1" w:rsidRPr="004D7D4C" w:rsidTr="00CE094B">
        <w:trPr>
          <w:trHeight w:val="127"/>
        </w:trPr>
        <w:tc>
          <w:tcPr>
            <w:tcW w:w="2518" w:type="dxa"/>
          </w:tcPr>
          <w:p w:rsidR="00624AF1" w:rsidRPr="004D7D4C" w:rsidRDefault="00624AF1" w:rsidP="00CE094B">
            <w:pPr>
              <w:autoSpaceDE w:val="0"/>
              <w:autoSpaceDN w:val="0"/>
              <w:adjustRightInd w:val="0"/>
              <w:spacing w:after="0"/>
              <w:rPr>
                <w:rFonts w:eastAsiaTheme="minorHAnsi" w:cs="Times New Roman"/>
                <w:color w:val="000000"/>
                <w:sz w:val="20"/>
                <w:szCs w:val="20"/>
                <w:lang w:eastAsia="en-US"/>
              </w:rPr>
            </w:pPr>
            <w:r w:rsidRPr="004D7D4C">
              <w:rPr>
                <w:rFonts w:eastAsiaTheme="minorHAnsi" w:cs="Times New Roman"/>
                <w:color w:val="000000"/>
                <w:sz w:val="20"/>
                <w:szCs w:val="20"/>
                <w:lang w:eastAsia="en-US"/>
              </w:rPr>
              <w:t>Trapezius</w:t>
            </w:r>
            <w:r w:rsidRPr="004D7D4C">
              <w:rPr>
                <w:rFonts w:eastAsiaTheme="minorHAnsi" w:cs="Times New Roman"/>
                <w:color w:val="000000"/>
                <w:sz w:val="20"/>
                <w:szCs w:val="20"/>
                <w:vertAlign w:val="superscript"/>
                <w:lang w:eastAsia="en-US"/>
              </w:rPr>
              <w:t>b</w:t>
            </w:r>
            <w:r w:rsidRPr="004D7D4C">
              <w:rPr>
                <w:rFonts w:eastAsiaTheme="minorHAnsi" w:cs="Times New Roman"/>
                <w:color w:val="000000"/>
                <w:sz w:val="20"/>
                <w:szCs w:val="20"/>
                <w:lang w:eastAsia="en-US"/>
              </w:rPr>
              <w:t xml:space="preserve"> </w:t>
            </w:r>
          </w:p>
        </w:tc>
        <w:tc>
          <w:tcPr>
            <w:tcW w:w="6521" w:type="dxa"/>
          </w:tcPr>
          <w:p w:rsidR="00624AF1" w:rsidRPr="004D7D4C" w:rsidRDefault="00624AF1" w:rsidP="00CE094B">
            <w:pPr>
              <w:autoSpaceDE w:val="0"/>
              <w:autoSpaceDN w:val="0"/>
              <w:adjustRightInd w:val="0"/>
              <w:spacing w:after="0"/>
              <w:jc w:val="center"/>
              <w:rPr>
                <w:rFonts w:eastAsiaTheme="minorHAnsi" w:cs="Times New Roman"/>
                <w:color w:val="000000"/>
                <w:sz w:val="20"/>
                <w:szCs w:val="20"/>
                <w:lang w:eastAsia="en-US"/>
              </w:rPr>
            </w:pPr>
            <w:r w:rsidRPr="004D7D4C">
              <w:rPr>
                <w:rFonts w:eastAsiaTheme="minorHAnsi" w:cs="Times New Roman"/>
                <w:color w:val="000000"/>
                <w:sz w:val="20"/>
                <w:szCs w:val="20"/>
                <w:lang w:eastAsia="en-US"/>
              </w:rPr>
              <w:t>30 U (6 sites) up to 50 U (up to 10 sites)</w:t>
            </w:r>
          </w:p>
        </w:tc>
      </w:tr>
      <w:tr w:rsidR="00624AF1" w:rsidRPr="004D7D4C" w:rsidTr="00CE094B">
        <w:trPr>
          <w:trHeight w:val="266"/>
        </w:trPr>
        <w:tc>
          <w:tcPr>
            <w:tcW w:w="2518" w:type="dxa"/>
          </w:tcPr>
          <w:p w:rsidR="00624AF1" w:rsidRPr="004D7D4C" w:rsidRDefault="00624AF1" w:rsidP="00CE094B">
            <w:pPr>
              <w:autoSpaceDE w:val="0"/>
              <w:autoSpaceDN w:val="0"/>
              <w:adjustRightInd w:val="0"/>
              <w:spacing w:after="0"/>
              <w:rPr>
                <w:rFonts w:eastAsiaTheme="minorHAnsi" w:cs="Times New Roman"/>
                <w:color w:val="000000"/>
                <w:sz w:val="20"/>
                <w:szCs w:val="20"/>
                <w:lang w:eastAsia="en-US"/>
              </w:rPr>
            </w:pPr>
            <w:r w:rsidRPr="004D7D4C">
              <w:rPr>
                <w:rFonts w:eastAsiaTheme="minorHAnsi" w:cs="Times New Roman"/>
                <w:color w:val="000000"/>
                <w:sz w:val="20"/>
                <w:szCs w:val="20"/>
                <w:lang w:eastAsia="en-US"/>
              </w:rPr>
              <w:t xml:space="preserve">Cervical Paraspinal </w:t>
            </w:r>
          </w:p>
          <w:p w:rsidR="00624AF1" w:rsidRPr="004D7D4C" w:rsidRDefault="00624AF1" w:rsidP="00CE094B">
            <w:pPr>
              <w:autoSpaceDE w:val="0"/>
              <w:autoSpaceDN w:val="0"/>
              <w:adjustRightInd w:val="0"/>
              <w:spacing w:after="0"/>
              <w:rPr>
                <w:rFonts w:eastAsiaTheme="minorHAnsi" w:cs="Times New Roman"/>
                <w:color w:val="000000"/>
                <w:sz w:val="20"/>
                <w:szCs w:val="20"/>
                <w:lang w:eastAsia="en-US"/>
              </w:rPr>
            </w:pPr>
            <w:r w:rsidRPr="004D7D4C">
              <w:rPr>
                <w:rFonts w:eastAsiaTheme="minorHAnsi" w:cs="Times New Roman"/>
                <w:color w:val="000000"/>
                <w:sz w:val="20"/>
                <w:szCs w:val="20"/>
                <w:lang w:eastAsia="en-US"/>
              </w:rPr>
              <w:t>Muscle Group</w:t>
            </w:r>
            <w:r w:rsidRPr="004D7D4C">
              <w:rPr>
                <w:rFonts w:eastAsiaTheme="minorHAnsi" w:cs="Times New Roman"/>
                <w:color w:val="000000"/>
                <w:sz w:val="20"/>
                <w:szCs w:val="20"/>
                <w:vertAlign w:val="superscript"/>
                <w:lang w:eastAsia="en-US"/>
              </w:rPr>
              <w:t>b</w:t>
            </w:r>
            <w:r w:rsidRPr="004D7D4C">
              <w:rPr>
                <w:rFonts w:eastAsiaTheme="minorHAnsi" w:cs="Times New Roman"/>
                <w:color w:val="000000"/>
                <w:sz w:val="20"/>
                <w:szCs w:val="20"/>
                <w:lang w:eastAsia="en-US"/>
              </w:rPr>
              <w:t xml:space="preserve"> </w:t>
            </w:r>
          </w:p>
        </w:tc>
        <w:tc>
          <w:tcPr>
            <w:tcW w:w="6521" w:type="dxa"/>
          </w:tcPr>
          <w:p w:rsidR="00624AF1" w:rsidRPr="004D7D4C" w:rsidRDefault="00624AF1" w:rsidP="00CE094B">
            <w:pPr>
              <w:autoSpaceDE w:val="0"/>
              <w:autoSpaceDN w:val="0"/>
              <w:adjustRightInd w:val="0"/>
              <w:spacing w:after="0"/>
              <w:jc w:val="center"/>
              <w:rPr>
                <w:rFonts w:eastAsiaTheme="minorHAnsi" w:cs="Times New Roman"/>
                <w:color w:val="000000"/>
                <w:sz w:val="20"/>
                <w:szCs w:val="20"/>
                <w:lang w:eastAsia="en-US"/>
              </w:rPr>
            </w:pPr>
            <w:r w:rsidRPr="004D7D4C">
              <w:rPr>
                <w:rFonts w:eastAsiaTheme="minorHAnsi" w:cs="Times New Roman"/>
                <w:color w:val="000000"/>
                <w:sz w:val="20"/>
                <w:szCs w:val="20"/>
                <w:lang w:eastAsia="en-US"/>
              </w:rPr>
              <w:t>20 U (4 sites)</w:t>
            </w:r>
          </w:p>
        </w:tc>
      </w:tr>
      <w:tr w:rsidR="00624AF1" w:rsidRPr="004D7D4C" w:rsidTr="00CE094B">
        <w:trPr>
          <w:trHeight w:val="107"/>
        </w:trPr>
        <w:tc>
          <w:tcPr>
            <w:tcW w:w="2518" w:type="dxa"/>
          </w:tcPr>
          <w:p w:rsidR="00624AF1" w:rsidRPr="004D7D4C" w:rsidRDefault="00624AF1" w:rsidP="00CE094B">
            <w:pPr>
              <w:autoSpaceDE w:val="0"/>
              <w:autoSpaceDN w:val="0"/>
              <w:adjustRightInd w:val="0"/>
              <w:spacing w:after="0"/>
              <w:rPr>
                <w:rFonts w:eastAsiaTheme="minorHAnsi" w:cs="Times New Roman"/>
                <w:color w:val="000000"/>
                <w:sz w:val="20"/>
                <w:szCs w:val="20"/>
                <w:lang w:eastAsia="en-US"/>
              </w:rPr>
            </w:pPr>
            <w:r w:rsidRPr="004D7D4C">
              <w:rPr>
                <w:rFonts w:eastAsiaTheme="minorHAnsi" w:cs="Times New Roman"/>
                <w:b/>
                <w:bCs/>
                <w:color w:val="000000"/>
                <w:sz w:val="20"/>
                <w:szCs w:val="20"/>
                <w:lang w:eastAsia="en-US"/>
              </w:rPr>
              <w:t xml:space="preserve">Total Dose Range: </w:t>
            </w:r>
          </w:p>
        </w:tc>
        <w:tc>
          <w:tcPr>
            <w:tcW w:w="6521" w:type="dxa"/>
          </w:tcPr>
          <w:p w:rsidR="00624AF1" w:rsidRPr="004D7D4C" w:rsidRDefault="00624AF1" w:rsidP="00CE094B">
            <w:pPr>
              <w:autoSpaceDE w:val="0"/>
              <w:autoSpaceDN w:val="0"/>
              <w:adjustRightInd w:val="0"/>
              <w:spacing w:after="0"/>
              <w:jc w:val="center"/>
              <w:rPr>
                <w:rFonts w:eastAsiaTheme="minorHAnsi" w:cs="Times New Roman"/>
                <w:color w:val="000000"/>
                <w:sz w:val="20"/>
                <w:szCs w:val="20"/>
                <w:lang w:eastAsia="en-US"/>
              </w:rPr>
            </w:pPr>
            <w:r w:rsidRPr="004D7D4C">
              <w:rPr>
                <w:rFonts w:eastAsiaTheme="minorHAnsi" w:cs="Times New Roman"/>
                <w:b/>
                <w:bCs/>
                <w:color w:val="000000"/>
                <w:sz w:val="20"/>
                <w:szCs w:val="20"/>
                <w:lang w:eastAsia="en-US"/>
              </w:rPr>
              <w:t>155 U to 195 U</w:t>
            </w:r>
          </w:p>
        </w:tc>
      </w:tr>
    </w:tbl>
    <w:p w:rsidR="00624AF1" w:rsidRPr="0013377C" w:rsidRDefault="00624AF1" w:rsidP="00624AF1">
      <w:pPr>
        <w:autoSpaceDE w:val="0"/>
        <w:autoSpaceDN w:val="0"/>
        <w:adjustRightInd w:val="0"/>
        <w:spacing w:after="0"/>
        <w:rPr>
          <w:rFonts w:eastAsiaTheme="minorHAnsi" w:cs="Times New Roman"/>
          <w:color w:val="000000"/>
          <w:sz w:val="20"/>
          <w:szCs w:val="20"/>
          <w:lang w:eastAsia="en-US"/>
        </w:rPr>
      </w:pPr>
      <w:r w:rsidRPr="0013377C">
        <w:rPr>
          <w:rFonts w:eastAsiaTheme="minorHAnsi" w:cs="Times New Roman"/>
          <w:color w:val="000000"/>
          <w:sz w:val="20"/>
          <w:szCs w:val="20"/>
          <w:vertAlign w:val="superscript"/>
          <w:lang w:eastAsia="en-US"/>
        </w:rPr>
        <w:t>a</w:t>
      </w:r>
      <w:r w:rsidRPr="0013377C">
        <w:rPr>
          <w:rFonts w:eastAsiaTheme="minorHAnsi" w:cs="Times New Roman"/>
          <w:color w:val="000000"/>
          <w:sz w:val="20"/>
          <w:szCs w:val="20"/>
          <w:lang w:eastAsia="en-US"/>
        </w:rPr>
        <w:t xml:space="preserve"> 1 IM injection site = 0.1 mL = 5 U BOTOX </w:t>
      </w:r>
    </w:p>
    <w:p w:rsidR="00624AF1" w:rsidRPr="0013377C" w:rsidRDefault="00624AF1" w:rsidP="00624AF1">
      <w:pPr>
        <w:rPr>
          <w:sz w:val="20"/>
          <w:szCs w:val="20"/>
        </w:rPr>
      </w:pPr>
      <w:r w:rsidRPr="0013377C">
        <w:rPr>
          <w:rFonts w:eastAsiaTheme="minorHAnsi" w:cs="Times New Roman"/>
          <w:color w:val="000000"/>
          <w:sz w:val="20"/>
          <w:szCs w:val="20"/>
          <w:vertAlign w:val="superscript"/>
          <w:lang w:eastAsia="en-US"/>
        </w:rPr>
        <w:t>b</w:t>
      </w:r>
      <w:r w:rsidRPr="0013377C">
        <w:rPr>
          <w:rFonts w:eastAsiaTheme="minorHAnsi" w:cs="Times New Roman"/>
          <w:color w:val="000000"/>
          <w:sz w:val="20"/>
          <w:szCs w:val="20"/>
          <w:lang w:eastAsia="en-US"/>
        </w:rPr>
        <w:t xml:space="preserve"> Dose distributed bilaterally for minimum dose</w:t>
      </w:r>
    </w:p>
    <w:p w:rsidR="00624AF1" w:rsidRDefault="00624AF1">
      <w:pPr>
        <w:spacing w:line="276" w:lineRule="auto"/>
        <w:rPr>
          <w:rFonts w:ascii="Calibri" w:eastAsia="MS Gothic" w:hAnsi="Calibri" w:cs="Times New Roman"/>
          <w:b/>
          <w:bCs/>
          <w:sz w:val="32"/>
          <w:szCs w:val="32"/>
        </w:rPr>
      </w:pPr>
    </w:p>
    <w:p w:rsidR="00C97ABA" w:rsidRDefault="00C97ABA" w:rsidP="00C97ABA">
      <w:pPr>
        <w:spacing w:after="0"/>
      </w:pPr>
    </w:p>
    <w:sectPr w:rsidR="00C97ABA" w:rsidSect="0050191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B0" w:rsidRDefault="009B75B0" w:rsidP="00821C17">
      <w:pPr>
        <w:spacing w:after="0"/>
      </w:pPr>
      <w:r>
        <w:separator/>
      </w:r>
    </w:p>
  </w:endnote>
  <w:endnote w:type="continuationSeparator" w:id="0">
    <w:p w:rsidR="009B75B0" w:rsidRDefault="009B75B0" w:rsidP="00821C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Times New (W1)">
    <w:altName w:val="Cambri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77" w:rsidRDefault="00F44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0444"/>
      <w:docPartObj>
        <w:docPartGallery w:val="Page Numbers (Bottom of Page)"/>
        <w:docPartUnique/>
      </w:docPartObj>
    </w:sdtPr>
    <w:sdtEndPr/>
    <w:sdtContent>
      <w:sdt>
        <w:sdtPr>
          <w:id w:val="-2070178723"/>
          <w:docPartObj>
            <w:docPartGallery w:val="Page Numbers (Top of Page)"/>
            <w:docPartUnique/>
          </w:docPartObj>
        </w:sdtPr>
        <w:sdtEndPr/>
        <w:sdtContent>
          <w:p w:rsidR="009B75B0" w:rsidRPr="000E72C6" w:rsidRDefault="009B75B0" w:rsidP="001E1BAE">
            <w:pPr>
              <w:pStyle w:val="Footer"/>
              <w:jc w:val="center"/>
              <w:rPr>
                <w:i/>
                <w:sz w:val="20"/>
              </w:rPr>
            </w:pPr>
            <w:r>
              <w:rPr>
                <w:i/>
                <w:sz w:val="20"/>
              </w:rPr>
              <w:t>Public Release Document, June 2017 DUSC Meeting</w:t>
            </w:r>
          </w:p>
          <w:p w:rsidR="009B75B0" w:rsidRPr="008F51E2" w:rsidRDefault="009B75B0" w:rsidP="005425A8">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111F61">
              <w:rPr>
                <w:bCs/>
                <w:i/>
                <w:noProof/>
                <w:sz w:val="20"/>
              </w:rPr>
              <w:t>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11F61">
              <w:rPr>
                <w:bCs/>
                <w:i/>
                <w:noProof/>
                <w:sz w:val="20"/>
              </w:rPr>
              <w:t>30</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77" w:rsidRDefault="00F44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B0" w:rsidRDefault="009B75B0" w:rsidP="00821C17">
      <w:pPr>
        <w:spacing w:after="0"/>
      </w:pPr>
      <w:r>
        <w:separator/>
      </w:r>
    </w:p>
  </w:footnote>
  <w:footnote w:type="continuationSeparator" w:id="0">
    <w:p w:rsidR="009B75B0" w:rsidRDefault="009B75B0" w:rsidP="00821C17">
      <w:pPr>
        <w:spacing w:after="0"/>
      </w:pPr>
      <w:r>
        <w:continuationSeparator/>
      </w:r>
    </w:p>
  </w:footnote>
  <w:footnote w:id="1">
    <w:p w:rsidR="009B75B0" w:rsidRDefault="009B75B0">
      <w:pPr>
        <w:pStyle w:val="FootnoteText"/>
      </w:pPr>
      <w:r>
        <w:rPr>
          <w:rStyle w:val="FootnoteReference"/>
        </w:rPr>
        <w:footnoteRef/>
      </w:r>
      <w:r>
        <w:t xml:space="preserve"> </w:t>
      </w:r>
      <w:r w:rsidRPr="00A20114">
        <w:t>International Classification of Headache Disorders, Second Edition, Revised.</w:t>
      </w:r>
      <w:r>
        <w:t xml:space="preserve"> </w:t>
      </w:r>
      <w:r w:rsidRPr="00A20114">
        <w:t>Source: Olesen et al. 2006.</w:t>
      </w:r>
      <w:r>
        <w:t xml:space="preserve"> </w:t>
      </w:r>
      <w:r w:rsidRPr="009B2FEE">
        <w:rPr>
          <w:i/>
        </w:rPr>
        <w:t>There have been no changes to the definition of chronic migraine in the subsequent edition (</w:t>
      </w:r>
      <w:hyperlink r:id="rId1" w:history="1">
        <w:r w:rsidRPr="009B2FEE">
          <w:rPr>
            <w:rStyle w:val="Hyperlink"/>
            <w:i/>
          </w:rPr>
          <w:t>ICHD-3 beta</w:t>
        </w:r>
      </w:hyperlink>
      <w:r w:rsidRPr="009B2FEE">
        <w:rPr>
          <w:i/>
        </w:rPr>
        <w:t>).</w:t>
      </w:r>
    </w:p>
  </w:footnote>
  <w:footnote w:id="2">
    <w:p w:rsidR="009B75B0" w:rsidRDefault="009B75B0">
      <w:pPr>
        <w:pStyle w:val="FootnoteText"/>
      </w:pPr>
      <w:r>
        <w:rPr>
          <w:rStyle w:val="FootnoteReference"/>
        </w:rPr>
        <w:footnoteRef/>
      </w:r>
      <w:r>
        <w:t xml:space="preserve"> </w:t>
      </w:r>
      <w:r w:rsidRPr="001B42CA">
        <w:t>Botox (botulinum toxin type A) Australian Approved Product Information. Allergan Australia Pty Ltd. Date of most recent amendment: 24 September 2015. Available from &lt;https://www.ebs.tga.gov.au/&gt;. Accessed 24 April 2017</w:t>
      </w:r>
    </w:p>
  </w:footnote>
  <w:footnote w:id="3">
    <w:p w:rsidR="009B75B0" w:rsidRDefault="009B75B0" w:rsidP="00D86398">
      <w:pPr>
        <w:pStyle w:val="FootnoteText"/>
      </w:pPr>
      <w:r>
        <w:rPr>
          <w:rStyle w:val="FootnoteReference"/>
        </w:rPr>
        <w:footnoteRef/>
      </w:r>
      <w:r>
        <w:t xml:space="preserve"> </w:t>
      </w:r>
      <w:r w:rsidRPr="001B42CA">
        <w:t>Botox (botulinum toxin type A) Australian Approved Product Information. Allergan Australia Pty Ltd. Date of most recent amendment: 24 September 2015. Available from &lt;https://www.ebs.tga.gov.au/&gt;. Accessed 24 April 2017</w:t>
      </w:r>
    </w:p>
    <w:p w:rsidR="009B75B0" w:rsidRDefault="009B75B0">
      <w:pPr>
        <w:pStyle w:val="FootnoteText"/>
      </w:pPr>
    </w:p>
  </w:footnote>
  <w:footnote w:id="4">
    <w:p w:rsidR="009B75B0" w:rsidRDefault="009B75B0">
      <w:pPr>
        <w:pStyle w:val="FootnoteText"/>
      </w:pPr>
      <w:r>
        <w:rPr>
          <w:rStyle w:val="FootnoteReference"/>
        </w:rPr>
        <w:footnoteRef/>
      </w:r>
      <w:r>
        <w:t xml:space="preserve"> </w:t>
      </w:r>
      <w:r w:rsidRPr="00E67737">
        <w:t>http://www.pbs.gov.au/general/changes-to-certain-s100-programs/botulinum-toxin-program-frequently-asked-questions.pdf</w:t>
      </w:r>
    </w:p>
  </w:footnote>
  <w:footnote w:id="5">
    <w:p w:rsidR="009B75B0" w:rsidRDefault="009B75B0" w:rsidP="00525746">
      <w:pPr>
        <w:pStyle w:val="FootnoteText"/>
      </w:pPr>
      <w:r>
        <w:rPr>
          <w:rStyle w:val="FootnoteReference"/>
        </w:rPr>
        <w:footnoteRef/>
      </w:r>
      <w:r>
        <w:t xml:space="preserve"> Stark and Stark. Migraine prophylaxis.</w:t>
      </w:r>
      <w:r w:rsidRPr="00BF5796">
        <w:t xml:space="preserve"> MJA 2008; 189: 283–288</w:t>
      </w:r>
    </w:p>
  </w:footnote>
  <w:footnote w:id="6">
    <w:p w:rsidR="009B75B0" w:rsidRDefault="009B75B0" w:rsidP="00525746">
      <w:pPr>
        <w:pStyle w:val="FootnoteText"/>
      </w:pPr>
      <w:r>
        <w:rPr>
          <w:rStyle w:val="FootnoteReference"/>
        </w:rPr>
        <w:footnoteRef/>
      </w:r>
      <w:r>
        <w:t xml:space="preserve"> </w:t>
      </w:r>
      <w:r w:rsidRPr="00BF5796">
        <w:t xml:space="preserve">Australian Medicines Handbook </w:t>
      </w:r>
      <w:r>
        <w:t xml:space="preserve">Pty Ltd </w:t>
      </w:r>
      <w:r w:rsidRPr="00BF5796">
        <w:t>(2017)</w:t>
      </w:r>
    </w:p>
  </w:footnote>
  <w:footnote w:id="7">
    <w:p w:rsidR="009B75B0" w:rsidRDefault="009B75B0">
      <w:pPr>
        <w:pStyle w:val="FootnoteText"/>
      </w:pPr>
      <w:r>
        <w:rPr>
          <w:rStyle w:val="FootnoteReference"/>
        </w:rPr>
        <w:footnoteRef/>
      </w:r>
      <w:r>
        <w:t xml:space="preserve"> </w:t>
      </w:r>
      <w:r w:rsidRPr="00712441">
        <w:t>3101.0 - Australian D</w:t>
      </w:r>
      <w:r>
        <w:t xml:space="preserve">emographic Statistics, Sep 2016, </w:t>
      </w:r>
      <w:r w:rsidRPr="00157B97">
        <w:t>http://www.abs.gov.au/AUSSTATS/abs@.nsf/DetailsPage/3101.0Sep%202016?OpenDocument</w:t>
      </w:r>
    </w:p>
  </w:footnote>
  <w:footnote w:id="8">
    <w:p w:rsidR="009B75B0" w:rsidRDefault="009B75B0" w:rsidP="002427F0">
      <w:pPr>
        <w:pStyle w:val="FootnoteText"/>
      </w:pPr>
      <w:r>
        <w:rPr>
          <w:rStyle w:val="FootnoteReference"/>
        </w:rPr>
        <w:footnoteRef/>
      </w:r>
      <w:r>
        <w:t xml:space="preserve"> Jackson JL et al. Botulinum Toxin A for Prophylactic Treatment of Migraine and Tension Headaches in Adults:</w:t>
      </w:r>
    </w:p>
    <w:p w:rsidR="009B75B0" w:rsidRDefault="009B75B0" w:rsidP="00F123BF">
      <w:pPr>
        <w:pStyle w:val="FootnoteText"/>
      </w:pPr>
      <w:r>
        <w:t xml:space="preserve">A Meta-analysis. JAMA </w:t>
      </w:r>
      <w:r w:rsidRPr="002427F0">
        <w:t>2012;307(16):1736-1745</w:t>
      </w:r>
    </w:p>
  </w:footnote>
  <w:footnote w:id="9">
    <w:p w:rsidR="009B75B0" w:rsidRDefault="009B75B0" w:rsidP="000D5F6D">
      <w:pPr>
        <w:pStyle w:val="FootnoteText"/>
      </w:pPr>
      <w:r>
        <w:rPr>
          <w:rStyle w:val="FootnoteReference"/>
        </w:rPr>
        <w:footnoteRef/>
      </w:r>
      <w:r>
        <w:t xml:space="preserve"> Rothrock 2012. Headache Toolbox. American Headache Society. doi: 10.1111/j.1526-4610.2011.01880.x</w:t>
      </w:r>
    </w:p>
  </w:footnote>
  <w:footnote w:id="10">
    <w:p w:rsidR="009B75B0" w:rsidRDefault="009B75B0" w:rsidP="001E1BAE">
      <w:pPr>
        <w:pStyle w:val="FootnoteText"/>
      </w:pPr>
      <w:r>
        <w:rPr>
          <w:rStyle w:val="FootnoteReference"/>
        </w:rPr>
        <w:footnoteRef/>
      </w:r>
      <w:r>
        <w:t xml:space="preserve"> </w:t>
      </w:r>
      <w:r w:rsidRPr="00217C75">
        <w:rPr>
          <w:i/>
        </w:rPr>
        <w:t>Botulinum Toxin Type A, injection, 100 units/vial, Botox® Public Summary Document, July 2013 PBAC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77" w:rsidRDefault="00F44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5B0" w:rsidRPr="006E41D3" w:rsidRDefault="009B75B0" w:rsidP="006E41D3">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77" w:rsidRDefault="00F44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4D7"/>
    <w:multiLevelType w:val="hybridMultilevel"/>
    <w:tmpl w:val="70B66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766602"/>
    <w:multiLevelType w:val="hybridMultilevel"/>
    <w:tmpl w:val="E2DE0F10"/>
    <w:lvl w:ilvl="0" w:tplc="0C090001">
      <w:start w:val="1"/>
      <w:numFmt w:val="bullet"/>
      <w:lvlText w:val=""/>
      <w:lvlJc w:val="left"/>
      <w:pPr>
        <w:ind w:left="360" w:hanging="360"/>
      </w:pPr>
      <w:rPr>
        <w:rFonts w:ascii="Symbol" w:hAnsi="Symbol" w:hint="default"/>
      </w:rPr>
    </w:lvl>
    <w:lvl w:ilvl="1" w:tplc="7AE64364">
      <w:start w:val="3"/>
      <w:numFmt w:val="bullet"/>
      <w:lvlText w:val="-"/>
      <w:lvlJc w:val="left"/>
      <w:pPr>
        <w:ind w:left="1080" w:hanging="360"/>
      </w:pPr>
      <w:rPr>
        <w:rFonts w:ascii="Calibri" w:eastAsia="Times New Roman" w:hAnsi="Calibri" w:cs="Calibri" w:hint="default"/>
      </w:rPr>
    </w:lvl>
    <w:lvl w:ilvl="2" w:tplc="7AE64364">
      <w:start w:val="3"/>
      <w:numFmt w:val="bullet"/>
      <w:lvlText w:val="-"/>
      <w:lvlJc w:val="left"/>
      <w:pPr>
        <w:ind w:left="1800" w:hanging="360"/>
      </w:pPr>
      <w:rPr>
        <w:rFonts w:ascii="Calibri" w:eastAsia="Times New Roman" w:hAnsi="Calibri" w:cs="Calibri"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8780D32"/>
    <w:multiLevelType w:val="hybridMultilevel"/>
    <w:tmpl w:val="86FE1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0122E7"/>
    <w:multiLevelType w:val="hybridMultilevel"/>
    <w:tmpl w:val="65E0A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BD66E0"/>
    <w:multiLevelType w:val="hybridMultilevel"/>
    <w:tmpl w:val="ECEEF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EC0B77"/>
    <w:multiLevelType w:val="hybridMultilevel"/>
    <w:tmpl w:val="28BE8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BC0F5B"/>
    <w:multiLevelType w:val="hybridMultilevel"/>
    <w:tmpl w:val="79AA0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97F6085"/>
    <w:multiLevelType w:val="hybridMultilevel"/>
    <w:tmpl w:val="ECC264EE"/>
    <w:lvl w:ilvl="0" w:tplc="4162A170">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2305DF"/>
    <w:multiLevelType w:val="hybridMultilevel"/>
    <w:tmpl w:val="E838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CB2F29"/>
    <w:multiLevelType w:val="hybridMultilevel"/>
    <w:tmpl w:val="D2DA7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E6C46EA"/>
    <w:multiLevelType w:val="hybridMultilevel"/>
    <w:tmpl w:val="78889CAC"/>
    <w:lvl w:ilvl="0" w:tplc="B84E18F8">
      <w:start w:val="2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395373"/>
    <w:multiLevelType w:val="hybridMultilevel"/>
    <w:tmpl w:val="69F8C0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3570B53"/>
    <w:multiLevelType w:val="hybridMultilevel"/>
    <w:tmpl w:val="6024A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ACF1053"/>
    <w:multiLevelType w:val="hybridMultilevel"/>
    <w:tmpl w:val="081E9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AE263DC"/>
    <w:multiLevelType w:val="hybridMultilevel"/>
    <w:tmpl w:val="79ECF02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23B479C"/>
    <w:multiLevelType w:val="singleLevel"/>
    <w:tmpl w:val="CE226AFA"/>
    <w:lvl w:ilvl="0">
      <w:start w:val="1"/>
      <w:numFmt w:val="decimal"/>
      <w:lvlText w:val="%1."/>
      <w:lvlJc w:val="left"/>
      <w:pPr>
        <w:ind w:left="720" w:hanging="360"/>
      </w:pPr>
      <w:rPr>
        <w:rFonts w:ascii="Arial" w:hAnsi="Arial" w:cs="Arial" w:hint="default"/>
        <w:b w:val="0"/>
      </w:rPr>
    </w:lvl>
  </w:abstractNum>
  <w:abstractNum w:abstractNumId="16">
    <w:nsid w:val="349D1A7C"/>
    <w:multiLevelType w:val="multilevel"/>
    <w:tmpl w:val="C6ECD7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nsid w:val="39523EE7"/>
    <w:multiLevelType w:val="hybridMultilevel"/>
    <w:tmpl w:val="B28AF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032BE6"/>
    <w:multiLevelType w:val="hybridMultilevel"/>
    <w:tmpl w:val="BDF4F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6724CF5"/>
    <w:multiLevelType w:val="hybridMultilevel"/>
    <w:tmpl w:val="284EC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9992B7B"/>
    <w:multiLevelType w:val="hybridMultilevel"/>
    <w:tmpl w:val="A6163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F715A61"/>
    <w:multiLevelType w:val="hybridMultilevel"/>
    <w:tmpl w:val="1BA0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7640F1"/>
    <w:multiLevelType w:val="hybridMultilevel"/>
    <w:tmpl w:val="DEB43644"/>
    <w:lvl w:ilvl="0" w:tplc="A91C0ADC">
      <w:start w:val="4"/>
      <w:numFmt w:val="bullet"/>
      <w:lvlText w:val="-"/>
      <w:lvlJc w:val="left"/>
      <w:pPr>
        <w:ind w:left="720" w:hanging="360"/>
      </w:pPr>
      <w:rPr>
        <w:rFonts w:ascii="Calibri" w:eastAsia="MS 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1840C5"/>
    <w:multiLevelType w:val="hybridMultilevel"/>
    <w:tmpl w:val="F7BA2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FC835A8"/>
    <w:multiLevelType w:val="multilevel"/>
    <w:tmpl w:val="590C9EB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440" w:hanging="720"/>
      </w:pPr>
      <w:rPr>
        <w:rFonts w:ascii="Calibri" w:eastAsia="MS Mincho" w:hAnsi="Calibri" w:cs="Times New Roman"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0A973CB"/>
    <w:multiLevelType w:val="hybridMultilevel"/>
    <w:tmpl w:val="9F4466BC"/>
    <w:lvl w:ilvl="0" w:tplc="4810EDC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1A659B"/>
    <w:multiLevelType w:val="hybridMultilevel"/>
    <w:tmpl w:val="5A9A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6535DB"/>
    <w:multiLevelType w:val="hybridMultilevel"/>
    <w:tmpl w:val="9410D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68A530A"/>
    <w:multiLevelType w:val="hybridMultilevel"/>
    <w:tmpl w:val="BA0275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B51175D"/>
    <w:multiLevelType w:val="hybridMultilevel"/>
    <w:tmpl w:val="265AA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C0D4696"/>
    <w:multiLevelType w:val="hybridMultilevel"/>
    <w:tmpl w:val="8C480F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20"/>
  </w:num>
  <w:num w:numId="3">
    <w:abstractNumId w:val="7"/>
  </w:num>
  <w:num w:numId="4">
    <w:abstractNumId w:val="10"/>
  </w:num>
  <w:num w:numId="5">
    <w:abstractNumId w:val="5"/>
  </w:num>
  <w:num w:numId="6">
    <w:abstractNumId w:val="6"/>
  </w:num>
  <w:num w:numId="7">
    <w:abstractNumId w:val="4"/>
  </w:num>
  <w:num w:numId="8">
    <w:abstractNumId w:val="17"/>
  </w:num>
  <w:num w:numId="9">
    <w:abstractNumId w:val="2"/>
  </w:num>
  <w:num w:numId="10">
    <w:abstractNumId w:val="24"/>
  </w:num>
  <w:num w:numId="11">
    <w:abstractNumId w:val="16"/>
  </w:num>
  <w:num w:numId="12">
    <w:abstractNumId w:val="11"/>
  </w:num>
  <w:num w:numId="13">
    <w:abstractNumId w:val="27"/>
  </w:num>
  <w:num w:numId="14">
    <w:abstractNumId w:val="15"/>
    <w:lvlOverride w:ilvl="0">
      <w:startOverride w:val="1"/>
    </w:lvlOverride>
  </w:num>
  <w:num w:numId="15">
    <w:abstractNumId w:val="21"/>
  </w:num>
  <w:num w:numId="16">
    <w:abstractNumId w:val="23"/>
  </w:num>
  <w:num w:numId="17">
    <w:abstractNumId w:val="14"/>
  </w:num>
  <w:num w:numId="18">
    <w:abstractNumId w:val="12"/>
  </w:num>
  <w:num w:numId="19">
    <w:abstractNumId w:val="9"/>
  </w:num>
  <w:num w:numId="20">
    <w:abstractNumId w:val="19"/>
  </w:num>
  <w:num w:numId="21">
    <w:abstractNumId w:val="26"/>
  </w:num>
  <w:num w:numId="22">
    <w:abstractNumId w:val="3"/>
  </w:num>
  <w:num w:numId="23">
    <w:abstractNumId w:val="0"/>
  </w:num>
  <w:num w:numId="24">
    <w:abstractNumId w:val="18"/>
  </w:num>
  <w:num w:numId="25">
    <w:abstractNumId w:val="13"/>
  </w:num>
  <w:num w:numId="26">
    <w:abstractNumId w:val="22"/>
  </w:num>
  <w:num w:numId="27">
    <w:abstractNumId w:val="25"/>
  </w:num>
  <w:num w:numId="28">
    <w:abstractNumId w:val="28"/>
  </w:num>
  <w:num w:numId="29">
    <w:abstractNumId w:val="1"/>
  </w:num>
  <w:num w:numId="30">
    <w:abstractNumId w:val="29"/>
  </w:num>
  <w:num w:numId="3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17"/>
    <w:rsid w:val="00000AC9"/>
    <w:rsid w:val="00001194"/>
    <w:rsid w:val="00001F68"/>
    <w:rsid w:val="00002365"/>
    <w:rsid w:val="00002F40"/>
    <w:rsid w:val="00003D5E"/>
    <w:rsid w:val="000059E6"/>
    <w:rsid w:val="00006E62"/>
    <w:rsid w:val="000107C2"/>
    <w:rsid w:val="00011DD5"/>
    <w:rsid w:val="000126E8"/>
    <w:rsid w:val="00012EFD"/>
    <w:rsid w:val="00013305"/>
    <w:rsid w:val="00013F2F"/>
    <w:rsid w:val="00014A6F"/>
    <w:rsid w:val="00017258"/>
    <w:rsid w:val="00021055"/>
    <w:rsid w:val="00021AE6"/>
    <w:rsid w:val="0002290F"/>
    <w:rsid w:val="000229C4"/>
    <w:rsid w:val="00022B82"/>
    <w:rsid w:val="00022D1F"/>
    <w:rsid w:val="000236A3"/>
    <w:rsid w:val="00023B5A"/>
    <w:rsid w:val="000240F2"/>
    <w:rsid w:val="000254BD"/>
    <w:rsid w:val="000257D6"/>
    <w:rsid w:val="00025DC2"/>
    <w:rsid w:val="000268C4"/>
    <w:rsid w:val="00030992"/>
    <w:rsid w:val="0003155F"/>
    <w:rsid w:val="00033741"/>
    <w:rsid w:val="0003660C"/>
    <w:rsid w:val="000366B0"/>
    <w:rsid w:val="000369ED"/>
    <w:rsid w:val="00040616"/>
    <w:rsid w:val="0004079C"/>
    <w:rsid w:val="00042FDB"/>
    <w:rsid w:val="00043404"/>
    <w:rsid w:val="00044543"/>
    <w:rsid w:val="00044A34"/>
    <w:rsid w:val="00046C49"/>
    <w:rsid w:val="000528EB"/>
    <w:rsid w:val="00052F09"/>
    <w:rsid w:val="00053324"/>
    <w:rsid w:val="00054982"/>
    <w:rsid w:val="000571FF"/>
    <w:rsid w:val="00061910"/>
    <w:rsid w:val="0006344B"/>
    <w:rsid w:val="000644E0"/>
    <w:rsid w:val="000666EB"/>
    <w:rsid w:val="00071BDC"/>
    <w:rsid w:val="00072182"/>
    <w:rsid w:val="000728A3"/>
    <w:rsid w:val="00073402"/>
    <w:rsid w:val="0007377C"/>
    <w:rsid w:val="00073AF2"/>
    <w:rsid w:val="0007429A"/>
    <w:rsid w:val="000753C1"/>
    <w:rsid w:val="00076BF9"/>
    <w:rsid w:val="00076DD1"/>
    <w:rsid w:val="00077060"/>
    <w:rsid w:val="00080CE6"/>
    <w:rsid w:val="00080EC2"/>
    <w:rsid w:val="000866A2"/>
    <w:rsid w:val="00086A68"/>
    <w:rsid w:val="000915F5"/>
    <w:rsid w:val="000918F1"/>
    <w:rsid w:val="00091AAB"/>
    <w:rsid w:val="00093666"/>
    <w:rsid w:val="00093CCF"/>
    <w:rsid w:val="00093D30"/>
    <w:rsid w:val="00093EAB"/>
    <w:rsid w:val="00094040"/>
    <w:rsid w:val="00096187"/>
    <w:rsid w:val="0009696B"/>
    <w:rsid w:val="000977B0"/>
    <w:rsid w:val="000A28EC"/>
    <w:rsid w:val="000A2FDC"/>
    <w:rsid w:val="000A46B8"/>
    <w:rsid w:val="000A4771"/>
    <w:rsid w:val="000A58E3"/>
    <w:rsid w:val="000A5BFC"/>
    <w:rsid w:val="000A6233"/>
    <w:rsid w:val="000B092E"/>
    <w:rsid w:val="000B1241"/>
    <w:rsid w:val="000B1924"/>
    <w:rsid w:val="000B1D59"/>
    <w:rsid w:val="000B1DB7"/>
    <w:rsid w:val="000B26A7"/>
    <w:rsid w:val="000B296A"/>
    <w:rsid w:val="000B3EF0"/>
    <w:rsid w:val="000B50B7"/>
    <w:rsid w:val="000B524D"/>
    <w:rsid w:val="000B5573"/>
    <w:rsid w:val="000B5D26"/>
    <w:rsid w:val="000B6DE1"/>
    <w:rsid w:val="000B6EC8"/>
    <w:rsid w:val="000B6FE0"/>
    <w:rsid w:val="000C228B"/>
    <w:rsid w:val="000C42AE"/>
    <w:rsid w:val="000C47E2"/>
    <w:rsid w:val="000C59E9"/>
    <w:rsid w:val="000C6197"/>
    <w:rsid w:val="000D0C36"/>
    <w:rsid w:val="000D436B"/>
    <w:rsid w:val="000D45F0"/>
    <w:rsid w:val="000D460F"/>
    <w:rsid w:val="000D5F6D"/>
    <w:rsid w:val="000D77CD"/>
    <w:rsid w:val="000E0A13"/>
    <w:rsid w:val="000E29D4"/>
    <w:rsid w:val="000E4136"/>
    <w:rsid w:val="000E4CB3"/>
    <w:rsid w:val="000E5629"/>
    <w:rsid w:val="000E5817"/>
    <w:rsid w:val="000E586E"/>
    <w:rsid w:val="000E6E65"/>
    <w:rsid w:val="000E77FF"/>
    <w:rsid w:val="000E7C76"/>
    <w:rsid w:val="000F055C"/>
    <w:rsid w:val="000F1077"/>
    <w:rsid w:val="000F3024"/>
    <w:rsid w:val="000F433A"/>
    <w:rsid w:val="000F5A5F"/>
    <w:rsid w:val="000F7FEC"/>
    <w:rsid w:val="0010072C"/>
    <w:rsid w:val="0010262E"/>
    <w:rsid w:val="0010414D"/>
    <w:rsid w:val="00104605"/>
    <w:rsid w:val="0010679D"/>
    <w:rsid w:val="00110D88"/>
    <w:rsid w:val="0011175C"/>
    <w:rsid w:val="00111F61"/>
    <w:rsid w:val="00113F09"/>
    <w:rsid w:val="001156DF"/>
    <w:rsid w:val="00117420"/>
    <w:rsid w:val="00117B97"/>
    <w:rsid w:val="00120736"/>
    <w:rsid w:val="001224C6"/>
    <w:rsid w:val="001225E0"/>
    <w:rsid w:val="00122980"/>
    <w:rsid w:val="0012302D"/>
    <w:rsid w:val="001232F7"/>
    <w:rsid w:val="001249C1"/>
    <w:rsid w:val="0012529D"/>
    <w:rsid w:val="001253F8"/>
    <w:rsid w:val="00125BF6"/>
    <w:rsid w:val="001268EB"/>
    <w:rsid w:val="00126D93"/>
    <w:rsid w:val="00126F0F"/>
    <w:rsid w:val="00127BCF"/>
    <w:rsid w:val="00131B8F"/>
    <w:rsid w:val="00132AE8"/>
    <w:rsid w:val="0013377C"/>
    <w:rsid w:val="00134BF3"/>
    <w:rsid w:val="00135483"/>
    <w:rsid w:val="001376F2"/>
    <w:rsid w:val="0014077C"/>
    <w:rsid w:val="00141CEB"/>
    <w:rsid w:val="0014253B"/>
    <w:rsid w:val="001456FD"/>
    <w:rsid w:val="00147072"/>
    <w:rsid w:val="001501C8"/>
    <w:rsid w:val="0015051C"/>
    <w:rsid w:val="001517BB"/>
    <w:rsid w:val="00153215"/>
    <w:rsid w:val="001543AF"/>
    <w:rsid w:val="00154F8B"/>
    <w:rsid w:val="0015798B"/>
    <w:rsid w:val="00157B97"/>
    <w:rsid w:val="001634C1"/>
    <w:rsid w:val="0016456E"/>
    <w:rsid w:val="0016506F"/>
    <w:rsid w:val="00167211"/>
    <w:rsid w:val="0017132D"/>
    <w:rsid w:val="0017148E"/>
    <w:rsid w:val="00172654"/>
    <w:rsid w:val="0017354A"/>
    <w:rsid w:val="001749CD"/>
    <w:rsid w:val="00175F9C"/>
    <w:rsid w:val="00177C34"/>
    <w:rsid w:val="0018064E"/>
    <w:rsid w:val="001812CA"/>
    <w:rsid w:val="00183FBB"/>
    <w:rsid w:val="00186758"/>
    <w:rsid w:val="001871CE"/>
    <w:rsid w:val="0018772B"/>
    <w:rsid w:val="001900DA"/>
    <w:rsid w:val="00190BFF"/>
    <w:rsid w:val="00192C0B"/>
    <w:rsid w:val="00193010"/>
    <w:rsid w:val="00193719"/>
    <w:rsid w:val="00194844"/>
    <w:rsid w:val="00195354"/>
    <w:rsid w:val="00195A00"/>
    <w:rsid w:val="001975C4"/>
    <w:rsid w:val="001A1141"/>
    <w:rsid w:val="001A175C"/>
    <w:rsid w:val="001A52EE"/>
    <w:rsid w:val="001A6B2F"/>
    <w:rsid w:val="001B06E5"/>
    <w:rsid w:val="001B08B5"/>
    <w:rsid w:val="001B0BA8"/>
    <w:rsid w:val="001B0CFA"/>
    <w:rsid w:val="001B0E82"/>
    <w:rsid w:val="001B1156"/>
    <w:rsid w:val="001B1D99"/>
    <w:rsid w:val="001B348B"/>
    <w:rsid w:val="001B35DD"/>
    <w:rsid w:val="001B3D42"/>
    <w:rsid w:val="001B42CA"/>
    <w:rsid w:val="001B62E5"/>
    <w:rsid w:val="001C242F"/>
    <w:rsid w:val="001C27B7"/>
    <w:rsid w:val="001C27E0"/>
    <w:rsid w:val="001C428A"/>
    <w:rsid w:val="001C434C"/>
    <w:rsid w:val="001C5C6B"/>
    <w:rsid w:val="001C6725"/>
    <w:rsid w:val="001D0C6F"/>
    <w:rsid w:val="001D0EA9"/>
    <w:rsid w:val="001D10C9"/>
    <w:rsid w:val="001D2F46"/>
    <w:rsid w:val="001D2FC8"/>
    <w:rsid w:val="001D3239"/>
    <w:rsid w:val="001D3DC7"/>
    <w:rsid w:val="001D49D6"/>
    <w:rsid w:val="001D4A77"/>
    <w:rsid w:val="001D5183"/>
    <w:rsid w:val="001D69C7"/>
    <w:rsid w:val="001D6BF7"/>
    <w:rsid w:val="001D7236"/>
    <w:rsid w:val="001D75D4"/>
    <w:rsid w:val="001E1100"/>
    <w:rsid w:val="001E1400"/>
    <w:rsid w:val="001E1BAE"/>
    <w:rsid w:val="001E2346"/>
    <w:rsid w:val="001E2C27"/>
    <w:rsid w:val="001E3E09"/>
    <w:rsid w:val="001E4637"/>
    <w:rsid w:val="001E5648"/>
    <w:rsid w:val="001E6CE1"/>
    <w:rsid w:val="001E765F"/>
    <w:rsid w:val="001E77C6"/>
    <w:rsid w:val="001F06F4"/>
    <w:rsid w:val="001F0D94"/>
    <w:rsid w:val="001F13DF"/>
    <w:rsid w:val="001F2FFC"/>
    <w:rsid w:val="001F30D5"/>
    <w:rsid w:val="001F3229"/>
    <w:rsid w:val="001F4774"/>
    <w:rsid w:val="001F4EC9"/>
    <w:rsid w:val="001F6584"/>
    <w:rsid w:val="001F7FD5"/>
    <w:rsid w:val="002004E7"/>
    <w:rsid w:val="0020339F"/>
    <w:rsid w:val="00203EA1"/>
    <w:rsid w:val="002047EE"/>
    <w:rsid w:val="00204C1D"/>
    <w:rsid w:val="002059CA"/>
    <w:rsid w:val="002060B5"/>
    <w:rsid w:val="002116CD"/>
    <w:rsid w:val="00211A06"/>
    <w:rsid w:val="0021294F"/>
    <w:rsid w:val="00213581"/>
    <w:rsid w:val="00214079"/>
    <w:rsid w:val="00214337"/>
    <w:rsid w:val="00216C75"/>
    <w:rsid w:val="00217A63"/>
    <w:rsid w:val="00220921"/>
    <w:rsid w:val="00221449"/>
    <w:rsid w:val="00223085"/>
    <w:rsid w:val="00223640"/>
    <w:rsid w:val="00225FB8"/>
    <w:rsid w:val="00226A6E"/>
    <w:rsid w:val="002306EA"/>
    <w:rsid w:val="00231530"/>
    <w:rsid w:val="00231AA6"/>
    <w:rsid w:val="00231B4B"/>
    <w:rsid w:val="00231D5F"/>
    <w:rsid w:val="00232CC4"/>
    <w:rsid w:val="0023388D"/>
    <w:rsid w:val="00234F4B"/>
    <w:rsid w:val="002355CB"/>
    <w:rsid w:val="00235D4B"/>
    <w:rsid w:val="002365DB"/>
    <w:rsid w:val="00236AB2"/>
    <w:rsid w:val="00237B5A"/>
    <w:rsid w:val="002407F2"/>
    <w:rsid w:val="002408C7"/>
    <w:rsid w:val="002414D4"/>
    <w:rsid w:val="002427F0"/>
    <w:rsid w:val="00242EAC"/>
    <w:rsid w:val="00243290"/>
    <w:rsid w:val="00243F59"/>
    <w:rsid w:val="00250631"/>
    <w:rsid w:val="00251D3B"/>
    <w:rsid w:val="00251E77"/>
    <w:rsid w:val="0025261C"/>
    <w:rsid w:val="00253C2C"/>
    <w:rsid w:val="0025606F"/>
    <w:rsid w:val="00256FE4"/>
    <w:rsid w:val="002621CA"/>
    <w:rsid w:val="00262CEE"/>
    <w:rsid w:val="002641C5"/>
    <w:rsid w:val="00264BF1"/>
    <w:rsid w:val="00264C57"/>
    <w:rsid w:val="0026586A"/>
    <w:rsid w:val="00266485"/>
    <w:rsid w:val="002667C2"/>
    <w:rsid w:val="002679C3"/>
    <w:rsid w:val="0027079D"/>
    <w:rsid w:val="00271D8C"/>
    <w:rsid w:val="002729E4"/>
    <w:rsid w:val="00273BDA"/>
    <w:rsid w:val="00274CCF"/>
    <w:rsid w:val="0027532F"/>
    <w:rsid w:val="002759C1"/>
    <w:rsid w:val="00276B3D"/>
    <w:rsid w:val="002810C5"/>
    <w:rsid w:val="0028142C"/>
    <w:rsid w:val="00281E38"/>
    <w:rsid w:val="002822F7"/>
    <w:rsid w:val="00284834"/>
    <w:rsid w:val="00285D3C"/>
    <w:rsid w:val="00286878"/>
    <w:rsid w:val="00286E26"/>
    <w:rsid w:val="00287E14"/>
    <w:rsid w:val="00291FB0"/>
    <w:rsid w:val="00292E01"/>
    <w:rsid w:val="00293838"/>
    <w:rsid w:val="002941F6"/>
    <w:rsid w:val="002949FC"/>
    <w:rsid w:val="002954C9"/>
    <w:rsid w:val="002A065C"/>
    <w:rsid w:val="002A139A"/>
    <w:rsid w:val="002A2343"/>
    <w:rsid w:val="002A3A19"/>
    <w:rsid w:val="002A3A6B"/>
    <w:rsid w:val="002A4100"/>
    <w:rsid w:val="002A4AA7"/>
    <w:rsid w:val="002A57D4"/>
    <w:rsid w:val="002A7ACE"/>
    <w:rsid w:val="002B0D6E"/>
    <w:rsid w:val="002B25F9"/>
    <w:rsid w:val="002B2C83"/>
    <w:rsid w:val="002B2DFF"/>
    <w:rsid w:val="002B3676"/>
    <w:rsid w:val="002B3838"/>
    <w:rsid w:val="002B4A93"/>
    <w:rsid w:val="002B4CB9"/>
    <w:rsid w:val="002B543E"/>
    <w:rsid w:val="002B61C2"/>
    <w:rsid w:val="002B64DE"/>
    <w:rsid w:val="002B65E3"/>
    <w:rsid w:val="002B6B25"/>
    <w:rsid w:val="002B7741"/>
    <w:rsid w:val="002C0C5F"/>
    <w:rsid w:val="002C12F2"/>
    <w:rsid w:val="002C12FC"/>
    <w:rsid w:val="002C1F2E"/>
    <w:rsid w:val="002C3D0F"/>
    <w:rsid w:val="002C470E"/>
    <w:rsid w:val="002C70DC"/>
    <w:rsid w:val="002C7DE1"/>
    <w:rsid w:val="002D1137"/>
    <w:rsid w:val="002D46DD"/>
    <w:rsid w:val="002D6F33"/>
    <w:rsid w:val="002E02FE"/>
    <w:rsid w:val="002E0A88"/>
    <w:rsid w:val="002E2039"/>
    <w:rsid w:val="002E2B3B"/>
    <w:rsid w:val="002E3CB1"/>
    <w:rsid w:val="002E51C2"/>
    <w:rsid w:val="002E5A21"/>
    <w:rsid w:val="002E5B02"/>
    <w:rsid w:val="002E6B9F"/>
    <w:rsid w:val="002E7C7E"/>
    <w:rsid w:val="002E7EEA"/>
    <w:rsid w:val="002F10DF"/>
    <w:rsid w:val="002F2365"/>
    <w:rsid w:val="002F3C10"/>
    <w:rsid w:val="002F5097"/>
    <w:rsid w:val="002F572B"/>
    <w:rsid w:val="002F5F31"/>
    <w:rsid w:val="002F6A96"/>
    <w:rsid w:val="002F6BBC"/>
    <w:rsid w:val="002F7112"/>
    <w:rsid w:val="003003F2"/>
    <w:rsid w:val="00300A3C"/>
    <w:rsid w:val="0030131B"/>
    <w:rsid w:val="0030261A"/>
    <w:rsid w:val="00305433"/>
    <w:rsid w:val="00305F84"/>
    <w:rsid w:val="003063EE"/>
    <w:rsid w:val="00307012"/>
    <w:rsid w:val="00307C16"/>
    <w:rsid w:val="0031000A"/>
    <w:rsid w:val="0031344F"/>
    <w:rsid w:val="0031419C"/>
    <w:rsid w:val="00314F6A"/>
    <w:rsid w:val="00315246"/>
    <w:rsid w:val="003166F2"/>
    <w:rsid w:val="003178D1"/>
    <w:rsid w:val="00320280"/>
    <w:rsid w:val="0032061C"/>
    <w:rsid w:val="00321767"/>
    <w:rsid w:val="00321A19"/>
    <w:rsid w:val="00321A86"/>
    <w:rsid w:val="00326A6A"/>
    <w:rsid w:val="00327A9D"/>
    <w:rsid w:val="003303F7"/>
    <w:rsid w:val="003306B3"/>
    <w:rsid w:val="00330B08"/>
    <w:rsid w:val="0033255E"/>
    <w:rsid w:val="00332D6B"/>
    <w:rsid w:val="003338D3"/>
    <w:rsid w:val="00334F91"/>
    <w:rsid w:val="00335018"/>
    <w:rsid w:val="00335FA5"/>
    <w:rsid w:val="003375DA"/>
    <w:rsid w:val="00341478"/>
    <w:rsid w:val="00341CB1"/>
    <w:rsid w:val="00342650"/>
    <w:rsid w:val="00343228"/>
    <w:rsid w:val="003434F0"/>
    <w:rsid w:val="00343EDD"/>
    <w:rsid w:val="00344849"/>
    <w:rsid w:val="003449FE"/>
    <w:rsid w:val="00345597"/>
    <w:rsid w:val="00345CBD"/>
    <w:rsid w:val="00350208"/>
    <w:rsid w:val="003507AA"/>
    <w:rsid w:val="00350DA0"/>
    <w:rsid w:val="0035137F"/>
    <w:rsid w:val="003527B1"/>
    <w:rsid w:val="00352AE9"/>
    <w:rsid w:val="003547A7"/>
    <w:rsid w:val="00354EC7"/>
    <w:rsid w:val="00354FE8"/>
    <w:rsid w:val="00355CF3"/>
    <w:rsid w:val="00356A8D"/>
    <w:rsid w:val="00356D4E"/>
    <w:rsid w:val="003572BF"/>
    <w:rsid w:val="00357467"/>
    <w:rsid w:val="00357B43"/>
    <w:rsid w:val="00361C95"/>
    <w:rsid w:val="0036211E"/>
    <w:rsid w:val="0036350E"/>
    <w:rsid w:val="003639E4"/>
    <w:rsid w:val="00363C68"/>
    <w:rsid w:val="00367808"/>
    <w:rsid w:val="00370894"/>
    <w:rsid w:val="00370898"/>
    <w:rsid w:val="00374A32"/>
    <w:rsid w:val="00383C8F"/>
    <w:rsid w:val="00384494"/>
    <w:rsid w:val="00384D14"/>
    <w:rsid w:val="00385B31"/>
    <w:rsid w:val="00386A5C"/>
    <w:rsid w:val="00386D98"/>
    <w:rsid w:val="00386E8D"/>
    <w:rsid w:val="003872FC"/>
    <w:rsid w:val="00392B28"/>
    <w:rsid w:val="00392C3C"/>
    <w:rsid w:val="00393FBD"/>
    <w:rsid w:val="00394185"/>
    <w:rsid w:val="00395367"/>
    <w:rsid w:val="003953B1"/>
    <w:rsid w:val="00396157"/>
    <w:rsid w:val="00396951"/>
    <w:rsid w:val="00397077"/>
    <w:rsid w:val="003A1680"/>
    <w:rsid w:val="003A367D"/>
    <w:rsid w:val="003A3933"/>
    <w:rsid w:val="003A49D9"/>
    <w:rsid w:val="003A60B7"/>
    <w:rsid w:val="003A7309"/>
    <w:rsid w:val="003A7FA3"/>
    <w:rsid w:val="003B1826"/>
    <w:rsid w:val="003B198A"/>
    <w:rsid w:val="003B4A0E"/>
    <w:rsid w:val="003B4FD3"/>
    <w:rsid w:val="003B5833"/>
    <w:rsid w:val="003B6EC5"/>
    <w:rsid w:val="003B7BFC"/>
    <w:rsid w:val="003C089A"/>
    <w:rsid w:val="003C09B1"/>
    <w:rsid w:val="003C3B1D"/>
    <w:rsid w:val="003C4609"/>
    <w:rsid w:val="003C5A04"/>
    <w:rsid w:val="003C6770"/>
    <w:rsid w:val="003C6B95"/>
    <w:rsid w:val="003C6EE6"/>
    <w:rsid w:val="003C7187"/>
    <w:rsid w:val="003C738B"/>
    <w:rsid w:val="003D0E82"/>
    <w:rsid w:val="003D13DE"/>
    <w:rsid w:val="003D2735"/>
    <w:rsid w:val="003D3138"/>
    <w:rsid w:val="003D4D3F"/>
    <w:rsid w:val="003D6E4D"/>
    <w:rsid w:val="003D755B"/>
    <w:rsid w:val="003D7AE0"/>
    <w:rsid w:val="003E0437"/>
    <w:rsid w:val="003E2351"/>
    <w:rsid w:val="003E2D98"/>
    <w:rsid w:val="003E3B52"/>
    <w:rsid w:val="003E4757"/>
    <w:rsid w:val="003E63B5"/>
    <w:rsid w:val="003E69ED"/>
    <w:rsid w:val="003E6EF7"/>
    <w:rsid w:val="003E6F55"/>
    <w:rsid w:val="003F0C3F"/>
    <w:rsid w:val="003F153D"/>
    <w:rsid w:val="003F2279"/>
    <w:rsid w:val="003F2A16"/>
    <w:rsid w:val="003F3918"/>
    <w:rsid w:val="003F432B"/>
    <w:rsid w:val="003F5323"/>
    <w:rsid w:val="003F613C"/>
    <w:rsid w:val="003F67F5"/>
    <w:rsid w:val="003F6EA1"/>
    <w:rsid w:val="003F75C5"/>
    <w:rsid w:val="00400931"/>
    <w:rsid w:val="00401BEE"/>
    <w:rsid w:val="004034C1"/>
    <w:rsid w:val="00403C94"/>
    <w:rsid w:val="00404E4F"/>
    <w:rsid w:val="0040702A"/>
    <w:rsid w:val="00410D00"/>
    <w:rsid w:val="004125DC"/>
    <w:rsid w:val="00412A7D"/>
    <w:rsid w:val="00413152"/>
    <w:rsid w:val="0041402C"/>
    <w:rsid w:val="004153D9"/>
    <w:rsid w:val="00415682"/>
    <w:rsid w:val="00417966"/>
    <w:rsid w:val="00417F01"/>
    <w:rsid w:val="00421155"/>
    <w:rsid w:val="00421AB0"/>
    <w:rsid w:val="00422E25"/>
    <w:rsid w:val="0042432F"/>
    <w:rsid w:val="0042504D"/>
    <w:rsid w:val="0042576E"/>
    <w:rsid w:val="004260A4"/>
    <w:rsid w:val="00426ECF"/>
    <w:rsid w:val="00427375"/>
    <w:rsid w:val="00430738"/>
    <w:rsid w:val="00431704"/>
    <w:rsid w:val="00431C78"/>
    <w:rsid w:val="004326C2"/>
    <w:rsid w:val="0043278A"/>
    <w:rsid w:val="00434910"/>
    <w:rsid w:val="00435430"/>
    <w:rsid w:val="004367A3"/>
    <w:rsid w:val="00436FDC"/>
    <w:rsid w:val="00441630"/>
    <w:rsid w:val="00441FB5"/>
    <w:rsid w:val="00442312"/>
    <w:rsid w:val="0044250E"/>
    <w:rsid w:val="004433D9"/>
    <w:rsid w:val="00444722"/>
    <w:rsid w:val="004461D6"/>
    <w:rsid w:val="0044652F"/>
    <w:rsid w:val="004520A1"/>
    <w:rsid w:val="00453EBE"/>
    <w:rsid w:val="00453EC5"/>
    <w:rsid w:val="00454BAA"/>
    <w:rsid w:val="00456ABC"/>
    <w:rsid w:val="00456C3B"/>
    <w:rsid w:val="00456D54"/>
    <w:rsid w:val="00457484"/>
    <w:rsid w:val="004601ED"/>
    <w:rsid w:val="00461276"/>
    <w:rsid w:val="00461994"/>
    <w:rsid w:val="00463681"/>
    <w:rsid w:val="00463762"/>
    <w:rsid w:val="00464313"/>
    <w:rsid w:val="0046456F"/>
    <w:rsid w:val="00464613"/>
    <w:rsid w:val="0046554D"/>
    <w:rsid w:val="00465CC3"/>
    <w:rsid w:val="00466A17"/>
    <w:rsid w:val="00466C70"/>
    <w:rsid w:val="00466DA8"/>
    <w:rsid w:val="004704A2"/>
    <w:rsid w:val="004704F2"/>
    <w:rsid w:val="0047344E"/>
    <w:rsid w:val="00473E2B"/>
    <w:rsid w:val="0047510D"/>
    <w:rsid w:val="004755A9"/>
    <w:rsid w:val="00481011"/>
    <w:rsid w:val="00481405"/>
    <w:rsid w:val="004818C7"/>
    <w:rsid w:val="00482199"/>
    <w:rsid w:val="00482B92"/>
    <w:rsid w:val="00483BD9"/>
    <w:rsid w:val="00483C8E"/>
    <w:rsid w:val="00485C75"/>
    <w:rsid w:val="004865E7"/>
    <w:rsid w:val="004866BC"/>
    <w:rsid w:val="00486728"/>
    <w:rsid w:val="00487026"/>
    <w:rsid w:val="00490AAE"/>
    <w:rsid w:val="00491A4D"/>
    <w:rsid w:val="00491B33"/>
    <w:rsid w:val="004939F6"/>
    <w:rsid w:val="00493B74"/>
    <w:rsid w:val="00495079"/>
    <w:rsid w:val="00495ED4"/>
    <w:rsid w:val="004963C2"/>
    <w:rsid w:val="004A195E"/>
    <w:rsid w:val="004A2CD9"/>
    <w:rsid w:val="004A4DD8"/>
    <w:rsid w:val="004A7474"/>
    <w:rsid w:val="004A7565"/>
    <w:rsid w:val="004A7DC8"/>
    <w:rsid w:val="004A7F9F"/>
    <w:rsid w:val="004B0631"/>
    <w:rsid w:val="004B0B7F"/>
    <w:rsid w:val="004B0EAC"/>
    <w:rsid w:val="004B1077"/>
    <w:rsid w:val="004B1721"/>
    <w:rsid w:val="004B26FA"/>
    <w:rsid w:val="004B340E"/>
    <w:rsid w:val="004B49E7"/>
    <w:rsid w:val="004B63B3"/>
    <w:rsid w:val="004B6EF7"/>
    <w:rsid w:val="004B7223"/>
    <w:rsid w:val="004B76CC"/>
    <w:rsid w:val="004C0108"/>
    <w:rsid w:val="004C03AC"/>
    <w:rsid w:val="004C2CD5"/>
    <w:rsid w:val="004C3B77"/>
    <w:rsid w:val="004C49EB"/>
    <w:rsid w:val="004C5545"/>
    <w:rsid w:val="004C5C70"/>
    <w:rsid w:val="004C6001"/>
    <w:rsid w:val="004C7512"/>
    <w:rsid w:val="004D2154"/>
    <w:rsid w:val="004D282D"/>
    <w:rsid w:val="004D2BBB"/>
    <w:rsid w:val="004D49D8"/>
    <w:rsid w:val="004D5272"/>
    <w:rsid w:val="004D5750"/>
    <w:rsid w:val="004D5952"/>
    <w:rsid w:val="004D6413"/>
    <w:rsid w:val="004D6C8B"/>
    <w:rsid w:val="004D73AB"/>
    <w:rsid w:val="004D7D4C"/>
    <w:rsid w:val="004E00F7"/>
    <w:rsid w:val="004E0486"/>
    <w:rsid w:val="004E0872"/>
    <w:rsid w:val="004E0AEB"/>
    <w:rsid w:val="004E1859"/>
    <w:rsid w:val="004E2857"/>
    <w:rsid w:val="004E384A"/>
    <w:rsid w:val="004E45B5"/>
    <w:rsid w:val="004E69D8"/>
    <w:rsid w:val="004E70D1"/>
    <w:rsid w:val="004E7435"/>
    <w:rsid w:val="004F0438"/>
    <w:rsid w:val="004F2718"/>
    <w:rsid w:val="004F327F"/>
    <w:rsid w:val="004F4502"/>
    <w:rsid w:val="004F4C42"/>
    <w:rsid w:val="004F5215"/>
    <w:rsid w:val="004F5C27"/>
    <w:rsid w:val="004F5F3C"/>
    <w:rsid w:val="004F7C7D"/>
    <w:rsid w:val="0050191E"/>
    <w:rsid w:val="00505304"/>
    <w:rsid w:val="00507641"/>
    <w:rsid w:val="00511089"/>
    <w:rsid w:val="005117EA"/>
    <w:rsid w:val="00511BE5"/>
    <w:rsid w:val="00511E87"/>
    <w:rsid w:val="005128BC"/>
    <w:rsid w:val="00514722"/>
    <w:rsid w:val="00515018"/>
    <w:rsid w:val="0051534B"/>
    <w:rsid w:val="00515A84"/>
    <w:rsid w:val="00515D7C"/>
    <w:rsid w:val="00515F3C"/>
    <w:rsid w:val="005168C5"/>
    <w:rsid w:val="00517BE1"/>
    <w:rsid w:val="00517FCA"/>
    <w:rsid w:val="005224FC"/>
    <w:rsid w:val="00522E22"/>
    <w:rsid w:val="00522E56"/>
    <w:rsid w:val="00523764"/>
    <w:rsid w:val="00525746"/>
    <w:rsid w:val="005275EA"/>
    <w:rsid w:val="00527CCA"/>
    <w:rsid w:val="005303E3"/>
    <w:rsid w:val="00530457"/>
    <w:rsid w:val="00532D87"/>
    <w:rsid w:val="0053379C"/>
    <w:rsid w:val="005338C8"/>
    <w:rsid w:val="00533A54"/>
    <w:rsid w:val="00533BDE"/>
    <w:rsid w:val="00533E10"/>
    <w:rsid w:val="00533E70"/>
    <w:rsid w:val="0053430C"/>
    <w:rsid w:val="00534D43"/>
    <w:rsid w:val="0053587C"/>
    <w:rsid w:val="005362AB"/>
    <w:rsid w:val="005362DB"/>
    <w:rsid w:val="005362E7"/>
    <w:rsid w:val="00536EA4"/>
    <w:rsid w:val="00537BDB"/>
    <w:rsid w:val="005402C5"/>
    <w:rsid w:val="0054123A"/>
    <w:rsid w:val="00541E0A"/>
    <w:rsid w:val="005425A8"/>
    <w:rsid w:val="0054277E"/>
    <w:rsid w:val="00545B45"/>
    <w:rsid w:val="00550DB4"/>
    <w:rsid w:val="0055354C"/>
    <w:rsid w:val="005545A1"/>
    <w:rsid w:val="00554656"/>
    <w:rsid w:val="00554E45"/>
    <w:rsid w:val="00556653"/>
    <w:rsid w:val="00556A53"/>
    <w:rsid w:val="00560152"/>
    <w:rsid w:val="00560366"/>
    <w:rsid w:val="00560CE5"/>
    <w:rsid w:val="0056164F"/>
    <w:rsid w:val="00561E26"/>
    <w:rsid w:val="00562527"/>
    <w:rsid w:val="005632EF"/>
    <w:rsid w:val="00564685"/>
    <w:rsid w:val="00565C06"/>
    <w:rsid w:val="00571154"/>
    <w:rsid w:val="00571621"/>
    <w:rsid w:val="0057247B"/>
    <w:rsid w:val="00574FCA"/>
    <w:rsid w:val="005768E6"/>
    <w:rsid w:val="00576C13"/>
    <w:rsid w:val="005770A5"/>
    <w:rsid w:val="00577E17"/>
    <w:rsid w:val="00577EAA"/>
    <w:rsid w:val="00580CFD"/>
    <w:rsid w:val="00580EAB"/>
    <w:rsid w:val="00581225"/>
    <w:rsid w:val="0058150A"/>
    <w:rsid w:val="005817EC"/>
    <w:rsid w:val="00583E02"/>
    <w:rsid w:val="00583F26"/>
    <w:rsid w:val="00584EDD"/>
    <w:rsid w:val="005860BB"/>
    <w:rsid w:val="00586497"/>
    <w:rsid w:val="0058712E"/>
    <w:rsid w:val="005879D4"/>
    <w:rsid w:val="00593241"/>
    <w:rsid w:val="005950AC"/>
    <w:rsid w:val="00595210"/>
    <w:rsid w:val="00595804"/>
    <w:rsid w:val="005A1C32"/>
    <w:rsid w:val="005A1FCC"/>
    <w:rsid w:val="005A262B"/>
    <w:rsid w:val="005A2880"/>
    <w:rsid w:val="005A328D"/>
    <w:rsid w:val="005A3C05"/>
    <w:rsid w:val="005A4681"/>
    <w:rsid w:val="005A62D5"/>
    <w:rsid w:val="005A6B74"/>
    <w:rsid w:val="005A7073"/>
    <w:rsid w:val="005A7522"/>
    <w:rsid w:val="005B1875"/>
    <w:rsid w:val="005B1D7A"/>
    <w:rsid w:val="005B215B"/>
    <w:rsid w:val="005B297A"/>
    <w:rsid w:val="005B3F0A"/>
    <w:rsid w:val="005B4595"/>
    <w:rsid w:val="005B4648"/>
    <w:rsid w:val="005B5508"/>
    <w:rsid w:val="005B66F5"/>
    <w:rsid w:val="005B6C1F"/>
    <w:rsid w:val="005B71FB"/>
    <w:rsid w:val="005B784A"/>
    <w:rsid w:val="005C1883"/>
    <w:rsid w:val="005C2511"/>
    <w:rsid w:val="005C4E4B"/>
    <w:rsid w:val="005C62A1"/>
    <w:rsid w:val="005C650D"/>
    <w:rsid w:val="005D0030"/>
    <w:rsid w:val="005D31BE"/>
    <w:rsid w:val="005D35FC"/>
    <w:rsid w:val="005D469A"/>
    <w:rsid w:val="005D4F15"/>
    <w:rsid w:val="005D4FF0"/>
    <w:rsid w:val="005D5342"/>
    <w:rsid w:val="005D5E11"/>
    <w:rsid w:val="005D615A"/>
    <w:rsid w:val="005D6745"/>
    <w:rsid w:val="005D6879"/>
    <w:rsid w:val="005D6A03"/>
    <w:rsid w:val="005D6F30"/>
    <w:rsid w:val="005D787D"/>
    <w:rsid w:val="005E0C8F"/>
    <w:rsid w:val="005E1C1E"/>
    <w:rsid w:val="005E1FAB"/>
    <w:rsid w:val="005E3963"/>
    <w:rsid w:val="005E4AD6"/>
    <w:rsid w:val="005E4D5F"/>
    <w:rsid w:val="005E4D6C"/>
    <w:rsid w:val="005E5383"/>
    <w:rsid w:val="005E5391"/>
    <w:rsid w:val="005E5925"/>
    <w:rsid w:val="005F0290"/>
    <w:rsid w:val="005F121A"/>
    <w:rsid w:val="005F1857"/>
    <w:rsid w:val="005F241F"/>
    <w:rsid w:val="005F28F8"/>
    <w:rsid w:val="005F2F68"/>
    <w:rsid w:val="005F579F"/>
    <w:rsid w:val="005F5F83"/>
    <w:rsid w:val="005F77FC"/>
    <w:rsid w:val="00600AE6"/>
    <w:rsid w:val="00602B1A"/>
    <w:rsid w:val="00602C63"/>
    <w:rsid w:val="00603E91"/>
    <w:rsid w:val="0060638A"/>
    <w:rsid w:val="006113C0"/>
    <w:rsid w:val="00611BF5"/>
    <w:rsid w:val="00612392"/>
    <w:rsid w:val="006123E8"/>
    <w:rsid w:val="006128DF"/>
    <w:rsid w:val="00613153"/>
    <w:rsid w:val="006140B3"/>
    <w:rsid w:val="006147CE"/>
    <w:rsid w:val="00614BCF"/>
    <w:rsid w:val="0061695E"/>
    <w:rsid w:val="00617AF6"/>
    <w:rsid w:val="00624AF1"/>
    <w:rsid w:val="00626993"/>
    <w:rsid w:val="00626FD2"/>
    <w:rsid w:val="00627C19"/>
    <w:rsid w:val="006306DF"/>
    <w:rsid w:val="00630D5B"/>
    <w:rsid w:val="0063110F"/>
    <w:rsid w:val="00631AFC"/>
    <w:rsid w:val="006334FB"/>
    <w:rsid w:val="0063499A"/>
    <w:rsid w:val="006353A0"/>
    <w:rsid w:val="006353B4"/>
    <w:rsid w:val="006365E2"/>
    <w:rsid w:val="00637D27"/>
    <w:rsid w:val="00640424"/>
    <w:rsid w:val="006418C4"/>
    <w:rsid w:val="006422EB"/>
    <w:rsid w:val="0064268E"/>
    <w:rsid w:val="006427AF"/>
    <w:rsid w:val="00642A22"/>
    <w:rsid w:val="00643CE9"/>
    <w:rsid w:val="006444FF"/>
    <w:rsid w:val="00645ED8"/>
    <w:rsid w:val="006463F9"/>
    <w:rsid w:val="00647340"/>
    <w:rsid w:val="00651125"/>
    <w:rsid w:val="00651A5F"/>
    <w:rsid w:val="00652EF2"/>
    <w:rsid w:val="00652FD0"/>
    <w:rsid w:val="0065403B"/>
    <w:rsid w:val="00654F9B"/>
    <w:rsid w:val="00655E6C"/>
    <w:rsid w:val="00657DE9"/>
    <w:rsid w:val="00660348"/>
    <w:rsid w:val="006603F0"/>
    <w:rsid w:val="00660798"/>
    <w:rsid w:val="00662DE0"/>
    <w:rsid w:val="00663189"/>
    <w:rsid w:val="00664623"/>
    <w:rsid w:val="006663E8"/>
    <w:rsid w:val="00666922"/>
    <w:rsid w:val="00666D39"/>
    <w:rsid w:val="0067026C"/>
    <w:rsid w:val="00675ACE"/>
    <w:rsid w:val="00677771"/>
    <w:rsid w:val="00682290"/>
    <w:rsid w:val="0068255A"/>
    <w:rsid w:val="006841C3"/>
    <w:rsid w:val="00684204"/>
    <w:rsid w:val="00684D89"/>
    <w:rsid w:val="0068588A"/>
    <w:rsid w:val="0068653C"/>
    <w:rsid w:val="00687C09"/>
    <w:rsid w:val="00690116"/>
    <w:rsid w:val="00691019"/>
    <w:rsid w:val="006912FB"/>
    <w:rsid w:val="006938E5"/>
    <w:rsid w:val="00694623"/>
    <w:rsid w:val="00695BEA"/>
    <w:rsid w:val="00697401"/>
    <w:rsid w:val="00697ACF"/>
    <w:rsid w:val="006A0C1A"/>
    <w:rsid w:val="006A1379"/>
    <w:rsid w:val="006A24BD"/>
    <w:rsid w:val="006A4649"/>
    <w:rsid w:val="006A7F9B"/>
    <w:rsid w:val="006B04F2"/>
    <w:rsid w:val="006B060E"/>
    <w:rsid w:val="006B0EBB"/>
    <w:rsid w:val="006B1C31"/>
    <w:rsid w:val="006B2C99"/>
    <w:rsid w:val="006B6468"/>
    <w:rsid w:val="006B745C"/>
    <w:rsid w:val="006C358F"/>
    <w:rsid w:val="006C4EAC"/>
    <w:rsid w:val="006C58A0"/>
    <w:rsid w:val="006D036B"/>
    <w:rsid w:val="006D099C"/>
    <w:rsid w:val="006D0CC7"/>
    <w:rsid w:val="006D0E60"/>
    <w:rsid w:val="006D25BB"/>
    <w:rsid w:val="006D2A93"/>
    <w:rsid w:val="006D3226"/>
    <w:rsid w:val="006D3597"/>
    <w:rsid w:val="006D39F2"/>
    <w:rsid w:val="006D53F6"/>
    <w:rsid w:val="006D5481"/>
    <w:rsid w:val="006D5720"/>
    <w:rsid w:val="006D5A76"/>
    <w:rsid w:val="006D5ABF"/>
    <w:rsid w:val="006D7510"/>
    <w:rsid w:val="006D7549"/>
    <w:rsid w:val="006E0351"/>
    <w:rsid w:val="006E2901"/>
    <w:rsid w:val="006E30A3"/>
    <w:rsid w:val="006E35E3"/>
    <w:rsid w:val="006E38F3"/>
    <w:rsid w:val="006E3967"/>
    <w:rsid w:val="006E41D3"/>
    <w:rsid w:val="006E68F9"/>
    <w:rsid w:val="006E711D"/>
    <w:rsid w:val="006E777E"/>
    <w:rsid w:val="006E7A2C"/>
    <w:rsid w:val="006F082B"/>
    <w:rsid w:val="006F0C27"/>
    <w:rsid w:val="006F18B4"/>
    <w:rsid w:val="006F4443"/>
    <w:rsid w:val="006F5027"/>
    <w:rsid w:val="006F550B"/>
    <w:rsid w:val="006F7774"/>
    <w:rsid w:val="00700F6B"/>
    <w:rsid w:val="00701611"/>
    <w:rsid w:val="007019CA"/>
    <w:rsid w:val="00703015"/>
    <w:rsid w:val="0070314A"/>
    <w:rsid w:val="00704903"/>
    <w:rsid w:val="00707353"/>
    <w:rsid w:val="007074B7"/>
    <w:rsid w:val="00710969"/>
    <w:rsid w:val="00710F03"/>
    <w:rsid w:val="00711BDA"/>
    <w:rsid w:val="00712363"/>
    <w:rsid w:val="00712441"/>
    <w:rsid w:val="00713C3B"/>
    <w:rsid w:val="00715BDB"/>
    <w:rsid w:val="007161BE"/>
    <w:rsid w:val="00717CEC"/>
    <w:rsid w:val="00720703"/>
    <w:rsid w:val="007218B2"/>
    <w:rsid w:val="00721B6C"/>
    <w:rsid w:val="00721E22"/>
    <w:rsid w:val="00721FF5"/>
    <w:rsid w:val="007247A4"/>
    <w:rsid w:val="00724BF6"/>
    <w:rsid w:val="007252A1"/>
    <w:rsid w:val="007252A3"/>
    <w:rsid w:val="00725737"/>
    <w:rsid w:val="007259D6"/>
    <w:rsid w:val="00725CBE"/>
    <w:rsid w:val="007260F5"/>
    <w:rsid w:val="007267DB"/>
    <w:rsid w:val="00730458"/>
    <w:rsid w:val="00731449"/>
    <w:rsid w:val="0073226E"/>
    <w:rsid w:val="0073237C"/>
    <w:rsid w:val="00733EB4"/>
    <w:rsid w:val="007345D0"/>
    <w:rsid w:val="00734C93"/>
    <w:rsid w:val="00734D84"/>
    <w:rsid w:val="00735151"/>
    <w:rsid w:val="007360E9"/>
    <w:rsid w:val="00736377"/>
    <w:rsid w:val="0073795F"/>
    <w:rsid w:val="007402FB"/>
    <w:rsid w:val="00741345"/>
    <w:rsid w:val="007414C7"/>
    <w:rsid w:val="00741E23"/>
    <w:rsid w:val="007421C3"/>
    <w:rsid w:val="0074386F"/>
    <w:rsid w:val="0074421C"/>
    <w:rsid w:val="007447A0"/>
    <w:rsid w:val="00744888"/>
    <w:rsid w:val="007468F9"/>
    <w:rsid w:val="00746A4C"/>
    <w:rsid w:val="00747717"/>
    <w:rsid w:val="007526B5"/>
    <w:rsid w:val="0075398E"/>
    <w:rsid w:val="00753D44"/>
    <w:rsid w:val="007542F6"/>
    <w:rsid w:val="0075486E"/>
    <w:rsid w:val="00755EC8"/>
    <w:rsid w:val="0075627C"/>
    <w:rsid w:val="00756AA4"/>
    <w:rsid w:val="00762112"/>
    <w:rsid w:val="007627EF"/>
    <w:rsid w:val="007631E8"/>
    <w:rsid w:val="007655D0"/>
    <w:rsid w:val="0077058D"/>
    <w:rsid w:val="00771432"/>
    <w:rsid w:val="00773BC6"/>
    <w:rsid w:val="0077589D"/>
    <w:rsid w:val="007760EE"/>
    <w:rsid w:val="007769A9"/>
    <w:rsid w:val="00777BC2"/>
    <w:rsid w:val="00780C0A"/>
    <w:rsid w:val="0078147E"/>
    <w:rsid w:val="00783D50"/>
    <w:rsid w:val="00784898"/>
    <w:rsid w:val="00784ECD"/>
    <w:rsid w:val="00786070"/>
    <w:rsid w:val="00787D4A"/>
    <w:rsid w:val="00791592"/>
    <w:rsid w:val="007915C0"/>
    <w:rsid w:val="00793AFE"/>
    <w:rsid w:val="00793E16"/>
    <w:rsid w:val="00796243"/>
    <w:rsid w:val="0079646A"/>
    <w:rsid w:val="00796EDD"/>
    <w:rsid w:val="00797E1F"/>
    <w:rsid w:val="007A247F"/>
    <w:rsid w:val="007A36B4"/>
    <w:rsid w:val="007A4025"/>
    <w:rsid w:val="007A5378"/>
    <w:rsid w:val="007A556F"/>
    <w:rsid w:val="007A6318"/>
    <w:rsid w:val="007A72F0"/>
    <w:rsid w:val="007B0032"/>
    <w:rsid w:val="007B0106"/>
    <w:rsid w:val="007B041E"/>
    <w:rsid w:val="007B0996"/>
    <w:rsid w:val="007B658A"/>
    <w:rsid w:val="007B694D"/>
    <w:rsid w:val="007B7060"/>
    <w:rsid w:val="007C0A64"/>
    <w:rsid w:val="007C0CBF"/>
    <w:rsid w:val="007C0FD8"/>
    <w:rsid w:val="007C121E"/>
    <w:rsid w:val="007C156A"/>
    <w:rsid w:val="007C1C4D"/>
    <w:rsid w:val="007C2721"/>
    <w:rsid w:val="007C3AED"/>
    <w:rsid w:val="007C4D96"/>
    <w:rsid w:val="007C5684"/>
    <w:rsid w:val="007C6631"/>
    <w:rsid w:val="007C6A3F"/>
    <w:rsid w:val="007C7D3B"/>
    <w:rsid w:val="007D065F"/>
    <w:rsid w:val="007D0BA6"/>
    <w:rsid w:val="007D10CB"/>
    <w:rsid w:val="007D1A02"/>
    <w:rsid w:val="007D29C2"/>
    <w:rsid w:val="007D4350"/>
    <w:rsid w:val="007D4D4A"/>
    <w:rsid w:val="007D5EB9"/>
    <w:rsid w:val="007D69B9"/>
    <w:rsid w:val="007D78E8"/>
    <w:rsid w:val="007E07DD"/>
    <w:rsid w:val="007E26C5"/>
    <w:rsid w:val="007E2E32"/>
    <w:rsid w:val="007E3004"/>
    <w:rsid w:val="007E583A"/>
    <w:rsid w:val="007E61D7"/>
    <w:rsid w:val="007E6C91"/>
    <w:rsid w:val="007F1127"/>
    <w:rsid w:val="007F119A"/>
    <w:rsid w:val="007F15D1"/>
    <w:rsid w:val="007F4E20"/>
    <w:rsid w:val="007F5792"/>
    <w:rsid w:val="007F57A3"/>
    <w:rsid w:val="007F66F7"/>
    <w:rsid w:val="007F790C"/>
    <w:rsid w:val="007F7A8E"/>
    <w:rsid w:val="00800FEE"/>
    <w:rsid w:val="00801110"/>
    <w:rsid w:val="0080143B"/>
    <w:rsid w:val="008028EE"/>
    <w:rsid w:val="00802937"/>
    <w:rsid w:val="00802E46"/>
    <w:rsid w:val="00803C8B"/>
    <w:rsid w:val="00805235"/>
    <w:rsid w:val="00806B62"/>
    <w:rsid w:val="00807E22"/>
    <w:rsid w:val="00810A5B"/>
    <w:rsid w:val="00811193"/>
    <w:rsid w:val="00811B75"/>
    <w:rsid w:val="00812222"/>
    <w:rsid w:val="008134FC"/>
    <w:rsid w:val="00813757"/>
    <w:rsid w:val="00813FF0"/>
    <w:rsid w:val="008153B4"/>
    <w:rsid w:val="008161B6"/>
    <w:rsid w:val="00817489"/>
    <w:rsid w:val="00817C76"/>
    <w:rsid w:val="008202D1"/>
    <w:rsid w:val="008203E4"/>
    <w:rsid w:val="008219AE"/>
    <w:rsid w:val="00821C17"/>
    <w:rsid w:val="00821D85"/>
    <w:rsid w:val="00822378"/>
    <w:rsid w:val="00822C33"/>
    <w:rsid w:val="00823E6F"/>
    <w:rsid w:val="00823F55"/>
    <w:rsid w:val="008250BC"/>
    <w:rsid w:val="008253DF"/>
    <w:rsid w:val="008319A4"/>
    <w:rsid w:val="00831E8A"/>
    <w:rsid w:val="00841796"/>
    <w:rsid w:val="00841C76"/>
    <w:rsid w:val="0084313C"/>
    <w:rsid w:val="00843E68"/>
    <w:rsid w:val="00844360"/>
    <w:rsid w:val="00844AE8"/>
    <w:rsid w:val="00844E60"/>
    <w:rsid w:val="00845C81"/>
    <w:rsid w:val="00845ED9"/>
    <w:rsid w:val="00847CF9"/>
    <w:rsid w:val="008501BD"/>
    <w:rsid w:val="008522C7"/>
    <w:rsid w:val="0085284C"/>
    <w:rsid w:val="00852ED8"/>
    <w:rsid w:val="00853242"/>
    <w:rsid w:val="00856129"/>
    <w:rsid w:val="00857816"/>
    <w:rsid w:val="008609DF"/>
    <w:rsid w:val="00860F84"/>
    <w:rsid w:val="00861494"/>
    <w:rsid w:val="00862715"/>
    <w:rsid w:val="00863D87"/>
    <w:rsid w:val="00864F0F"/>
    <w:rsid w:val="00865967"/>
    <w:rsid w:val="008679CD"/>
    <w:rsid w:val="00870265"/>
    <w:rsid w:val="008708AD"/>
    <w:rsid w:val="00873894"/>
    <w:rsid w:val="00874230"/>
    <w:rsid w:val="00875B7A"/>
    <w:rsid w:val="008762AD"/>
    <w:rsid w:val="0087706B"/>
    <w:rsid w:val="00880094"/>
    <w:rsid w:val="008821CD"/>
    <w:rsid w:val="00882BBC"/>
    <w:rsid w:val="00883245"/>
    <w:rsid w:val="00887495"/>
    <w:rsid w:val="00887ACD"/>
    <w:rsid w:val="00887E85"/>
    <w:rsid w:val="0089046F"/>
    <w:rsid w:val="00890FBB"/>
    <w:rsid w:val="00892A7D"/>
    <w:rsid w:val="008958B7"/>
    <w:rsid w:val="00896011"/>
    <w:rsid w:val="008972E2"/>
    <w:rsid w:val="00897660"/>
    <w:rsid w:val="008979FD"/>
    <w:rsid w:val="00897ACA"/>
    <w:rsid w:val="00897B50"/>
    <w:rsid w:val="008A0FB9"/>
    <w:rsid w:val="008A1585"/>
    <w:rsid w:val="008A19BC"/>
    <w:rsid w:val="008A3A8E"/>
    <w:rsid w:val="008A3FB3"/>
    <w:rsid w:val="008B0D36"/>
    <w:rsid w:val="008B23EE"/>
    <w:rsid w:val="008B525A"/>
    <w:rsid w:val="008B5301"/>
    <w:rsid w:val="008B631B"/>
    <w:rsid w:val="008B64E1"/>
    <w:rsid w:val="008B65B8"/>
    <w:rsid w:val="008C0A97"/>
    <w:rsid w:val="008C0FC5"/>
    <w:rsid w:val="008C311A"/>
    <w:rsid w:val="008C31A1"/>
    <w:rsid w:val="008C336A"/>
    <w:rsid w:val="008C5405"/>
    <w:rsid w:val="008C7BD5"/>
    <w:rsid w:val="008D0838"/>
    <w:rsid w:val="008D0D6A"/>
    <w:rsid w:val="008D179F"/>
    <w:rsid w:val="008D2597"/>
    <w:rsid w:val="008D31D0"/>
    <w:rsid w:val="008D4569"/>
    <w:rsid w:val="008D4926"/>
    <w:rsid w:val="008D514C"/>
    <w:rsid w:val="008D6906"/>
    <w:rsid w:val="008D75A8"/>
    <w:rsid w:val="008D7A27"/>
    <w:rsid w:val="008E13DC"/>
    <w:rsid w:val="008E1F11"/>
    <w:rsid w:val="008E207D"/>
    <w:rsid w:val="008E421E"/>
    <w:rsid w:val="008E4291"/>
    <w:rsid w:val="008E466D"/>
    <w:rsid w:val="008E4AAF"/>
    <w:rsid w:val="008E5145"/>
    <w:rsid w:val="008E5907"/>
    <w:rsid w:val="008E7C1B"/>
    <w:rsid w:val="008E7C7C"/>
    <w:rsid w:val="008F0386"/>
    <w:rsid w:val="008F10EA"/>
    <w:rsid w:val="008F1758"/>
    <w:rsid w:val="008F1AAA"/>
    <w:rsid w:val="008F1C32"/>
    <w:rsid w:val="008F2443"/>
    <w:rsid w:val="008F2621"/>
    <w:rsid w:val="008F3022"/>
    <w:rsid w:val="008F3826"/>
    <w:rsid w:val="008F4457"/>
    <w:rsid w:val="008F522F"/>
    <w:rsid w:val="008F5F4D"/>
    <w:rsid w:val="008F7C0B"/>
    <w:rsid w:val="009002A3"/>
    <w:rsid w:val="00901CAD"/>
    <w:rsid w:val="009022AC"/>
    <w:rsid w:val="00902C08"/>
    <w:rsid w:val="00903896"/>
    <w:rsid w:val="00903CF3"/>
    <w:rsid w:val="00904847"/>
    <w:rsid w:val="00904D32"/>
    <w:rsid w:val="00905342"/>
    <w:rsid w:val="0090569C"/>
    <w:rsid w:val="00906F33"/>
    <w:rsid w:val="00907EA2"/>
    <w:rsid w:val="009114DB"/>
    <w:rsid w:val="00911F66"/>
    <w:rsid w:val="00912AC3"/>
    <w:rsid w:val="00913207"/>
    <w:rsid w:val="00913B69"/>
    <w:rsid w:val="009149B4"/>
    <w:rsid w:val="00914C72"/>
    <w:rsid w:val="009153E5"/>
    <w:rsid w:val="00916D2F"/>
    <w:rsid w:val="00917C9C"/>
    <w:rsid w:val="00920507"/>
    <w:rsid w:val="009216F7"/>
    <w:rsid w:val="00921DA0"/>
    <w:rsid w:val="00922B20"/>
    <w:rsid w:val="00923C64"/>
    <w:rsid w:val="00924BF8"/>
    <w:rsid w:val="00926358"/>
    <w:rsid w:val="009275B7"/>
    <w:rsid w:val="00930414"/>
    <w:rsid w:val="00932A56"/>
    <w:rsid w:val="00934001"/>
    <w:rsid w:val="00935D2A"/>
    <w:rsid w:val="00936540"/>
    <w:rsid w:val="009368B1"/>
    <w:rsid w:val="00937014"/>
    <w:rsid w:val="00940732"/>
    <w:rsid w:val="00940D95"/>
    <w:rsid w:val="00941706"/>
    <w:rsid w:val="00942EB7"/>
    <w:rsid w:val="009440DB"/>
    <w:rsid w:val="00944E82"/>
    <w:rsid w:val="00946E5E"/>
    <w:rsid w:val="00946E98"/>
    <w:rsid w:val="009529FB"/>
    <w:rsid w:val="009544A7"/>
    <w:rsid w:val="00956CFC"/>
    <w:rsid w:val="00956FFB"/>
    <w:rsid w:val="009620B3"/>
    <w:rsid w:val="009650C1"/>
    <w:rsid w:val="009670A7"/>
    <w:rsid w:val="00967DA3"/>
    <w:rsid w:val="00971160"/>
    <w:rsid w:val="00971BF3"/>
    <w:rsid w:val="00972217"/>
    <w:rsid w:val="0097298C"/>
    <w:rsid w:val="00972C44"/>
    <w:rsid w:val="009730C4"/>
    <w:rsid w:val="00974634"/>
    <w:rsid w:val="00974BE2"/>
    <w:rsid w:val="00975331"/>
    <w:rsid w:val="00976B32"/>
    <w:rsid w:val="009809C9"/>
    <w:rsid w:val="009814F3"/>
    <w:rsid w:val="00982096"/>
    <w:rsid w:val="009828EF"/>
    <w:rsid w:val="00983118"/>
    <w:rsid w:val="00983E3C"/>
    <w:rsid w:val="00985174"/>
    <w:rsid w:val="00985627"/>
    <w:rsid w:val="00985C7B"/>
    <w:rsid w:val="00986DCC"/>
    <w:rsid w:val="00990AFB"/>
    <w:rsid w:val="00991E6F"/>
    <w:rsid w:val="00993DE4"/>
    <w:rsid w:val="00993FCD"/>
    <w:rsid w:val="0099451E"/>
    <w:rsid w:val="00997756"/>
    <w:rsid w:val="00997DE3"/>
    <w:rsid w:val="009A0306"/>
    <w:rsid w:val="009A25E4"/>
    <w:rsid w:val="009A26CD"/>
    <w:rsid w:val="009A2C72"/>
    <w:rsid w:val="009A430B"/>
    <w:rsid w:val="009A545C"/>
    <w:rsid w:val="009A5B86"/>
    <w:rsid w:val="009A5BD4"/>
    <w:rsid w:val="009A6D06"/>
    <w:rsid w:val="009B1574"/>
    <w:rsid w:val="009B18AB"/>
    <w:rsid w:val="009B1E01"/>
    <w:rsid w:val="009B2FEE"/>
    <w:rsid w:val="009B30FF"/>
    <w:rsid w:val="009B345D"/>
    <w:rsid w:val="009B488D"/>
    <w:rsid w:val="009B56C2"/>
    <w:rsid w:val="009B5A5A"/>
    <w:rsid w:val="009B5E9C"/>
    <w:rsid w:val="009B6237"/>
    <w:rsid w:val="009B6517"/>
    <w:rsid w:val="009B75B0"/>
    <w:rsid w:val="009B77C3"/>
    <w:rsid w:val="009C0268"/>
    <w:rsid w:val="009C171C"/>
    <w:rsid w:val="009C1728"/>
    <w:rsid w:val="009C1E36"/>
    <w:rsid w:val="009C210C"/>
    <w:rsid w:val="009C2898"/>
    <w:rsid w:val="009C3B6E"/>
    <w:rsid w:val="009C3E4A"/>
    <w:rsid w:val="009C554F"/>
    <w:rsid w:val="009C5744"/>
    <w:rsid w:val="009C57AF"/>
    <w:rsid w:val="009C6A3A"/>
    <w:rsid w:val="009C7C84"/>
    <w:rsid w:val="009C7E90"/>
    <w:rsid w:val="009D080E"/>
    <w:rsid w:val="009D087A"/>
    <w:rsid w:val="009D1F54"/>
    <w:rsid w:val="009D20AA"/>
    <w:rsid w:val="009D2883"/>
    <w:rsid w:val="009D30EA"/>
    <w:rsid w:val="009D38DC"/>
    <w:rsid w:val="009D3B97"/>
    <w:rsid w:val="009D5583"/>
    <w:rsid w:val="009D5D18"/>
    <w:rsid w:val="009D60CE"/>
    <w:rsid w:val="009D6D75"/>
    <w:rsid w:val="009D7066"/>
    <w:rsid w:val="009D76C4"/>
    <w:rsid w:val="009D793E"/>
    <w:rsid w:val="009E18A2"/>
    <w:rsid w:val="009E354F"/>
    <w:rsid w:val="009E5986"/>
    <w:rsid w:val="009E711F"/>
    <w:rsid w:val="009F0D2B"/>
    <w:rsid w:val="009F0F06"/>
    <w:rsid w:val="009F17AC"/>
    <w:rsid w:val="009F28AE"/>
    <w:rsid w:val="009F3BF9"/>
    <w:rsid w:val="009F518E"/>
    <w:rsid w:val="009F525B"/>
    <w:rsid w:val="009F542A"/>
    <w:rsid w:val="009F5A30"/>
    <w:rsid w:val="009F5D6E"/>
    <w:rsid w:val="00A01081"/>
    <w:rsid w:val="00A0340E"/>
    <w:rsid w:val="00A03CDE"/>
    <w:rsid w:val="00A0515B"/>
    <w:rsid w:val="00A05A23"/>
    <w:rsid w:val="00A06230"/>
    <w:rsid w:val="00A0750E"/>
    <w:rsid w:val="00A10099"/>
    <w:rsid w:val="00A102B9"/>
    <w:rsid w:val="00A121C9"/>
    <w:rsid w:val="00A12349"/>
    <w:rsid w:val="00A13DFA"/>
    <w:rsid w:val="00A20114"/>
    <w:rsid w:val="00A21490"/>
    <w:rsid w:val="00A22E69"/>
    <w:rsid w:val="00A231A0"/>
    <w:rsid w:val="00A24D20"/>
    <w:rsid w:val="00A257CF"/>
    <w:rsid w:val="00A2607E"/>
    <w:rsid w:val="00A264C0"/>
    <w:rsid w:val="00A26889"/>
    <w:rsid w:val="00A26DC1"/>
    <w:rsid w:val="00A27149"/>
    <w:rsid w:val="00A27BB7"/>
    <w:rsid w:val="00A30C31"/>
    <w:rsid w:val="00A310B7"/>
    <w:rsid w:val="00A32047"/>
    <w:rsid w:val="00A32775"/>
    <w:rsid w:val="00A3386F"/>
    <w:rsid w:val="00A35CAB"/>
    <w:rsid w:val="00A36E31"/>
    <w:rsid w:val="00A36FBE"/>
    <w:rsid w:val="00A37295"/>
    <w:rsid w:val="00A37BBC"/>
    <w:rsid w:val="00A40BB9"/>
    <w:rsid w:val="00A41B36"/>
    <w:rsid w:val="00A429E9"/>
    <w:rsid w:val="00A42B63"/>
    <w:rsid w:val="00A43C62"/>
    <w:rsid w:val="00A45685"/>
    <w:rsid w:val="00A461C5"/>
    <w:rsid w:val="00A46F00"/>
    <w:rsid w:val="00A47941"/>
    <w:rsid w:val="00A564C3"/>
    <w:rsid w:val="00A56C56"/>
    <w:rsid w:val="00A5795B"/>
    <w:rsid w:val="00A606CA"/>
    <w:rsid w:val="00A607EB"/>
    <w:rsid w:val="00A60ACC"/>
    <w:rsid w:val="00A6149B"/>
    <w:rsid w:val="00A61AE3"/>
    <w:rsid w:val="00A61E08"/>
    <w:rsid w:val="00A61E26"/>
    <w:rsid w:val="00A63907"/>
    <w:rsid w:val="00A64F16"/>
    <w:rsid w:val="00A65743"/>
    <w:rsid w:val="00A66E3A"/>
    <w:rsid w:val="00A67AF8"/>
    <w:rsid w:val="00A7030C"/>
    <w:rsid w:val="00A706FF"/>
    <w:rsid w:val="00A70789"/>
    <w:rsid w:val="00A71649"/>
    <w:rsid w:val="00A72ADC"/>
    <w:rsid w:val="00A7368D"/>
    <w:rsid w:val="00A7471E"/>
    <w:rsid w:val="00A76E20"/>
    <w:rsid w:val="00A770EC"/>
    <w:rsid w:val="00A77FDE"/>
    <w:rsid w:val="00A81696"/>
    <w:rsid w:val="00A834FE"/>
    <w:rsid w:val="00A83FB3"/>
    <w:rsid w:val="00A841B3"/>
    <w:rsid w:val="00A84212"/>
    <w:rsid w:val="00A84B5B"/>
    <w:rsid w:val="00A86F9C"/>
    <w:rsid w:val="00A87EED"/>
    <w:rsid w:val="00A92A06"/>
    <w:rsid w:val="00A92C2A"/>
    <w:rsid w:val="00A93154"/>
    <w:rsid w:val="00A945FD"/>
    <w:rsid w:val="00A95072"/>
    <w:rsid w:val="00A95568"/>
    <w:rsid w:val="00A969F3"/>
    <w:rsid w:val="00AA06D8"/>
    <w:rsid w:val="00AA0EC6"/>
    <w:rsid w:val="00AA1000"/>
    <w:rsid w:val="00AA1291"/>
    <w:rsid w:val="00AA1703"/>
    <w:rsid w:val="00AA1789"/>
    <w:rsid w:val="00AA1807"/>
    <w:rsid w:val="00AA1904"/>
    <w:rsid w:val="00AA21A2"/>
    <w:rsid w:val="00AA2536"/>
    <w:rsid w:val="00AA346A"/>
    <w:rsid w:val="00AA4251"/>
    <w:rsid w:val="00AA5DAB"/>
    <w:rsid w:val="00AA727E"/>
    <w:rsid w:val="00AA7486"/>
    <w:rsid w:val="00AB01AE"/>
    <w:rsid w:val="00AB0640"/>
    <w:rsid w:val="00AB1355"/>
    <w:rsid w:val="00AB1B8C"/>
    <w:rsid w:val="00AB1E06"/>
    <w:rsid w:val="00AB3527"/>
    <w:rsid w:val="00AB4293"/>
    <w:rsid w:val="00AB4307"/>
    <w:rsid w:val="00AB4939"/>
    <w:rsid w:val="00AB4CE4"/>
    <w:rsid w:val="00AB61E4"/>
    <w:rsid w:val="00AB7BAD"/>
    <w:rsid w:val="00AC0771"/>
    <w:rsid w:val="00AC097C"/>
    <w:rsid w:val="00AC2CCD"/>
    <w:rsid w:val="00AC3084"/>
    <w:rsid w:val="00AC5CA9"/>
    <w:rsid w:val="00AC6593"/>
    <w:rsid w:val="00AC6951"/>
    <w:rsid w:val="00AC762A"/>
    <w:rsid w:val="00AD009A"/>
    <w:rsid w:val="00AD0F83"/>
    <w:rsid w:val="00AD2975"/>
    <w:rsid w:val="00AD2F7D"/>
    <w:rsid w:val="00AD3DA9"/>
    <w:rsid w:val="00AD3E07"/>
    <w:rsid w:val="00AD42C3"/>
    <w:rsid w:val="00AD4DDE"/>
    <w:rsid w:val="00AD6046"/>
    <w:rsid w:val="00AD6594"/>
    <w:rsid w:val="00AE07E7"/>
    <w:rsid w:val="00AE0CD6"/>
    <w:rsid w:val="00AE1A59"/>
    <w:rsid w:val="00AE2D24"/>
    <w:rsid w:val="00AE4BB5"/>
    <w:rsid w:val="00AE73BD"/>
    <w:rsid w:val="00AF1343"/>
    <w:rsid w:val="00AF158B"/>
    <w:rsid w:val="00AF213B"/>
    <w:rsid w:val="00AF2779"/>
    <w:rsid w:val="00AF36EC"/>
    <w:rsid w:val="00AF4DE9"/>
    <w:rsid w:val="00AF7239"/>
    <w:rsid w:val="00AF7BBD"/>
    <w:rsid w:val="00B00D55"/>
    <w:rsid w:val="00B019C9"/>
    <w:rsid w:val="00B01FE7"/>
    <w:rsid w:val="00B02068"/>
    <w:rsid w:val="00B02848"/>
    <w:rsid w:val="00B063DA"/>
    <w:rsid w:val="00B071B8"/>
    <w:rsid w:val="00B10215"/>
    <w:rsid w:val="00B10D34"/>
    <w:rsid w:val="00B118B0"/>
    <w:rsid w:val="00B12443"/>
    <w:rsid w:val="00B13C09"/>
    <w:rsid w:val="00B1510A"/>
    <w:rsid w:val="00B15394"/>
    <w:rsid w:val="00B15797"/>
    <w:rsid w:val="00B1611E"/>
    <w:rsid w:val="00B16C50"/>
    <w:rsid w:val="00B175F8"/>
    <w:rsid w:val="00B22723"/>
    <w:rsid w:val="00B22E8C"/>
    <w:rsid w:val="00B23658"/>
    <w:rsid w:val="00B23D0F"/>
    <w:rsid w:val="00B302F9"/>
    <w:rsid w:val="00B305E3"/>
    <w:rsid w:val="00B30959"/>
    <w:rsid w:val="00B31D81"/>
    <w:rsid w:val="00B32E37"/>
    <w:rsid w:val="00B3315E"/>
    <w:rsid w:val="00B33624"/>
    <w:rsid w:val="00B3429B"/>
    <w:rsid w:val="00B37880"/>
    <w:rsid w:val="00B37937"/>
    <w:rsid w:val="00B42048"/>
    <w:rsid w:val="00B4305D"/>
    <w:rsid w:val="00B43511"/>
    <w:rsid w:val="00B440FE"/>
    <w:rsid w:val="00B44419"/>
    <w:rsid w:val="00B455E6"/>
    <w:rsid w:val="00B47561"/>
    <w:rsid w:val="00B506FB"/>
    <w:rsid w:val="00B517A4"/>
    <w:rsid w:val="00B52B42"/>
    <w:rsid w:val="00B53E63"/>
    <w:rsid w:val="00B60240"/>
    <w:rsid w:val="00B604C5"/>
    <w:rsid w:val="00B63036"/>
    <w:rsid w:val="00B6524D"/>
    <w:rsid w:val="00B65598"/>
    <w:rsid w:val="00B6699E"/>
    <w:rsid w:val="00B7047B"/>
    <w:rsid w:val="00B709A2"/>
    <w:rsid w:val="00B70A8B"/>
    <w:rsid w:val="00B70C48"/>
    <w:rsid w:val="00B73014"/>
    <w:rsid w:val="00B73725"/>
    <w:rsid w:val="00B74867"/>
    <w:rsid w:val="00B75259"/>
    <w:rsid w:val="00B75EA3"/>
    <w:rsid w:val="00B76C9B"/>
    <w:rsid w:val="00B80335"/>
    <w:rsid w:val="00B8096C"/>
    <w:rsid w:val="00B81283"/>
    <w:rsid w:val="00B81E04"/>
    <w:rsid w:val="00B82D75"/>
    <w:rsid w:val="00B82E91"/>
    <w:rsid w:val="00B8426A"/>
    <w:rsid w:val="00B85AEE"/>
    <w:rsid w:val="00B8611B"/>
    <w:rsid w:val="00B87CD5"/>
    <w:rsid w:val="00B87F3D"/>
    <w:rsid w:val="00B90857"/>
    <w:rsid w:val="00B90E7A"/>
    <w:rsid w:val="00B92E47"/>
    <w:rsid w:val="00B93C2B"/>
    <w:rsid w:val="00B956FD"/>
    <w:rsid w:val="00B95F17"/>
    <w:rsid w:val="00BA157E"/>
    <w:rsid w:val="00BA1EDD"/>
    <w:rsid w:val="00BA21CD"/>
    <w:rsid w:val="00BA3705"/>
    <w:rsid w:val="00BA41C7"/>
    <w:rsid w:val="00BA4BB8"/>
    <w:rsid w:val="00BA54B3"/>
    <w:rsid w:val="00BA56C1"/>
    <w:rsid w:val="00BA618B"/>
    <w:rsid w:val="00BA6524"/>
    <w:rsid w:val="00BA6892"/>
    <w:rsid w:val="00BA777E"/>
    <w:rsid w:val="00BA785F"/>
    <w:rsid w:val="00BA7A6D"/>
    <w:rsid w:val="00BB0211"/>
    <w:rsid w:val="00BB03D1"/>
    <w:rsid w:val="00BB14C3"/>
    <w:rsid w:val="00BB195F"/>
    <w:rsid w:val="00BB40E7"/>
    <w:rsid w:val="00BB6F7C"/>
    <w:rsid w:val="00BB7878"/>
    <w:rsid w:val="00BB7928"/>
    <w:rsid w:val="00BC287B"/>
    <w:rsid w:val="00BC2C6F"/>
    <w:rsid w:val="00BC3176"/>
    <w:rsid w:val="00BC3C20"/>
    <w:rsid w:val="00BC4AD4"/>
    <w:rsid w:val="00BC4EBA"/>
    <w:rsid w:val="00BC643F"/>
    <w:rsid w:val="00BC6AB9"/>
    <w:rsid w:val="00BC6FF6"/>
    <w:rsid w:val="00BC75ED"/>
    <w:rsid w:val="00BD0A27"/>
    <w:rsid w:val="00BD2127"/>
    <w:rsid w:val="00BD40CB"/>
    <w:rsid w:val="00BD5AB4"/>
    <w:rsid w:val="00BD7604"/>
    <w:rsid w:val="00BD7F12"/>
    <w:rsid w:val="00BE1D3B"/>
    <w:rsid w:val="00BE2789"/>
    <w:rsid w:val="00BE385A"/>
    <w:rsid w:val="00BE4159"/>
    <w:rsid w:val="00BE44E9"/>
    <w:rsid w:val="00BE5ED5"/>
    <w:rsid w:val="00BE6192"/>
    <w:rsid w:val="00BE6F7D"/>
    <w:rsid w:val="00BE76C4"/>
    <w:rsid w:val="00BE795B"/>
    <w:rsid w:val="00BE7C09"/>
    <w:rsid w:val="00BF03D4"/>
    <w:rsid w:val="00BF2514"/>
    <w:rsid w:val="00BF3012"/>
    <w:rsid w:val="00BF39CD"/>
    <w:rsid w:val="00BF5796"/>
    <w:rsid w:val="00BF674F"/>
    <w:rsid w:val="00BF7FDC"/>
    <w:rsid w:val="00C01084"/>
    <w:rsid w:val="00C02482"/>
    <w:rsid w:val="00C024E4"/>
    <w:rsid w:val="00C02A66"/>
    <w:rsid w:val="00C033DA"/>
    <w:rsid w:val="00C03EF8"/>
    <w:rsid w:val="00C04827"/>
    <w:rsid w:val="00C04D2C"/>
    <w:rsid w:val="00C04E60"/>
    <w:rsid w:val="00C059C9"/>
    <w:rsid w:val="00C06192"/>
    <w:rsid w:val="00C06F1F"/>
    <w:rsid w:val="00C06F3C"/>
    <w:rsid w:val="00C110EC"/>
    <w:rsid w:val="00C11B88"/>
    <w:rsid w:val="00C1216B"/>
    <w:rsid w:val="00C1252D"/>
    <w:rsid w:val="00C14B23"/>
    <w:rsid w:val="00C14DEC"/>
    <w:rsid w:val="00C15704"/>
    <w:rsid w:val="00C17B81"/>
    <w:rsid w:val="00C21381"/>
    <w:rsid w:val="00C2227D"/>
    <w:rsid w:val="00C2581B"/>
    <w:rsid w:val="00C26170"/>
    <w:rsid w:val="00C2756C"/>
    <w:rsid w:val="00C326DF"/>
    <w:rsid w:val="00C33917"/>
    <w:rsid w:val="00C352B1"/>
    <w:rsid w:val="00C3598C"/>
    <w:rsid w:val="00C35FCB"/>
    <w:rsid w:val="00C36088"/>
    <w:rsid w:val="00C37995"/>
    <w:rsid w:val="00C40499"/>
    <w:rsid w:val="00C40AE0"/>
    <w:rsid w:val="00C41C7C"/>
    <w:rsid w:val="00C41E73"/>
    <w:rsid w:val="00C438C4"/>
    <w:rsid w:val="00C43969"/>
    <w:rsid w:val="00C445F3"/>
    <w:rsid w:val="00C45327"/>
    <w:rsid w:val="00C45BCF"/>
    <w:rsid w:val="00C45D5C"/>
    <w:rsid w:val="00C46DA2"/>
    <w:rsid w:val="00C471AA"/>
    <w:rsid w:val="00C471CE"/>
    <w:rsid w:val="00C501AE"/>
    <w:rsid w:val="00C5042B"/>
    <w:rsid w:val="00C5072E"/>
    <w:rsid w:val="00C50B93"/>
    <w:rsid w:val="00C5164D"/>
    <w:rsid w:val="00C52588"/>
    <w:rsid w:val="00C52645"/>
    <w:rsid w:val="00C52AF3"/>
    <w:rsid w:val="00C53251"/>
    <w:rsid w:val="00C540B0"/>
    <w:rsid w:val="00C579CC"/>
    <w:rsid w:val="00C60295"/>
    <w:rsid w:val="00C6088F"/>
    <w:rsid w:val="00C61936"/>
    <w:rsid w:val="00C61BC7"/>
    <w:rsid w:val="00C62DE3"/>
    <w:rsid w:val="00C63556"/>
    <w:rsid w:val="00C6389D"/>
    <w:rsid w:val="00C63D35"/>
    <w:rsid w:val="00C654BB"/>
    <w:rsid w:val="00C655C8"/>
    <w:rsid w:val="00C65AC8"/>
    <w:rsid w:val="00C6679A"/>
    <w:rsid w:val="00C66CEA"/>
    <w:rsid w:val="00C67266"/>
    <w:rsid w:val="00C71E83"/>
    <w:rsid w:val="00C74F1D"/>
    <w:rsid w:val="00C758D5"/>
    <w:rsid w:val="00C763A3"/>
    <w:rsid w:val="00C7650C"/>
    <w:rsid w:val="00C80F19"/>
    <w:rsid w:val="00C80F2A"/>
    <w:rsid w:val="00C81C37"/>
    <w:rsid w:val="00C823A5"/>
    <w:rsid w:val="00C8250E"/>
    <w:rsid w:val="00C84342"/>
    <w:rsid w:val="00C85FCD"/>
    <w:rsid w:val="00C8762E"/>
    <w:rsid w:val="00C90200"/>
    <w:rsid w:val="00C912CA"/>
    <w:rsid w:val="00C921C8"/>
    <w:rsid w:val="00C9464B"/>
    <w:rsid w:val="00C948D8"/>
    <w:rsid w:val="00C95DFA"/>
    <w:rsid w:val="00C97ABA"/>
    <w:rsid w:val="00C97FEA"/>
    <w:rsid w:val="00CA01B5"/>
    <w:rsid w:val="00CA0E5A"/>
    <w:rsid w:val="00CA209B"/>
    <w:rsid w:val="00CA345E"/>
    <w:rsid w:val="00CA465D"/>
    <w:rsid w:val="00CA6E98"/>
    <w:rsid w:val="00CA753C"/>
    <w:rsid w:val="00CB06B3"/>
    <w:rsid w:val="00CB0850"/>
    <w:rsid w:val="00CB12A0"/>
    <w:rsid w:val="00CB1904"/>
    <w:rsid w:val="00CB191A"/>
    <w:rsid w:val="00CB75BF"/>
    <w:rsid w:val="00CC0841"/>
    <w:rsid w:val="00CC3195"/>
    <w:rsid w:val="00CC516E"/>
    <w:rsid w:val="00CC5609"/>
    <w:rsid w:val="00CC6C89"/>
    <w:rsid w:val="00CD224B"/>
    <w:rsid w:val="00CD2445"/>
    <w:rsid w:val="00CD3078"/>
    <w:rsid w:val="00CD3313"/>
    <w:rsid w:val="00CD376C"/>
    <w:rsid w:val="00CE003C"/>
    <w:rsid w:val="00CE094B"/>
    <w:rsid w:val="00CE261B"/>
    <w:rsid w:val="00CE2EF1"/>
    <w:rsid w:val="00CE2FAA"/>
    <w:rsid w:val="00CE3665"/>
    <w:rsid w:val="00CE392E"/>
    <w:rsid w:val="00CE518D"/>
    <w:rsid w:val="00CE583D"/>
    <w:rsid w:val="00CE58B0"/>
    <w:rsid w:val="00CE58F3"/>
    <w:rsid w:val="00CE5DD2"/>
    <w:rsid w:val="00CE7FBD"/>
    <w:rsid w:val="00CF0F68"/>
    <w:rsid w:val="00CF1434"/>
    <w:rsid w:val="00CF3114"/>
    <w:rsid w:val="00CF3C03"/>
    <w:rsid w:val="00CF4971"/>
    <w:rsid w:val="00CF595C"/>
    <w:rsid w:val="00CF6330"/>
    <w:rsid w:val="00CF7B24"/>
    <w:rsid w:val="00D0080F"/>
    <w:rsid w:val="00D010A8"/>
    <w:rsid w:val="00D01614"/>
    <w:rsid w:val="00D01900"/>
    <w:rsid w:val="00D0268D"/>
    <w:rsid w:val="00D03440"/>
    <w:rsid w:val="00D03D06"/>
    <w:rsid w:val="00D04690"/>
    <w:rsid w:val="00D04B7C"/>
    <w:rsid w:val="00D07159"/>
    <w:rsid w:val="00D10774"/>
    <w:rsid w:val="00D12230"/>
    <w:rsid w:val="00D12341"/>
    <w:rsid w:val="00D13F52"/>
    <w:rsid w:val="00D16037"/>
    <w:rsid w:val="00D161B8"/>
    <w:rsid w:val="00D161C7"/>
    <w:rsid w:val="00D17E49"/>
    <w:rsid w:val="00D21BA5"/>
    <w:rsid w:val="00D21DE3"/>
    <w:rsid w:val="00D23879"/>
    <w:rsid w:val="00D23F3F"/>
    <w:rsid w:val="00D25117"/>
    <w:rsid w:val="00D25822"/>
    <w:rsid w:val="00D260B4"/>
    <w:rsid w:val="00D26F56"/>
    <w:rsid w:val="00D30636"/>
    <w:rsid w:val="00D31E2D"/>
    <w:rsid w:val="00D328F1"/>
    <w:rsid w:val="00D329C5"/>
    <w:rsid w:val="00D3367A"/>
    <w:rsid w:val="00D347EE"/>
    <w:rsid w:val="00D3551F"/>
    <w:rsid w:val="00D3562F"/>
    <w:rsid w:val="00D35BEA"/>
    <w:rsid w:val="00D36842"/>
    <w:rsid w:val="00D373A9"/>
    <w:rsid w:val="00D402A6"/>
    <w:rsid w:val="00D4044A"/>
    <w:rsid w:val="00D40523"/>
    <w:rsid w:val="00D41CDC"/>
    <w:rsid w:val="00D4292B"/>
    <w:rsid w:val="00D429D6"/>
    <w:rsid w:val="00D43CB5"/>
    <w:rsid w:val="00D443A8"/>
    <w:rsid w:val="00D4542C"/>
    <w:rsid w:val="00D4546A"/>
    <w:rsid w:val="00D463F1"/>
    <w:rsid w:val="00D46949"/>
    <w:rsid w:val="00D4760B"/>
    <w:rsid w:val="00D47EFC"/>
    <w:rsid w:val="00D47F00"/>
    <w:rsid w:val="00D50204"/>
    <w:rsid w:val="00D5311E"/>
    <w:rsid w:val="00D532D1"/>
    <w:rsid w:val="00D54061"/>
    <w:rsid w:val="00D54329"/>
    <w:rsid w:val="00D55152"/>
    <w:rsid w:val="00D55E21"/>
    <w:rsid w:val="00D5621D"/>
    <w:rsid w:val="00D56A25"/>
    <w:rsid w:val="00D577DE"/>
    <w:rsid w:val="00D57A00"/>
    <w:rsid w:val="00D57BAF"/>
    <w:rsid w:val="00D57E8D"/>
    <w:rsid w:val="00D60242"/>
    <w:rsid w:val="00D61971"/>
    <w:rsid w:val="00D61CA8"/>
    <w:rsid w:val="00D62B59"/>
    <w:rsid w:val="00D62F9B"/>
    <w:rsid w:val="00D63EA0"/>
    <w:rsid w:val="00D64BD9"/>
    <w:rsid w:val="00D64CDB"/>
    <w:rsid w:val="00D65259"/>
    <w:rsid w:val="00D6535E"/>
    <w:rsid w:val="00D659D5"/>
    <w:rsid w:val="00D66625"/>
    <w:rsid w:val="00D708F6"/>
    <w:rsid w:val="00D70BED"/>
    <w:rsid w:val="00D7213B"/>
    <w:rsid w:val="00D730C7"/>
    <w:rsid w:val="00D738B8"/>
    <w:rsid w:val="00D73ABB"/>
    <w:rsid w:val="00D746A6"/>
    <w:rsid w:val="00D74A55"/>
    <w:rsid w:val="00D74F47"/>
    <w:rsid w:val="00D75228"/>
    <w:rsid w:val="00D76674"/>
    <w:rsid w:val="00D76F54"/>
    <w:rsid w:val="00D77AC8"/>
    <w:rsid w:val="00D77F6F"/>
    <w:rsid w:val="00D81036"/>
    <w:rsid w:val="00D82DD3"/>
    <w:rsid w:val="00D82F92"/>
    <w:rsid w:val="00D86398"/>
    <w:rsid w:val="00D86638"/>
    <w:rsid w:val="00D8733D"/>
    <w:rsid w:val="00D87CA6"/>
    <w:rsid w:val="00D87DF7"/>
    <w:rsid w:val="00D90373"/>
    <w:rsid w:val="00D90D17"/>
    <w:rsid w:val="00D92343"/>
    <w:rsid w:val="00D93BAB"/>
    <w:rsid w:val="00D941E4"/>
    <w:rsid w:val="00D957CA"/>
    <w:rsid w:val="00D958E8"/>
    <w:rsid w:val="00D95AD5"/>
    <w:rsid w:val="00D969F9"/>
    <w:rsid w:val="00D96AE3"/>
    <w:rsid w:val="00DA019A"/>
    <w:rsid w:val="00DA0E19"/>
    <w:rsid w:val="00DA1F88"/>
    <w:rsid w:val="00DA4A1A"/>
    <w:rsid w:val="00DA5239"/>
    <w:rsid w:val="00DA5FEF"/>
    <w:rsid w:val="00DA67CF"/>
    <w:rsid w:val="00DA7087"/>
    <w:rsid w:val="00DA7671"/>
    <w:rsid w:val="00DB0067"/>
    <w:rsid w:val="00DB05B6"/>
    <w:rsid w:val="00DB0613"/>
    <w:rsid w:val="00DB0987"/>
    <w:rsid w:val="00DB2DC1"/>
    <w:rsid w:val="00DB3D98"/>
    <w:rsid w:val="00DB449B"/>
    <w:rsid w:val="00DB4570"/>
    <w:rsid w:val="00DB4EEE"/>
    <w:rsid w:val="00DB55A1"/>
    <w:rsid w:val="00DB5F47"/>
    <w:rsid w:val="00DB6AD5"/>
    <w:rsid w:val="00DB7084"/>
    <w:rsid w:val="00DC14C5"/>
    <w:rsid w:val="00DC23CA"/>
    <w:rsid w:val="00DC2911"/>
    <w:rsid w:val="00DC48B6"/>
    <w:rsid w:val="00DC51B4"/>
    <w:rsid w:val="00DC5228"/>
    <w:rsid w:val="00DC541E"/>
    <w:rsid w:val="00DC6133"/>
    <w:rsid w:val="00DC6D0E"/>
    <w:rsid w:val="00DC6ECE"/>
    <w:rsid w:val="00DC7ACF"/>
    <w:rsid w:val="00DC7D93"/>
    <w:rsid w:val="00DD108C"/>
    <w:rsid w:val="00DD16E3"/>
    <w:rsid w:val="00DD4277"/>
    <w:rsid w:val="00DD450C"/>
    <w:rsid w:val="00DD47D7"/>
    <w:rsid w:val="00DD53A7"/>
    <w:rsid w:val="00DD64FD"/>
    <w:rsid w:val="00DD722A"/>
    <w:rsid w:val="00DE232E"/>
    <w:rsid w:val="00DE4106"/>
    <w:rsid w:val="00DE4259"/>
    <w:rsid w:val="00DE4731"/>
    <w:rsid w:val="00DE5A42"/>
    <w:rsid w:val="00DE6E0D"/>
    <w:rsid w:val="00DF01D3"/>
    <w:rsid w:val="00DF066B"/>
    <w:rsid w:val="00DF11EF"/>
    <w:rsid w:val="00DF3223"/>
    <w:rsid w:val="00DF6136"/>
    <w:rsid w:val="00DF77E6"/>
    <w:rsid w:val="00DF7AD7"/>
    <w:rsid w:val="00DF7CC5"/>
    <w:rsid w:val="00E003A0"/>
    <w:rsid w:val="00E004F1"/>
    <w:rsid w:val="00E00F99"/>
    <w:rsid w:val="00E01CE8"/>
    <w:rsid w:val="00E02A00"/>
    <w:rsid w:val="00E030E2"/>
    <w:rsid w:val="00E03644"/>
    <w:rsid w:val="00E03DDF"/>
    <w:rsid w:val="00E04DBB"/>
    <w:rsid w:val="00E06A39"/>
    <w:rsid w:val="00E07917"/>
    <w:rsid w:val="00E07A91"/>
    <w:rsid w:val="00E127D9"/>
    <w:rsid w:val="00E12C69"/>
    <w:rsid w:val="00E12E06"/>
    <w:rsid w:val="00E14CBF"/>
    <w:rsid w:val="00E14EBC"/>
    <w:rsid w:val="00E14F97"/>
    <w:rsid w:val="00E15595"/>
    <w:rsid w:val="00E16124"/>
    <w:rsid w:val="00E1644F"/>
    <w:rsid w:val="00E172BF"/>
    <w:rsid w:val="00E17AEB"/>
    <w:rsid w:val="00E17E93"/>
    <w:rsid w:val="00E21259"/>
    <w:rsid w:val="00E212AE"/>
    <w:rsid w:val="00E21BA4"/>
    <w:rsid w:val="00E21D6F"/>
    <w:rsid w:val="00E22166"/>
    <w:rsid w:val="00E23E5F"/>
    <w:rsid w:val="00E24767"/>
    <w:rsid w:val="00E24B25"/>
    <w:rsid w:val="00E25760"/>
    <w:rsid w:val="00E25904"/>
    <w:rsid w:val="00E25B27"/>
    <w:rsid w:val="00E25DF3"/>
    <w:rsid w:val="00E25F97"/>
    <w:rsid w:val="00E26DA1"/>
    <w:rsid w:val="00E27147"/>
    <w:rsid w:val="00E27308"/>
    <w:rsid w:val="00E311A6"/>
    <w:rsid w:val="00E31EE5"/>
    <w:rsid w:val="00E336C4"/>
    <w:rsid w:val="00E3379C"/>
    <w:rsid w:val="00E3725E"/>
    <w:rsid w:val="00E37770"/>
    <w:rsid w:val="00E37864"/>
    <w:rsid w:val="00E37999"/>
    <w:rsid w:val="00E40BA3"/>
    <w:rsid w:val="00E41388"/>
    <w:rsid w:val="00E417D2"/>
    <w:rsid w:val="00E42241"/>
    <w:rsid w:val="00E4274E"/>
    <w:rsid w:val="00E42C55"/>
    <w:rsid w:val="00E430DA"/>
    <w:rsid w:val="00E43908"/>
    <w:rsid w:val="00E44232"/>
    <w:rsid w:val="00E45428"/>
    <w:rsid w:val="00E45F90"/>
    <w:rsid w:val="00E51FF9"/>
    <w:rsid w:val="00E536C7"/>
    <w:rsid w:val="00E556EB"/>
    <w:rsid w:val="00E55749"/>
    <w:rsid w:val="00E57083"/>
    <w:rsid w:val="00E576BE"/>
    <w:rsid w:val="00E57E21"/>
    <w:rsid w:val="00E60262"/>
    <w:rsid w:val="00E61CFF"/>
    <w:rsid w:val="00E6485D"/>
    <w:rsid w:val="00E66071"/>
    <w:rsid w:val="00E664EB"/>
    <w:rsid w:val="00E67737"/>
    <w:rsid w:val="00E67856"/>
    <w:rsid w:val="00E67EB4"/>
    <w:rsid w:val="00E70BC5"/>
    <w:rsid w:val="00E72845"/>
    <w:rsid w:val="00E72B9A"/>
    <w:rsid w:val="00E73D5F"/>
    <w:rsid w:val="00E74905"/>
    <w:rsid w:val="00E756EB"/>
    <w:rsid w:val="00E76570"/>
    <w:rsid w:val="00E775A7"/>
    <w:rsid w:val="00E77D0F"/>
    <w:rsid w:val="00E80195"/>
    <w:rsid w:val="00E802EF"/>
    <w:rsid w:val="00E812B9"/>
    <w:rsid w:val="00E8194B"/>
    <w:rsid w:val="00E81C29"/>
    <w:rsid w:val="00E82A5B"/>
    <w:rsid w:val="00E831B4"/>
    <w:rsid w:val="00E83FF8"/>
    <w:rsid w:val="00E84EAC"/>
    <w:rsid w:val="00E85529"/>
    <w:rsid w:val="00E865DF"/>
    <w:rsid w:val="00E87D4D"/>
    <w:rsid w:val="00E916C9"/>
    <w:rsid w:val="00E91843"/>
    <w:rsid w:val="00E923BA"/>
    <w:rsid w:val="00E926E1"/>
    <w:rsid w:val="00E93C5C"/>
    <w:rsid w:val="00E948E6"/>
    <w:rsid w:val="00E94DA2"/>
    <w:rsid w:val="00E94DFB"/>
    <w:rsid w:val="00E9612F"/>
    <w:rsid w:val="00E9627A"/>
    <w:rsid w:val="00E977F5"/>
    <w:rsid w:val="00E97F94"/>
    <w:rsid w:val="00EA074D"/>
    <w:rsid w:val="00EA1304"/>
    <w:rsid w:val="00EA2557"/>
    <w:rsid w:val="00EA449F"/>
    <w:rsid w:val="00EA4B8B"/>
    <w:rsid w:val="00EA4DB8"/>
    <w:rsid w:val="00EA4EF4"/>
    <w:rsid w:val="00EA531B"/>
    <w:rsid w:val="00EA5587"/>
    <w:rsid w:val="00EA7552"/>
    <w:rsid w:val="00EB0301"/>
    <w:rsid w:val="00EB0B39"/>
    <w:rsid w:val="00EB1C3C"/>
    <w:rsid w:val="00EB2D88"/>
    <w:rsid w:val="00EB30AF"/>
    <w:rsid w:val="00EB49B1"/>
    <w:rsid w:val="00EB51CD"/>
    <w:rsid w:val="00EB599F"/>
    <w:rsid w:val="00EC0FC7"/>
    <w:rsid w:val="00EC13B1"/>
    <w:rsid w:val="00EC2534"/>
    <w:rsid w:val="00EC35C8"/>
    <w:rsid w:val="00EC3781"/>
    <w:rsid w:val="00EC3E28"/>
    <w:rsid w:val="00EC438C"/>
    <w:rsid w:val="00EC4E72"/>
    <w:rsid w:val="00EC5555"/>
    <w:rsid w:val="00EC5977"/>
    <w:rsid w:val="00EC5BCB"/>
    <w:rsid w:val="00EC7B8A"/>
    <w:rsid w:val="00EC7FA4"/>
    <w:rsid w:val="00ED0B4B"/>
    <w:rsid w:val="00ED0E02"/>
    <w:rsid w:val="00ED1B20"/>
    <w:rsid w:val="00ED2346"/>
    <w:rsid w:val="00ED418E"/>
    <w:rsid w:val="00ED5659"/>
    <w:rsid w:val="00ED5D03"/>
    <w:rsid w:val="00EE151A"/>
    <w:rsid w:val="00EE1EF6"/>
    <w:rsid w:val="00EE20E0"/>
    <w:rsid w:val="00EE3199"/>
    <w:rsid w:val="00EE3EDF"/>
    <w:rsid w:val="00EE42DE"/>
    <w:rsid w:val="00EE4BD0"/>
    <w:rsid w:val="00EE7554"/>
    <w:rsid w:val="00EE7808"/>
    <w:rsid w:val="00EF1DC4"/>
    <w:rsid w:val="00EF37B4"/>
    <w:rsid w:val="00EF4BE5"/>
    <w:rsid w:val="00EF6DF4"/>
    <w:rsid w:val="00EF76E7"/>
    <w:rsid w:val="00F00C55"/>
    <w:rsid w:val="00F01E74"/>
    <w:rsid w:val="00F04763"/>
    <w:rsid w:val="00F067BF"/>
    <w:rsid w:val="00F070B4"/>
    <w:rsid w:val="00F07371"/>
    <w:rsid w:val="00F10172"/>
    <w:rsid w:val="00F10C78"/>
    <w:rsid w:val="00F11FE4"/>
    <w:rsid w:val="00F12140"/>
    <w:rsid w:val="00F123BF"/>
    <w:rsid w:val="00F12700"/>
    <w:rsid w:val="00F131A3"/>
    <w:rsid w:val="00F1328B"/>
    <w:rsid w:val="00F15F4F"/>
    <w:rsid w:val="00F1741E"/>
    <w:rsid w:val="00F17633"/>
    <w:rsid w:val="00F20D47"/>
    <w:rsid w:val="00F2177D"/>
    <w:rsid w:val="00F21C29"/>
    <w:rsid w:val="00F24598"/>
    <w:rsid w:val="00F24778"/>
    <w:rsid w:val="00F26A17"/>
    <w:rsid w:val="00F26A26"/>
    <w:rsid w:val="00F3032E"/>
    <w:rsid w:val="00F3132F"/>
    <w:rsid w:val="00F32741"/>
    <w:rsid w:val="00F329D2"/>
    <w:rsid w:val="00F33665"/>
    <w:rsid w:val="00F3422A"/>
    <w:rsid w:val="00F34551"/>
    <w:rsid w:val="00F3764E"/>
    <w:rsid w:val="00F3770B"/>
    <w:rsid w:val="00F41226"/>
    <w:rsid w:val="00F41BD0"/>
    <w:rsid w:val="00F4346B"/>
    <w:rsid w:val="00F43926"/>
    <w:rsid w:val="00F44677"/>
    <w:rsid w:val="00F464A1"/>
    <w:rsid w:val="00F47ECC"/>
    <w:rsid w:val="00F47EDD"/>
    <w:rsid w:val="00F506BF"/>
    <w:rsid w:val="00F50EFE"/>
    <w:rsid w:val="00F51D99"/>
    <w:rsid w:val="00F53150"/>
    <w:rsid w:val="00F534CA"/>
    <w:rsid w:val="00F5384A"/>
    <w:rsid w:val="00F53A5C"/>
    <w:rsid w:val="00F54C06"/>
    <w:rsid w:val="00F55148"/>
    <w:rsid w:val="00F5528E"/>
    <w:rsid w:val="00F55E90"/>
    <w:rsid w:val="00F5681B"/>
    <w:rsid w:val="00F578E3"/>
    <w:rsid w:val="00F60F27"/>
    <w:rsid w:val="00F628A3"/>
    <w:rsid w:val="00F635AC"/>
    <w:rsid w:val="00F63AFD"/>
    <w:rsid w:val="00F64A2A"/>
    <w:rsid w:val="00F64ABD"/>
    <w:rsid w:val="00F65505"/>
    <w:rsid w:val="00F662F1"/>
    <w:rsid w:val="00F67205"/>
    <w:rsid w:val="00F67589"/>
    <w:rsid w:val="00F67838"/>
    <w:rsid w:val="00F70A07"/>
    <w:rsid w:val="00F71779"/>
    <w:rsid w:val="00F71A7E"/>
    <w:rsid w:val="00F71A9F"/>
    <w:rsid w:val="00F7249D"/>
    <w:rsid w:val="00F737CE"/>
    <w:rsid w:val="00F73CE9"/>
    <w:rsid w:val="00F74530"/>
    <w:rsid w:val="00F74605"/>
    <w:rsid w:val="00F749C1"/>
    <w:rsid w:val="00F74BB4"/>
    <w:rsid w:val="00F74FFD"/>
    <w:rsid w:val="00F751BE"/>
    <w:rsid w:val="00F75B18"/>
    <w:rsid w:val="00F778E9"/>
    <w:rsid w:val="00F77B4F"/>
    <w:rsid w:val="00F77DA8"/>
    <w:rsid w:val="00F8001F"/>
    <w:rsid w:val="00F801F4"/>
    <w:rsid w:val="00F80EF5"/>
    <w:rsid w:val="00F81D84"/>
    <w:rsid w:val="00F81F38"/>
    <w:rsid w:val="00F8205E"/>
    <w:rsid w:val="00F829E4"/>
    <w:rsid w:val="00F82C0F"/>
    <w:rsid w:val="00F85130"/>
    <w:rsid w:val="00F8604D"/>
    <w:rsid w:val="00F871CF"/>
    <w:rsid w:val="00F8749B"/>
    <w:rsid w:val="00F87E0B"/>
    <w:rsid w:val="00F90DEB"/>
    <w:rsid w:val="00F91F9D"/>
    <w:rsid w:val="00F92322"/>
    <w:rsid w:val="00F92F11"/>
    <w:rsid w:val="00F94357"/>
    <w:rsid w:val="00F9468A"/>
    <w:rsid w:val="00F966F2"/>
    <w:rsid w:val="00F96DCB"/>
    <w:rsid w:val="00F97255"/>
    <w:rsid w:val="00FA0E83"/>
    <w:rsid w:val="00FA29EA"/>
    <w:rsid w:val="00FA2E77"/>
    <w:rsid w:val="00FA3DDC"/>
    <w:rsid w:val="00FA4D20"/>
    <w:rsid w:val="00FA644D"/>
    <w:rsid w:val="00FA73D9"/>
    <w:rsid w:val="00FA7E71"/>
    <w:rsid w:val="00FA7E7C"/>
    <w:rsid w:val="00FB099C"/>
    <w:rsid w:val="00FB221C"/>
    <w:rsid w:val="00FB4897"/>
    <w:rsid w:val="00FB4984"/>
    <w:rsid w:val="00FB4F29"/>
    <w:rsid w:val="00FB5B0F"/>
    <w:rsid w:val="00FB7563"/>
    <w:rsid w:val="00FB7B76"/>
    <w:rsid w:val="00FC0312"/>
    <w:rsid w:val="00FC0711"/>
    <w:rsid w:val="00FC08F4"/>
    <w:rsid w:val="00FC18FC"/>
    <w:rsid w:val="00FC2673"/>
    <w:rsid w:val="00FC26FE"/>
    <w:rsid w:val="00FC3473"/>
    <w:rsid w:val="00FC40A3"/>
    <w:rsid w:val="00FC474B"/>
    <w:rsid w:val="00FC51D8"/>
    <w:rsid w:val="00FC5786"/>
    <w:rsid w:val="00FC5C16"/>
    <w:rsid w:val="00FC62BB"/>
    <w:rsid w:val="00FC768A"/>
    <w:rsid w:val="00FD050F"/>
    <w:rsid w:val="00FD2EA6"/>
    <w:rsid w:val="00FD355D"/>
    <w:rsid w:val="00FD5478"/>
    <w:rsid w:val="00FD742F"/>
    <w:rsid w:val="00FE16A4"/>
    <w:rsid w:val="00FE1D1E"/>
    <w:rsid w:val="00FE2625"/>
    <w:rsid w:val="00FE2988"/>
    <w:rsid w:val="00FE2ED1"/>
    <w:rsid w:val="00FE6756"/>
    <w:rsid w:val="00FF015C"/>
    <w:rsid w:val="00FF1B8F"/>
    <w:rsid w:val="00FF27F9"/>
    <w:rsid w:val="00FF32E5"/>
    <w:rsid w:val="00FF35CB"/>
    <w:rsid w:val="00FF41AC"/>
    <w:rsid w:val="00FF4FB6"/>
    <w:rsid w:val="00FF59B4"/>
    <w:rsid w:val="00FF5CFC"/>
    <w:rsid w:val="00FF5E4A"/>
    <w:rsid w:val="00FF609F"/>
    <w:rsid w:val="00FF7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93"/>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unhideWhenUsed/>
    <w:rsid w:val="00821C17"/>
    <w:rPr>
      <w:sz w:val="20"/>
      <w:szCs w:val="20"/>
    </w:rPr>
  </w:style>
  <w:style w:type="character" w:customStyle="1" w:styleId="CommentTextChar">
    <w:name w:val="Comment Text Char"/>
    <w:basedOn w:val="DefaultParagraphFont"/>
    <w:link w:val="CommentText"/>
    <w:uiPriority w:val="99"/>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aliases w:val="Summary box"/>
    <w:basedOn w:val="TableNormal"/>
    <w:uiPriority w:val="59"/>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link w:val="TablewritingChar"/>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iPriority w:val="99"/>
    <w:unhideWhenUsed/>
    <w:rsid w:val="00821C17"/>
    <w:pPr>
      <w:spacing w:after="0"/>
    </w:pPr>
    <w:rPr>
      <w:sz w:val="18"/>
      <w:szCs w:val="20"/>
    </w:rPr>
  </w:style>
  <w:style w:type="character" w:customStyle="1" w:styleId="FootnoteTextChar">
    <w:name w:val="Footnote Text Char"/>
    <w:basedOn w:val="DefaultParagraphFont"/>
    <w:link w:val="FootnoteText"/>
    <w:uiPriority w:val="99"/>
    <w:rsid w:val="00821C17"/>
    <w:rPr>
      <w:rFonts w:asciiTheme="minorHAnsi" w:eastAsiaTheme="minorEastAsia" w:hAnsiTheme="minorHAnsi"/>
      <w:sz w:val="18"/>
      <w:szCs w:val="20"/>
      <w:lang w:eastAsia="en-AU"/>
    </w:rPr>
  </w:style>
  <w:style w:type="character" w:styleId="FootnoteReference">
    <w:name w:val="footnote reference"/>
    <w:basedOn w:val="DefaultParagraphFont"/>
    <w:uiPriority w:val="99"/>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link w:val="TableTextChar"/>
    <w:qFormat/>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abbreviation">
    <w:name w:val="abbreviation"/>
    <w:basedOn w:val="DefaultParagraphFont"/>
    <w:rsid w:val="009C1E36"/>
  </w:style>
  <w:style w:type="paragraph" w:customStyle="1" w:styleId="li21">
    <w:name w:val="li2_1"/>
    <w:basedOn w:val="Normal"/>
    <w:rsid w:val="009C1E36"/>
    <w:pPr>
      <w:spacing w:before="100" w:beforeAutospacing="1" w:after="100" w:afterAutospacing="1"/>
    </w:pPr>
    <w:rPr>
      <w:rFonts w:ascii="Times New Roman" w:eastAsia="Times New Roman" w:hAnsi="Times New Roman" w:cs="Times New Roman"/>
    </w:rPr>
  </w:style>
  <w:style w:type="paragraph" w:customStyle="1" w:styleId="BodyText1">
    <w:name w:val="Body Text1"/>
    <w:basedOn w:val="Normal"/>
    <w:uiPriority w:val="1"/>
    <w:qFormat/>
    <w:rsid w:val="000254BD"/>
    <w:pPr>
      <w:spacing w:after="120" w:line="276" w:lineRule="auto"/>
    </w:pPr>
    <w:rPr>
      <w:rFonts w:ascii="Cambria" w:eastAsia="Times New Roman" w:hAnsi="Cambria" w:cs="Calibri"/>
      <w:noProof/>
      <w:lang w:eastAsia="en-US"/>
    </w:rPr>
  </w:style>
  <w:style w:type="character" w:customStyle="1" w:styleId="TablewritingChar">
    <w:name w:val="Table writing Char"/>
    <w:link w:val="Tablewriting"/>
    <w:rsid w:val="000254BD"/>
    <w:rPr>
      <w:rFonts w:asciiTheme="minorHAnsi" w:eastAsiaTheme="minorEastAsia" w:hAnsiTheme="minorHAnsi" w:cs="Calibri"/>
      <w:color w:val="000000"/>
      <w:sz w:val="20"/>
      <w:szCs w:val="20"/>
      <w:lang w:eastAsia="en-AU"/>
    </w:rPr>
  </w:style>
  <w:style w:type="character" w:customStyle="1" w:styleId="TableTextChar">
    <w:name w:val="Table Text Char"/>
    <w:link w:val="TableText0"/>
    <w:rsid w:val="006D3226"/>
    <w:rPr>
      <w:rFonts w:ascii="Arial" w:eastAsia="Times New Roman" w:hAnsi="Arial" w:cs="Times New Roman"/>
      <w:sz w:val="18"/>
      <w:szCs w:val="20"/>
      <w:lang w:eastAsia="en-AU"/>
    </w:rPr>
  </w:style>
  <w:style w:type="paragraph" w:styleId="Caption">
    <w:name w:val="caption"/>
    <w:aliases w:val="Bayer Caption,IB Caption,Medical Caption,Caption Char1 Char Char,Caption Char Char Char Char,Caption Char1 Char,Caption Char Char Char Char Char,Caption Char Char,Caption Char Char Char Char1,Caption Char1 Char1,Caption Char Char Char,c"/>
    <w:basedOn w:val="Normal"/>
    <w:next w:val="Normal"/>
    <w:link w:val="CaptionChar"/>
    <w:qFormat/>
    <w:rsid w:val="00912AC3"/>
    <w:pPr>
      <w:spacing w:before="120" w:after="120" w:line="360" w:lineRule="auto"/>
      <w:jc w:val="both"/>
    </w:pPr>
    <w:rPr>
      <w:rFonts w:ascii="Times New Roman" w:eastAsia="SimSun" w:hAnsi="Times New Roman" w:cs="Times New Roman"/>
      <w:b/>
      <w:bCs/>
      <w:sz w:val="22"/>
      <w:szCs w:val="20"/>
      <w:lang w:eastAsia="zh-CN"/>
    </w:rPr>
  </w:style>
  <w:style w:type="character" w:customStyle="1" w:styleId="CaptionChar">
    <w:name w:val="Caption Char"/>
    <w:aliases w:val="Bayer Caption Char,IB Caption Char,Medical Caption Char,Caption Char1 Char Char Char,Caption Char Char Char Char Char1,Caption Char1 Char Char1,Caption Char Char Char Char Char Char,Caption Char Char Char1,Caption Char Char Char Char1 Char"/>
    <w:basedOn w:val="DefaultParagraphFont"/>
    <w:link w:val="Caption"/>
    <w:rsid w:val="00912AC3"/>
    <w:rPr>
      <w:rFonts w:eastAsia="SimSun" w:cs="Times New Roman"/>
      <w:b/>
      <w:bCs/>
      <w:sz w:val="22"/>
      <w:szCs w:val="20"/>
      <w:lang w:eastAsia="zh-CN"/>
    </w:rPr>
  </w:style>
  <w:style w:type="paragraph" w:styleId="Revision">
    <w:name w:val="Revision"/>
    <w:hidden/>
    <w:uiPriority w:val="99"/>
    <w:semiHidden/>
    <w:rsid w:val="000E0A13"/>
    <w:pPr>
      <w:spacing w:after="0" w:line="240" w:lineRule="auto"/>
    </w:pPr>
    <w:rPr>
      <w:rFonts w:asciiTheme="minorHAnsi" w:eastAsiaTheme="minorEastAsia" w:hAnsiTheme="minorHAnsi"/>
      <w:szCs w:val="24"/>
      <w:lang w:eastAsia="en-AU"/>
    </w:rPr>
  </w:style>
  <w:style w:type="numbering" w:customStyle="1" w:styleId="NoList1">
    <w:name w:val="No List1"/>
    <w:next w:val="NoList"/>
    <w:uiPriority w:val="99"/>
    <w:semiHidden/>
    <w:unhideWhenUsed/>
    <w:rsid w:val="00B87CD5"/>
  </w:style>
  <w:style w:type="table" w:customStyle="1" w:styleId="TableGrid1">
    <w:name w:val="Table Grid1"/>
    <w:basedOn w:val="TableNormal"/>
    <w:next w:val="TableGrid"/>
    <w:uiPriority w:val="59"/>
    <w:rsid w:val="00B87CD5"/>
    <w:pPr>
      <w:spacing w:after="0" w:line="240" w:lineRule="auto"/>
    </w:pPr>
    <w:rPr>
      <w:rFonts w:ascii="Calibri" w:eastAsia="MS Mincho" w:hAnsi="Calibr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Heading1"/>
    <w:link w:val="Title2Char"/>
    <w:qFormat/>
    <w:rsid w:val="00B87CD5"/>
    <w:rPr>
      <w:szCs w:val="32"/>
    </w:rPr>
  </w:style>
  <w:style w:type="paragraph" w:customStyle="1" w:styleId="Meetingdate">
    <w:name w:val="Meeting date"/>
    <w:basedOn w:val="Heading4"/>
    <w:link w:val="MeetingdateChar"/>
    <w:qFormat/>
    <w:rsid w:val="00B87CD5"/>
  </w:style>
  <w:style w:type="character" w:customStyle="1" w:styleId="Title2Char">
    <w:name w:val="Title 2 Char"/>
    <w:basedOn w:val="Heading1Char"/>
    <w:link w:val="Title2"/>
    <w:rsid w:val="00B87CD5"/>
    <w:rPr>
      <w:rFonts w:asciiTheme="minorHAnsi" w:eastAsiaTheme="majorEastAsia" w:hAnsiTheme="minorHAnsi" w:cstheme="majorBidi"/>
      <w:b/>
      <w:bCs/>
      <w:sz w:val="40"/>
      <w:szCs w:val="32"/>
      <w:lang w:eastAsia="en-AU"/>
    </w:rPr>
  </w:style>
  <w:style w:type="character" w:customStyle="1" w:styleId="MeetingdateChar">
    <w:name w:val="Meeting date Char"/>
    <w:basedOn w:val="Heading4Char"/>
    <w:link w:val="Meetingdate"/>
    <w:rsid w:val="00B87CD5"/>
    <w:rPr>
      <w:rFonts w:asciiTheme="minorHAnsi" w:eastAsiaTheme="minorEastAsia" w:hAnsiTheme="minorHAnsi"/>
      <w:b/>
      <w:i/>
      <w:sz w:val="32"/>
      <w:szCs w:val="32"/>
      <w:lang w:eastAsia="en-AU"/>
    </w:rPr>
  </w:style>
  <w:style w:type="paragraph" w:customStyle="1" w:styleId="Default">
    <w:name w:val="Default"/>
    <w:basedOn w:val="Normal"/>
    <w:rsid w:val="00B87CD5"/>
    <w:pPr>
      <w:autoSpaceDE w:val="0"/>
      <w:autoSpaceDN w:val="0"/>
      <w:spacing w:after="0"/>
    </w:pPr>
    <w:rPr>
      <w:rFonts w:ascii="Calibri" w:eastAsia="Calibri" w:hAnsi="Calibri" w:cs="Times New Roman"/>
      <w:color w:val="000000"/>
      <w:lang w:eastAsia="en-US"/>
    </w:rPr>
  </w:style>
  <w:style w:type="character" w:customStyle="1" w:styleId="prod-title">
    <w:name w:val="prod-title"/>
    <w:basedOn w:val="DefaultParagraphFont"/>
    <w:rsid w:val="00B87CD5"/>
  </w:style>
  <w:style w:type="character" w:customStyle="1" w:styleId="published-date">
    <w:name w:val="published-date"/>
    <w:basedOn w:val="DefaultParagraphFont"/>
    <w:rsid w:val="00B87CD5"/>
  </w:style>
  <w:style w:type="character" w:customStyle="1" w:styleId="item-code">
    <w:name w:val="item-code"/>
    <w:basedOn w:val="DefaultParagraphFont"/>
    <w:rsid w:val="00B87CD5"/>
  </w:style>
  <w:style w:type="character" w:customStyle="1" w:styleId="legend-item">
    <w:name w:val="legend-item"/>
    <w:basedOn w:val="DefaultParagraphFont"/>
    <w:rsid w:val="00B87CD5"/>
  </w:style>
  <w:style w:type="character" w:customStyle="1" w:styleId="drug-name">
    <w:name w:val="drug-name"/>
    <w:basedOn w:val="DefaultParagraphFont"/>
    <w:rsid w:val="00B87CD5"/>
  </w:style>
  <w:style w:type="character" w:customStyle="1" w:styleId="form-strength">
    <w:name w:val="form-strength"/>
    <w:basedOn w:val="DefaultParagraphFont"/>
    <w:rsid w:val="00B87CD5"/>
  </w:style>
  <w:style w:type="paragraph" w:customStyle="1" w:styleId="Tabletext1">
    <w:name w:val="Table text"/>
    <w:basedOn w:val="Normal"/>
    <w:link w:val="TabletextChar1"/>
    <w:qFormat/>
    <w:rsid w:val="00B87CD5"/>
    <w:pPr>
      <w:spacing w:after="0"/>
    </w:pPr>
    <w:rPr>
      <w:rFonts w:ascii="Arial" w:eastAsia="Times New Roman" w:hAnsi="Arial" w:cs="Times New Roman"/>
      <w:sz w:val="20"/>
      <w:szCs w:val="20"/>
      <w:lang w:val="x-none" w:eastAsia="en-US"/>
    </w:rPr>
  </w:style>
  <w:style w:type="paragraph" w:customStyle="1" w:styleId="Tablenotes">
    <w:name w:val="Table notes"/>
    <w:basedOn w:val="Normal"/>
    <w:link w:val="TablenotesChar"/>
    <w:qFormat/>
    <w:rsid w:val="00B87CD5"/>
    <w:pPr>
      <w:widowControl w:val="0"/>
      <w:spacing w:after="240"/>
      <w:contextualSpacing/>
      <w:jc w:val="both"/>
    </w:pPr>
    <w:rPr>
      <w:rFonts w:ascii="Arial" w:eastAsia="Times New Roman" w:hAnsi="Arial" w:cs="Times New Roman"/>
      <w:snapToGrid w:val="0"/>
      <w:sz w:val="20"/>
      <w:szCs w:val="20"/>
      <w:lang w:val="x-none" w:eastAsia="en-US"/>
    </w:rPr>
  </w:style>
  <w:style w:type="character" w:customStyle="1" w:styleId="TablenotesChar">
    <w:name w:val="Table notes Char"/>
    <w:link w:val="Tablenotes"/>
    <w:rsid w:val="00B87CD5"/>
    <w:rPr>
      <w:rFonts w:ascii="Arial" w:eastAsia="Times New Roman" w:hAnsi="Arial" w:cs="Times New Roman"/>
      <w:snapToGrid w:val="0"/>
      <w:sz w:val="20"/>
      <w:szCs w:val="20"/>
      <w:lang w:val="x-none"/>
    </w:rPr>
  </w:style>
  <w:style w:type="character" w:customStyle="1" w:styleId="TabletextChar1">
    <w:name w:val="Table text Char1"/>
    <w:link w:val="Tabletext1"/>
    <w:rsid w:val="00B87CD5"/>
    <w:rPr>
      <w:rFonts w:ascii="Arial" w:eastAsia="Times New Roman" w:hAnsi="Arial" w:cs="Times New Roman"/>
      <w:sz w:val="20"/>
      <w:szCs w:val="20"/>
      <w:lang w:val="x-none"/>
    </w:rPr>
  </w:style>
  <w:style w:type="paragraph" w:customStyle="1" w:styleId="acthead5">
    <w:name w:val="acthead5"/>
    <w:basedOn w:val="Normal"/>
    <w:rsid w:val="001D69C7"/>
    <w:pPr>
      <w:spacing w:before="100" w:beforeAutospacing="1" w:after="100" w:afterAutospacing="1"/>
    </w:pPr>
    <w:rPr>
      <w:rFonts w:ascii="Times New Roman" w:eastAsia="Times New Roman" w:hAnsi="Times New Roman" w:cs="Times New Roman"/>
    </w:rPr>
  </w:style>
  <w:style w:type="character" w:customStyle="1" w:styleId="charsectno">
    <w:name w:val="charsectno"/>
    <w:basedOn w:val="DefaultParagraphFont"/>
    <w:rsid w:val="001D69C7"/>
  </w:style>
  <w:style w:type="paragraph" w:customStyle="1" w:styleId="subsection">
    <w:name w:val="subsection"/>
    <w:basedOn w:val="Normal"/>
    <w:rsid w:val="001D69C7"/>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D69C7"/>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93"/>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unhideWhenUsed/>
    <w:rsid w:val="00821C17"/>
    <w:rPr>
      <w:sz w:val="20"/>
      <w:szCs w:val="20"/>
    </w:rPr>
  </w:style>
  <w:style w:type="character" w:customStyle="1" w:styleId="CommentTextChar">
    <w:name w:val="Comment Text Char"/>
    <w:basedOn w:val="DefaultParagraphFont"/>
    <w:link w:val="CommentText"/>
    <w:uiPriority w:val="99"/>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aliases w:val="Summary box"/>
    <w:basedOn w:val="TableNormal"/>
    <w:uiPriority w:val="59"/>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link w:val="TablewritingChar"/>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iPriority w:val="99"/>
    <w:unhideWhenUsed/>
    <w:rsid w:val="00821C17"/>
    <w:pPr>
      <w:spacing w:after="0"/>
    </w:pPr>
    <w:rPr>
      <w:sz w:val="18"/>
      <w:szCs w:val="20"/>
    </w:rPr>
  </w:style>
  <w:style w:type="character" w:customStyle="1" w:styleId="FootnoteTextChar">
    <w:name w:val="Footnote Text Char"/>
    <w:basedOn w:val="DefaultParagraphFont"/>
    <w:link w:val="FootnoteText"/>
    <w:uiPriority w:val="99"/>
    <w:rsid w:val="00821C17"/>
    <w:rPr>
      <w:rFonts w:asciiTheme="minorHAnsi" w:eastAsiaTheme="minorEastAsia" w:hAnsiTheme="minorHAnsi"/>
      <w:sz w:val="18"/>
      <w:szCs w:val="20"/>
      <w:lang w:eastAsia="en-AU"/>
    </w:rPr>
  </w:style>
  <w:style w:type="character" w:styleId="FootnoteReference">
    <w:name w:val="footnote reference"/>
    <w:basedOn w:val="DefaultParagraphFont"/>
    <w:uiPriority w:val="99"/>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link w:val="TableTextChar"/>
    <w:qFormat/>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abbreviation">
    <w:name w:val="abbreviation"/>
    <w:basedOn w:val="DefaultParagraphFont"/>
    <w:rsid w:val="009C1E36"/>
  </w:style>
  <w:style w:type="paragraph" w:customStyle="1" w:styleId="li21">
    <w:name w:val="li2_1"/>
    <w:basedOn w:val="Normal"/>
    <w:rsid w:val="009C1E36"/>
    <w:pPr>
      <w:spacing w:before="100" w:beforeAutospacing="1" w:after="100" w:afterAutospacing="1"/>
    </w:pPr>
    <w:rPr>
      <w:rFonts w:ascii="Times New Roman" w:eastAsia="Times New Roman" w:hAnsi="Times New Roman" w:cs="Times New Roman"/>
    </w:rPr>
  </w:style>
  <w:style w:type="paragraph" w:customStyle="1" w:styleId="BodyText1">
    <w:name w:val="Body Text1"/>
    <w:basedOn w:val="Normal"/>
    <w:uiPriority w:val="1"/>
    <w:qFormat/>
    <w:rsid w:val="000254BD"/>
    <w:pPr>
      <w:spacing w:after="120" w:line="276" w:lineRule="auto"/>
    </w:pPr>
    <w:rPr>
      <w:rFonts w:ascii="Cambria" w:eastAsia="Times New Roman" w:hAnsi="Cambria" w:cs="Calibri"/>
      <w:noProof/>
      <w:lang w:eastAsia="en-US"/>
    </w:rPr>
  </w:style>
  <w:style w:type="character" w:customStyle="1" w:styleId="TablewritingChar">
    <w:name w:val="Table writing Char"/>
    <w:link w:val="Tablewriting"/>
    <w:rsid w:val="000254BD"/>
    <w:rPr>
      <w:rFonts w:asciiTheme="minorHAnsi" w:eastAsiaTheme="minorEastAsia" w:hAnsiTheme="minorHAnsi" w:cs="Calibri"/>
      <w:color w:val="000000"/>
      <w:sz w:val="20"/>
      <w:szCs w:val="20"/>
      <w:lang w:eastAsia="en-AU"/>
    </w:rPr>
  </w:style>
  <w:style w:type="character" w:customStyle="1" w:styleId="TableTextChar">
    <w:name w:val="Table Text Char"/>
    <w:link w:val="TableText0"/>
    <w:rsid w:val="006D3226"/>
    <w:rPr>
      <w:rFonts w:ascii="Arial" w:eastAsia="Times New Roman" w:hAnsi="Arial" w:cs="Times New Roman"/>
      <w:sz w:val="18"/>
      <w:szCs w:val="20"/>
      <w:lang w:eastAsia="en-AU"/>
    </w:rPr>
  </w:style>
  <w:style w:type="paragraph" w:styleId="Caption">
    <w:name w:val="caption"/>
    <w:aliases w:val="Bayer Caption,IB Caption,Medical Caption,Caption Char1 Char Char,Caption Char Char Char Char,Caption Char1 Char,Caption Char Char Char Char Char,Caption Char Char,Caption Char Char Char Char1,Caption Char1 Char1,Caption Char Char Char,c"/>
    <w:basedOn w:val="Normal"/>
    <w:next w:val="Normal"/>
    <w:link w:val="CaptionChar"/>
    <w:qFormat/>
    <w:rsid w:val="00912AC3"/>
    <w:pPr>
      <w:spacing w:before="120" w:after="120" w:line="360" w:lineRule="auto"/>
      <w:jc w:val="both"/>
    </w:pPr>
    <w:rPr>
      <w:rFonts w:ascii="Times New Roman" w:eastAsia="SimSun" w:hAnsi="Times New Roman" w:cs="Times New Roman"/>
      <w:b/>
      <w:bCs/>
      <w:sz w:val="22"/>
      <w:szCs w:val="20"/>
      <w:lang w:eastAsia="zh-CN"/>
    </w:rPr>
  </w:style>
  <w:style w:type="character" w:customStyle="1" w:styleId="CaptionChar">
    <w:name w:val="Caption Char"/>
    <w:aliases w:val="Bayer Caption Char,IB Caption Char,Medical Caption Char,Caption Char1 Char Char Char,Caption Char Char Char Char Char1,Caption Char1 Char Char1,Caption Char Char Char Char Char Char,Caption Char Char Char1,Caption Char Char Char Char1 Char"/>
    <w:basedOn w:val="DefaultParagraphFont"/>
    <w:link w:val="Caption"/>
    <w:rsid w:val="00912AC3"/>
    <w:rPr>
      <w:rFonts w:eastAsia="SimSun" w:cs="Times New Roman"/>
      <w:b/>
      <w:bCs/>
      <w:sz w:val="22"/>
      <w:szCs w:val="20"/>
      <w:lang w:eastAsia="zh-CN"/>
    </w:rPr>
  </w:style>
  <w:style w:type="paragraph" w:styleId="Revision">
    <w:name w:val="Revision"/>
    <w:hidden/>
    <w:uiPriority w:val="99"/>
    <w:semiHidden/>
    <w:rsid w:val="000E0A13"/>
    <w:pPr>
      <w:spacing w:after="0" w:line="240" w:lineRule="auto"/>
    </w:pPr>
    <w:rPr>
      <w:rFonts w:asciiTheme="minorHAnsi" w:eastAsiaTheme="minorEastAsia" w:hAnsiTheme="minorHAnsi"/>
      <w:szCs w:val="24"/>
      <w:lang w:eastAsia="en-AU"/>
    </w:rPr>
  </w:style>
  <w:style w:type="numbering" w:customStyle="1" w:styleId="NoList1">
    <w:name w:val="No List1"/>
    <w:next w:val="NoList"/>
    <w:uiPriority w:val="99"/>
    <w:semiHidden/>
    <w:unhideWhenUsed/>
    <w:rsid w:val="00B87CD5"/>
  </w:style>
  <w:style w:type="table" w:customStyle="1" w:styleId="TableGrid1">
    <w:name w:val="Table Grid1"/>
    <w:basedOn w:val="TableNormal"/>
    <w:next w:val="TableGrid"/>
    <w:uiPriority w:val="59"/>
    <w:rsid w:val="00B87CD5"/>
    <w:pPr>
      <w:spacing w:after="0" w:line="240" w:lineRule="auto"/>
    </w:pPr>
    <w:rPr>
      <w:rFonts w:ascii="Calibri" w:eastAsia="MS Mincho" w:hAnsi="Calibr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Heading1"/>
    <w:link w:val="Title2Char"/>
    <w:qFormat/>
    <w:rsid w:val="00B87CD5"/>
    <w:rPr>
      <w:szCs w:val="32"/>
    </w:rPr>
  </w:style>
  <w:style w:type="paragraph" w:customStyle="1" w:styleId="Meetingdate">
    <w:name w:val="Meeting date"/>
    <w:basedOn w:val="Heading4"/>
    <w:link w:val="MeetingdateChar"/>
    <w:qFormat/>
    <w:rsid w:val="00B87CD5"/>
  </w:style>
  <w:style w:type="character" w:customStyle="1" w:styleId="Title2Char">
    <w:name w:val="Title 2 Char"/>
    <w:basedOn w:val="Heading1Char"/>
    <w:link w:val="Title2"/>
    <w:rsid w:val="00B87CD5"/>
    <w:rPr>
      <w:rFonts w:asciiTheme="minorHAnsi" w:eastAsiaTheme="majorEastAsia" w:hAnsiTheme="minorHAnsi" w:cstheme="majorBidi"/>
      <w:b/>
      <w:bCs/>
      <w:sz w:val="40"/>
      <w:szCs w:val="32"/>
      <w:lang w:eastAsia="en-AU"/>
    </w:rPr>
  </w:style>
  <w:style w:type="character" w:customStyle="1" w:styleId="MeetingdateChar">
    <w:name w:val="Meeting date Char"/>
    <w:basedOn w:val="Heading4Char"/>
    <w:link w:val="Meetingdate"/>
    <w:rsid w:val="00B87CD5"/>
    <w:rPr>
      <w:rFonts w:asciiTheme="minorHAnsi" w:eastAsiaTheme="minorEastAsia" w:hAnsiTheme="minorHAnsi"/>
      <w:b/>
      <w:i/>
      <w:sz w:val="32"/>
      <w:szCs w:val="32"/>
      <w:lang w:eastAsia="en-AU"/>
    </w:rPr>
  </w:style>
  <w:style w:type="paragraph" w:customStyle="1" w:styleId="Default">
    <w:name w:val="Default"/>
    <w:basedOn w:val="Normal"/>
    <w:rsid w:val="00B87CD5"/>
    <w:pPr>
      <w:autoSpaceDE w:val="0"/>
      <w:autoSpaceDN w:val="0"/>
      <w:spacing w:after="0"/>
    </w:pPr>
    <w:rPr>
      <w:rFonts w:ascii="Calibri" w:eastAsia="Calibri" w:hAnsi="Calibri" w:cs="Times New Roman"/>
      <w:color w:val="000000"/>
      <w:lang w:eastAsia="en-US"/>
    </w:rPr>
  </w:style>
  <w:style w:type="character" w:customStyle="1" w:styleId="prod-title">
    <w:name w:val="prod-title"/>
    <w:basedOn w:val="DefaultParagraphFont"/>
    <w:rsid w:val="00B87CD5"/>
  </w:style>
  <w:style w:type="character" w:customStyle="1" w:styleId="published-date">
    <w:name w:val="published-date"/>
    <w:basedOn w:val="DefaultParagraphFont"/>
    <w:rsid w:val="00B87CD5"/>
  </w:style>
  <w:style w:type="character" w:customStyle="1" w:styleId="item-code">
    <w:name w:val="item-code"/>
    <w:basedOn w:val="DefaultParagraphFont"/>
    <w:rsid w:val="00B87CD5"/>
  </w:style>
  <w:style w:type="character" w:customStyle="1" w:styleId="legend-item">
    <w:name w:val="legend-item"/>
    <w:basedOn w:val="DefaultParagraphFont"/>
    <w:rsid w:val="00B87CD5"/>
  </w:style>
  <w:style w:type="character" w:customStyle="1" w:styleId="drug-name">
    <w:name w:val="drug-name"/>
    <w:basedOn w:val="DefaultParagraphFont"/>
    <w:rsid w:val="00B87CD5"/>
  </w:style>
  <w:style w:type="character" w:customStyle="1" w:styleId="form-strength">
    <w:name w:val="form-strength"/>
    <w:basedOn w:val="DefaultParagraphFont"/>
    <w:rsid w:val="00B87CD5"/>
  </w:style>
  <w:style w:type="paragraph" w:customStyle="1" w:styleId="Tabletext1">
    <w:name w:val="Table text"/>
    <w:basedOn w:val="Normal"/>
    <w:link w:val="TabletextChar1"/>
    <w:qFormat/>
    <w:rsid w:val="00B87CD5"/>
    <w:pPr>
      <w:spacing w:after="0"/>
    </w:pPr>
    <w:rPr>
      <w:rFonts w:ascii="Arial" w:eastAsia="Times New Roman" w:hAnsi="Arial" w:cs="Times New Roman"/>
      <w:sz w:val="20"/>
      <w:szCs w:val="20"/>
      <w:lang w:val="x-none" w:eastAsia="en-US"/>
    </w:rPr>
  </w:style>
  <w:style w:type="paragraph" w:customStyle="1" w:styleId="Tablenotes">
    <w:name w:val="Table notes"/>
    <w:basedOn w:val="Normal"/>
    <w:link w:val="TablenotesChar"/>
    <w:qFormat/>
    <w:rsid w:val="00B87CD5"/>
    <w:pPr>
      <w:widowControl w:val="0"/>
      <w:spacing w:after="240"/>
      <w:contextualSpacing/>
      <w:jc w:val="both"/>
    </w:pPr>
    <w:rPr>
      <w:rFonts w:ascii="Arial" w:eastAsia="Times New Roman" w:hAnsi="Arial" w:cs="Times New Roman"/>
      <w:snapToGrid w:val="0"/>
      <w:sz w:val="20"/>
      <w:szCs w:val="20"/>
      <w:lang w:val="x-none" w:eastAsia="en-US"/>
    </w:rPr>
  </w:style>
  <w:style w:type="character" w:customStyle="1" w:styleId="TablenotesChar">
    <w:name w:val="Table notes Char"/>
    <w:link w:val="Tablenotes"/>
    <w:rsid w:val="00B87CD5"/>
    <w:rPr>
      <w:rFonts w:ascii="Arial" w:eastAsia="Times New Roman" w:hAnsi="Arial" w:cs="Times New Roman"/>
      <w:snapToGrid w:val="0"/>
      <w:sz w:val="20"/>
      <w:szCs w:val="20"/>
      <w:lang w:val="x-none"/>
    </w:rPr>
  </w:style>
  <w:style w:type="character" w:customStyle="1" w:styleId="TabletextChar1">
    <w:name w:val="Table text Char1"/>
    <w:link w:val="Tabletext1"/>
    <w:rsid w:val="00B87CD5"/>
    <w:rPr>
      <w:rFonts w:ascii="Arial" w:eastAsia="Times New Roman" w:hAnsi="Arial" w:cs="Times New Roman"/>
      <w:sz w:val="20"/>
      <w:szCs w:val="20"/>
      <w:lang w:val="x-none"/>
    </w:rPr>
  </w:style>
  <w:style w:type="paragraph" w:customStyle="1" w:styleId="acthead5">
    <w:name w:val="acthead5"/>
    <w:basedOn w:val="Normal"/>
    <w:rsid w:val="001D69C7"/>
    <w:pPr>
      <w:spacing w:before="100" w:beforeAutospacing="1" w:after="100" w:afterAutospacing="1"/>
    </w:pPr>
    <w:rPr>
      <w:rFonts w:ascii="Times New Roman" w:eastAsia="Times New Roman" w:hAnsi="Times New Roman" w:cs="Times New Roman"/>
    </w:rPr>
  </w:style>
  <w:style w:type="character" w:customStyle="1" w:styleId="charsectno">
    <w:name w:val="charsectno"/>
    <w:basedOn w:val="DefaultParagraphFont"/>
    <w:rsid w:val="001D69C7"/>
  </w:style>
  <w:style w:type="paragraph" w:customStyle="1" w:styleId="subsection">
    <w:name w:val="subsection"/>
    <w:basedOn w:val="Normal"/>
    <w:rsid w:val="001D69C7"/>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D69C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877">
      <w:bodyDiv w:val="1"/>
      <w:marLeft w:val="0"/>
      <w:marRight w:val="0"/>
      <w:marTop w:val="0"/>
      <w:marBottom w:val="0"/>
      <w:divBdr>
        <w:top w:val="none" w:sz="0" w:space="0" w:color="auto"/>
        <w:left w:val="none" w:sz="0" w:space="0" w:color="auto"/>
        <w:bottom w:val="none" w:sz="0" w:space="0" w:color="auto"/>
        <w:right w:val="none" w:sz="0" w:space="0" w:color="auto"/>
      </w:divBdr>
    </w:div>
    <w:div w:id="40370622">
      <w:bodyDiv w:val="1"/>
      <w:marLeft w:val="0"/>
      <w:marRight w:val="0"/>
      <w:marTop w:val="0"/>
      <w:marBottom w:val="0"/>
      <w:divBdr>
        <w:top w:val="none" w:sz="0" w:space="0" w:color="auto"/>
        <w:left w:val="none" w:sz="0" w:space="0" w:color="auto"/>
        <w:bottom w:val="none" w:sz="0" w:space="0" w:color="auto"/>
        <w:right w:val="none" w:sz="0" w:space="0" w:color="auto"/>
      </w:divBdr>
    </w:div>
    <w:div w:id="100882748">
      <w:bodyDiv w:val="1"/>
      <w:marLeft w:val="0"/>
      <w:marRight w:val="0"/>
      <w:marTop w:val="0"/>
      <w:marBottom w:val="0"/>
      <w:divBdr>
        <w:top w:val="none" w:sz="0" w:space="0" w:color="auto"/>
        <w:left w:val="none" w:sz="0" w:space="0" w:color="auto"/>
        <w:bottom w:val="none" w:sz="0" w:space="0" w:color="auto"/>
        <w:right w:val="none" w:sz="0" w:space="0" w:color="auto"/>
      </w:divBdr>
    </w:div>
    <w:div w:id="112865301">
      <w:bodyDiv w:val="1"/>
      <w:marLeft w:val="0"/>
      <w:marRight w:val="0"/>
      <w:marTop w:val="0"/>
      <w:marBottom w:val="0"/>
      <w:divBdr>
        <w:top w:val="none" w:sz="0" w:space="0" w:color="auto"/>
        <w:left w:val="none" w:sz="0" w:space="0" w:color="auto"/>
        <w:bottom w:val="none" w:sz="0" w:space="0" w:color="auto"/>
        <w:right w:val="none" w:sz="0" w:space="0" w:color="auto"/>
      </w:divBdr>
    </w:div>
    <w:div w:id="113208616">
      <w:bodyDiv w:val="1"/>
      <w:marLeft w:val="0"/>
      <w:marRight w:val="0"/>
      <w:marTop w:val="0"/>
      <w:marBottom w:val="0"/>
      <w:divBdr>
        <w:top w:val="none" w:sz="0" w:space="0" w:color="auto"/>
        <w:left w:val="none" w:sz="0" w:space="0" w:color="auto"/>
        <w:bottom w:val="none" w:sz="0" w:space="0" w:color="auto"/>
        <w:right w:val="none" w:sz="0" w:space="0" w:color="auto"/>
      </w:divBdr>
    </w:div>
    <w:div w:id="122771577">
      <w:bodyDiv w:val="1"/>
      <w:marLeft w:val="0"/>
      <w:marRight w:val="0"/>
      <w:marTop w:val="0"/>
      <w:marBottom w:val="0"/>
      <w:divBdr>
        <w:top w:val="none" w:sz="0" w:space="0" w:color="auto"/>
        <w:left w:val="none" w:sz="0" w:space="0" w:color="auto"/>
        <w:bottom w:val="none" w:sz="0" w:space="0" w:color="auto"/>
        <w:right w:val="none" w:sz="0" w:space="0" w:color="auto"/>
      </w:divBdr>
    </w:div>
    <w:div w:id="138232259">
      <w:bodyDiv w:val="1"/>
      <w:marLeft w:val="0"/>
      <w:marRight w:val="0"/>
      <w:marTop w:val="0"/>
      <w:marBottom w:val="0"/>
      <w:divBdr>
        <w:top w:val="none" w:sz="0" w:space="0" w:color="auto"/>
        <w:left w:val="none" w:sz="0" w:space="0" w:color="auto"/>
        <w:bottom w:val="none" w:sz="0" w:space="0" w:color="auto"/>
        <w:right w:val="none" w:sz="0" w:space="0" w:color="auto"/>
      </w:divBdr>
    </w:div>
    <w:div w:id="170753780">
      <w:bodyDiv w:val="1"/>
      <w:marLeft w:val="0"/>
      <w:marRight w:val="0"/>
      <w:marTop w:val="0"/>
      <w:marBottom w:val="0"/>
      <w:divBdr>
        <w:top w:val="none" w:sz="0" w:space="0" w:color="auto"/>
        <w:left w:val="none" w:sz="0" w:space="0" w:color="auto"/>
        <w:bottom w:val="none" w:sz="0" w:space="0" w:color="auto"/>
        <w:right w:val="none" w:sz="0" w:space="0" w:color="auto"/>
      </w:divBdr>
    </w:div>
    <w:div w:id="218519426">
      <w:bodyDiv w:val="1"/>
      <w:marLeft w:val="0"/>
      <w:marRight w:val="0"/>
      <w:marTop w:val="0"/>
      <w:marBottom w:val="0"/>
      <w:divBdr>
        <w:top w:val="none" w:sz="0" w:space="0" w:color="auto"/>
        <w:left w:val="none" w:sz="0" w:space="0" w:color="auto"/>
        <w:bottom w:val="none" w:sz="0" w:space="0" w:color="auto"/>
        <w:right w:val="none" w:sz="0" w:space="0" w:color="auto"/>
      </w:divBdr>
    </w:div>
    <w:div w:id="240408527">
      <w:bodyDiv w:val="1"/>
      <w:marLeft w:val="0"/>
      <w:marRight w:val="0"/>
      <w:marTop w:val="0"/>
      <w:marBottom w:val="0"/>
      <w:divBdr>
        <w:top w:val="none" w:sz="0" w:space="0" w:color="auto"/>
        <w:left w:val="none" w:sz="0" w:space="0" w:color="auto"/>
        <w:bottom w:val="none" w:sz="0" w:space="0" w:color="auto"/>
        <w:right w:val="none" w:sz="0" w:space="0" w:color="auto"/>
      </w:divBdr>
    </w:div>
    <w:div w:id="286856068">
      <w:bodyDiv w:val="1"/>
      <w:marLeft w:val="0"/>
      <w:marRight w:val="0"/>
      <w:marTop w:val="0"/>
      <w:marBottom w:val="0"/>
      <w:divBdr>
        <w:top w:val="none" w:sz="0" w:space="0" w:color="auto"/>
        <w:left w:val="none" w:sz="0" w:space="0" w:color="auto"/>
        <w:bottom w:val="none" w:sz="0" w:space="0" w:color="auto"/>
        <w:right w:val="none" w:sz="0" w:space="0" w:color="auto"/>
      </w:divBdr>
    </w:div>
    <w:div w:id="352195757">
      <w:bodyDiv w:val="1"/>
      <w:marLeft w:val="0"/>
      <w:marRight w:val="0"/>
      <w:marTop w:val="0"/>
      <w:marBottom w:val="0"/>
      <w:divBdr>
        <w:top w:val="none" w:sz="0" w:space="0" w:color="auto"/>
        <w:left w:val="none" w:sz="0" w:space="0" w:color="auto"/>
        <w:bottom w:val="none" w:sz="0" w:space="0" w:color="auto"/>
        <w:right w:val="none" w:sz="0" w:space="0" w:color="auto"/>
      </w:divBdr>
    </w:div>
    <w:div w:id="367989791">
      <w:bodyDiv w:val="1"/>
      <w:marLeft w:val="0"/>
      <w:marRight w:val="0"/>
      <w:marTop w:val="0"/>
      <w:marBottom w:val="0"/>
      <w:divBdr>
        <w:top w:val="none" w:sz="0" w:space="0" w:color="auto"/>
        <w:left w:val="none" w:sz="0" w:space="0" w:color="auto"/>
        <w:bottom w:val="none" w:sz="0" w:space="0" w:color="auto"/>
        <w:right w:val="none" w:sz="0" w:space="0" w:color="auto"/>
      </w:divBdr>
    </w:div>
    <w:div w:id="428544070">
      <w:bodyDiv w:val="1"/>
      <w:marLeft w:val="0"/>
      <w:marRight w:val="0"/>
      <w:marTop w:val="0"/>
      <w:marBottom w:val="0"/>
      <w:divBdr>
        <w:top w:val="none" w:sz="0" w:space="0" w:color="auto"/>
        <w:left w:val="none" w:sz="0" w:space="0" w:color="auto"/>
        <w:bottom w:val="none" w:sz="0" w:space="0" w:color="auto"/>
        <w:right w:val="none" w:sz="0" w:space="0" w:color="auto"/>
      </w:divBdr>
    </w:div>
    <w:div w:id="476722670">
      <w:bodyDiv w:val="1"/>
      <w:marLeft w:val="0"/>
      <w:marRight w:val="0"/>
      <w:marTop w:val="0"/>
      <w:marBottom w:val="0"/>
      <w:divBdr>
        <w:top w:val="none" w:sz="0" w:space="0" w:color="auto"/>
        <w:left w:val="none" w:sz="0" w:space="0" w:color="auto"/>
        <w:bottom w:val="none" w:sz="0" w:space="0" w:color="auto"/>
        <w:right w:val="none" w:sz="0" w:space="0" w:color="auto"/>
      </w:divBdr>
    </w:div>
    <w:div w:id="491874914">
      <w:bodyDiv w:val="1"/>
      <w:marLeft w:val="0"/>
      <w:marRight w:val="0"/>
      <w:marTop w:val="0"/>
      <w:marBottom w:val="0"/>
      <w:divBdr>
        <w:top w:val="none" w:sz="0" w:space="0" w:color="auto"/>
        <w:left w:val="none" w:sz="0" w:space="0" w:color="auto"/>
        <w:bottom w:val="none" w:sz="0" w:space="0" w:color="auto"/>
        <w:right w:val="none" w:sz="0" w:space="0" w:color="auto"/>
      </w:divBdr>
      <w:divsChild>
        <w:div w:id="1126044359">
          <w:marLeft w:val="0"/>
          <w:marRight w:val="0"/>
          <w:marTop w:val="0"/>
          <w:marBottom w:val="0"/>
          <w:divBdr>
            <w:top w:val="none" w:sz="0" w:space="0" w:color="auto"/>
            <w:left w:val="none" w:sz="0" w:space="0" w:color="auto"/>
            <w:bottom w:val="none" w:sz="0" w:space="0" w:color="auto"/>
            <w:right w:val="none" w:sz="0" w:space="0" w:color="auto"/>
          </w:divBdr>
          <w:divsChild>
            <w:div w:id="1004548151">
              <w:marLeft w:val="0"/>
              <w:marRight w:val="0"/>
              <w:marTop w:val="0"/>
              <w:marBottom w:val="0"/>
              <w:divBdr>
                <w:top w:val="none" w:sz="0" w:space="0" w:color="auto"/>
                <w:left w:val="none" w:sz="0" w:space="0" w:color="auto"/>
                <w:bottom w:val="none" w:sz="0" w:space="0" w:color="auto"/>
                <w:right w:val="none" w:sz="0" w:space="0" w:color="auto"/>
              </w:divBdr>
              <w:divsChild>
                <w:div w:id="760445809">
                  <w:marLeft w:val="0"/>
                  <w:marRight w:val="0"/>
                  <w:marTop w:val="0"/>
                  <w:marBottom w:val="0"/>
                  <w:divBdr>
                    <w:top w:val="none" w:sz="0" w:space="0" w:color="auto"/>
                    <w:left w:val="none" w:sz="0" w:space="0" w:color="auto"/>
                    <w:bottom w:val="none" w:sz="0" w:space="0" w:color="auto"/>
                    <w:right w:val="none" w:sz="0" w:space="0" w:color="auto"/>
                  </w:divBdr>
                  <w:divsChild>
                    <w:div w:id="766777810">
                      <w:marLeft w:val="0"/>
                      <w:marRight w:val="0"/>
                      <w:marTop w:val="0"/>
                      <w:marBottom w:val="0"/>
                      <w:divBdr>
                        <w:top w:val="none" w:sz="0" w:space="0" w:color="auto"/>
                        <w:left w:val="none" w:sz="0" w:space="0" w:color="auto"/>
                        <w:bottom w:val="none" w:sz="0" w:space="0" w:color="auto"/>
                        <w:right w:val="none" w:sz="0" w:space="0" w:color="auto"/>
                      </w:divBdr>
                      <w:divsChild>
                        <w:div w:id="1651904457">
                          <w:marLeft w:val="384"/>
                          <w:marRight w:val="384"/>
                          <w:marTop w:val="0"/>
                          <w:marBottom w:val="0"/>
                          <w:divBdr>
                            <w:top w:val="none" w:sz="0" w:space="0" w:color="auto"/>
                            <w:left w:val="none" w:sz="0" w:space="0" w:color="auto"/>
                            <w:bottom w:val="none" w:sz="0" w:space="0" w:color="auto"/>
                            <w:right w:val="none" w:sz="0" w:space="0" w:color="auto"/>
                          </w:divBdr>
                          <w:divsChild>
                            <w:div w:id="1892155994">
                              <w:marLeft w:val="0"/>
                              <w:marRight w:val="0"/>
                              <w:marTop w:val="332"/>
                              <w:marBottom w:val="332"/>
                              <w:divBdr>
                                <w:top w:val="none" w:sz="0" w:space="0" w:color="auto"/>
                                <w:left w:val="none" w:sz="0" w:space="0" w:color="auto"/>
                                <w:bottom w:val="none" w:sz="0" w:space="0" w:color="auto"/>
                                <w:right w:val="none" w:sz="0" w:space="0" w:color="auto"/>
                              </w:divBdr>
                              <w:divsChild>
                                <w:div w:id="837307767">
                                  <w:marLeft w:val="0"/>
                                  <w:marRight w:val="0"/>
                                  <w:marTop w:val="0"/>
                                  <w:marBottom w:val="0"/>
                                  <w:divBdr>
                                    <w:top w:val="none" w:sz="0" w:space="0" w:color="auto"/>
                                    <w:left w:val="none" w:sz="0" w:space="0" w:color="auto"/>
                                    <w:bottom w:val="none" w:sz="0" w:space="0" w:color="auto"/>
                                    <w:right w:val="none" w:sz="0" w:space="0" w:color="auto"/>
                                  </w:divBdr>
                                </w:div>
                              </w:divsChild>
                            </w:div>
                            <w:div w:id="1072237228">
                              <w:marLeft w:val="0"/>
                              <w:marRight w:val="0"/>
                              <w:marTop w:val="0"/>
                              <w:marBottom w:val="0"/>
                              <w:divBdr>
                                <w:top w:val="none" w:sz="0" w:space="0" w:color="auto"/>
                                <w:left w:val="none" w:sz="0" w:space="0" w:color="auto"/>
                                <w:bottom w:val="none" w:sz="0" w:space="0" w:color="auto"/>
                                <w:right w:val="none" w:sz="0" w:space="0" w:color="auto"/>
                              </w:divBdr>
                              <w:divsChild>
                                <w:div w:id="1606889106">
                                  <w:marLeft w:val="0"/>
                                  <w:marRight w:val="0"/>
                                  <w:marTop w:val="0"/>
                                  <w:marBottom w:val="0"/>
                                  <w:divBdr>
                                    <w:top w:val="none" w:sz="0" w:space="0" w:color="auto"/>
                                    <w:left w:val="none" w:sz="0" w:space="0" w:color="auto"/>
                                    <w:bottom w:val="none" w:sz="0" w:space="0" w:color="auto"/>
                                    <w:right w:val="none" w:sz="0" w:space="0" w:color="auto"/>
                                  </w:divBdr>
                                  <w:divsChild>
                                    <w:div w:id="565724985">
                                      <w:marLeft w:val="0"/>
                                      <w:marRight w:val="0"/>
                                      <w:marTop w:val="166"/>
                                      <w:marBottom w:val="166"/>
                                      <w:divBdr>
                                        <w:top w:val="none" w:sz="0" w:space="0" w:color="auto"/>
                                        <w:left w:val="none" w:sz="0" w:space="0" w:color="auto"/>
                                        <w:bottom w:val="none" w:sz="0" w:space="0" w:color="auto"/>
                                        <w:right w:val="none" w:sz="0" w:space="0" w:color="auto"/>
                                      </w:divBdr>
                                      <w:divsChild>
                                        <w:div w:id="404375881">
                                          <w:marLeft w:val="0"/>
                                          <w:marRight w:val="0"/>
                                          <w:marTop w:val="0"/>
                                          <w:marBottom w:val="0"/>
                                          <w:divBdr>
                                            <w:top w:val="none" w:sz="0" w:space="0" w:color="auto"/>
                                            <w:left w:val="none" w:sz="0" w:space="0" w:color="auto"/>
                                            <w:bottom w:val="none" w:sz="0" w:space="0" w:color="auto"/>
                                            <w:right w:val="none" w:sz="0" w:space="0" w:color="auto"/>
                                          </w:divBdr>
                                          <w:divsChild>
                                            <w:div w:id="1215970064">
                                              <w:marLeft w:val="0"/>
                                              <w:marRight w:val="0"/>
                                              <w:marTop w:val="0"/>
                                              <w:marBottom w:val="0"/>
                                              <w:divBdr>
                                                <w:top w:val="none" w:sz="0" w:space="0" w:color="auto"/>
                                                <w:left w:val="none" w:sz="0" w:space="0" w:color="auto"/>
                                                <w:bottom w:val="none" w:sz="0" w:space="0" w:color="auto"/>
                                                <w:right w:val="none" w:sz="0" w:space="0" w:color="auto"/>
                                              </w:divBdr>
                                            </w:div>
                                            <w:div w:id="654189741">
                                              <w:marLeft w:val="240"/>
                                              <w:marRight w:val="0"/>
                                              <w:marTop w:val="0"/>
                                              <w:marBottom w:val="0"/>
                                              <w:divBdr>
                                                <w:top w:val="none" w:sz="0" w:space="0" w:color="auto"/>
                                                <w:left w:val="none" w:sz="0" w:space="0" w:color="auto"/>
                                                <w:bottom w:val="none" w:sz="0" w:space="0" w:color="auto"/>
                                                <w:right w:val="none" w:sz="0" w:space="0" w:color="auto"/>
                                              </w:divBdr>
                                              <w:divsChild>
                                                <w:div w:id="17184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1589">
                                      <w:marLeft w:val="0"/>
                                      <w:marRight w:val="0"/>
                                      <w:marTop w:val="332"/>
                                      <w:marBottom w:val="332"/>
                                      <w:divBdr>
                                        <w:top w:val="none" w:sz="0" w:space="0" w:color="auto"/>
                                        <w:left w:val="none" w:sz="0" w:space="0" w:color="auto"/>
                                        <w:bottom w:val="none" w:sz="0" w:space="0" w:color="auto"/>
                                        <w:right w:val="none" w:sz="0" w:space="0" w:color="auto"/>
                                      </w:divBdr>
                                      <w:divsChild>
                                        <w:div w:id="2103060282">
                                          <w:marLeft w:val="0"/>
                                          <w:marRight w:val="0"/>
                                          <w:marTop w:val="0"/>
                                          <w:marBottom w:val="0"/>
                                          <w:divBdr>
                                            <w:top w:val="none" w:sz="0" w:space="0" w:color="auto"/>
                                            <w:left w:val="none" w:sz="0" w:space="0" w:color="auto"/>
                                            <w:bottom w:val="none" w:sz="0" w:space="0" w:color="auto"/>
                                            <w:right w:val="none" w:sz="0" w:space="0" w:color="auto"/>
                                          </w:divBdr>
                                        </w:div>
                                        <w:div w:id="1229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648255">
      <w:bodyDiv w:val="1"/>
      <w:marLeft w:val="0"/>
      <w:marRight w:val="0"/>
      <w:marTop w:val="0"/>
      <w:marBottom w:val="0"/>
      <w:divBdr>
        <w:top w:val="none" w:sz="0" w:space="0" w:color="auto"/>
        <w:left w:val="none" w:sz="0" w:space="0" w:color="auto"/>
        <w:bottom w:val="none" w:sz="0" w:space="0" w:color="auto"/>
        <w:right w:val="none" w:sz="0" w:space="0" w:color="auto"/>
      </w:divBdr>
    </w:div>
    <w:div w:id="566034725">
      <w:bodyDiv w:val="1"/>
      <w:marLeft w:val="0"/>
      <w:marRight w:val="0"/>
      <w:marTop w:val="0"/>
      <w:marBottom w:val="0"/>
      <w:divBdr>
        <w:top w:val="none" w:sz="0" w:space="0" w:color="auto"/>
        <w:left w:val="none" w:sz="0" w:space="0" w:color="auto"/>
        <w:bottom w:val="none" w:sz="0" w:space="0" w:color="auto"/>
        <w:right w:val="none" w:sz="0" w:space="0" w:color="auto"/>
      </w:divBdr>
      <w:divsChild>
        <w:div w:id="718628807">
          <w:marLeft w:val="0"/>
          <w:marRight w:val="0"/>
          <w:marTop w:val="0"/>
          <w:marBottom w:val="0"/>
          <w:divBdr>
            <w:top w:val="none" w:sz="0" w:space="0" w:color="auto"/>
            <w:left w:val="none" w:sz="0" w:space="0" w:color="auto"/>
            <w:bottom w:val="none" w:sz="0" w:space="0" w:color="auto"/>
            <w:right w:val="none" w:sz="0" w:space="0" w:color="auto"/>
          </w:divBdr>
          <w:divsChild>
            <w:div w:id="1260257635">
              <w:marLeft w:val="120"/>
              <w:marRight w:val="120"/>
              <w:marTop w:val="120"/>
              <w:marBottom w:val="120"/>
              <w:divBdr>
                <w:top w:val="none" w:sz="0" w:space="0" w:color="auto"/>
                <w:left w:val="none" w:sz="0" w:space="0" w:color="auto"/>
                <w:bottom w:val="none" w:sz="0" w:space="0" w:color="auto"/>
                <w:right w:val="none" w:sz="0" w:space="0" w:color="auto"/>
              </w:divBdr>
              <w:divsChild>
                <w:div w:id="1987005664">
                  <w:marLeft w:val="0"/>
                  <w:marRight w:val="0"/>
                  <w:marTop w:val="0"/>
                  <w:marBottom w:val="0"/>
                  <w:divBdr>
                    <w:top w:val="none" w:sz="0" w:space="0" w:color="auto"/>
                    <w:left w:val="none" w:sz="0" w:space="0" w:color="auto"/>
                    <w:bottom w:val="none" w:sz="0" w:space="0" w:color="auto"/>
                    <w:right w:val="none" w:sz="0" w:space="0" w:color="auto"/>
                  </w:divBdr>
                  <w:divsChild>
                    <w:div w:id="1413819972">
                      <w:marLeft w:val="0"/>
                      <w:marRight w:val="0"/>
                      <w:marTop w:val="0"/>
                      <w:marBottom w:val="0"/>
                      <w:divBdr>
                        <w:top w:val="none" w:sz="0" w:space="0" w:color="auto"/>
                        <w:left w:val="none" w:sz="0" w:space="0" w:color="auto"/>
                        <w:bottom w:val="none" w:sz="0" w:space="0" w:color="auto"/>
                        <w:right w:val="none" w:sz="0" w:space="0" w:color="auto"/>
                      </w:divBdr>
                      <w:divsChild>
                        <w:div w:id="1636444553">
                          <w:marLeft w:val="0"/>
                          <w:marRight w:val="0"/>
                          <w:marTop w:val="0"/>
                          <w:marBottom w:val="0"/>
                          <w:divBdr>
                            <w:top w:val="none" w:sz="0" w:space="0" w:color="auto"/>
                            <w:left w:val="none" w:sz="0" w:space="0" w:color="auto"/>
                            <w:bottom w:val="none" w:sz="0" w:space="0" w:color="auto"/>
                            <w:right w:val="none" w:sz="0" w:space="0" w:color="auto"/>
                          </w:divBdr>
                        </w:div>
                        <w:div w:id="10657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5218">
          <w:marLeft w:val="0"/>
          <w:marRight w:val="0"/>
          <w:marTop w:val="0"/>
          <w:marBottom w:val="0"/>
          <w:divBdr>
            <w:top w:val="none" w:sz="0" w:space="0" w:color="auto"/>
            <w:left w:val="single" w:sz="48" w:space="0" w:color="auto"/>
            <w:bottom w:val="none" w:sz="0" w:space="0" w:color="auto"/>
            <w:right w:val="single" w:sz="48" w:space="0" w:color="auto"/>
          </w:divBdr>
          <w:divsChild>
            <w:div w:id="1675650284">
              <w:marLeft w:val="0"/>
              <w:marRight w:val="0"/>
              <w:marTop w:val="100"/>
              <w:marBottom w:val="100"/>
              <w:divBdr>
                <w:top w:val="none" w:sz="0" w:space="0" w:color="auto"/>
                <w:left w:val="none" w:sz="0" w:space="0" w:color="auto"/>
                <w:bottom w:val="none" w:sz="0" w:space="0" w:color="auto"/>
                <w:right w:val="none" w:sz="0" w:space="0" w:color="auto"/>
              </w:divBdr>
              <w:divsChild>
                <w:div w:id="1798914308">
                  <w:marLeft w:val="0"/>
                  <w:marRight w:val="0"/>
                  <w:marTop w:val="0"/>
                  <w:marBottom w:val="0"/>
                  <w:divBdr>
                    <w:top w:val="none" w:sz="0" w:space="0" w:color="auto"/>
                    <w:left w:val="none" w:sz="0" w:space="0" w:color="auto"/>
                    <w:bottom w:val="none" w:sz="0" w:space="0" w:color="auto"/>
                    <w:right w:val="none" w:sz="0" w:space="0" w:color="auto"/>
                  </w:divBdr>
                </w:div>
              </w:divsChild>
            </w:div>
            <w:div w:id="902567828">
              <w:marLeft w:val="0"/>
              <w:marRight w:val="0"/>
              <w:marTop w:val="0"/>
              <w:marBottom w:val="0"/>
              <w:divBdr>
                <w:top w:val="none" w:sz="0" w:space="0" w:color="auto"/>
                <w:left w:val="none" w:sz="0" w:space="0" w:color="auto"/>
                <w:bottom w:val="none" w:sz="0" w:space="0" w:color="auto"/>
                <w:right w:val="none" w:sz="0" w:space="0" w:color="auto"/>
              </w:divBdr>
              <w:divsChild>
                <w:div w:id="1648634160">
                  <w:marLeft w:val="0"/>
                  <w:marRight w:val="0"/>
                  <w:marTop w:val="0"/>
                  <w:marBottom w:val="0"/>
                  <w:divBdr>
                    <w:top w:val="none" w:sz="0" w:space="0" w:color="auto"/>
                    <w:left w:val="none" w:sz="0" w:space="0" w:color="auto"/>
                    <w:bottom w:val="none" w:sz="0" w:space="0" w:color="auto"/>
                    <w:right w:val="none" w:sz="0" w:space="0" w:color="auto"/>
                  </w:divBdr>
                </w:div>
                <w:div w:id="399596678">
                  <w:marLeft w:val="0"/>
                  <w:marRight w:val="0"/>
                  <w:marTop w:val="0"/>
                  <w:marBottom w:val="0"/>
                  <w:divBdr>
                    <w:top w:val="none" w:sz="0" w:space="0" w:color="auto"/>
                    <w:left w:val="none" w:sz="0" w:space="0" w:color="auto"/>
                    <w:bottom w:val="none" w:sz="0" w:space="0" w:color="auto"/>
                    <w:right w:val="none" w:sz="0" w:space="0" w:color="auto"/>
                  </w:divBdr>
                </w:div>
              </w:divsChild>
            </w:div>
            <w:div w:id="396707165">
              <w:marLeft w:val="0"/>
              <w:marRight w:val="0"/>
              <w:marTop w:val="0"/>
              <w:marBottom w:val="0"/>
              <w:divBdr>
                <w:top w:val="none" w:sz="0" w:space="0" w:color="auto"/>
                <w:left w:val="none" w:sz="0" w:space="0" w:color="auto"/>
                <w:bottom w:val="none" w:sz="0" w:space="0" w:color="auto"/>
                <w:right w:val="none" w:sz="0" w:space="0" w:color="auto"/>
              </w:divBdr>
            </w:div>
            <w:div w:id="1195383065">
              <w:marLeft w:val="0"/>
              <w:marRight w:val="0"/>
              <w:marTop w:val="0"/>
              <w:marBottom w:val="0"/>
              <w:divBdr>
                <w:top w:val="none" w:sz="0" w:space="0" w:color="auto"/>
                <w:left w:val="none" w:sz="0" w:space="0" w:color="auto"/>
                <w:bottom w:val="none" w:sz="0" w:space="0" w:color="auto"/>
                <w:right w:val="none" w:sz="0" w:space="0" w:color="auto"/>
              </w:divBdr>
              <w:divsChild>
                <w:div w:id="601108731">
                  <w:marLeft w:val="0"/>
                  <w:marRight w:val="0"/>
                  <w:marTop w:val="0"/>
                  <w:marBottom w:val="0"/>
                  <w:divBdr>
                    <w:top w:val="none" w:sz="0" w:space="0" w:color="auto"/>
                    <w:left w:val="none" w:sz="0" w:space="0" w:color="auto"/>
                    <w:bottom w:val="none" w:sz="0" w:space="0" w:color="auto"/>
                    <w:right w:val="none" w:sz="0" w:space="0" w:color="auto"/>
                  </w:divBdr>
                  <w:divsChild>
                    <w:div w:id="98497057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6859188">
                          <w:marLeft w:val="0"/>
                          <w:marRight w:val="0"/>
                          <w:marTop w:val="0"/>
                          <w:marBottom w:val="0"/>
                          <w:divBdr>
                            <w:top w:val="none" w:sz="0" w:space="0" w:color="auto"/>
                            <w:left w:val="none" w:sz="0" w:space="0" w:color="auto"/>
                            <w:bottom w:val="none" w:sz="0" w:space="0" w:color="auto"/>
                            <w:right w:val="none" w:sz="0" w:space="0" w:color="auto"/>
                          </w:divBdr>
                          <w:divsChild>
                            <w:div w:id="533151567">
                              <w:marLeft w:val="0"/>
                              <w:marRight w:val="0"/>
                              <w:marTop w:val="0"/>
                              <w:marBottom w:val="0"/>
                              <w:divBdr>
                                <w:top w:val="none" w:sz="0" w:space="0" w:color="auto"/>
                                <w:left w:val="none" w:sz="0" w:space="0" w:color="auto"/>
                                <w:bottom w:val="none" w:sz="0" w:space="0" w:color="auto"/>
                                <w:right w:val="none" w:sz="0" w:space="0" w:color="auto"/>
                              </w:divBdr>
                            </w:div>
                            <w:div w:id="16858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70382">
                  <w:marLeft w:val="0"/>
                  <w:marRight w:val="0"/>
                  <w:marTop w:val="0"/>
                  <w:marBottom w:val="0"/>
                  <w:divBdr>
                    <w:top w:val="none" w:sz="0" w:space="0" w:color="auto"/>
                    <w:left w:val="none" w:sz="0" w:space="0" w:color="auto"/>
                    <w:bottom w:val="none" w:sz="0" w:space="0" w:color="auto"/>
                    <w:right w:val="none" w:sz="0" w:space="0" w:color="auto"/>
                  </w:divBdr>
                </w:div>
              </w:divsChild>
            </w:div>
            <w:div w:id="1459254031">
              <w:marLeft w:val="0"/>
              <w:marRight w:val="0"/>
              <w:marTop w:val="0"/>
              <w:marBottom w:val="0"/>
              <w:divBdr>
                <w:top w:val="none" w:sz="0" w:space="0" w:color="auto"/>
                <w:left w:val="none" w:sz="0" w:space="0" w:color="auto"/>
                <w:bottom w:val="none" w:sz="0" w:space="0" w:color="auto"/>
                <w:right w:val="none" w:sz="0" w:space="0" w:color="auto"/>
              </w:divBdr>
              <w:divsChild>
                <w:div w:id="167451220">
                  <w:marLeft w:val="0"/>
                  <w:marRight w:val="0"/>
                  <w:marTop w:val="0"/>
                  <w:marBottom w:val="0"/>
                  <w:divBdr>
                    <w:top w:val="none" w:sz="0" w:space="0" w:color="auto"/>
                    <w:left w:val="none" w:sz="0" w:space="0" w:color="auto"/>
                    <w:bottom w:val="none" w:sz="0" w:space="0" w:color="auto"/>
                    <w:right w:val="none" w:sz="0" w:space="0" w:color="auto"/>
                  </w:divBdr>
                  <w:divsChild>
                    <w:div w:id="100940391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825001879">
                          <w:marLeft w:val="0"/>
                          <w:marRight w:val="0"/>
                          <w:marTop w:val="0"/>
                          <w:marBottom w:val="0"/>
                          <w:divBdr>
                            <w:top w:val="none" w:sz="0" w:space="0" w:color="auto"/>
                            <w:left w:val="none" w:sz="0" w:space="0" w:color="auto"/>
                            <w:bottom w:val="none" w:sz="0" w:space="0" w:color="auto"/>
                            <w:right w:val="none" w:sz="0" w:space="0" w:color="auto"/>
                          </w:divBdr>
                          <w:divsChild>
                            <w:div w:id="1585341792">
                              <w:marLeft w:val="0"/>
                              <w:marRight w:val="0"/>
                              <w:marTop w:val="0"/>
                              <w:marBottom w:val="0"/>
                              <w:divBdr>
                                <w:top w:val="none" w:sz="0" w:space="0" w:color="auto"/>
                                <w:left w:val="none" w:sz="0" w:space="0" w:color="auto"/>
                                <w:bottom w:val="none" w:sz="0" w:space="0" w:color="auto"/>
                                <w:right w:val="none" w:sz="0" w:space="0" w:color="auto"/>
                              </w:divBdr>
                            </w:div>
                            <w:div w:id="10985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60">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06722455">
                          <w:marLeft w:val="0"/>
                          <w:marRight w:val="0"/>
                          <w:marTop w:val="0"/>
                          <w:marBottom w:val="0"/>
                          <w:divBdr>
                            <w:top w:val="none" w:sz="0" w:space="0" w:color="auto"/>
                            <w:left w:val="none" w:sz="0" w:space="0" w:color="auto"/>
                            <w:bottom w:val="none" w:sz="0" w:space="0" w:color="auto"/>
                            <w:right w:val="none" w:sz="0" w:space="0" w:color="auto"/>
                          </w:divBdr>
                          <w:divsChild>
                            <w:div w:id="2013950129">
                              <w:marLeft w:val="0"/>
                              <w:marRight w:val="0"/>
                              <w:marTop w:val="0"/>
                              <w:marBottom w:val="0"/>
                              <w:divBdr>
                                <w:top w:val="none" w:sz="0" w:space="0" w:color="auto"/>
                                <w:left w:val="none" w:sz="0" w:space="0" w:color="auto"/>
                                <w:bottom w:val="none" w:sz="0" w:space="0" w:color="auto"/>
                                <w:right w:val="none" w:sz="0" w:space="0" w:color="auto"/>
                              </w:divBdr>
                            </w:div>
                            <w:div w:id="1389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3220">
                  <w:marLeft w:val="0"/>
                  <w:marRight w:val="0"/>
                  <w:marTop w:val="0"/>
                  <w:marBottom w:val="0"/>
                  <w:divBdr>
                    <w:top w:val="none" w:sz="0" w:space="0" w:color="auto"/>
                    <w:left w:val="none" w:sz="0" w:space="0" w:color="auto"/>
                    <w:bottom w:val="none" w:sz="0" w:space="0" w:color="auto"/>
                    <w:right w:val="none" w:sz="0" w:space="0" w:color="auto"/>
                  </w:divBdr>
                </w:div>
                <w:div w:id="126318412">
                  <w:marLeft w:val="0"/>
                  <w:marRight w:val="0"/>
                  <w:marTop w:val="0"/>
                  <w:marBottom w:val="0"/>
                  <w:divBdr>
                    <w:top w:val="none" w:sz="0" w:space="0" w:color="auto"/>
                    <w:left w:val="none" w:sz="0" w:space="0" w:color="auto"/>
                    <w:bottom w:val="none" w:sz="0" w:space="0" w:color="auto"/>
                    <w:right w:val="none" w:sz="0" w:space="0" w:color="auto"/>
                  </w:divBdr>
                  <w:divsChild>
                    <w:div w:id="1132750949">
                      <w:marLeft w:val="0"/>
                      <w:marRight w:val="0"/>
                      <w:marTop w:val="0"/>
                      <w:marBottom w:val="0"/>
                      <w:divBdr>
                        <w:top w:val="none" w:sz="0" w:space="0" w:color="auto"/>
                        <w:left w:val="none" w:sz="0" w:space="0" w:color="auto"/>
                        <w:bottom w:val="none" w:sz="0" w:space="0" w:color="auto"/>
                        <w:right w:val="none" w:sz="0" w:space="0" w:color="auto"/>
                      </w:divBdr>
                    </w:div>
                    <w:div w:id="714819422">
                      <w:marLeft w:val="0"/>
                      <w:marRight w:val="0"/>
                      <w:marTop w:val="0"/>
                      <w:marBottom w:val="0"/>
                      <w:divBdr>
                        <w:top w:val="none" w:sz="0" w:space="0" w:color="auto"/>
                        <w:left w:val="none" w:sz="0" w:space="0" w:color="auto"/>
                        <w:bottom w:val="none" w:sz="0" w:space="0" w:color="auto"/>
                        <w:right w:val="none" w:sz="0" w:space="0" w:color="auto"/>
                      </w:divBdr>
                      <w:divsChild>
                        <w:div w:id="54337016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317466144">
                              <w:marLeft w:val="0"/>
                              <w:marRight w:val="0"/>
                              <w:marTop w:val="0"/>
                              <w:marBottom w:val="0"/>
                              <w:divBdr>
                                <w:top w:val="none" w:sz="0" w:space="0" w:color="auto"/>
                                <w:left w:val="none" w:sz="0" w:space="0" w:color="auto"/>
                                <w:bottom w:val="none" w:sz="0" w:space="0" w:color="auto"/>
                                <w:right w:val="none" w:sz="0" w:space="0" w:color="auto"/>
                              </w:divBdr>
                              <w:divsChild>
                                <w:div w:id="94984742">
                                  <w:marLeft w:val="0"/>
                                  <w:marRight w:val="0"/>
                                  <w:marTop w:val="0"/>
                                  <w:marBottom w:val="0"/>
                                  <w:divBdr>
                                    <w:top w:val="none" w:sz="0" w:space="0" w:color="auto"/>
                                    <w:left w:val="none" w:sz="0" w:space="0" w:color="auto"/>
                                    <w:bottom w:val="none" w:sz="0" w:space="0" w:color="auto"/>
                                    <w:right w:val="none" w:sz="0" w:space="0" w:color="auto"/>
                                  </w:divBdr>
                                </w:div>
                                <w:div w:id="1624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4973">
                      <w:marLeft w:val="0"/>
                      <w:marRight w:val="0"/>
                      <w:marTop w:val="0"/>
                      <w:marBottom w:val="0"/>
                      <w:divBdr>
                        <w:top w:val="none" w:sz="0" w:space="0" w:color="auto"/>
                        <w:left w:val="none" w:sz="0" w:space="0" w:color="auto"/>
                        <w:bottom w:val="none" w:sz="0" w:space="0" w:color="auto"/>
                        <w:right w:val="none" w:sz="0" w:space="0" w:color="auto"/>
                      </w:divBdr>
                    </w:div>
                  </w:divsChild>
                </w:div>
                <w:div w:id="1037005564">
                  <w:marLeft w:val="0"/>
                  <w:marRight w:val="0"/>
                  <w:marTop w:val="0"/>
                  <w:marBottom w:val="0"/>
                  <w:divBdr>
                    <w:top w:val="none" w:sz="0" w:space="0" w:color="auto"/>
                    <w:left w:val="none" w:sz="0" w:space="0" w:color="auto"/>
                    <w:bottom w:val="none" w:sz="0" w:space="0" w:color="auto"/>
                    <w:right w:val="none" w:sz="0" w:space="0" w:color="auto"/>
                  </w:divBdr>
                  <w:divsChild>
                    <w:div w:id="1907568427">
                      <w:marLeft w:val="0"/>
                      <w:marRight w:val="0"/>
                      <w:marTop w:val="0"/>
                      <w:marBottom w:val="0"/>
                      <w:divBdr>
                        <w:top w:val="none" w:sz="0" w:space="0" w:color="auto"/>
                        <w:left w:val="none" w:sz="0" w:space="0" w:color="auto"/>
                        <w:bottom w:val="none" w:sz="0" w:space="0" w:color="auto"/>
                        <w:right w:val="none" w:sz="0" w:space="0" w:color="auto"/>
                      </w:divBdr>
                      <w:divsChild>
                        <w:div w:id="94307317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032415781">
                              <w:marLeft w:val="0"/>
                              <w:marRight w:val="0"/>
                              <w:marTop w:val="0"/>
                              <w:marBottom w:val="0"/>
                              <w:divBdr>
                                <w:top w:val="none" w:sz="0" w:space="0" w:color="auto"/>
                                <w:left w:val="none" w:sz="0" w:space="0" w:color="auto"/>
                                <w:bottom w:val="none" w:sz="0" w:space="0" w:color="auto"/>
                                <w:right w:val="none" w:sz="0" w:space="0" w:color="auto"/>
                              </w:divBdr>
                              <w:divsChild>
                                <w:div w:id="1003901876">
                                  <w:marLeft w:val="0"/>
                                  <w:marRight w:val="0"/>
                                  <w:marTop w:val="0"/>
                                  <w:marBottom w:val="0"/>
                                  <w:divBdr>
                                    <w:top w:val="none" w:sz="0" w:space="0" w:color="auto"/>
                                    <w:left w:val="none" w:sz="0" w:space="0" w:color="auto"/>
                                    <w:bottom w:val="none" w:sz="0" w:space="0" w:color="auto"/>
                                    <w:right w:val="none" w:sz="0" w:space="0" w:color="auto"/>
                                  </w:divBdr>
                                </w:div>
                                <w:div w:id="8962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375">
                      <w:marLeft w:val="0"/>
                      <w:marRight w:val="0"/>
                      <w:marTop w:val="0"/>
                      <w:marBottom w:val="0"/>
                      <w:divBdr>
                        <w:top w:val="none" w:sz="0" w:space="0" w:color="auto"/>
                        <w:left w:val="none" w:sz="0" w:space="0" w:color="auto"/>
                        <w:bottom w:val="none" w:sz="0" w:space="0" w:color="auto"/>
                        <w:right w:val="none" w:sz="0" w:space="0" w:color="auto"/>
                      </w:divBdr>
                    </w:div>
                  </w:divsChild>
                </w:div>
                <w:div w:id="1728020419">
                  <w:marLeft w:val="0"/>
                  <w:marRight w:val="0"/>
                  <w:marTop w:val="0"/>
                  <w:marBottom w:val="0"/>
                  <w:divBdr>
                    <w:top w:val="none" w:sz="0" w:space="0" w:color="auto"/>
                    <w:left w:val="none" w:sz="0" w:space="0" w:color="auto"/>
                    <w:bottom w:val="none" w:sz="0" w:space="0" w:color="auto"/>
                    <w:right w:val="none" w:sz="0" w:space="0" w:color="auto"/>
                  </w:divBdr>
                </w:div>
                <w:div w:id="313417031">
                  <w:marLeft w:val="0"/>
                  <w:marRight w:val="0"/>
                  <w:marTop w:val="0"/>
                  <w:marBottom w:val="0"/>
                  <w:divBdr>
                    <w:top w:val="none" w:sz="0" w:space="0" w:color="auto"/>
                    <w:left w:val="none" w:sz="0" w:space="0" w:color="auto"/>
                    <w:bottom w:val="none" w:sz="0" w:space="0" w:color="auto"/>
                    <w:right w:val="none" w:sz="0" w:space="0" w:color="auto"/>
                  </w:divBdr>
                </w:div>
                <w:div w:id="512453383">
                  <w:marLeft w:val="0"/>
                  <w:marRight w:val="0"/>
                  <w:marTop w:val="0"/>
                  <w:marBottom w:val="0"/>
                  <w:divBdr>
                    <w:top w:val="none" w:sz="0" w:space="0" w:color="auto"/>
                    <w:left w:val="none" w:sz="0" w:space="0" w:color="auto"/>
                    <w:bottom w:val="none" w:sz="0" w:space="0" w:color="auto"/>
                    <w:right w:val="none" w:sz="0" w:space="0" w:color="auto"/>
                  </w:divBdr>
                </w:div>
                <w:div w:id="250626380">
                  <w:marLeft w:val="0"/>
                  <w:marRight w:val="0"/>
                  <w:marTop w:val="0"/>
                  <w:marBottom w:val="0"/>
                  <w:divBdr>
                    <w:top w:val="none" w:sz="0" w:space="0" w:color="auto"/>
                    <w:left w:val="none" w:sz="0" w:space="0" w:color="auto"/>
                    <w:bottom w:val="none" w:sz="0" w:space="0" w:color="auto"/>
                    <w:right w:val="none" w:sz="0" w:space="0" w:color="auto"/>
                  </w:divBdr>
                  <w:divsChild>
                    <w:div w:id="832381858">
                      <w:marLeft w:val="0"/>
                      <w:marRight w:val="0"/>
                      <w:marTop w:val="0"/>
                      <w:marBottom w:val="0"/>
                      <w:divBdr>
                        <w:top w:val="none" w:sz="0" w:space="0" w:color="auto"/>
                        <w:left w:val="none" w:sz="0" w:space="0" w:color="auto"/>
                        <w:bottom w:val="none" w:sz="0" w:space="0" w:color="auto"/>
                        <w:right w:val="none" w:sz="0" w:space="0" w:color="auto"/>
                      </w:divBdr>
                      <w:divsChild>
                        <w:div w:id="25652605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0390381">
                              <w:marLeft w:val="0"/>
                              <w:marRight w:val="0"/>
                              <w:marTop w:val="0"/>
                              <w:marBottom w:val="0"/>
                              <w:divBdr>
                                <w:top w:val="none" w:sz="0" w:space="0" w:color="auto"/>
                                <w:left w:val="none" w:sz="0" w:space="0" w:color="auto"/>
                                <w:bottom w:val="none" w:sz="0" w:space="0" w:color="auto"/>
                                <w:right w:val="none" w:sz="0" w:space="0" w:color="auto"/>
                              </w:divBdr>
                              <w:divsChild>
                                <w:div w:id="118766606">
                                  <w:marLeft w:val="0"/>
                                  <w:marRight w:val="0"/>
                                  <w:marTop w:val="0"/>
                                  <w:marBottom w:val="0"/>
                                  <w:divBdr>
                                    <w:top w:val="none" w:sz="0" w:space="0" w:color="auto"/>
                                    <w:left w:val="none" w:sz="0" w:space="0" w:color="auto"/>
                                    <w:bottom w:val="none" w:sz="0" w:space="0" w:color="auto"/>
                                    <w:right w:val="none" w:sz="0" w:space="0" w:color="auto"/>
                                  </w:divBdr>
                                </w:div>
                                <w:div w:id="2863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6508">
                      <w:marLeft w:val="0"/>
                      <w:marRight w:val="0"/>
                      <w:marTop w:val="0"/>
                      <w:marBottom w:val="0"/>
                      <w:divBdr>
                        <w:top w:val="none" w:sz="0" w:space="0" w:color="auto"/>
                        <w:left w:val="none" w:sz="0" w:space="0" w:color="auto"/>
                        <w:bottom w:val="none" w:sz="0" w:space="0" w:color="auto"/>
                        <w:right w:val="none" w:sz="0" w:space="0" w:color="auto"/>
                      </w:divBdr>
                      <w:divsChild>
                        <w:div w:id="1630280142">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94973860">
                              <w:marLeft w:val="0"/>
                              <w:marRight w:val="0"/>
                              <w:marTop w:val="0"/>
                              <w:marBottom w:val="0"/>
                              <w:divBdr>
                                <w:top w:val="none" w:sz="0" w:space="0" w:color="auto"/>
                                <w:left w:val="none" w:sz="0" w:space="0" w:color="auto"/>
                                <w:bottom w:val="none" w:sz="0" w:space="0" w:color="auto"/>
                                <w:right w:val="none" w:sz="0" w:space="0" w:color="auto"/>
                              </w:divBdr>
                              <w:divsChild>
                                <w:div w:id="13655532">
                                  <w:marLeft w:val="0"/>
                                  <w:marRight w:val="0"/>
                                  <w:marTop w:val="0"/>
                                  <w:marBottom w:val="0"/>
                                  <w:divBdr>
                                    <w:top w:val="none" w:sz="0" w:space="0" w:color="auto"/>
                                    <w:left w:val="none" w:sz="0" w:space="0" w:color="auto"/>
                                    <w:bottom w:val="none" w:sz="0" w:space="0" w:color="auto"/>
                                    <w:right w:val="none" w:sz="0" w:space="0" w:color="auto"/>
                                  </w:divBdr>
                                </w:div>
                                <w:div w:id="1362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62539">
                  <w:marLeft w:val="0"/>
                  <w:marRight w:val="0"/>
                  <w:marTop w:val="0"/>
                  <w:marBottom w:val="0"/>
                  <w:divBdr>
                    <w:top w:val="none" w:sz="0" w:space="0" w:color="auto"/>
                    <w:left w:val="none" w:sz="0" w:space="0" w:color="auto"/>
                    <w:bottom w:val="none" w:sz="0" w:space="0" w:color="auto"/>
                    <w:right w:val="none" w:sz="0" w:space="0" w:color="auto"/>
                  </w:divBdr>
                </w:div>
                <w:div w:id="439224241">
                  <w:marLeft w:val="0"/>
                  <w:marRight w:val="0"/>
                  <w:marTop w:val="0"/>
                  <w:marBottom w:val="0"/>
                  <w:divBdr>
                    <w:top w:val="none" w:sz="0" w:space="0" w:color="auto"/>
                    <w:left w:val="none" w:sz="0" w:space="0" w:color="auto"/>
                    <w:bottom w:val="none" w:sz="0" w:space="0" w:color="auto"/>
                    <w:right w:val="none" w:sz="0" w:space="0" w:color="auto"/>
                  </w:divBdr>
                  <w:divsChild>
                    <w:div w:id="1299458270">
                      <w:marLeft w:val="0"/>
                      <w:marRight w:val="0"/>
                      <w:marTop w:val="0"/>
                      <w:marBottom w:val="0"/>
                      <w:divBdr>
                        <w:top w:val="none" w:sz="0" w:space="0" w:color="auto"/>
                        <w:left w:val="none" w:sz="0" w:space="0" w:color="auto"/>
                        <w:bottom w:val="none" w:sz="0" w:space="0" w:color="auto"/>
                        <w:right w:val="none" w:sz="0" w:space="0" w:color="auto"/>
                      </w:divBdr>
                      <w:divsChild>
                        <w:div w:id="93593980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42827609">
                              <w:marLeft w:val="0"/>
                              <w:marRight w:val="0"/>
                              <w:marTop w:val="0"/>
                              <w:marBottom w:val="0"/>
                              <w:divBdr>
                                <w:top w:val="none" w:sz="0" w:space="0" w:color="auto"/>
                                <w:left w:val="none" w:sz="0" w:space="0" w:color="auto"/>
                                <w:bottom w:val="none" w:sz="0" w:space="0" w:color="auto"/>
                                <w:right w:val="none" w:sz="0" w:space="0" w:color="auto"/>
                              </w:divBdr>
                              <w:divsChild>
                                <w:div w:id="1803225891">
                                  <w:marLeft w:val="0"/>
                                  <w:marRight w:val="0"/>
                                  <w:marTop w:val="0"/>
                                  <w:marBottom w:val="0"/>
                                  <w:divBdr>
                                    <w:top w:val="none" w:sz="0" w:space="0" w:color="auto"/>
                                    <w:left w:val="none" w:sz="0" w:space="0" w:color="auto"/>
                                    <w:bottom w:val="none" w:sz="0" w:space="0" w:color="auto"/>
                                    <w:right w:val="none" w:sz="0" w:space="0" w:color="auto"/>
                                  </w:divBdr>
                                </w:div>
                                <w:div w:id="111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1466">
                      <w:marLeft w:val="0"/>
                      <w:marRight w:val="0"/>
                      <w:marTop w:val="0"/>
                      <w:marBottom w:val="0"/>
                      <w:divBdr>
                        <w:top w:val="none" w:sz="0" w:space="0" w:color="auto"/>
                        <w:left w:val="none" w:sz="0" w:space="0" w:color="auto"/>
                        <w:bottom w:val="none" w:sz="0" w:space="0" w:color="auto"/>
                        <w:right w:val="none" w:sz="0" w:space="0" w:color="auto"/>
                      </w:divBdr>
                    </w:div>
                  </w:divsChild>
                </w:div>
                <w:div w:id="1292057600">
                  <w:marLeft w:val="0"/>
                  <w:marRight w:val="0"/>
                  <w:marTop w:val="0"/>
                  <w:marBottom w:val="0"/>
                  <w:divBdr>
                    <w:top w:val="none" w:sz="0" w:space="0" w:color="auto"/>
                    <w:left w:val="none" w:sz="0" w:space="0" w:color="auto"/>
                    <w:bottom w:val="none" w:sz="0" w:space="0" w:color="auto"/>
                    <w:right w:val="none" w:sz="0" w:space="0" w:color="auto"/>
                  </w:divBdr>
                  <w:divsChild>
                    <w:div w:id="299044186">
                      <w:marLeft w:val="0"/>
                      <w:marRight w:val="0"/>
                      <w:marTop w:val="0"/>
                      <w:marBottom w:val="0"/>
                      <w:divBdr>
                        <w:top w:val="none" w:sz="0" w:space="0" w:color="auto"/>
                        <w:left w:val="none" w:sz="0" w:space="0" w:color="auto"/>
                        <w:bottom w:val="none" w:sz="0" w:space="0" w:color="auto"/>
                        <w:right w:val="none" w:sz="0" w:space="0" w:color="auto"/>
                      </w:divBdr>
                      <w:divsChild>
                        <w:div w:id="87839499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629096060">
                              <w:marLeft w:val="0"/>
                              <w:marRight w:val="0"/>
                              <w:marTop w:val="0"/>
                              <w:marBottom w:val="0"/>
                              <w:divBdr>
                                <w:top w:val="none" w:sz="0" w:space="0" w:color="auto"/>
                                <w:left w:val="none" w:sz="0" w:space="0" w:color="auto"/>
                                <w:bottom w:val="none" w:sz="0" w:space="0" w:color="auto"/>
                                <w:right w:val="none" w:sz="0" w:space="0" w:color="auto"/>
                              </w:divBdr>
                              <w:divsChild>
                                <w:div w:id="458501206">
                                  <w:marLeft w:val="0"/>
                                  <w:marRight w:val="0"/>
                                  <w:marTop w:val="0"/>
                                  <w:marBottom w:val="0"/>
                                  <w:divBdr>
                                    <w:top w:val="none" w:sz="0" w:space="0" w:color="auto"/>
                                    <w:left w:val="none" w:sz="0" w:space="0" w:color="auto"/>
                                    <w:bottom w:val="none" w:sz="0" w:space="0" w:color="auto"/>
                                    <w:right w:val="none" w:sz="0" w:space="0" w:color="auto"/>
                                  </w:divBdr>
                                </w:div>
                                <w:div w:id="18304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1883">
                      <w:marLeft w:val="0"/>
                      <w:marRight w:val="0"/>
                      <w:marTop w:val="0"/>
                      <w:marBottom w:val="0"/>
                      <w:divBdr>
                        <w:top w:val="none" w:sz="0" w:space="0" w:color="auto"/>
                        <w:left w:val="none" w:sz="0" w:space="0" w:color="auto"/>
                        <w:bottom w:val="none" w:sz="0" w:space="0" w:color="auto"/>
                        <w:right w:val="none" w:sz="0" w:space="0" w:color="auto"/>
                      </w:divBdr>
                    </w:div>
                    <w:div w:id="7184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88646">
              <w:marLeft w:val="0"/>
              <w:marRight w:val="0"/>
              <w:marTop w:val="0"/>
              <w:marBottom w:val="0"/>
              <w:divBdr>
                <w:top w:val="none" w:sz="0" w:space="0" w:color="auto"/>
                <w:left w:val="none" w:sz="0" w:space="0" w:color="auto"/>
                <w:bottom w:val="none" w:sz="0" w:space="0" w:color="auto"/>
                <w:right w:val="none" w:sz="0" w:space="0" w:color="auto"/>
              </w:divBdr>
            </w:div>
            <w:div w:id="2113042748">
              <w:marLeft w:val="0"/>
              <w:marRight w:val="0"/>
              <w:marTop w:val="0"/>
              <w:marBottom w:val="0"/>
              <w:divBdr>
                <w:top w:val="none" w:sz="0" w:space="0" w:color="auto"/>
                <w:left w:val="none" w:sz="0" w:space="0" w:color="auto"/>
                <w:bottom w:val="none" w:sz="0" w:space="0" w:color="auto"/>
                <w:right w:val="none" w:sz="0" w:space="0" w:color="auto"/>
              </w:divBdr>
              <w:divsChild>
                <w:div w:id="54478069">
                  <w:marLeft w:val="0"/>
                  <w:marRight w:val="0"/>
                  <w:marTop w:val="0"/>
                  <w:marBottom w:val="0"/>
                  <w:divBdr>
                    <w:top w:val="none" w:sz="0" w:space="0" w:color="auto"/>
                    <w:left w:val="none" w:sz="0" w:space="0" w:color="auto"/>
                    <w:bottom w:val="none" w:sz="0" w:space="0" w:color="auto"/>
                    <w:right w:val="none" w:sz="0" w:space="0" w:color="auto"/>
                  </w:divBdr>
                </w:div>
              </w:divsChild>
            </w:div>
            <w:div w:id="410811505">
              <w:marLeft w:val="0"/>
              <w:marRight w:val="0"/>
              <w:marTop w:val="0"/>
              <w:marBottom w:val="0"/>
              <w:divBdr>
                <w:top w:val="none" w:sz="0" w:space="0" w:color="auto"/>
                <w:left w:val="none" w:sz="0" w:space="0" w:color="auto"/>
                <w:bottom w:val="none" w:sz="0" w:space="0" w:color="auto"/>
                <w:right w:val="none" w:sz="0" w:space="0" w:color="auto"/>
              </w:divBdr>
            </w:div>
            <w:div w:id="451365605">
              <w:marLeft w:val="0"/>
              <w:marRight w:val="0"/>
              <w:marTop w:val="0"/>
              <w:marBottom w:val="0"/>
              <w:divBdr>
                <w:top w:val="none" w:sz="0" w:space="0" w:color="auto"/>
                <w:left w:val="none" w:sz="0" w:space="0" w:color="auto"/>
                <w:bottom w:val="none" w:sz="0" w:space="0" w:color="auto"/>
                <w:right w:val="none" w:sz="0" w:space="0" w:color="auto"/>
              </w:divBdr>
              <w:divsChild>
                <w:div w:id="343824421">
                  <w:marLeft w:val="0"/>
                  <w:marRight w:val="0"/>
                  <w:marTop w:val="0"/>
                  <w:marBottom w:val="0"/>
                  <w:divBdr>
                    <w:top w:val="none" w:sz="0" w:space="0" w:color="auto"/>
                    <w:left w:val="none" w:sz="0" w:space="0" w:color="auto"/>
                    <w:bottom w:val="none" w:sz="0" w:space="0" w:color="auto"/>
                    <w:right w:val="none" w:sz="0" w:space="0" w:color="auto"/>
                  </w:divBdr>
                  <w:divsChild>
                    <w:div w:id="897939858">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7431770">
                          <w:marLeft w:val="0"/>
                          <w:marRight w:val="0"/>
                          <w:marTop w:val="0"/>
                          <w:marBottom w:val="0"/>
                          <w:divBdr>
                            <w:top w:val="none" w:sz="0" w:space="0" w:color="auto"/>
                            <w:left w:val="none" w:sz="0" w:space="0" w:color="auto"/>
                            <w:bottom w:val="none" w:sz="0" w:space="0" w:color="auto"/>
                            <w:right w:val="none" w:sz="0" w:space="0" w:color="auto"/>
                          </w:divBdr>
                          <w:divsChild>
                            <w:div w:id="571937079">
                              <w:marLeft w:val="0"/>
                              <w:marRight w:val="0"/>
                              <w:marTop w:val="0"/>
                              <w:marBottom w:val="0"/>
                              <w:divBdr>
                                <w:top w:val="none" w:sz="0" w:space="0" w:color="auto"/>
                                <w:left w:val="none" w:sz="0" w:space="0" w:color="auto"/>
                                <w:bottom w:val="none" w:sz="0" w:space="0" w:color="auto"/>
                                <w:right w:val="none" w:sz="0" w:space="0" w:color="auto"/>
                              </w:divBdr>
                            </w:div>
                            <w:div w:id="17835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4039">
                      <w:marLeft w:val="0"/>
                      <w:marRight w:val="0"/>
                      <w:marTop w:val="0"/>
                      <w:marBottom w:val="0"/>
                      <w:divBdr>
                        <w:top w:val="none" w:sz="0" w:space="0" w:color="auto"/>
                        <w:left w:val="none" w:sz="0" w:space="0" w:color="auto"/>
                        <w:bottom w:val="none" w:sz="0" w:space="0" w:color="auto"/>
                        <w:right w:val="none" w:sz="0" w:space="0" w:color="auto"/>
                      </w:divBdr>
                      <w:divsChild>
                        <w:div w:id="48967246">
                          <w:marLeft w:val="0"/>
                          <w:marRight w:val="0"/>
                          <w:marTop w:val="0"/>
                          <w:marBottom w:val="0"/>
                          <w:divBdr>
                            <w:top w:val="none" w:sz="0" w:space="0" w:color="auto"/>
                            <w:left w:val="none" w:sz="0" w:space="0" w:color="auto"/>
                            <w:bottom w:val="none" w:sz="0" w:space="0" w:color="auto"/>
                            <w:right w:val="none" w:sz="0" w:space="0" w:color="auto"/>
                          </w:divBdr>
                        </w:div>
                        <w:div w:id="1680162474">
                          <w:marLeft w:val="0"/>
                          <w:marRight w:val="0"/>
                          <w:marTop w:val="0"/>
                          <w:marBottom w:val="0"/>
                          <w:divBdr>
                            <w:top w:val="none" w:sz="0" w:space="0" w:color="auto"/>
                            <w:left w:val="none" w:sz="0" w:space="0" w:color="auto"/>
                            <w:bottom w:val="none" w:sz="0" w:space="0" w:color="auto"/>
                            <w:right w:val="none" w:sz="0" w:space="0" w:color="auto"/>
                          </w:divBdr>
                        </w:div>
                        <w:div w:id="584147238">
                          <w:marLeft w:val="0"/>
                          <w:marRight w:val="0"/>
                          <w:marTop w:val="0"/>
                          <w:marBottom w:val="0"/>
                          <w:divBdr>
                            <w:top w:val="none" w:sz="0" w:space="0" w:color="auto"/>
                            <w:left w:val="none" w:sz="0" w:space="0" w:color="auto"/>
                            <w:bottom w:val="none" w:sz="0" w:space="0" w:color="auto"/>
                            <w:right w:val="none" w:sz="0" w:space="0" w:color="auto"/>
                          </w:divBdr>
                        </w:div>
                        <w:div w:id="339115885">
                          <w:marLeft w:val="0"/>
                          <w:marRight w:val="0"/>
                          <w:marTop w:val="0"/>
                          <w:marBottom w:val="0"/>
                          <w:divBdr>
                            <w:top w:val="none" w:sz="0" w:space="0" w:color="auto"/>
                            <w:left w:val="none" w:sz="0" w:space="0" w:color="auto"/>
                            <w:bottom w:val="none" w:sz="0" w:space="0" w:color="auto"/>
                            <w:right w:val="none" w:sz="0" w:space="0" w:color="auto"/>
                          </w:divBdr>
                        </w:div>
                        <w:div w:id="638656391">
                          <w:marLeft w:val="0"/>
                          <w:marRight w:val="0"/>
                          <w:marTop w:val="0"/>
                          <w:marBottom w:val="0"/>
                          <w:divBdr>
                            <w:top w:val="none" w:sz="0" w:space="0" w:color="auto"/>
                            <w:left w:val="none" w:sz="0" w:space="0" w:color="auto"/>
                            <w:bottom w:val="none" w:sz="0" w:space="0" w:color="auto"/>
                            <w:right w:val="none" w:sz="0" w:space="0" w:color="auto"/>
                          </w:divBdr>
                        </w:div>
                        <w:div w:id="20965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0906">
              <w:marLeft w:val="0"/>
              <w:marRight w:val="0"/>
              <w:marTop w:val="0"/>
              <w:marBottom w:val="0"/>
              <w:divBdr>
                <w:top w:val="none" w:sz="0" w:space="0" w:color="auto"/>
                <w:left w:val="none" w:sz="0" w:space="0" w:color="auto"/>
                <w:bottom w:val="none" w:sz="0" w:space="0" w:color="auto"/>
                <w:right w:val="none" w:sz="0" w:space="0" w:color="auto"/>
              </w:divBdr>
              <w:divsChild>
                <w:div w:id="1467822146">
                  <w:marLeft w:val="0"/>
                  <w:marRight w:val="0"/>
                  <w:marTop w:val="0"/>
                  <w:marBottom w:val="0"/>
                  <w:divBdr>
                    <w:top w:val="none" w:sz="0" w:space="0" w:color="auto"/>
                    <w:left w:val="none" w:sz="0" w:space="0" w:color="auto"/>
                    <w:bottom w:val="none" w:sz="0" w:space="0" w:color="auto"/>
                    <w:right w:val="none" w:sz="0" w:space="0" w:color="auto"/>
                  </w:divBdr>
                </w:div>
              </w:divsChild>
            </w:div>
            <w:div w:id="522548878">
              <w:marLeft w:val="0"/>
              <w:marRight w:val="0"/>
              <w:marTop w:val="0"/>
              <w:marBottom w:val="0"/>
              <w:divBdr>
                <w:top w:val="none" w:sz="0" w:space="0" w:color="auto"/>
                <w:left w:val="none" w:sz="0" w:space="0" w:color="auto"/>
                <w:bottom w:val="none" w:sz="0" w:space="0" w:color="auto"/>
                <w:right w:val="none" w:sz="0" w:space="0" w:color="auto"/>
              </w:divBdr>
            </w:div>
            <w:div w:id="74979127">
              <w:marLeft w:val="0"/>
              <w:marRight w:val="0"/>
              <w:marTop w:val="0"/>
              <w:marBottom w:val="0"/>
              <w:divBdr>
                <w:top w:val="none" w:sz="0" w:space="0" w:color="auto"/>
                <w:left w:val="none" w:sz="0" w:space="0" w:color="auto"/>
                <w:bottom w:val="none" w:sz="0" w:space="0" w:color="auto"/>
                <w:right w:val="none" w:sz="0" w:space="0" w:color="auto"/>
              </w:divBdr>
              <w:divsChild>
                <w:div w:id="2035302214">
                  <w:marLeft w:val="0"/>
                  <w:marRight w:val="0"/>
                  <w:marTop w:val="0"/>
                  <w:marBottom w:val="0"/>
                  <w:divBdr>
                    <w:top w:val="none" w:sz="0" w:space="0" w:color="auto"/>
                    <w:left w:val="none" w:sz="0" w:space="0" w:color="auto"/>
                    <w:bottom w:val="none" w:sz="0" w:space="0" w:color="auto"/>
                    <w:right w:val="none" w:sz="0" w:space="0" w:color="auto"/>
                  </w:divBdr>
                  <w:divsChild>
                    <w:div w:id="48461451">
                      <w:marLeft w:val="0"/>
                      <w:marRight w:val="0"/>
                      <w:marTop w:val="256"/>
                      <w:marBottom w:val="256"/>
                      <w:divBdr>
                        <w:top w:val="none" w:sz="0" w:space="0" w:color="auto"/>
                        <w:left w:val="none" w:sz="0" w:space="0" w:color="auto"/>
                        <w:bottom w:val="none" w:sz="0" w:space="0" w:color="auto"/>
                        <w:right w:val="none" w:sz="0" w:space="0" w:color="auto"/>
                      </w:divBdr>
                      <w:divsChild>
                        <w:div w:id="1799303405">
                          <w:marLeft w:val="0"/>
                          <w:marRight w:val="0"/>
                          <w:marTop w:val="0"/>
                          <w:marBottom w:val="0"/>
                          <w:divBdr>
                            <w:top w:val="none" w:sz="0" w:space="0" w:color="auto"/>
                            <w:left w:val="none" w:sz="0" w:space="0" w:color="auto"/>
                            <w:bottom w:val="none" w:sz="0" w:space="0" w:color="auto"/>
                            <w:right w:val="none" w:sz="0" w:space="0" w:color="auto"/>
                          </w:divBdr>
                          <w:divsChild>
                            <w:div w:id="866135495">
                              <w:marLeft w:val="0"/>
                              <w:marRight w:val="0"/>
                              <w:marTop w:val="0"/>
                              <w:marBottom w:val="0"/>
                              <w:divBdr>
                                <w:top w:val="none" w:sz="0" w:space="0" w:color="auto"/>
                                <w:left w:val="none" w:sz="0" w:space="0" w:color="auto"/>
                                <w:bottom w:val="none" w:sz="0" w:space="0" w:color="auto"/>
                                <w:right w:val="none" w:sz="0" w:space="0" w:color="auto"/>
                              </w:divBdr>
                              <w:divsChild>
                                <w:div w:id="1397505884">
                                  <w:marLeft w:val="0"/>
                                  <w:marRight w:val="0"/>
                                  <w:marTop w:val="0"/>
                                  <w:marBottom w:val="0"/>
                                  <w:divBdr>
                                    <w:top w:val="none" w:sz="0" w:space="0" w:color="auto"/>
                                    <w:left w:val="none" w:sz="0" w:space="0" w:color="auto"/>
                                    <w:bottom w:val="none" w:sz="0" w:space="0" w:color="auto"/>
                                    <w:right w:val="none" w:sz="0" w:space="0" w:color="auto"/>
                                  </w:divBdr>
                                </w:div>
                                <w:div w:id="1280992866">
                                  <w:marLeft w:val="0"/>
                                  <w:marRight w:val="0"/>
                                  <w:marTop w:val="0"/>
                                  <w:marBottom w:val="0"/>
                                  <w:divBdr>
                                    <w:top w:val="none" w:sz="0" w:space="0" w:color="auto"/>
                                    <w:left w:val="none" w:sz="0" w:space="0" w:color="auto"/>
                                    <w:bottom w:val="none" w:sz="0" w:space="0" w:color="auto"/>
                                    <w:right w:val="none" w:sz="0" w:space="0" w:color="auto"/>
                                  </w:divBdr>
                                </w:div>
                                <w:div w:id="314456753">
                                  <w:marLeft w:val="240"/>
                                  <w:marRight w:val="0"/>
                                  <w:marTop w:val="0"/>
                                  <w:marBottom w:val="0"/>
                                  <w:divBdr>
                                    <w:top w:val="none" w:sz="0" w:space="0" w:color="auto"/>
                                    <w:left w:val="none" w:sz="0" w:space="0" w:color="auto"/>
                                    <w:bottom w:val="none" w:sz="0" w:space="0" w:color="auto"/>
                                    <w:right w:val="none" w:sz="0" w:space="0" w:color="auto"/>
                                  </w:divBdr>
                                  <w:divsChild>
                                    <w:div w:id="17713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5946">
                              <w:marLeft w:val="0"/>
                              <w:marRight w:val="0"/>
                              <w:marTop w:val="0"/>
                              <w:marBottom w:val="0"/>
                              <w:divBdr>
                                <w:top w:val="none" w:sz="0" w:space="0" w:color="auto"/>
                                <w:left w:val="none" w:sz="0" w:space="0" w:color="auto"/>
                                <w:bottom w:val="none" w:sz="0" w:space="0" w:color="auto"/>
                                <w:right w:val="none" w:sz="0" w:space="0" w:color="auto"/>
                              </w:divBdr>
                              <w:divsChild>
                                <w:div w:id="1261377378">
                                  <w:marLeft w:val="0"/>
                                  <w:marRight w:val="0"/>
                                  <w:marTop w:val="0"/>
                                  <w:marBottom w:val="0"/>
                                  <w:divBdr>
                                    <w:top w:val="none" w:sz="0" w:space="0" w:color="auto"/>
                                    <w:left w:val="none" w:sz="0" w:space="0" w:color="auto"/>
                                    <w:bottom w:val="none" w:sz="0" w:space="0" w:color="auto"/>
                                    <w:right w:val="none" w:sz="0" w:space="0" w:color="auto"/>
                                  </w:divBdr>
                                </w:div>
                                <w:div w:id="4505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7086">
                      <w:marLeft w:val="0"/>
                      <w:marRight w:val="0"/>
                      <w:marTop w:val="0"/>
                      <w:marBottom w:val="0"/>
                      <w:divBdr>
                        <w:top w:val="none" w:sz="0" w:space="0" w:color="auto"/>
                        <w:left w:val="none" w:sz="0" w:space="0" w:color="auto"/>
                        <w:bottom w:val="none" w:sz="0" w:space="0" w:color="auto"/>
                        <w:right w:val="none" w:sz="0" w:space="0" w:color="auto"/>
                      </w:divBdr>
                      <w:divsChild>
                        <w:div w:id="1272784403">
                          <w:marLeft w:val="0"/>
                          <w:marRight w:val="0"/>
                          <w:marTop w:val="256"/>
                          <w:marBottom w:val="256"/>
                          <w:divBdr>
                            <w:top w:val="none" w:sz="0" w:space="0" w:color="auto"/>
                            <w:left w:val="none" w:sz="0" w:space="0" w:color="auto"/>
                            <w:bottom w:val="none" w:sz="0" w:space="0" w:color="auto"/>
                            <w:right w:val="none" w:sz="0" w:space="0" w:color="auto"/>
                          </w:divBdr>
                        </w:div>
                      </w:divsChild>
                    </w:div>
                    <w:div w:id="919948037">
                      <w:marLeft w:val="0"/>
                      <w:marRight w:val="0"/>
                      <w:marTop w:val="256"/>
                      <w:marBottom w:val="256"/>
                      <w:divBdr>
                        <w:top w:val="none" w:sz="0" w:space="0" w:color="auto"/>
                        <w:left w:val="none" w:sz="0" w:space="0" w:color="auto"/>
                        <w:bottom w:val="none" w:sz="0" w:space="0" w:color="auto"/>
                        <w:right w:val="none" w:sz="0" w:space="0" w:color="auto"/>
                      </w:divBdr>
                      <w:divsChild>
                        <w:div w:id="1100878821">
                          <w:marLeft w:val="0"/>
                          <w:marRight w:val="0"/>
                          <w:marTop w:val="256"/>
                          <w:marBottom w:val="256"/>
                          <w:divBdr>
                            <w:top w:val="none" w:sz="0" w:space="0" w:color="auto"/>
                            <w:left w:val="none" w:sz="0" w:space="0" w:color="auto"/>
                            <w:bottom w:val="none" w:sz="0" w:space="0" w:color="auto"/>
                            <w:right w:val="none" w:sz="0" w:space="0" w:color="auto"/>
                          </w:divBdr>
                          <w:divsChild>
                            <w:div w:id="476265488">
                              <w:marLeft w:val="0"/>
                              <w:marRight w:val="0"/>
                              <w:marTop w:val="0"/>
                              <w:marBottom w:val="0"/>
                              <w:divBdr>
                                <w:top w:val="none" w:sz="0" w:space="0" w:color="auto"/>
                                <w:left w:val="none" w:sz="0" w:space="0" w:color="auto"/>
                                <w:bottom w:val="none" w:sz="0" w:space="0" w:color="auto"/>
                                <w:right w:val="none" w:sz="0" w:space="0" w:color="auto"/>
                              </w:divBdr>
                            </w:div>
                            <w:div w:id="961955750">
                              <w:marLeft w:val="0"/>
                              <w:marRight w:val="0"/>
                              <w:marTop w:val="0"/>
                              <w:marBottom w:val="0"/>
                              <w:divBdr>
                                <w:top w:val="none" w:sz="0" w:space="0" w:color="auto"/>
                                <w:left w:val="none" w:sz="0" w:space="0" w:color="auto"/>
                                <w:bottom w:val="none" w:sz="0" w:space="0" w:color="auto"/>
                                <w:right w:val="none" w:sz="0" w:space="0" w:color="auto"/>
                              </w:divBdr>
                            </w:div>
                            <w:div w:id="1066220628">
                              <w:marLeft w:val="0"/>
                              <w:marRight w:val="0"/>
                              <w:marTop w:val="0"/>
                              <w:marBottom w:val="0"/>
                              <w:divBdr>
                                <w:top w:val="none" w:sz="0" w:space="0" w:color="auto"/>
                                <w:left w:val="none" w:sz="0" w:space="0" w:color="auto"/>
                                <w:bottom w:val="none" w:sz="0" w:space="0" w:color="auto"/>
                                <w:right w:val="none" w:sz="0" w:space="0" w:color="auto"/>
                              </w:divBdr>
                            </w:div>
                            <w:div w:id="1858538645">
                              <w:marLeft w:val="0"/>
                              <w:marRight w:val="0"/>
                              <w:marTop w:val="0"/>
                              <w:marBottom w:val="0"/>
                              <w:divBdr>
                                <w:top w:val="none" w:sz="0" w:space="0" w:color="auto"/>
                                <w:left w:val="none" w:sz="0" w:space="0" w:color="auto"/>
                                <w:bottom w:val="none" w:sz="0" w:space="0" w:color="auto"/>
                                <w:right w:val="none" w:sz="0" w:space="0" w:color="auto"/>
                              </w:divBdr>
                            </w:div>
                          </w:divsChild>
                        </w:div>
                        <w:div w:id="2040008826">
                          <w:marLeft w:val="0"/>
                          <w:marRight w:val="0"/>
                          <w:marTop w:val="256"/>
                          <w:marBottom w:val="256"/>
                          <w:divBdr>
                            <w:top w:val="none" w:sz="0" w:space="0" w:color="auto"/>
                            <w:left w:val="none" w:sz="0" w:space="0" w:color="auto"/>
                            <w:bottom w:val="none" w:sz="0" w:space="0" w:color="auto"/>
                            <w:right w:val="none" w:sz="0" w:space="0" w:color="auto"/>
                          </w:divBdr>
                          <w:divsChild>
                            <w:div w:id="1241915235">
                              <w:marLeft w:val="0"/>
                              <w:marRight w:val="0"/>
                              <w:marTop w:val="0"/>
                              <w:marBottom w:val="0"/>
                              <w:divBdr>
                                <w:top w:val="none" w:sz="0" w:space="0" w:color="auto"/>
                                <w:left w:val="none" w:sz="0" w:space="0" w:color="auto"/>
                                <w:bottom w:val="none" w:sz="0" w:space="0" w:color="auto"/>
                                <w:right w:val="none" w:sz="0" w:space="0" w:color="auto"/>
                              </w:divBdr>
                            </w:div>
                            <w:div w:id="8761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4085">
                      <w:marLeft w:val="0"/>
                      <w:marRight w:val="0"/>
                      <w:marTop w:val="256"/>
                      <w:marBottom w:val="256"/>
                      <w:divBdr>
                        <w:top w:val="none" w:sz="0" w:space="0" w:color="auto"/>
                        <w:left w:val="none" w:sz="0" w:space="0" w:color="auto"/>
                        <w:bottom w:val="none" w:sz="0" w:space="0" w:color="auto"/>
                        <w:right w:val="none" w:sz="0" w:space="0" w:color="auto"/>
                      </w:divBdr>
                      <w:divsChild>
                        <w:div w:id="873351422">
                          <w:marLeft w:val="0"/>
                          <w:marRight w:val="0"/>
                          <w:marTop w:val="0"/>
                          <w:marBottom w:val="0"/>
                          <w:divBdr>
                            <w:top w:val="none" w:sz="0" w:space="0" w:color="auto"/>
                            <w:left w:val="none" w:sz="0" w:space="0" w:color="auto"/>
                            <w:bottom w:val="none" w:sz="0" w:space="0" w:color="auto"/>
                            <w:right w:val="none" w:sz="0" w:space="0" w:color="auto"/>
                          </w:divBdr>
                          <w:divsChild>
                            <w:div w:id="366296314">
                              <w:marLeft w:val="0"/>
                              <w:marRight w:val="0"/>
                              <w:marTop w:val="0"/>
                              <w:marBottom w:val="0"/>
                              <w:divBdr>
                                <w:top w:val="none" w:sz="0" w:space="0" w:color="auto"/>
                                <w:left w:val="none" w:sz="0" w:space="0" w:color="auto"/>
                                <w:bottom w:val="none" w:sz="0" w:space="0" w:color="auto"/>
                                <w:right w:val="none" w:sz="0" w:space="0" w:color="auto"/>
                              </w:divBdr>
                            </w:div>
                            <w:div w:id="13152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98059">
              <w:marLeft w:val="0"/>
              <w:marRight w:val="0"/>
              <w:marTop w:val="0"/>
              <w:marBottom w:val="0"/>
              <w:divBdr>
                <w:top w:val="none" w:sz="0" w:space="0" w:color="auto"/>
                <w:left w:val="none" w:sz="0" w:space="0" w:color="auto"/>
                <w:bottom w:val="none" w:sz="0" w:space="0" w:color="auto"/>
                <w:right w:val="none" w:sz="0" w:space="0" w:color="auto"/>
              </w:divBdr>
              <w:divsChild>
                <w:div w:id="338847487">
                  <w:marLeft w:val="0"/>
                  <w:marRight w:val="0"/>
                  <w:marTop w:val="256"/>
                  <w:marBottom w:val="256"/>
                  <w:divBdr>
                    <w:top w:val="none" w:sz="0" w:space="0" w:color="auto"/>
                    <w:left w:val="none" w:sz="0" w:space="0" w:color="auto"/>
                    <w:bottom w:val="none" w:sz="0" w:space="0" w:color="auto"/>
                    <w:right w:val="none" w:sz="0" w:space="0" w:color="auto"/>
                  </w:divBdr>
                  <w:divsChild>
                    <w:div w:id="410933806">
                      <w:marLeft w:val="0"/>
                      <w:marRight w:val="0"/>
                      <w:marTop w:val="256"/>
                      <w:marBottom w:val="256"/>
                      <w:divBdr>
                        <w:top w:val="none" w:sz="0" w:space="0" w:color="auto"/>
                        <w:left w:val="none" w:sz="0" w:space="0" w:color="auto"/>
                        <w:bottom w:val="none" w:sz="0" w:space="0" w:color="auto"/>
                        <w:right w:val="none" w:sz="0" w:space="0" w:color="auto"/>
                      </w:divBdr>
                    </w:div>
                    <w:div w:id="1284769016">
                      <w:marLeft w:val="0"/>
                      <w:marRight w:val="0"/>
                      <w:marTop w:val="256"/>
                      <w:marBottom w:val="256"/>
                      <w:divBdr>
                        <w:top w:val="none" w:sz="0" w:space="0" w:color="auto"/>
                        <w:left w:val="none" w:sz="0" w:space="0" w:color="auto"/>
                        <w:bottom w:val="none" w:sz="0" w:space="0" w:color="auto"/>
                        <w:right w:val="none" w:sz="0" w:space="0" w:color="auto"/>
                      </w:divBdr>
                    </w:div>
                    <w:div w:id="610207879">
                      <w:marLeft w:val="0"/>
                      <w:marRight w:val="0"/>
                      <w:marTop w:val="256"/>
                      <w:marBottom w:val="256"/>
                      <w:divBdr>
                        <w:top w:val="none" w:sz="0" w:space="0" w:color="auto"/>
                        <w:left w:val="none" w:sz="0" w:space="0" w:color="auto"/>
                        <w:bottom w:val="none" w:sz="0" w:space="0" w:color="auto"/>
                        <w:right w:val="none" w:sz="0" w:space="0" w:color="auto"/>
                      </w:divBdr>
                    </w:div>
                    <w:div w:id="496575152">
                      <w:marLeft w:val="0"/>
                      <w:marRight w:val="0"/>
                      <w:marTop w:val="256"/>
                      <w:marBottom w:val="256"/>
                      <w:divBdr>
                        <w:top w:val="none" w:sz="0" w:space="0" w:color="auto"/>
                        <w:left w:val="none" w:sz="0" w:space="0" w:color="auto"/>
                        <w:bottom w:val="none" w:sz="0" w:space="0" w:color="auto"/>
                        <w:right w:val="none" w:sz="0" w:space="0" w:color="auto"/>
                      </w:divBdr>
                    </w:div>
                    <w:div w:id="1522740607">
                      <w:marLeft w:val="0"/>
                      <w:marRight w:val="0"/>
                      <w:marTop w:val="256"/>
                      <w:marBottom w:val="256"/>
                      <w:divBdr>
                        <w:top w:val="none" w:sz="0" w:space="0" w:color="auto"/>
                        <w:left w:val="none" w:sz="0" w:space="0" w:color="auto"/>
                        <w:bottom w:val="none" w:sz="0" w:space="0" w:color="auto"/>
                        <w:right w:val="none" w:sz="0" w:space="0" w:color="auto"/>
                      </w:divBdr>
                    </w:div>
                    <w:div w:id="135489757">
                      <w:marLeft w:val="0"/>
                      <w:marRight w:val="0"/>
                      <w:marTop w:val="256"/>
                      <w:marBottom w:val="256"/>
                      <w:divBdr>
                        <w:top w:val="none" w:sz="0" w:space="0" w:color="auto"/>
                        <w:left w:val="none" w:sz="0" w:space="0" w:color="auto"/>
                        <w:bottom w:val="none" w:sz="0" w:space="0" w:color="auto"/>
                        <w:right w:val="none" w:sz="0" w:space="0" w:color="auto"/>
                      </w:divBdr>
                    </w:div>
                    <w:div w:id="72750666">
                      <w:marLeft w:val="0"/>
                      <w:marRight w:val="0"/>
                      <w:marTop w:val="256"/>
                      <w:marBottom w:val="256"/>
                      <w:divBdr>
                        <w:top w:val="none" w:sz="0" w:space="0" w:color="auto"/>
                        <w:left w:val="none" w:sz="0" w:space="0" w:color="auto"/>
                        <w:bottom w:val="none" w:sz="0" w:space="0" w:color="auto"/>
                        <w:right w:val="none" w:sz="0" w:space="0" w:color="auto"/>
                      </w:divBdr>
                    </w:div>
                    <w:div w:id="436684474">
                      <w:marLeft w:val="0"/>
                      <w:marRight w:val="0"/>
                      <w:marTop w:val="256"/>
                      <w:marBottom w:val="256"/>
                      <w:divBdr>
                        <w:top w:val="none" w:sz="0" w:space="0" w:color="auto"/>
                        <w:left w:val="none" w:sz="0" w:space="0" w:color="auto"/>
                        <w:bottom w:val="none" w:sz="0" w:space="0" w:color="auto"/>
                        <w:right w:val="none" w:sz="0" w:space="0" w:color="auto"/>
                      </w:divBdr>
                    </w:div>
                    <w:div w:id="1571190639">
                      <w:marLeft w:val="0"/>
                      <w:marRight w:val="0"/>
                      <w:marTop w:val="256"/>
                      <w:marBottom w:val="256"/>
                      <w:divBdr>
                        <w:top w:val="none" w:sz="0" w:space="0" w:color="auto"/>
                        <w:left w:val="none" w:sz="0" w:space="0" w:color="auto"/>
                        <w:bottom w:val="none" w:sz="0" w:space="0" w:color="auto"/>
                        <w:right w:val="none" w:sz="0" w:space="0" w:color="auto"/>
                      </w:divBdr>
                    </w:div>
                    <w:div w:id="2106802365">
                      <w:marLeft w:val="0"/>
                      <w:marRight w:val="0"/>
                      <w:marTop w:val="256"/>
                      <w:marBottom w:val="256"/>
                      <w:divBdr>
                        <w:top w:val="none" w:sz="0" w:space="0" w:color="auto"/>
                        <w:left w:val="none" w:sz="0" w:space="0" w:color="auto"/>
                        <w:bottom w:val="none" w:sz="0" w:space="0" w:color="auto"/>
                        <w:right w:val="none" w:sz="0" w:space="0" w:color="auto"/>
                      </w:divBdr>
                    </w:div>
                    <w:div w:id="873733127">
                      <w:marLeft w:val="0"/>
                      <w:marRight w:val="0"/>
                      <w:marTop w:val="256"/>
                      <w:marBottom w:val="256"/>
                      <w:divBdr>
                        <w:top w:val="none" w:sz="0" w:space="0" w:color="auto"/>
                        <w:left w:val="none" w:sz="0" w:space="0" w:color="auto"/>
                        <w:bottom w:val="none" w:sz="0" w:space="0" w:color="auto"/>
                        <w:right w:val="none" w:sz="0" w:space="0" w:color="auto"/>
                      </w:divBdr>
                    </w:div>
                    <w:div w:id="1501388138">
                      <w:marLeft w:val="0"/>
                      <w:marRight w:val="0"/>
                      <w:marTop w:val="256"/>
                      <w:marBottom w:val="256"/>
                      <w:divBdr>
                        <w:top w:val="none" w:sz="0" w:space="0" w:color="auto"/>
                        <w:left w:val="none" w:sz="0" w:space="0" w:color="auto"/>
                        <w:bottom w:val="none" w:sz="0" w:space="0" w:color="auto"/>
                        <w:right w:val="none" w:sz="0" w:space="0" w:color="auto"/>
                      </w:divBdr>
                    </w:div>
                    <w:div w:id="1079795091">
                      <w:marLeft w:val="0"/>
                      <w:marRight w:val="0"/>
                      <w:marTop w:val="256"/>
                      <w:marBottom w:val="256"/>
                      <w:divBdr>
                        <w:top w:val="none" w:sz="0" w:space="0" w:color="auto"/>
                        <w:left w:val="none" w:sz="0" w:space="0" w:color="auto"/>
                        <w:bottom w:val="none" w:sz="0" w:space="0" w:color="auto"/>
                        <w:right w:val="none" w:sz="0" w:space="0" w:color="auto"/>
                      </w:divBdr>
                    </w:div>
                    <w:div w:id="1769501778">
                      <w:marLeft w:val="0"/>
                      <w:marRight w:val="0"/>
                      <w:marTop w:val="256"/>
                      <w:marBottom w:val="256"/>
                      <w:divBdr>
                        <w:top w:val="none" w:sz="0" w:space="0" w:color="auto"/>
                        <w:left w:val="none" w:sz="0" w:space="0" w:color="auto"/>
                        <w:bottom w:val="none" w:sz="0" w:space="0" w:color="auto"/>
                        <w:right w:val="none" w:sz="0" w:space="0" w:color="auto"/>
                      </w:divBdr>
                    </w:div>
                    <w:div w:id="385493059">
                      <w:marLeft w:val="0"/>
                      <w:marRight w:val="0"/>
                      <w:marTop w:val="256"/>
                      <w:marBottom w:val="256"/>
                      <w:divBdr>
                        <w:top w:val="none" w:sz="0" w:space="0" w:color="auto"/>
                        <w:left w:val="none" w:sz="0" w:space="0" w:color="auto"/>
                        <w:bottom w:val="none" w:sz="0" w:space="0" w:color="auto"/>
                        <w:right w:val="none" w:sz="0" w:space="0" w:color="auto"/>
                      </w:divBdr>
                    </w:div>
                    <w:div w:id="368184214">
                      <w:marLeft w:val="0"/>
                      <w:marRight w:val="0"/>
                      <w:marTop w:val="256"/>
                      <w:marBottom w:val="256"/>
                      <w:divBdr>
                        <w:top w:val="none" w:sz="0" w:space="0" w:color="auto"/>
                        <w:left w:val="none" w:sz="0" w:space="0" w:color="auto"/>
                        <w:bottom w:val="none" w:sz="0" w:space="0" w:color="auto"/>
                        <w:right w:val="none" w:sz="0" w:space="0" w:color="auto"/>
                      </w:divBdr>
                    </w:div>
                    <w:div w:id="273172270">
                      <w:marLeft w:val="0"/>
                      <w:marRight w:val="0"/>
                      <w:marTop w:val="256"/>
                      <w:marBottom w:val="256"/>
                      <w:divBdr>
                        <w:top w:val="none" w:sz="0" w:space="0" w:color="auto"/>
                        <w:left w:val="none" w:sz="0" w:space="0" w:color="auto"/>
                        <w:bottom w:val="none" w:sz="0" w:space="0" w:color="auto"/>
                        <w:right w:val="none" w:sz="0" w:space="0" w:color="auto"/>
                      </w:divBdr>
                    </w:div>
                    <w:div w:id="1247888058">
                      <w:marLeft w:val="0"/>
                      <w:marRight w:val="0"/>
                      <w:marTop w:val="256"/>
                      <w:marBottom w:val="256"/>
                      <w:divBdr>
                        <w:top w:val="none" w:sz="0" w:space="0" w:color="auto"/>
                        <w:left w:val="none" w:sz="0" w:space="0" w:color="auto"/>
                        <w:bottom w:val="none" w:sz="0" w:space="0" w:color="auto"/>
                        <w:right w:val="none" w:sz="0" w:space="0" w:color="auto"/>
                      </w:divBdr>
                    </w:div>
                    <w:div w:id="1902668351">
                      <w:marLeft w:val="0"/>
                      <w:marRight w:val="0"/>
                      <w:marTop w:val="256"/>
                      <w:marBottom w:val="256"/>
                      <w:divBdr>
                        <w:top w:val="none" w:sz="0" w:space="0" w:color="auto"/>
                        <w:left w:val="none" w:sz="0" w:space="0" w:color="auto"/>
                        <w:bottom w:val="none" w:sz="0" w:space="0" w:color="auto"/>
                        <w:right w:val="none" w:sz="0" w:space="0" w:color="auto"/>
                      </w:divBdr>
                    </w:div>
                    <w:div w:id="706025220">
                      <w:marLeft w:val="0"/>
                      <w:marRight w:val="0"/>
                      <w:marTop w:val="256"/>
                      <w:marBottom w:val="256"/>
                      <w:divBdr>
                        <w:top w:val="none" w:sz="0" w:space="0" w:color="auto"/>
                        <w:left w:val="none" w:sz="0" w:space="0" w:color="auto"/>
                        <w:bottom w:val="none" w:sz="0" w:space="0" w:color="auto"/>
                        <w:right w:val="none" w:sz="0" w:space="0" w:color="auto"/>
                      </w:divBdr>
                    </w:div>
                    <w:div w:id="357703804">
                      <w:marLeft w:val="0"/>
                      <w:marRight w:val="0"/>
                      <w:marTop w:val="256"/>
                      <w:marBottom w:val="256"/>
                      <w:divBdr>
                        <w:top w:val="none" w:sz="0" w:space="0" w:color="auto"/>
                        <w:left w:val="none" w:sz="0" w:space="0" w:color="auto"/>
                        <w:bottom w:val="none" w:sz="0" w:space="0" w:color="auto"/>
                        <w:right w:val="none" w:sz="0" w:space="0" w:color="auto"/>
                      </w:divBdr>
                    </w:div>
                    <w:div w:id="962231445">
                      <w:marLeft w:val="0"/>
                      <w:marRight w:val="0"/>
                      <w:marTop w:val="256"/>
                      <w:marBottom w:val="256"/>
                      <w:divBdr>
                        <w:top w:val="none" w:sz="0" w:space="0" w:color="auto"/>
                        <w:left w:val="none" w:sz="0" w:space="0" w:color="auto"/>
                        <w:bottom w:val="none" w:sz="0" w:space="0" w:color="auto"/>
                        <w:right w:val="none" w:sz="0" w:space="0" w:color="auto"/>
                      </w:divBdr>
                    </w:div>
                    <w:div w:id="357657078">
                      <w:marLeft w:val="0"/>
                      <w:marRight w:val="0"/>
                      <w:marTop w:val="256"/>
                      <w:marBottom w:val="256"/>
                      <w:divBdr>
                        <w:top w:val="none" w:sz="0" w:space="0" w:color="auto"/>
                        <w:left w:val="none" w:sz="0" w:space="0" w:color="auto"/>
                        <w:bottom w:val="none" w:sz="0" w:space="0" w:color="auto"/>
                        <w:right w:val="none" w:sz="0" w:space="0" w:color="auto"/>
                      </w:divBdr>
                    </w:div>
                    <w:div w:id="497891431">
                      <w:marLeft w:val="0"/>
                      <w:marRight w:val="0"/>
                      <w:marTop w:val="256"/>
                      <w:marBottom w:val="256"/>
                      <w:divBdr>
                        <w:top w:val="none" w:sz="0" w:space="0" w:color="auto"/>
                        <w:left w:val="none" w:sz="0" w:space="0" w:color="auto"/>
                        <w:bottom w:val="none" w:sz="0" w:space="0" w:color="auto"/>
                        <w:right w:val="none" w:sz="0" w:space="0" w:color="auto"/>
                      </w:divBdr>
                    </w:div>
                    <w:div w:id="1359085873">
                      <w:marLeft w:val="0"/>
                      <w:marRight w:val="0"/>
                      <w:marTop w:val="256"/>
                      <w:marBottom w:val="256"/>
                      <w:divBdr>
                        <w:top w:val="none" w:sz="0" w:space="0" w:color="auto"/>
                        <w:left w:val="none" w:sz="0" w:space="0" w:color="auto"/>
                        <w:bottom w:val="none" w:sz="0" w:space="0" w:color="auto"/>
                        <w:right w:val="none" w:sz="0" w:space="0" w:color="auto"/>
                      </w:divBdr>
                    </w:div>
                    <w:div w:id="817575240">
                      <w:marLeft w:val="0"/>
                      <w:marRight w:val="0"/>
                      <w:marTop w:val="256"/>
                      <w:marBottom w:val="256"/>
                      <w:divBdr>
                        <w:top w:val="none" w:sz="0" w:space="0" w:color="auto"/>
                        <w:left w:val="none" w:sz="0" w:space="0" w:color="auto"/>
                        <w:bottom w:val="none" w:sz="0" w:space="0" w:color="auto"/>
                        <w:right w:val="none" w:sz="0" w:space="0" w:color="auto"/>
                      </w:divBdr>
                    </w:div>
                    <w:div w:id="711463010">
                      <w:marLeft w:val="0"/>
                      <w:marRight w:val="0"/>
                      <w:marTop w:val="256"/>
                      <w:marBottom w:val="256"/>
                      <w:divBdr>
                        <w:top w:val="none" w:sz="0" w:space="0" w:color="auto"/>
                        <w:left w:val="none" w:sz="0" w:space="0" w:color="auto"/>
                        <w:bottom w:val="none" w:sz="0" w:space="0" w:color="auto"/>
                        <w:right w:val="none" w:sz="0" w:space="0" w:color="auto"/>
                      </w:divBdr>
                    </w:div>
                    <w:div w:id="463812162">
                      <w:marLeft w:val="0"/>
                      <w:marRight w:val="0"/>
                      <w:marTop w:val="256"/>
                      <w:marBottom w:val="256"/>
                      <w:divBdr>
                        <w:top w:val="none" w:sz="0" w:space="0" w:color="auto"/>
                        <w:left w:val="none" w:sz="0" w:space="0" w:color="auto"/>
                        <w:bottom w:val="none" w:sz="0" w:space="0" w:color="auto"/>
                        <w:right w:val="none" w:sz="0" w:space="0" w:color="auto"/>
                      </w:divBdr>
                    </w:div>
                    <w:div w:id="374889247">
                      <w:marLeft w:val="0"/>
                      <w:marRight w:val="0"/>
                      <w:marTop w:val="256"/>
                      <w:marBottom w:val="256"/>
                      <w:divBdr>
                        <w:top w:val="none" w:sz="0" w:space="0" w:color="auto"/>
                        <w:left w:val="none" w:sz="0" w:space="0" w:color="auto"/>
                        <w:bottom w:val="none" w:sz="0" w:space="0" w:color="auto"/>
                        <w:right w:val="none" w:sz="0" w:space="0" w:color="auto"/>
                      </w:divBdr>
                    </w:div>
                    <w:div w:id="1757940203">
                      <w:marLeft w:val="0"/>
                      <w:marRight w:val="0"/>
                      <w:marTop w:val="256"/>
                      <w:marBottom w:val="256"/>
                      <w:divBdr>
                        <w:top w:val="none" w:sz="0" w:space="0" w:color="auto"/>
                        <w:left w:val="none" w:sz="0" w:space="0" w:color="auto"/>
                        <w:bottom w:val="none" w:sz="0" w:space="0" w:color="auto"/>
                        <w:right w:val="none" w:sz="0" w:space="0" w:color="auto"/>
                      </w:divBdr>
                    </w:div>
                    <w:div w:id="180166502">
                      <w:marLeft w:val="0"/>
                      <w:marRight w:val="0"/>
                      <w:marTop w:val="256"/>
                      <w:marBottom w:val="256"/>
                      <w:divBdr>
                        <w:top w:val="none" w:sz="0" w:space="0" w:color="auto"/>
                        <w:left w:val="none" w:sz="0" w:space="0" w:color="auto"/>
                        <w:bottom w:val="none" w:sz="0" w:space="0" w:color="auto"/>
                        <w:right w:val="none" w:sz="0" w:space="0" w:color="auto"/>
                      </w:divBdr>
                    </w:div>
                    <w:div w:id="391537134">
                      <w:marLeft w:val="0"/>
                      <w:marRight w:val="0"/>
                      <w:marTop w:val="256"/>
                      <w:marBottom w:val="256"/>
                      <w:divBdr>
                        <w:top w:val="none" w:sz="0" w:space="0" w:color="auto"/>
                        <w:left w:val="none" w:sz="0" w:space="0" w:color="auto"/>
                        <w:bottom w:val="none" w:sz="0" w:space="0" w:color="auto"/>
                        <w:right w:val="none" w:sz="0" w:space="0" w:color="auto"/>
                      </w:divBdr>
                    </w:div>
                    <w:div w:id="165943426">
                      <w:marLeft w:val="0"/>
                      <w:marRight w:val="0"/>
                      <w:marTop w:val="256"/>
                      <w:marBottom w:val="256"/>
                      <w:divBdr>
                        <w:top w:val="none" w:sz="0" w:space="0" w:color="auto"/>
                        <w:left w:val="none" w:sz="0" w:space="0" w:color="auto"/>
                        <w:bottom w:val="none" w:sz="0" w:space="0" w:color="auto"/>
                        <w:right w:val="none" w:sz="0" w:space="0" w:color="auto"/>
                      </w:divBdr>
                    </w:div>
                    <w:div w:id="971902686">
                      <w:marLeft w:val="0"/>
                      <w:marRight w:val="0"/>
                      <w:marTop w:val="256"/>
                      <w:marBottom w:val="256"/>
                      <w:divBdr>
                        <w:top w:val="none" w:sz="0" w:space="0" w:color="auto"/>
                        <w:left w:val="none" w:sz="0" w:space="0" w:color="auto"/>
                        <w:bottom w:val="none" w:sz="0" w:space="0" w:color="auto"/>
                        <w:right w:val="none" w:sz="0" w:space="0" w:color="auto"/>
                      </w:divBdr>
                    </w:div>
                    <w:div w:id="1994985391">
                      <w:marLeft w:val="0"/>
                      <w:marRight w:val="0"/>
                      <w:marTop w:val="256"/>
                      <w:marBottom w:val="256"/>
                      <w:divBdr>
                        <w:top w:val="none" w:sz="0" w:space="0" w:color="auto"/>
                        <w:left w:val="none" w:sz="0" w:space="0" w:color="auto"/>
                        <w:bottom w:val="none" w:sz="0" w:space="0" w:color="auto"/>
                        <w:right w:val="none" w:sz="0" w:space="0" w:color="auto"/>
                      </w:divBdr>
                    </w:div>
                    <w:div w:id="1169634792">
                      <w:marLeft w:val="0"/>
                      <w:marRight w:val="0"/>
                      <w:marTop w:val="256"/>
                      <w:marBottom w:val="256"/>
                      <w:divBdr>
                        <w:top w:val="none" w:sz="0" w:space="0" w:color="auto"/>
                        <w:left w:val="none" w:sz="0" w:space="0" w:color="auto"/>
                        <w:bottom w:val="none" w:sz="0" w:space="0" w:color="auto"/>
                        <w:right w:val="none" w:sz="0" w:space="0" w:color="auto"/>
                      </w:divBdr>
                    </w:div>
                    <w:div w:id="737366918">
                      <w:marLeft w:val="0"/>
                      <w:marRight w:val="0"/>
                      <w:marTop w:val="256"/>
                      <w:marBottom w:val="256"/>
                      <w:divBdr>
                        <w:top w:val="none" w:sz="0" w:space="0" w:color="auto"/>
                        <w:left w:val="none" w:sz="0" w:space="0" w:color="auto"/>
                        <w:bottom w:val="none" w:sz="0" w:space="0" w:color="auto"/>
                        <w:right w:val="none" w:sz="0" w:space="0" w:color="auto"/>
                      </w:divBdr>
                    </w:div>
                    <w:div w:id="1538351566">
                      <w:marLeft w:val="0"/>
                      <w:marRight w:val="0"/>
                      <w:marTop w:val="256"/>
                      <w:marBottom w:val="256"/>
                      <w:divBdr>
                        <w:top w:val="none" w:sz="0" w:space="0" w:color="auto"/>
                        <w:left w:val="none" w:sz="0" w:space="0" w:color="auto"/>
                        <w:bottom w:val="none" w:sz="0" w:space="0" w:color="auto"/>
                        <w:right w:val="none" w:sz="0" w:space="0" w:color="auto"/>
                      </w:divBdr>
                    </w:div>
                    <w:div w:id="839660084">
                      <w:marLeft w:val="0"/>
                      <w:marRight w:val="0"/>
                      <w:marTop w:val="256"/>
                      <w:marBottom w:val="256"/>
                      <w:divBdr>
                        <w:top w:val="none" w:sz="0" w:space="0" w:color="auto"/>
                        <w:left w:val="none" w:sz="0" w:space="0" w:color="auto"/>
                        <w:bottom w:val="none" w:sz="0" w:space="0" w:color="auto"/>
                        <w:right w:val="none" w:sz="0" w:space="0" w:color="auto"/>
                      </w:divBdr>
                    </w:div>
                    <w:div w:id="200291633">
                      <w:marLeft w:val="0"/>
                      <w:marRight w:val="0"/>
                      <w:marTop w:val="256"/>
                      <w:marBottom w:val="256"/>
                      <w:divBdr>
                        <w:top w:val="none" w:sz="0" w:space="0" w:color="auto"/>
                        <w:left w:val="none" w:sz="0" w:space="0" w:color="auto"/>
                        <w:bottom w:val="none" w:sz="0" w:space="0" w:color="auto"/>
                        <w:right w:val="none" w:sz="0" w:space="0" w:color="auto"/>
                      </w:divBdr>
                    </w:div>
                    <w:div w:id="960305168">
                      <w:marLeft w:val="0"/>
                      <w:marRight w:val="0"/>
                      <w:marTop w:val="256"/>
                      <w:marBottom w:val="256"/>
                      <w:divBdr>
                        <w:top w:val="none" w:sz="0" w:space="0" w:color="auto"/>
                        <w:left w:val="none" w:sz="0" w:space="0" w:color="auto"/>
                        <w:bottom w:val="none" w:sz="0" w:space="0" w:color="auto"/>
                        <w:right w:val="none" w:sz="0" w:space="0" w:color="auto"/>
                      </w:divBdr>
                    </w:div>
                    <w:div w:id="698119036">
                      <w:marLeft w:val="0"/>
                      <w:marRight w:val="0"/>
                      <w:marTop w:val="256"/>
                      <w:marBottom w:val="256"/>
                      <w:divBdr>
                        <w:top w:val="none" w:sz="0" w:space="0" w:color="auto"/>
                        <w:left w:val="none" w:sz="0" w:space="0" w:color="auto"/>
                        <w:bottom w:val="none" w:sz="0" w:space="0" w:color="auto"/>
                        <w:right w:val="none" w:sz="0" w:space="0" w:color="auto"/>
                      </w:divBdr>
                    </w:div>
                    <w:div w:id="31151374">
                      <w:marLeft w:val="0"/>
                      <w:marRight w:val="0"/>
                      <w:marTop w:val="256"/>
                      <w:marBottom w:val="256"/>
                      <w:divBdr>
                        <w:top w:val="none" w:sz="0" w:space="0" w:color="auto"/>
                        <w:left w:val="none" w:sz="0" w:space="0" w:color="auto"/>
                        <w:bottom w:val="none" w:sz="0" w:space="0" w:color="auto"/>
                        <w:right w:val="none" w:sz="0" w:space="0" w:color="auto"/>
                      </w:divBdr>
                    </w:div>
                    <w:div w:id="327052852">
                      <w:marLeft w:val="0"/>
                      <w:marRight w:val="0"/>
                      <w:marTop w:val="256"/>
                      <w:marBottom w:val="256"/>
                      <w:divBdr>
                        <w:top w:val="none" w:sz="0" w:space="0" w:color="auto"/>
                        <w:left w:val="none" w:sz="0" w:space="0" w:color="auto"/>
                        <w:bottom w:val="none" w:sz="0" w:space="0" w:color="auto"/>
                        <w:right w:val="none" w:sz="0" w:space="0" w:color="auto"/>
                      </w:divBdr>
                    </w:div>
                    <w:div w:id="1706444067">
                      <w:marLeft w:val="0"/>
                      <w:marRight w:val="0"/>
                      <w:marTop w:val="256"/>
                      <w:marBottom w:val="256"/>
                      <w:divBdr>
                        <w:top w:val="none" w:sz="0" w:space="0" w:color="auto"/>
                        <w:left w:val="none" w:sz="0" w:space="0" w:color="auto"/>
                        <w:bottom w:val="none" w:sz="0" w:space="0" w:color="auto"/>
                        <w:right w:val="none" w:sz="0" w:space="0" w:color="auto"/>
                      </w:divBdr>
                    </w:div>
                    <w:div w:id="1698382625">
                      <w:marLeft w:val="0"/>
                      <w:marRight w:val="0"/>
                      <w:marTop w:val="256"/>
                      <w:marBottom w:val="256"/>
                      <w:divBdr>
                        <w:top w:val="none" w:sz="0" w:space="0" w:color="auto"/>
                        <w:left w:val="none" w:sz="0" w:space="0" w:color="auto"/>
                        <w:bottom w:val="none" w:sz="0" w:space="0" w:color="auto"/>
                        <w:right w:val="none" w:sz="0" w:space="0" w:color="auto"/>
                      </w:divBdr>
                    </w:div>
                    <w:div w:id="1871066344">
                      <w:marLeft w:val="0"/>
                      <w:marRight w:val="0"/>
                      <w:marTop w:val="256"/>
                      <w:marBottom w:val="256"/>
                      <w:divBdr>
                        <w:top w:val="none" w:sz="0" w:space="0" w:color="auto"/>
                        <w:left w:val="none" w:sz="0" w:space="0" w:color="auto"/>
                        <w:bottom w:val="none" w:sz="0" w:space="0" w:color="auto"/>
                        <w:right w:val="none" w:sz="0" w:space="0" w:color="auto"/>
                      </w:divBdr>
                    </w:div>
                    <w:div w:id="1164473855">
                      <w:marLeft w:val="0"/>
                      <w:marRight w:val="0"/>
                      <w:marTop w:val="256"/>
                      <w:marBottom w:val="256"/>
                      <w:divBdr>
                        <w:top w:val="none" w:sz="0" w:space="0" w:color="auto"/>
                        <w:left w:val="none" w:sz="0" w:space="0" w:color="auto"/>
                        <w:bottom w:val="none" w:sz="0" w:space="0" w:color="auto"/>
                        <w:right w:val="none" w:sz="0" w:space="0" w:color="auto"/>
                      </w:divBdr>
                    </w:div>
                    <w:div w:id="1717002044">
                      <w:marLeft w:val="0"/>
                      <w:marRight w:val="0"/>
                      <w:marTop w:val="256"/>
                      <w:marBottom w:val="256"/>
                      <w:divBdr>
                        <w:top w:val="none" w:sz="0" w:space="0" w:color="auto"/>
                        <w:left w:val="none" w:sz="0" w:space="0" w:color="auto"/>
                        <w:bottom w:val="none" w:sz="0" w:space="0" w:color="auto"/>
                        <w:right w:val="none" w:sz="0" w:space="0" w:color="auto"/>
                      </w:divBdr>
                    </w:div>
                    <w:div w:id="869487346">
                      <w:marLeft w:val="0"/>
                      <w:marRight w:val="0"/>
                      <w:marTop w:val="256"/>
                      <w:marBottom w:val="256"/>
                      <w:divBdr>
                        <w:top w:val="none" w:sz="0" w:space="0" w:color="auto"/>
                        <w:left w:val="none" w:sz="0" w:space="0" w:color="auto"/>
                        <w:bottom w:val="none" w:sz="0" w:space="0" w:color="auto"/>
                        <w:right w:val="none" w:sz="0" w:space="0" w:color="auto"/>
                      </w:divBdr>
                    </w:div>
                    <w:div w:id="853224076">
                      <w:marLeft w:val="0"/>
                      <w:marRight w:val="0"/>
                      <w:marTop w:val="256"/>
                      <w:marBottom w:val="256"/>
                      <w:divBdr>
                        <w:top w:val="none" w:sz="0" w:space="0" w:color="auto"/>
                        <w:left w:val="none" w:sz="0" w:space="0" w:color="auto"/>
                        <w:bottom w:val="none" w:sz="0" w:space="0" w:color="auto"/>
                        <w:right w:val="none" w:sz="0" w:space="0" w:color="auto"/>
                      </w:divBdr>
                    </w:div>
                    <w:div w:id="1391685673">
                      <w:marLeft w:val="0"/>
                      <w:marRight w:val="0"/>
                      <w:marTop w:val="256"/>
                      <w:marBottom w:val="256"/>
                      <w:divBdr>
                        <w:top w:val="none" w:sz="0" w:space="0" w:color="auto"/>
                        <w:left w:val="none" w:sz="0" w:space="0" w:color="auto"/>
                        <w:bottom w:val="none" w:sz="0" w:space="0" w:color="auto"/>
                        <w:right w:val="none" w:sz="0" w:space="0" w:color="auto"/>
                      </w:divBdr>
                    </w:div>
                    <w:div w:id="2054885726">
                      <w:marLeft w:val="0"/>
                      <w:marRight w:val="0"/>
                      <w:marTop w:val="256"/>
                      <w:marBottom w:val="256"/>
                      <w:divBdr>
                        <w:top w:val="none" w:sz="0" w:space="0" w:color="auto"/>
                        <w:left w:val="none" w:sz="0" w:space="0" w:color="auto"/>
                        <w:bottom w:val="none" w:sz="0" w:space="0" w:color="auto"/>
                        <w:right w:val="none" w:sz="0" w:space="0" w:color="auto"/>
                      </w:divBdr>
                    </w:div>
                    <w:div w:id="1622497174">
                      <w:marLeft w:val="0"/>
                      <w:marRight w:val="0"/>
                      <w:marTop w:val="256"/>
                      <w:marBottom w:val="256"/>
                      <w:divBdr>
                        <w:top w:val="none" w:sz="0" w:space="0" w:color="auto"/>
                        <w:left w:val="none" w:sz="0" w:space="0" w:color="auto"/>
                        <w:bottom w:val="none" w:sz="0" w:space="0" w:color="auto"/>
                        <w:right w:val="none" w:sz="0" w:space="0" w:color="auto"/>
                      </w:divBdr>
                    </w:div>
                    <w:div w:id="1000543257">
                      <w:marLeft w:val="0"/>
                      <w:marRight w:val="0"/>
                      <w:marTop w:val="256"/>
                      <w:marBottom w:val="256"/>
                      <w:divBdr>
                        <w:top w:val="none" w:sz="0" w:space="0" w:color="auto"/>
                        <w:left w:val="none" w:sz="0" w:space="0" w:color="auto"/>
                        <w:bottom w:val="none" w:sz="0" w:space="0" w:color="auto"/>
                        <w:right w:val="none" w:sz="0" w:space="0" w:color="auto"/>
                      </w:divBdr>
                    </w:div>
                    <w:div w:id="337580643">
                      <w:marLeft w:val="0"/>
                      <w:marRight w:val="0"/>
                      <w:marTop w:val="256"/>
                      <w:marBottom w:val="256"/>
                      <w:divBdr>
                        <w:top w:val="none" w:sz="0" w:space="0" w:color="auto"/>
                        <w:left w:val="none" w:sz="0" w:space="0" w:color="auto"/>
                        <w:bottom w:val="none" w:sz="0" w:space="0" w:color="auto"/>
                        <w:right w:val="none" w:sz="0" w:space="0" w:color="auto"/>
                      </w:divBdr>
                    </w:div>
                    <w:div w:id="1874414856">
                      <w:marLeft w:val="0"/>
                      <w:marRight w:val="0"/>
                      <w:marTop w:val="256"/>
                      <w:marBottom w:val="256"/>
                      <w:divBdr>
                        <w:top w:val="none" w:sz="0" w:space="0" w:color="auto"/>
                        <w:left w:val="none" w:sz="0" w:space="0" w:color="auto"/>
                        <w:bottom w:val="none" w:sz="0" w:space="0" w:color="auto"/>
                        <w:right w:val="none" w:sz="0" w:space="0" w:color="auto"/>
                      </w:divBdr>
                    </w:div>
                    <w:div w:id="1522426318">
                      <w:marLeft w:val="0"/>
                      <w:marRight w:val="0"/>
                      <w:marTop w:val="256"/>
                      <w:marBottom w:val="256"/>
                      <w:divBdr>
                        <w:top w:val="none" w:sz="0" w:space="0" w:color="auto"/>
                        <w:left w:val="none" w:sz="0" w:space="0" w:color="auto"/>
                        <w:bottom w:val="none" w:sz="0" w:space="0" w:color="auto"/>
                        <w:right w:val="none" w:sz="0" w:space="0" w:color="auto"/>
                      </w:divBdr>
                    </w:div>
                    <w:div w:id="1370640184">
                      <w:marLeft w:val="0"/>
                      <w:marRight w:val="0"/>
                      <w:marTop w:val="256"/>
                      <w:marBottom w:val="256"/>
                      <w:divBdr>
                        <w:top w:val="none" w:sz="0" w:space="0" w:color="auto"/>
                        <w:left w:val="none" w:sz="0" w:space="0" w:color="auto"/>
                        <w:bottom w:val="none" w:sz="0" w:space="0" w:color="auto"/>
                        <w:right w:val="none" w:sz="0" w:space="0" w:color="auto"/>
                      </w:divBdr>
                    </w:div>
                    <w:div w:id="951328588">
                      <w:marLeft w:val="0"/>
                      <w:marRight w:val="0"/>
                      <w:marTop w:val="256"/>
                      <w:marBottom w:val="256"/>
                      <w:divBdr>
                        <w:top w:val="none" w:sz="0" w:space="0" w:color="auto"/>
                        <w:left w:val="none" w:sz="0" w:space="0" w:color="auto"/>
                        <w:bottom w:val="none" w:sz="0" w:space="0" w:color="auto"/>
                        <w:right w:val="none" w:sz="0" w:space="0" w:color="auto"/>
                      </w:divBdr>
                    </w:div>
                    <w:div w:id="1000156899">
                      <w:marLeft w:val="0"/>
                      <w:marRight w:val="0"/>
                      <w:marTop w:val="256"/>
                      <w:marBottom w:val="256"/>
                      <w:divBdr>
                        <w:top w:val="none" w:sz="0" w:space="0" w:color="auto"/>
                        <w:left w:val="none" w:sz="0" w:space="0" w:color="auto"/>
                        <w:bottom w:val="none" w:sz="0" w:space="0" w:color="auto"/>
                        <w:right w:val="none" w:sz="0" w:space="0" w:color="auto"/>
                      </w:divBdr>
                    </w:div>
                    <w:div w:id="1346404331">
                      <w:marLeft w:val="0"/>
                      <w:marRight w:val="0"/>
                      <w:marTop w:val="256"/>
                      <w:marBottom w:val="256"/>
                      <w:divBdr>
                        <w:top w:val="none" w:sz="0" w:space="0" w:color="auto"/>
                        <w:left w:val="none" w:sz="0" w:space="0" w:color="auto"/>
                        <w:bottom w:val="none" w:sz="0" w:space="0" w:color="auto"/>
                        <w:right w:val="none" w:sz="0" w:space="0" w:color="auto"/>
                      </w:divBdr>
                    </w:div>
                    <w:div w:id="454645473">
                      <w:marLeft w:val="0"/>
                      <w:marRight w:val="0"/>
                      <w:marTop w:val="256"/>
                      <w:marBottom w:val="256"/>
                      <w:divBdr>
                        <w:top w:val="none" w:sz="0" w:space="0" w:color="auto"/>
                        <w:left w:val="none" w:sz="0" w:space="0" w:color="auto"/>
                        <w:bottom w:val="none" w:sz="0" w:space="0" w:color="auto"/>
                        <w:right w:val="none" w:sz="0" w:space="0" w:color="auto"/>
                      </w:divBdr>
                    </w:div>
                    <w:div w:id="654996707">
                      <w:marLeft w:val="0"/>
                      <w:marRight w:val="0"/>
                      <w:marTop w:val="256"/>
                      <w:marBottom w:val="256"/>
                      <w:divBdr>
                        <w:top w:val="none" w:sz="0" w:space="0" w:color="auto"/>
                        <w:left w:val="none" w:sz="0" w:space="0" w:color="auto"/>
                        <w:bottom w:val="none" w:sz="0" w:space="0" w:color="auto"/>
                        <w:right w:val="none" w:sz="0" w:space="0" w:color="auto"/>
                      </w:divBdr>
                    </w:div>
                    <w:div w:id="1515458567">
                      <w:marLeft w:val="0"/>
                      <w:marRight w:val="0"/>
                      <w:marTop w:val="256"/>
                      <w:marBottom w:val="256"/>
                      <w:divBdr>
                        <w:top w:val="none" w:sz="0" w:space="0" w:color="auto"/>
                        <w:left w:val="none" w:sz="0" w:space="0" w:color="auto"/>
                        <w:bottom w:val="none" w:sz="0" w:space="0" w:color="auto"/>
                        <w:right w:val="none" w:sz="0" w:space="0" w:color="auto"/>
                      </w:divBdr>
                    </w:div>
                    <w:div w:id="1958027405">
                      <w:marLeft w:val="0"/>
                      <w:marRight w:val="0"/>
                      <w:marTop w:val="256"/>
                      <w:marBottom w:val="256"/>
                      <w:divBdr>
                        <w:top w:val="none" w:sz="0" w:space="0" w:color="auto"/>
                        <w:left w:val="none" w:sz="0" w:space="0" w:color="auto"/>
                        <w:bottom w:val="none" w:sz="0" w:space="0" w:color="auto"/>
                        <w:right w:val="none" w:sz="0" w:space="0" w:color="auto"/>
                      </w:divBdr>
                    </w:div>
                    <w:div w:id="1574047446">
                      <w:marLeft w:val="0"/>
                      <w:marRight w:val="0"/>
                      <w:marTop w:val="256"/>
                      <w:marBottom w:val="256"/>
                      <w:divBdr>
                        <w:top w:val="none" w:sz="0" w:space="0" w:color="auto"/>
                        <w:left w:val="none" w:sz="0" w:space="0" w:color="auto"/>
                        <w:bottom w:val="none" w:sz="0" w:space="0" w:color="auto"/>
                        <w:right w:val="none" w:sz="0" w:space="0" w:color="auto"/>
                      </w:divBdr>
                    </w:div>
                    <w:div w:id="700282403">
                      <w:marLeft w:val="0"/>
                      <w:marRight w:val="0"/>
                      <w:marTop w:val="256"/>
                      <w:marBottom w:val="256"/>
                      <w:divBdr>
                        <w:top w:val="none" w:sz="0" w:space="0" w:color="auto"/>
                        <w:left w:val="none" w:sz="0" w:space="0" w:color="auto"/>
                        <w:bottom w:val="none" w:sz="0" w:space="0" w:color="auto"/>
                        <w:right w:val="none" w:sz="0" w:space="0" w:color="auto"/>
                      </w:divBdr>
                    </w:div>
                    <w:div w:id="1452283307">
                      <w:marLeft w:val="0"/>
                      <w:marRight w:val="0"/>
                      <w:marTop w:val="256"/>
                      <w:marBottom w:val="256"/>
                      <w:divBdr>
                        <w:top w:val="none" w:sz="0" w:space="0" w:color="auto"/>
                        <w:left w:val="none" w:sz="0" w:space="0" w:color="auto"/>
                        <w:bottom w:val="none" w:sz="0" w:space="0" w:color="auto"/>
                        <w:right w:val="none" w:sz="0" w:space="0" w:color="auto"/>
                      </w:divBdr>
                    </w:div>
                    <w:div w:id="1580287736">
                      <w:marLeft w:val="0"/>
                      <w:marRight w:val="0"/>
                      <w:marTop w:val="256"/>
                      <w:marBottom w:val="256"/>
                      <w:divBdr>
                        <w:top w:val="none" w:sz="0" w:space="0" w:color="auto"/>
                        <w:left w:val="none" w:sz="0" w:space="0" w:color="auto"/>
                        <w:bottom w:val="none" w:sz="0" w:space="0" w:color="auto"/>
                        <w:right w:val="none" w:sz="0" w:space="0" w:color="auto"/>
                      </w:divBdr>
                    </w:div>
                    <w:div w:id="1066149658">
                      <w:marLeft w:val="0"/>
                      <w:marRight w:val="0"/>
                      <w:marTop w:val="256"/>
                      <w:marBottom w:val="256"/>
                      <w:divBdr>
                        <w:top w:val="none" w:sz="0" w:space="0" w:color="auto"/>
                        <w:left w:val="none" w:sz="0" w:space="0" w:color="auto"/>
                        <w:bottom w:val="none" w:sz="0" w:space="0" w:color="auto"/>
                        <w:right w:val="none" w:sz="0" w:space="0" w:color="auto"/>
                      </w:divBdr>
                    </w:div>
                    <w:div w:id="327251331">
                      <w:marLeft w:val="0"/>
                      <w:marRight w:val="0"/>
                      <w:marTop w:val="256"/>
                      <w:marBottom w:val="256"/>
                      <w:divBdr>
                        <w:top w:val="none" w:sz="0" w:space="0" w:color="auto"/>
                        <w:left w:val="none" w:sz="0" w:space="0" w:color="auto"/>
                        <w:bottom w:val="none" w:sz="0" w:space="0" w:color="auto"/>
                        <w:right w:val="none" w:sz="0" w:space="0" w:color="auto"/>
                      </w:divBdr>
                    </w:div>
                    <w:div w:id="985547695">
                      <w:marLeft w:val="0"/>
                      <w:marRight w:val="0"/>
                      <w:marTop w:val="256"/>
                      <w:marBottom w:val="256"/>
                      <w:divBdr>
                        <w:top w:val="none" w:sz="0" w:space="0" w:color="auto"/>
                        <w:left w:val="none" w:sz="0" w:space="0" w:color="auto"/>
                        <w:bottom w:val="none" w:sz="0" w:space="0" w:color="auto"/>
                        <w:right w:val="none" w:sz="0" w:space="0" w:color="auto"/>
                      </w:divBdr>
                    </w:div>
                    <w:div w:id="953436739">
                      <w:marLeft w:val="0"/>
                      <w:marRight w:val="0"/>
                      <w:marTop w:val="256"/>
                      <w:marBottom w:val="256"/>
                      <w:divBdr>
                        <w:top w:val="none" w:sz="0" w:space="0" w:color="auto"/>
                        <w:left w:val="none" w:sz="0" w:space="0" w:color="auto"/>
                        <w:bottom w:val="none" w:sz="0" w:space="0" w:color="auto"/>
                        <w:right w:val="none" w:sz="0" w:space="0" w:color="auto"/>
                      </w:divBdr>
                    </w:div>
                    <w:div w:id="159463436">
                      <w:marLeft w:val="0"/>
                      <w:marRight w:val="0"/>
                      <w:marTop w:val="256"/>
                      <w:marBottom w:val="256"/>
                      <w:divBdr>
                        <w:top w:val="none" w:sz="0" w:space="0" w:color="auto"/>
                        <w:left w:val="none" w:sz="0" w:space="0" w:color="auto"/>
                        <w:bottom w:val="none" w:sz="0" w:space="0" w:color="auto"/>
                        <w:right w:val="none" w:sz="0" w:space="0" w:color="auto"/>
                      </w:divBdr>
                    </w:div>
                    <w:div w:id="795759507">
                      <w:marLeft w:val="0"/>
                      <w:marRight w:val="0"/>
                      <w:marTop w:val="256"/>
                      <w:marBottom w:val="256"/>
                      <w:divBdr>
                        <w:top w:val="none" w:sz="0" w:space="0" w:color="auto"/>
                        <w:left w:val="none" w:sz="0" w:space="0" w:color="auto"/>
                        <w:bottom w:val="none" w:sz="0" w:space="0" w:color="auto"/>
                        <w:right w:val="none" w:sz="0" w:space="0" w:color="auto"/>
                      </w:divBdr>
                    </w:div>
                    <w:div w:id="1499226629">
                      <w:marLeft w:val="0"/>
                      <w:marRight w:val="0"/>
                      <w:marTop w:val="256"/>
                      <w:marBottom w:val="256"/>
                      <w:divBdr>
                        <w:top w:val="none" w:sz="0" w:space="0" w:color="auto"/>
                        <w:left w:val="none" w:sz="0" w:space="0" w:color="auto"/>
                        <w:bottom w:val="none" w:sz="0" w:space="0" w:color="auto"/>
                        <w:right w:val="none" w:sz="0" w:space="0" w:color="auto"/>
                      </w:divBdr>
                    </w:div>
                    <w:div w:id="1903175632">
                      <w:marLeft w:val="0"/>
                      <w:marRight w:val="0"/>
                      <w:marTop w:val="256"/>
                      <w:marBottom w:val="256"/>
                      <w:divBdr>
                        <w:top w:val="none" w:sz="0" w:space="0" w:color="auto"/>
                        <w:left w:val="none" w:sz="0" w:space="0" w:color="auto"/>
                        <w:bottom w:val="none" w:sz="0" w:space="0" w:color="auto"/>
                        <w:right w:val="none" w:sz="0" w:space="0" w:color="auto"/>
                      </w:divBdr>
                    </w:div>
                    <w:div w:id="1702633089">
                      <w:marLeft w:val="0"/>
                      <w:marRight w:val="0"/>
                      <w:marTop w:val="256"/>
                      <w:marBottom w:val="256"/>
                      <w:divBdr>
                        <w:top w:val="none" w:sz="0" w:space="0" w:color="auto"/>
                        <w:left w:val="none" w:sz="0" w:space="0" w:color="auto"/>
                        <w:bottom w:val="none" w:sz="0" w:space="0" w:color="auto"/>
                        <w:right w:val="none" w:sz="0" w:space="0" w:color="auto"/>
                      </w:divBdr>
                    </w:div>
                    <w:div w:id="1322730103">
                      <w:marLeft w:val="0"/>
                      <w:marRight w:val="0"/>
                      <w:marTop w:val="256"/>
                      <w:marBottom w:val="256"/>
                      <w:divBdr>
                        <w:top w:val="none" w:sz="0" w:space="0" w:color="auto"/>
                        <w:left w:val="none" w:sz="0" w:space="0" w:color="auto"/>
                        <w:bottom w:val="none" w:sz="0" w:space="0" w:color="auto"/>
                        <w:right w:val="none" w:sz="0" w:space="0" w:color="auto"/>
                      </w:divBdr>
                    </w:div>
                    <w:div w:id="1623268994">
                      <w:marLeft w:val="0"/>
                      <w:marRight w:val="0"/>
                      <w:marTop w:val="256"/>
                      <w:marBottom w:val="256"/>
                      <w:divBdr>
                        <w:top w:val="none" w:sz="0" w:space="0" w:color="auto"/>
                        <w:left w:val="none" w:sz="0" w:space="0" w:color="auto"/>
                        <w:bottom w:val="none" w:sz="0" w:space="0" w:color="auto"/>
                        <w:right w:val="none" w:sz="0" w:space="0" w:color="auto"/>
                      </w:divBdr>
                    </w:div>
                    <w:div w:id="2133550983">
                      <w:marLeft w:val="0"/>
                      <w:marRight w:val="0"/>
                      <w:marTop w:val="256"/>
                      <w:marBottom w:val="256"/>
                      <w:divBdr>
                        <w:top w:val="none" w:sz="0" w:space="0" w:color="auto"/>
                        <w:left w:val="none" w:sz="0" w:space="0" w:color="auto"/>
                        <w:bottom w:val="none" w:sz="0" w:space="0" w:color="auto"/>
                        <w:right w:val="none" w:sz="0" w:space="0" w:color="auto"/>
                      </w:divBdr>
                    </w:div>
                    <w:div w:id="1004095270">
                      <w:marLeft w:val="0"/>
                      <w:marRight w:val="0"/>
                      <w:marTop w:val="256"/>
                      <w:marBottom w:val="256"/>
                      <w:divBdr>
                        <w:top w:val="none" w:sz="0" w:space="0" w:color="auto"/>
                        <w:left w:val="none" w:sz="0" w:space="0" w:color="auto"/>
                        <w:bottom w:val="none" w:sz="0" w:space="0" w:color="auto"/>
                        <w:right w:val="none" w:sz="0" w:space="0" w:color="auto"/>
                      </w:divBdr>
                    </w:div>
                    <w:div w:id="299237633">
                      <w:marLeft w:val="0"/>
                      <w:marRight w:val="0"/>
                      <w:marTop w:val="256"/>
                      <w:marBottom w:val="256"/>
                      <w:divBdr>
                        <w:top w:val="none" w:sz="0" w:space="0" w:color="auto"/>
                        <w:left w:val="none" w:sz="0" w:space="0" w:color="auto"/>
                        <w:bottom w:val="none" w:sz="0" w:space="0" w:color="auto"/>
                        <w:right w:val="none" w:sz="0" w:space="0" w:color="auto"/>
                      </w:divBdr>
                    </w:div>
                    <w:div w:id="2083334153">
                      <w:marLeft w:val="0"/>
                      <w:marRight w:val="0"/>
                      <w:marTop w:val="256"/>
                      <w:marBottom w:val="256"/>
                      <w:divBdr>
                        <w:top w:val="none" w:sz="0" w:space="0" w:color="auto"/>
                        <w:left w:val="none" w:sz="0" w:space="0" w:color="auto"/>
                        <w:bottom w:val="none" w:sz="0" w:space="0" w:color="auto"/>
                        <w:right w:val="none" w:sz="0" w:space="0" w:color="auto"/>
                      </w:divBdr>
                    </w:div>
                    <w:div w:id="75828504">
                      <w:marLeft w:val="0"/>
                      <w:marRight w:val="0"/>
                      <w:marTop w:val="256"/>
                      <w:marBottom w:val="256"/>
                      <w:divBdr>
                        <w:top w:val="none" w:sz="0" w:space="0" w:color="auto"/>
                        <w:left w:val="none" w:sz="0" w:space="0" w:color="auto"/>
                        <w:bottom w:val="none" w:sz="0" w:space="0" w:color="auto"/>
                        <w:right w:val="none" w:sz="0" w:space="0" w:color="auto"/>
                      </w:divBdr>
                    </w:div>
                    <w:div w:id="1690375263">
                      <w:marLeft w:val="0"/>
                      <w:marRight w:val="0"/>
                      <w:marTop w:val="256"/>
                      <w:marBottom w:val="256"/>
                      <w:divBdr>
                        <w:top w:val="none" w:sz="0" w:space="0" w:color="auto"/>
                        <w:left w:val="none" w:sz="0" w:space="0" w:color="auto"/>
                        <w:bottom w:val="none" w:sz="0" w:space="0" w:color="auto"/>
                        <w:right w:val="none" w:sz="0" w:space="0" w:color="auto"/>
                      </w:divBdr>
                    </w:div>
                    <w:div w:id="14550">
                      <w:marLeft w:val="0"/>
                      <w:marRight w:val="0"/>
                      <w:marTop w:val="256"/>
                      <w:marBottom w:val="256"/>
                      <w:divBdr>
                        <w:top w:val="none" w:sz="0" w:space="0" w:color="auto"/>
                        <w:left w:val="none" w:sz="0" w:space="0" w:color="auto"/>
                        <w:bottom w:val="none" w:sz="0" w:space="0" w:color="auto"/>
                        <w:right w:val="none" w:sz="0" w:space="0" w:color="auto"/>
                      </w:divBdr>
                    </w:div>
                    <w:div w:id="174194862">
                      <w:marLeft w:val="0"/>
                      <w:marRight w:val="0"/>
                      <w:marTop w:val="256"/>
                      <w:marBottom w:val="256"/>
                      <w:divBdr>
                        <w:top w:val="none" w:sz="0" w:space="0" w:color="auto"/>
                        <w:left w:val="none" w:sz="0" w:space="0" w:color="auto"/>
                        <w:bottom w:val="none" w:sz="0" w:space="0" w:color="auto"/>
                        <w:right w:val="none" w:sz="0" w:space="0" w:color="auto"/>
                      </w:divBdr>
                    </w:div>
                    <w:div w:id="690113000">
                      <w:marLeft w:val="0"/>
                      <w:marRight w:val="0"/>
                      <w:marTop w:val="256"/>
                      <w:marBottom w:val="256"/>
                      <w:divBdr>
                        <w:top w:val="none" w:sz="0" w:space="0" w:color="auto"/>
                        <w:left w:val="none" w:sz="0" w:space="0" w:color="auto"/>
                        <w:bottom w:val="none" w:sz="0" w:space="0" w:color="auto"/>
                        <w:right w:val="none" w:sz="0" w:space="0" w:color="auto"/>
                      </w:divBdr>
                    </w:div>
                    <w:div w:id="1919712163">
                      <w:marLeft w:val="0"/>
                      <w:marRight w:val="0"/>
                      <w:marTop w:val="256"/>
                      <w:marBottom w:val="256"/>
                      <w:divBdr>
                        <w:top w:val="none" w:sz="0" w:space="0" w:color="auto"/>
                        <w:left w:val="none" w:sz="0" w:space="0" w:color="auto"/>
                        <w:bottom w:val="none" w:sz="0" w:space="0" w:color="auto"/>
                        <w:right w:val="none" w:sz="0" w:space="0" w:color="auto"/>
                      </w:divBdr>
                    </w:div>
                    <w:div w:id="1281260916">
                      <w:marLeft w:val="0"/>
                      <w:marRight w:val="0"/>
                      <w:marTop w:val="256"/>
                      <w:marBottom w:val="256"/>
                      <w:divBdr>
                        <w:top w:val="none" w:sz="0" w:space="0" w:color="auto"/>
                        <w:left w:val="none" w:sz="0" w:space="0" w:color="auto"/>
                        <w:bottom w:val="none" w:sz="0" w:space="0" w:color="auto"/>
                        <w:right w:val="none" w:sz="0" w:space="0" w:color="auto"/>
                      </w:divBdr>
                    </w:div>
                    <w:div w:id="1949652769">
                      <w:marLeft w:val="0"/>
                      <w:marRight w:val="0"/>
                      <w:marTop w:val="256"/>
                      <w:marBottom w:val="256"/>
                      <w:divBdr>
                        <w:top w:val="none" w:sz="0" w:space="0" w:color="auto"/>
                        <w:left w:val="none" w:sz="0" w:space="0" w:color="auto"/>
                        <w:bottom w:val="none" w:sz="0" w:space="0" w:color="auto"/>
                        <w:right w:val="none" w:sz="0" w:space="0" w:color="auto"/>
                      </w:divBdr>
                    </w:div>
                    <w:div w:id="588008269">
                      <w:marLeft w:val="0"/>
                      <w:marRight w:val="0"/>
                      <w:marTop w:val="256"/>
                      <w:marBottom w:val="256"/>
                      <w:divBdr>
                        <w:top w:val="none" w:sz="0" w:space="0" w:color="auto"/>
                        <w:left w:val="none" w:sz="0" w:space="0" w:color="auto"/>
                        <w:bottom w:val="none" w:sz="0" w:space="0" w:color="auto"/>
                        <w:right w:val="none" w:sz="0" w:space="0" w:color="auto"/>
                      </w:divBdr>
                    </w:div>
                    <w:div w:id="1623465277">
                      <w:marLeft w:val="0"/>
                      <w:marRight w:val="0"/>
                      <w:marTop w:val="256"/>
                      <w:marBottom w:val="256"/>
                      <w:divBdr>
                        <w:top w:val="none" w:sz="0" w:space="0" w:color="auto"/>
                        <w:left w:val="none" w:sz="0" w:space="0" w:color="auto"/>
                        <w:bottom w:val="none" w:sz="0" w:space="0" w:color="auto"/>
                        <w:right w:val="none" w:sz="0" w:space="0" w:color="auto"/>
                      </w:divBdr>
                    </w:div>
                    <w:div w:id="779841727">
                      <w:marLeft w:val="0"/>
                      <w:marRight w:val="0"/>
                      <w:marTop w:val="256"/>
                      <w:marBottom w:val="256"/>
                      <w:divBdr>
                        <w:top w:val="none" w:sz="0" w:space="0" w:color="auto"/>
                        <w:left w:val="none" w:sz="0" w:space="0" w:color="auto"/>
                        <w:bottom w:val="none" w:sz="0" w:space="0" w:color="auto"/>
                        <w:right w:val="none" w:sz="0" w:space="0" w:color="auto"/>
                      </w:divBdr>
                    </w:div>
                    <w:div w:id="2132507035">
                      <w:marLeft w:val="0"/>
                      <w:marRight w:val="0"/>
                      <w:marTop w:val="256"/>
                      <w:marBottom w:val="256"/>
                      <w:divBdr>
                        <w:top w:val="none" w:sz="0" w:space="0" w:color="auto"/>
                        <w:left w:val="none" w:sz="0" w:space="0" w:color="auto"/>
                        <w:bottom w:val="none" w:sz="0" w:space="0" w:color="auto"/>
                        <w:right w:val="none" w:sz="0" w:space="0" w:color="auto"/>
                      </w:divBdr>
                    </w:div>
                    <w:div w:id="1230652852">
                      <w:marLeft w:val="0"/>
                      <w:marRight w:val="0"/>
                      <w:marTop w:val="256"/>
                      <w:marBottom w:val="256"/>
                      <w:divBdr>
                        <w:top w:val="none" w:sz="0" w:space="0" w:color="auto"/>
                        <w:left w:val="none" w:sz="0" w:space="0" w:color="auto"/>
                        <w:bottom w:val="none" w:sz="0" w:space="0" w:color="auto"/>
                        <w:right w:val="none" w:sz="0" w:space="0" w:color="auto"/>
                      </w:divBdr>
                    </w:div>
                    <w:div w:id="516970192">
                      <w:marLeft w:val="0"/>
                      <w:marRight w:val="0"/>
                      <w:marTop w:val="256"/>
                      <w:marBottom w:val="256"/>
                      <w:divBdr>
                        <w:top w:val="none" w:sz="0" w:space="0" w:color="auto"/>
                        <w:left w:val="none" w:sz="0" w:space="0" w:color="auto"/>
                        <w:bottom w:val="none" w:sz="0" w:space="0" w:color="auto"/>
                        <w:right w:val="none" w:sz="0" w:space="0" w:color="auto"/>
                      </w:divBdr>
                    </w:div>
                    <w:div w:id="465661665">
                      <w:marLeft w:val="0"/>
                      <w:marRight w:val="0"/>
                      <w:marTop w:val="256"/>
                      <w:marBottom w:val="256"/>
                      <w:divBdr>
                        <w:top w:val="none" w:sz="0" w:space="0" w:color="auto"/>
                        <w:left w:val="none" w:sz="0" w:space="0" w:color="auto"/>
                        <w:bottom w:val="none" w:sz="0" w:space="0" w:color="auto"/>
                        <w:right w:val="none" w:sz="0" w:space="0" w:color="auto"/>
                      </w:divBdr>
                    </w:div>
                    <w:div w:id="1433284236">
                      <w:marLeft w:val="0"/>
                      <w:marRight w:val="0"/>
                      <w:marTop w:val="256"/>
                      <w:marBottom w:val="256"/>
                      <w:divBdr>
                        <w:top w:val="none" w:sz="0" w:space="0" w:color="auto"/>
                        <w:left w:val="none" w:sz="0" w:space="0" w:color="auto"/>
                        <w:bottom w:val="none" w:sz="0" w:space="0" w:color="auto"/>
                        <w:right w:val="none" w:sz="0" w:space="0" w:color="auto"/>
                      </w:divBdr>
                    </w:div>
                    <w:div w:id="1410884323">
                      <w:marLeft w:val="0"/>
                      <w:marRight w:val="0"/>
                      <w:marTop w:val="256"/>
                      <w:marBottom w:val="256"/>
                      <w:divBdr>
                        <w:top w:val="none" w:sz="0" w:space="0" w:color="auto"/>
                        <w:left w:val="none" w:sz="0" w:space="0" w:color="auto"/>
                        <w:bottom w:val="none" w:sz="0" w:space="0" w:color="auto"/>
                        <w:right w:val="none" w:sz="0" w:space="0" w:color="auto"/>
                      </w:divBdr>
                    </w:div>
                    <w:div w:id="860583568">
                      <w:marLeft w:val="0"/>
                      <w:marRight w:val="0"/>
                      <w:marTop w:val="256"/>
                      <w:marBottom w:val="256"/>
                      <w:divBdr>
                        <w:top w:val="none" w:sz="0" w:space="0" w:color="auto"/>
                        <w:left w:val="none" w:sz="0" w:space="0" w:color="auto"/>
                        <w:bottom w:val="none" w:sz="0" w:space="0" w:color="auto"/>
                        <w:right w:val="none" w:sz="0" w:space="0" w:color="auto"/>
                      </w:divBdr>
                    </w:div>
                    <w:div w:id="193081065">
                      <w:marLeft w:val="0"/>
                      <w:marRight w:val="0"/>
                      <w:marTop w:val="256"/>
                      <w:marBottom w:val="256"/>
                      <w:divBdr>
                        <w:top w:val="none" w:sz="0" w:space="0" w:color="auto"/>
                        <w:left w:val="none" w:sz="0" w:space="0" w:color="auto"/>
                        <w:bottom w:val="none" w:sz="0" w:space="0" w:color="auto"/>
                        <w:right w:val="none" w:sz="0" w:space="0" w:color="auto"/>
                      </w:divBdr>
                    </w:div>
                    <w:div w:id="958023836">
                      <w:marLeft w:val="0"/>
                      <w:marRight w:val="0"/>
                      <w:marTop w:val="256"/>
                      <w:marBottom w:val="256"/>
                      <w:divBdr>
                        <w:top w:val="none" w:sz="0" w:space="0" w:color="auto"/>
                        <w:left w:val="none" w:sz="0" w:space="0" w:color="auto"/>
                        <w:bottom w:val="none" w:sz="0" w:space="0" w:color="auto"/>
                        <w:right w:val="none" w:sz="0" w:space="0" w:color="auto"/>
                      </w:divBdr>
                    </w:div>
                    <w:div w:id="720860070">
                      <w:marLeft w:val="0"/>
                      <w:marRight w:val="0"/>
                      <w:marTop w:val="256"/>
                      <w:marBottom w:val="256"/>
                      <w:divBdr>
                        <w:top w:val="none" w:sz="0" w:space="0" w:color="auto"/>
                        <w:left w:val="none" w:sz="0" w:space="0" w:color="auto"/>
                        <w:bottom w:val="none" w:sz="0" w:space="0" w:color="auto"/>
                        <w:right w:val="none" w:sz="0" w:space="0" w:color="auto"/>
                      </w:divBdr>
                    </w:div>
                    <w:div w:id="1688294190">
                      <w:marLeft w:val="0"/>
                      <w:marRight w:val="0"/>
                      <w:marTop w:val="256"/>
                      <w:marBottom w:val="256"/>
                      <w:divBdr>
                        <w:top w:val="none" w:sz="0" w:space="0" w:color="auto"/>
                        <w:left w:val="none" w:sz="0" w:space="0" w:color="auto"/>
                        <w:bottom w:val="none" w:sz="0" w:space="0" w:color="auto"/>
                        <w:right w:val="none" w:sz="0" w:space="0" w:color="auto"/>
                      </w:divBdr>
                    </w:div>
                    <w:div w:id="1011763606">
                      <w:marLeft w:val="0"/>
                      <w:marRight w:val="0"/>
                      <w:marTop w:val="256"/>
                      <w:marBottom w:val="256"/>
                      <w:divBdr>
                        <w:top w:val="none" w:sz="0" w:space="0" w:color="auto"/>
                        <w:left w:val="none" w:sz="0" w:space="0" w:color="auto"/>
                        <w:bottom w:val="none" w:sz="0" w:space="0" w:color="auto"/>
                        <w:right w:val="none" w:sz="0" w:space="0" w:color="auto"/>
                      </w:divBdr>
                    </w:div>
                    <w:div w:id="519466418">
                      <w:marLeft w:val="0"/>
                      <w:marRight w:val="0"/>
                      <w:marTop w:val="256"/>
                      <w:marBottom w:val="256"/>
                      <w:divBdr>
                        <w:top w:val="none" w:sz="0" w:space="0" w:color="auto"/>
                        <w:left w:val="none" w:sz="0" w:space="0" w:color="auto"/>
                        <w:bottom w:val="none" w:sz="0" w:space="0" w:color="auto"/>
                        <w:right w:val="none" w:sz="0" w:space="0" w:color="auto"/>
                      </w:divBdr>
                    </w:div>
                    <w:div w:id="1751153573">
                      <w:marLeft w:val="0"/>
                      <w:marRight w:val="0"/>
                      <w:marTop w:val="256"/>
                      <w:marBottom w:val="256"/>
                      <w:divBdr>
                        <w:top w:val="none" w:sz="0" w:space="0" w:color="auto"/>
                        <w:left w:val="none" w:sz="0" w:space="0" w:color="auto"/>
                        <w:bottom w:val="none" w:sz="0" w:space="0" w:color="auto"/>
                        <w:right w:val="none" w:sz="0" w:space="0" w:color="auto"/>
                      </w:divBdr>
                    </w:div>
                    <w:div w:id="481508149">
                      <w:marLeft w:val="0"/>
                      <w:marRight w:val="0"/>
                      <w:marTop w:val="256"/>
                      <w:marBottom w:val="256"/>
                      <w:divBdr>
                        <w:top w:val="none" w:sz="0" w:space="0" w:color="auto"/>
                        <w:left w:val="none" w:sz="0" w:space="0" w:color="auto"/>
                        <w:bottom w:val="none" w:sz="0" w:space="0" w:color="auto"/>
                        <w:right w:val="none" w:sz="0" w:space="0" w:color="auto"/>
                      </w:divBdr>
                    </w:div>
                    <w:div w:id="2118209808">
                      <w:marLeft w:val="0"/>
                      <w:marRight w:val="0"/>
                      <w:marTop w:val="256"/>
                      <w:marBottom w:val="256"/>
                      <w:divBdr>
                        <w:top w:val="none" w:sz="0" w:space="0" w:color="auto"/>
                        <w:left w:val="none" w:sz="0" w:space="0" w:color="auto"/>
                        <w:bottom w:val="none" w:sz="0" w:space="0" w:color="auto"/>
                        <w:right w:val="none" w:sz="0" w:space="0" w:color="auto"/>
                      </w:divBdr>
                    </w:div>
                    <w:div w:id="1742747567">
                      <w:marLeft w:val="0"/>
                      <w:marRight w:val="0"/>
                      <w:marTop w:val="256"/>
                      <w:marBottom w:val="256"/>
                      <w:divBdr>
                        <w:top w:val="none" w:sz="0" w:space="0" w:color="auto"/>
                        <w:left w:val="none" w:sz="0" w:space="0" w:color="auto"/>
                        <w:bottom w:val="none" w:sz="0" w:space="0" w:color="auto"/>
                        <w:right w:val="none" w:sz="0" w:space="0" w:color="auto"/>
                      </w:divBdr>
                    </w:div>
                    <w:div w:id="1569001341">
                      <w:marLeft w:val="0"/>
                      <w:marRight w:val="0"/>
                      <w:marTop w:val="256"/>
                      <w:marBottom w:val="256"/>
                      <w:divBdr>
                        <w:top w:val="none" w:sz="0" w:space="0" w:color="auto"/>
                        <w:left w:val="none" w:sz="0" w:space="0" w:color="auto"/>
                        <w:bottom w:val="none" w:sz="0" w:space="0" w:color="auto"/>
                        <w:right w:val="none" w:sz="0" w:space="0" w:color="auto"/>
                      </w:divBdr>
                    </w:div>
                    <w:div w:id="909189721">
                      <w:marLeft w:val="0"/>
                      <w:marRight w:val="0"/>
                      <w:marTop w:val="256"/>
                      <w:marBottom w:val="256"/>
                      <w:divBdr>
                        <w:top w:val="none" w:sz="0" w:space="0" w:color="auto"/>
                        <w:left w:val="none" w:sz="0" w:space="0" w:color="auto"/>
                        <w:bottom w:val="none" w:sz="0" w:space="0" w:color="auto"/>
                        <w:right w:val="none" w:sz="0" w:space="0" w:color="auto"/>
                      </w:divBdr>
                    </w:div>
                    <w:div w:id="1207109219">
                      <w:marLeft w:val="0"/>
                      <w:marRight w:val="0"/>
                      <w:marTop w:val="256"/>
                      <w:marBottom w:val="256"/>
                      <w:divBdr>
                        <w:top w:val="none" w:sz="0" w:space="0" w:color="auto"/>
                        <w:left w:val="none" w:sz="0" w:space="0" w:color="auto"/>
                        <w:bottom w:val="none" w:sz="0" w:space="0" w:color="auto"/>
                        <w:right w:val="none" w:sz="0" w:space="0" w:color="auto"/>
                      </w:divBdr>
                    </w:div>
                    <w:div w:id="411320483">
                      <w:marLeft w:val="0"/>
                      <w:marRight w:val="0"/>
                      <w:marTop w:val="256"/>
                      <w:marBottom w:val="256"/>
                      <w:divBdr>
                        <w:top w:val="none" w:sz="0" w:space="0" w:color="auto"/>
                        <w:left w:val="none" w:sz="0" w:space="0" w:color="auto"/>
                        <w:bottom w:val="none" w:sz="0" w:space="0" w:color="auto"/>
                        <w:right w:val="none" w:sz="0" w:space="0" w:color="auto"/>
                      </w:divBdr>
                    </w:div>
                    <w:div w:id="1357805175">
                      <w:marLeft w:val="0"/>
                      <w:marRight w:val="0"/>
                      <w:marTop w:val="256"/>
                      <w:marBottom w:val="256"/>
                      <w:divBdr>
                        <w:top w:val="none" w:sz="0" w:space="0" w:color="auto"/>
                        <w:left w:val="none" w:sz="0" w:space="0" w:color="auto"/>
                        <w:bottom w:val="none" w:sz="0" w:space="0" w:color="auto"/>
                        <w:right w:val="none" w:sz="0" w:space="0" w:color="auto"/>
                      </w:divBdr>
                    </w:div>
                    <w:div w:id="1874879282">
                      <w:marLeft w:val="0"/>
                      <w:marRight w:val="0"/>
                      <w:marTop w:val="256"/>
                      <w:marBottom w:val="256"/>
                      <w:divBdr>
                        <w:top w:val="none" w:sz="0" w:space="0" w:color="auto"/>
                        <w:left w:val="none" w:sz="0" w:space="0" w:color="auto"/>
                        <w:bottom w:val="none" w:sz="0" w:space="0" w:color="auto"/>
                        <w:right w:val="none" w:sz="0" w:space="0" w:color="auto"/>
                      </w:divBdr>
                    </w:div>
                    <w:div w:id="209612066">
                      <w:marLeft w:val="0"/>
                      <w:marRight w:val="0"/>
                      <w:marTop w:val="256"/>
                      <w:marBottom w:val="256"/>
                      <w:divBdr>
                        <w:top w:val="none" w:sz="0" w:space="0" w:color="auto"/>
                        <w:left w:val="none" w:sz="0" w:space="0" w:color="auto"/>
                        <w:bottom w:val="none" w:sz="0" w:space="0" w:color="auto"/>
                        <w:right w:val="none" w:sz="0" w:space="0" w:color="auto"/>
                      </w:divBdr>
                    </w:div>
                    <w:div w:id="1489439486">
                      <w:marLeft w:val="0"/>
                      <w:marRight w:val="0"/>
                      <w:marTop w:val="256"/>
                      <w:marBottom w:val="256"/>
                      <w:divBdr>
                        <w:top w:val="none" w:sz="0" w:space="0" w:color="auto"/>
                        <w:left w:val="none" w:sz="0" w:space="0" w:color="auto"/>
                        <w:bottom w:val="none" w:sz="0" w:space="0" w:color="auto"/>
                        <w:right w:val="none" w:sz="0" w:space="0" w:color="auto"/>
                      </w:divBdr>
                    </w:div>
                    <w:div w:id="953681637">
                      <w:marLeft w:val="0"/>
                      <w:marRight w:val="0"/>
                      <w:marTop w:val="256"/>
                      <w:marBottom w:val="256"/>
                      <w:divBdr>
                        <w:top w:val="none" w:sz="0" w:space="0" w:color="auto"/>
                        <w:left w:val="none" w:sz="0" w:space="0" w:color="auto"/>
                        <w:bottom w:val="none" w:sz="0" w:space="0" w:color="auto"/>
                        <w:right w:val="none" w:sz="0" w:space="0" w:color="auto"/>
                      </w:divBdr>
                    </w:div>
                    <w:div w:id="2092120827">
                      <w:marLeft w:val="0"/>
                      <w:marRight w:val="0"/>
                      <w:marTop w:val="256"/>
                      <w:marBottom w:val="256"/>
                      <w:divBdr>
                        <w:top w:val="none" w:sz="0" w:space="0" w:color="auto"/>
                        <w:left w:val="none" w:sz="0" w:space="0" w:color="auto"/>
                        <w:bottom w:val="none" w:sz="0" w:space="0" w:color="auto"/>
                        <w:right w:val="none" w:sz="0" w:space="0" w:color="auto"/>
                      </w:divBdr>
                    </w:div>
                    <w:div w:id="1097676733">
                      <w:marLeft w:val="0"/>
                      <w:marRight w:val="0"/>
                      <w:marTop w:val="256"/>
                      <w:marBottom w:val="256"/>
                      <w:divBdr>
                        <w:top w:val="none" w:sz="0" w:space="0" w:color="auto"/>
                        <w:left w:val="none" w:sz="0" w:space="0" w:color="auto"/>
                        <w:bottom w:val="none" w:sz="0" w:space="0" w:color="auto"/>
                        <w:right w:val="none" w:sz="0" w:space="0" w:color="auto"/>
                      </w:divBdr>
                    </w:div>
                    <w:div w:id="1652901513">
                      <w:marLeft w:val="0"/>
                      <w:marRight w:val="0"/>
                      <w:marTop w:val="256"/>
                      <w:marBottom w:val="256"/>
                      <w:divBdr>
                        <w:top w:val="none" w:sz="0" w:space="0" w:color="auto"/>
                        <w:left w:val="none" w:sz="0" w:space="0" w:color="auto"/>
                        <w:bottom w:val="none" w:sz="0" w:space="0" w:color="auto"/>
                        <w:right w:val="none" w:sz="0" w:space="0" w:color="auto"/>
                      </w:divBdr>
                    </w:div>
                    <w:div w:id="593130958">
                      <w:marLeft w:val="0"/>
                      <w:marRight w:val="0"/>
                      <w:marTop w:val="256"/>
                      <w:marBottom w:val="256"/>
                      <w:divBdr>
                        <w:top w:val="none" w:sz="0" w:space="0" w:color="auto"/>
                        <w:left w:val="none" w:sz="0" w:space="0" w:color="auto"/>
                        <w:bottom w:val="none" w:sz="0" w:space="0" w:color="auto"/>
                        <w:right w:val="none" w:sz="0" w:space="0" w:color="auto"/>
                      </w:divBdr>
                    </w:div>
                    <w:div w:id="64686009">
                      <w:marLeft w:val="0"/>
                      <w:marRight w:val="0"/>
                      <w:marTop w:val="256"/>
                      <w:marBottom w:val="256"/>
                      <w:divBdr>
                        <w:top w:val="none" w:sz="0" w:space="0" w:color="auto"/>
                        <w:left w:val="none" w:sz="0" w:space="0" w:color="auto"/>
                        <w:bottom w:val="none" w:sz="0" w:space="0" w:color="auto"/>
                        <w:right w:val="none" w:sz="0" w:space="0" w:color="auto"/>
                      </w:divBdr>
                    </w:div>
                    <w:div w:id="1464810649">
                      <w:marLeft w:val="0"/>
                      <w:marRight w:val="0"/>
                      <w:marTop w:val="256"/>
                      <w:marBottom w:val="256"/>
                      <w:divBdr>
                        <w:top w:val="none" w:sz="0" w:space="0" w:color="auto"/>
                        <w:left w:val="none" w:sz="0" w:space="0" w:color="auto"/>
                        <w:bottom w:val="none" w:sz="0" w:space="0" w:color="auto"/>
                        <w:right w:val="none" w:sz="0" w:space="0" w:color="auto"/>
                      </w:divBdr>
                    </w:div>
                    <w:div w:id="1571498531">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sChild>
        </w:div>
      </w:divsChild>
    </w:div>
    <w:div w:id="593051658">
      <w:bodyDiv w:val="1"/>
      <w:marLeft w:val="0"/>
      <w:marRight w:val="0"/>
      <w:marTop w:val="0"/>
      <w:marBottom w:val="0"/>
      <w:divBdr>
        <w:top w:val="none" w:sz="0" w:space="0" w:color="auto"/>
        <w:left w:val="none" w:sz="0" w:space="0" w:color="auto"/>
        <w:bottom w:val="none" w:sz="0" w:space="0" w:color="auto"/>
        <w:right w:val="none" w:sz="0" w:space="0" w:color="auto"/>
      </w:divBdr>
    </w:div>
    <w:div w:id="637494939">
      <w:bodyDiv w:val="1"/>
      <w:marLeft w:val="0"/>
      <w:marRight w:val="0"/>
      <w:marTop w:val="0"/>
      <w:marBottom w:val="0"/>
      <w:divBdr>
        <w:top w:val="none" w:sz="0" w:space="0" w:color="auto"/>
        <w:left w:val="none" w:sz="0" w:space="0" w:color="auto"/>
        <w:bottom w:val="none" w:sz="0" w:space="0" w:color="auto"/>
        <w:right w:val="none" w:sz="0" w:space="0" w:color="auto"/>
      </w:divBdr>
    </w:div>
    <w:div w:id="655377048">
      <w:bodyDiv w:val="1"/>
      <w:marLeft w:val="0"/>
      <w:marRight w:val="0"/>
      <w:marTop w:val="0"/>
      <w:marBottom w:val="0"/>
      <w:divBdr>
        <w:top w:val="none" w:sz="0" w:space="0" w:color="auto"/>
        <w:left w:val="none" w:sz="0" w:space="0" w:color="auto"/>
        <w:bottom w:val="none" w:sz="0" w:space="0" w:color="auto"/>
        <w:right w:val="none" w:sz="0" w:space="0" w:color="auto"/>
      </w:divBdr>
    </w:div>
    <w:div w:id="660542953">
      <w:bodyDiv w:val="1"/>
      <w:marLeft w:val="0"/>
      <w:marRight w:val="0"/>
      <w:marTop w:val="0"/>
      <w:marBottom w:val="0"/>
      <w:divBdr>
        <w:top w:val="none" w:sz="0" w:space="0" w:color="auto"/>
        <w:left w:val="none" w:sz="0" w:space="0" w:color="auto"/>
        <w:bottom w:val="none" w:sz="0" w:space="0" w:color="auto"/>
        <w:right w:val="none" w:sz="0" w:space="0" w:color="auto"/>
      </w:divBdr>
      <w:divsChild>
        <w:div w:id="1853181576">
          <w:marLeft w:val="0"/>
          <w:marRight w:val="0"/>
          <w:marTop w:val="0"/>
          <w:marBottom w:val="0"/>
          <w:divBdr>
            <w:top w:val="none" w:sz="0" w:space="0" w:color="auto"/>
            <w:left w:val="none" w:sz="0" w:space="0" w:color="auto"/>
            <w:bottom w:val="none" w:sz="0" w:space="0" w:color="auto"/>
            <w:right w:val="none" w:sz="0" w:space="0" w:color="auto"/>
          </w:divBdr>
        </w:div>
        <w:div w:id="1385448073">
          <w:marLeft w:val="0"/>
          <w:marRight w:val="0"/>
          <w:marTop w:val="0"/>
          <w:marBottom w:val="0"/>
          <w:divBdr>
            <w:top w:val="none" w:sz="0" w:space="0" w:color="auto"/>
            <w:left w:val="none" w:sz="0" w:space="0" w:color="auto"/>
            <w:bottom w:val="none" w:sz="0" w:space="0" w:color="auto"/>
            <w:right w:val="none" w:sz="0" w:space="0" w:color="auto"/>
          </w:divBdr>
        </w:div>
      </w:divsChild>
    </w:div>
    <w:div w:id="675306575">
      <w:bodyDiv w:val="1"/>
      <w:marLeft w:val="0"/>
      <w:marRight w:val="0"/>
      <w:marTop w:val="0"/>
      <w:marBottom w:val="0"/>
      <w:divBdr>
        <w:top w:val="none" w:sz="0" w:space="0" w:color="auto"/>
        <w:left w:val="none" w:sz="0" w:space="0" w:color="auto"/>
        <w:bottom w:val="none" w:sz="0" w:space="0" w:color="auto"/>
        <w:right w:val="none" w:sz="0" w:space="0" w:color="auto"/>
      </w:divBdr>
    </w:div>
    <w:div w:id="702369674">
      <w:bodyDiv w:val="1"/>
      <w:marLeft w:val="0"/>
      <w:marRight w:val="0"/>
      <w:marTop w:val="0"/>
      <w:marBottom w:val="0"/>
      <w:divBdr>
        <w:top w:val="none" w:sz="0" w:space="0" w:color="auto"/>
        <w:left w:val="none" w:sz="0" w:space="0" w:color="auto"/>
        <w:bottom w:val="none" w:sz="0" w:space="0" w:color="auto"/>
        <w:right w:val="none" w:sz="0" w:space="0" w:color="auto"/>
      </w:divBdr>
    </w:div>
    <w:div w:id="750007560">
      <w:bodyDiv w:val="1"/>
      <w:marLeft w:val="0"/>
      <w:marRight w:val="0"/>
      <w:marTop w:val="0"/>
      <w:marBottom w:val="0"/>
      <w:divBdr>
        <w:top w:val="none" w:sz="0" w:space="0" w:color="auto"/>
        <w:left w:val="none" w:sz="0" w:space="0" w:color="auto"/>
        <w:bottom w:val="none" w:sz="0" w:space="0" w:color="auto"/>
        <w:right w:val="none" w:sz="0" w:space="0" w:color="auto"/>
      </w:divBdr>
    </w:div>
    <w:div w:id="791942807">
      <w:bodyDiv w:val="1"/>
      <w:marLeft w:val="0"/>
      <w:marRight w:val="0"/>
      <w:marTop w:val="0"/>
      <w:marBottom w:val="0"/>
      <w:divBdr>
        <w:top w:val="none" w:sz="0" w:space="0" w:color="auto"/>
        <w:left w:val="none" w:sz="0" w:space="0" w:color="auto"/>
        <w:bottom w:val="none" w:sz="0" w:space="0" w:color="auto"/>
        <w:right w:val="none" w:sz="0" w:space="0" w:color="auto"/>
      </w:divBdr>
    </w:div>
    <w:div w:id="844712009">
      <w:bodyDiv w:val="1"/>
      <w:marLeft w:val="0"/>
      <w:marRight w:val="0"/>
      <w:marTop w:val="0"/>
      <w:marBottom w:val="0"/>
      <w:divBdr>
        <w:top w:val="none" w:sz="0" w:space="0" w:color="auto"/>
        <w:left w:val="none" w:sz="0" w:space="0" w:color="auto"/>
        <w:bottom w:val="none" w:sz="0" w:space="0" w:color="auto"/>
        <w:right w:val="none" w:sz="0" w:space="0" w:color="auto"/>
      </w:divBdr>
    </w:div>
    <w:div w:id="881328321">
      <w:bodyDiv w:val="1"/>
      <w:marLeft w:val="0"/>
      <w:marRight w:val="0"/>
      <w:marTop w:val="0"/>
      <w:marBottom w:val="0"/>
      <w:divBdr>
        <w:top w:val="none" w:sz="0" w:space="0" w:color="auto"/>
        <w:left w:val="none" w:sz="0" w:space="0" w:color="auto"/>
        <w:bottom w:val="none" w:sz="0" w:space="0" w:color="auto"/>
        <w:right w:val="none" w:sz="0" w:space="0" w:color="auto"/>
      </w:divBdr>
    </w:div>
    <w:div w:id="921455380">
      <w:bodyDiv w:val="1"/>
      <w:marLeft w:val="0"/>
      <w:marRight w:val="0"/>
      <w:marTop w:val="0"/>
      <w:marBottom w:val="0"/>
      <w:divBdr>
        <w:top w:val="none" w:sz="0" w:space="0" w:color="auto"/>
        <w:left w:val="none" w:sz="0" w:space="0" w:color="auto"/>
        <w:bottom w:val="none" w:sz="0" w:space="0" w:color="auto"/>
        <w:right w:val="none" w:sz="0" w:space="0" w:color="auto"/>
      </w:divBdr>
    </w:div>
    <w:div w:id="934292284">
      <w:bodyDiv w:val="1"/>
      <w:marLeft w:val="0"/>
      <w:marRight w:val="0"/>
      <w:marTop w:val="0"/>
      <w:marBottom w:val="0"/>
      <w:divBdr>
        <w:top w:val="none" w:sz="0" w:space="0" w:color="auto"/>
        <w:left w:val="none" w:sz="0" w:space="0" w:color="auto"/>
        <w:bottom w:val="none" w:sz="0" w:space="0" w:color="auto"/>
        <w:right w:val="none" w:sz="0" w:space="0" w:color="auto"/>
      </w:divBdr>
    </w:div>
    <w:div w:id="948659885">
      <w:bodyDiv w:val="1"/>
      <w:marLeft w:val="0"/>
      <w:marRight w:val="0"/>
      <w:marTop w:val="0"/>
      <w:marBottom w:val="0"/>
      <w:divBdr>
        <w:top w:val="none" w:sz="0" w:space="0" w:color="auto"/>
        <w:left w:val="none" w:sz="0" w:space="0" w:color="auto"/>
        <w:bottom w:val="none" w:sz="0" w:space="0" w:color="auto"/>
        <w:right w:val="none" w:sz="0" w:space="0" w:color="auto"/>
      </w:divBdr>
    </w:div>
    <w:div w:id="952633014">
      <w:bodyDiv w:val="1"/>
      <w:marLeft w:val="0"/>
      <w:marRight w:val="0"/>
      <w:marTop w:val="0"/>
      <w:marBottom w:val="0"/>
      <w:divBdr>
        <w:top w:val="none" w:sz="0" w:space="0" w:color="auto"/>
        <w:left w:val="none" w:sz="0" w:space="0" w:color="auto"/>
        <w:bottom w:val="none" w:sz="0" w:space="0" w:color="auto"/>
        <w:right w:val="none" w:sz="0" w:space="0" w:color="auto"/>
      </w:divBdr>
    </w:div>
    <w:div w:id="999620958">
      <w:bodyDiv w:val="1"/>
      <w:marLeft w:val="0"/>
      <w:marRight w:val="0"/>
      <w:marTop w:val="0"/>
      <w:marBottom w:val="0"/>
      <w:divBdr>
        <w:top w:val="none" w:sz="0" w:space="0" w:color="auto"/>
        <w:left w:val="none" w:sz="0" w:space="0" w:color="auto"/>
        <w:bottom w:val="none" w:sz="0" w:space="0" w:color="auto"/>
        <w:right w:val="none" w:sz="0" w:space="0" w:color="auto"/>
      </w:divBdr>
    </w:div>
    <w:div w:id="1005859119">
      <w:bodyDiv w:val="1"/>
      <w:marLeft w:val="0"/>
      <w:marRight w:val="0"/>
      <w:marTop w:val="0"/>
      <w:marBottom w:val="0"/>
      <w:divBdr>
        <w:top w:val="none" w:sz="0" w:space="0" w:color="auto"/>
        <w:left w:val="none" w:sz="0" w:space="0" w:color="auto"/>
        <w:bottom w:val="none" w:sz="0" w:space="0" w:color="auto"/>
        <w:right w:val="none" w:sz="0" w:space="0" w:color="auto"/>
      </w:divBdr>
    </w:div>
    <w:div w:id="1015108637">
      <w:bodyDiv w:val="1"/>
      <w:marLeft w:val="0"/>
      <w:marRight w:val="0"/>
      <w:marTop w:val="0"/>
      <w:marBottom w:val="0"/>
      <w:divBdr>
        <w:top w:val="none" w:sz="0" w:space="0" w:color="auto"/>
        <w:left w:val="none" w:sz="0" w:space="0" w:color="auto"/>
        <w:bottom w:val="none" w:sz="0" w:space="0" w:color="auto"/>
        <w:right w:val="none" w:sz="0" w:space="0" w:color="auto"/>
      </w:divBdr>
    </w:div>
    <w:div w:id="1018117525">
      <w:bodyDiv w:val="1"/>
      <w:marLeft w:val="0"/>
      <w:marRight w:val="0"/>
      <w:marTop w:val="0"/>
      <w:marBottom w:val="0"/>
      <w:divBdr>
        <w:top w:val="none" w:sz="0" w:space="0" w:color="auto"/>
        <w:left w:val="none" w:sz="0" w:space="0" w:color="auto"/>
        <w:bottom w:val="none" w:sz="0" w:space="0" w:color="auto"/>
        <w:right w:val="none" w:sz="0" w:space="0" w:color="auto"/>
      </w:divBdr>
    </w:div>
    <w:div w:id="1059940924">
      <w:bodyDiv w:val="1"/>
      <w:marLeft w:val="0"/>
      <w:marRight w:val="0"/>
      <w:marTop w:val="0"/>
      <w:marBottom w:val="0"/>
      <w:divBdr>
        <w:top w:val="none" w:sz="0" w:space="0" w:color="auto"/>
        <w:left w:val="none" w:sz="0" w:space="0" w:color="auto"/>
        <w:bottom w:val="none" w:sz="0" w:space="0" w:color="auto"/>
        <w:right w:val="none" w:sz="0" w:space="0" w:color="auto"/>
      </w:divBdr>
      <w:divsChild>
        <w:div w:id="1789809069">
          <w:marLeft w:val="0"/>
          <w:marRight w:val="0"/>
          <w:marTop w:val="0"/>
          <w:marBottom w:val="0"/>
          <w:divBdr>
            <w:top w:val="none" w:sz="0" w:space="0" w:color="auto"/>
            <w:left w:val="none" w:sz="0" w:space="0" w:color="auto"/>
            <w:bottom w:val="none" w:sz="0" w:space="0" w:color="auto"/>
            <w:right w:val="none" w:sz="0" w:space="0" w:color="auto"/>
          </w:divBdr>
        </w:div>
        <w:div w:id="1762943148">
          <w:marLeft w:val="0"/>
          <w:marRight w:val="0"/>
          <w:marTop w:val="0"/>
          <w:marBottom w:val="0"/>
          <w:divBdr>
            <w:top w:val="none" w:sz="0" w:space="0" w:color="auto"/>
            <w:left w:val="none" w:sz="0" w:space="0" w:color="auto"/>
            <w:bottom w:val="none" w:sz="0" w:space="0" w:color="auto"/>
            <w:right w:val="none" w:sz="0" w:space="0" w:color="auto"/>
          </w:divBdr>
        </w:div>
      </w:divsChild>
    </w:div>
    <w:div w:id="1093428552">
      <w:bodyDiv w:val="1"/>
      <w:marLeft w:val="0"/>
      <w:marRight w:val="0"/>
      <w:marTop w:val="0"/>
      <w:marBottom w:val="0"/>
      <w:divBdr>
        <w:top w:val="none" w:sz="0" w:space="0" w:color="auto"/>
        <w:left w:val="none" w:sz="0" w:space="0" w:color="auto"/>
        <w:bottom w:val="none" w:sz="0" w:space="0" w:color="auto"/>
        <w:right w:val="none" w:sz="0" w:space="0" w:color="auto"/>
      </w:divBdr>
    </w:div>
    <w:div w:id="1148088871">
      <w:bodyDiv w:val="1"/>
      <w:marLeft w:val="0"/>
      <w:marRight w:val="0"/>
      <w:marTop w:val="0"/>
      <w:marBottom w:val="0"/>
      <w:divBdr>
        <w:top w:val="none" w:sz="0" w:space="0" w:color="auto"/>
        <w:left w:val="none" w:sz="0" w:space="0" w:color="auto"/>
        <w:bottom w:val="none" w:sz="0" w:space="0" w:color="auto"/>
        <w:right w:val="none" w:sz="0" w:space="0" w:color="auto"/>
      </w:divBdr>
    </w:div>
    <w:div w:id="1180461574">
      <w:bodyDiv w:val="1"/>
      <w:marLeft w:val="0"/>
      <w:marRight w:val="0"/>
      <w:marTop w:val="0"/>
      <w:marBottom w:val="0"/>
      <w:divBdr>
        <w:top w:val="none" w:sz="0" w:space="0" w:color="auto"/>
        <w:left w:val="none" w:sz="0" w:space="0" w:color="auto"/>
        <w:bottom w:val="none" w:sz="0" w:space="0" w:color="auto"/>
        <w:right w:val="none" w:sz="0" w:space="0" w:color="auto"/>
      </w:divBdr>
    </w:div>
    <w:div w:id="1192185733">
      <w:bodyDiv w:val="1"/>
      <w:marLeft w:val="0"/>
      <w:marRight w:val="0"/>
      <w:marTop w:val="0"/>
      <w:marBottom w:val="0"/>
      <w:divBdr>
        <w:top w:val="none" w:sz="0" w:space="0" w:color="auto"/>
        <w:left w:val="none" w:sz="0" w:space="0" w:color="auto"/>
        <w:bottom w:val="none" w:sz="0" w:space="0" w:color="auto"/>
        <w:right w:val="none" w:sz="0" w:space="0" w:color="auto"/>
      </w:divBdr>
    </w:div>
    <w:div w:id="1195457723">
      <w:bodyDiv w:val="1"/>
      <w:marLeft w:val="0"/>
      <w:marRight w:val="0"/>
      <w:marTop w:val="0"/>
      <w:marBottom w:val="0"/>
      <w:divBdr>
        <w:top w:val="none" w:sz="0" w:space="0" w:color="auto"/>
        <w:left w:val="none" w:sz="0" w:space="0" w:color="auto"/>
        <w:bottom w:val="none" w:sz="0" w:space="0" w:color="auto"/>
        <w:right w:val="none" w:sz="0" w:space="0" w:color="auto"/>
      </w:divBdr>
    </w:div>
    <w:div w:id="1197698932">
      <w:bodyDiv w:val="1"/>
      <w:marLeft w:val="0"/>
      <w:marRight w:val="0"/>
      <w:marTop w:val="0"/>
      <w:marBottom w:val="0"/>
      <w:divBdr>
        <w:top w:val="none" w:sz="0" w:space="0" w:color="auto"/>
        <w:left w:val="none" w:sz="0" w:space="0" w:color="auto"/>
        <w:bottom w:val="none" w:sz="0" w:space="0" w:color="auto"/>
        <w:right w:val="none" w:sz="0" w:space="0" w:color="auto"/>
      </w:divBdr>
    </w:div>
    <w:div w:id="1240015692">
      <w:bodyDiv w:val="1"/>
      <w:marLeft w:val="0"/>
      <w:marRight w:val="0"/>
      <w:marTop w:val="0"/>
      <w:marBottom w:val="0"/>
      <w:divBdr>
        <w:top w:val="none" w:sz="0" w:space="0" w:color="auto"/>
        <w:left w:val="none" w:sz="0" w:space="0" w:color="auto"/>
        <w:bottom w:val="none" w:sz="0" w:space="0" w:color="auto"/>
        <w:right w:val="none" w:sz="0" w:space="0" w:color="auto"/>
      </w:divBdr>
    </w:div>
    <w:div w:id="1243217988">
      <w:bodyDiv w:val="1"/>
      <w:marLeft w:val="0"/>
      <w:marRight w:val="0"/>
      <w:marTop w:val="0"/>
      <w:marBottom w:val="0"/>
      <w:divBdr>
        <w:top w:val="none" w:sz="0" w:space="0" w:color="auto"/>
        <w:left w:val="none" w:sz="0" w:space="0" w:color="auto"/>
        <w:bottom w:val="none" w:sz="0" w:space="0" w:color="auto"/>
        <w:right w:val="none" w:sz="0" w:space="0" w:color="auto"/>
      </w:divBdr>
    </w:div>
    <w:div w:id="1244022387">
      <w:bodyDiv w:val="1"/>
      <w:marLeft w:val="0"/>
      <w:marRight w:val="0"/>
      <w:marTop w:val="0"/>
      <w:marBottom w:val="0"/>
      <w:divBdr>
        <w:top w:val="none" w:sz="0" w:space="0" w:color="auto"/>
        <w:left w:val="none" w:sz="0" w:space="0" w:color="auto"/>
        <w:bottom w:val="none" w:sz="0" w:space="0" w:color="auto"/>
        <w:right w:val="none" w:sz="0" w:space="0" w:color="auto"/>
      </w:divBdr>
    </w:div>
    <w:div w:id="1263684456">
      <w:bodyDiv w:val="1"/>
      <w:marLeft w:val="0"/>
      <w:marRight w:val="0"/>
      <w:marTop w:val="0"/>
      <w:marBottom w:val="0"/>
      <w:divBdr>
        <w:top w:val="none" w:sz="0" w:space="0" w:color="auto"/>
        <w:left w:val="none" w:sz="0" w:space="0" w:color="auto"/>
        <w:bottom w:val="none" w:sz="0" w:space="0" w:color="auto"/>
        <w:right w:val="none" w:sz="0" w:space="0" w:color="auto"/>
      </w:divBdr>
    </w:div>
    <w:div w:id="1288050323">
      <w:bodyDiv w:val="1"/>
      <w:marLeft w:val="0"/>
      <w:marRight w:val="0"/>
      <w:marTop w:val="0"/>
      <w:marBottom w:val="0"/>
      <w:divBdr>
        <w:top w:val="none" w:sz="0" w:space="0" w:color="auto"/>
        <w:left w:val="none" w:sz="0" w:space="0" w:color="auto"/>
        <w:bottom w:val="none" w:sz="0" w:space="0" w:color="auto"/>
        <w:right w:val="none" w:sz="0" w:space="0" w:color="auto"/>
      </w:divBdr>
    </w:div>
    <w:div w:id="1315795257">
      <w:bodyDiv w:val="1"/>
      <w:marLeft w:val="0"/>
      <w:marRight w:val="0"/>
      <w:marTop w:val="0"/>
      <w:marBottom w:val="0"/>
      <w:divBdr>
        <w:top w:val="none" w:sz="0" w:space="0" w:color="auto"/>
        <w:left w:val="none" w:sz="0" w:space="0" w:color="auto"/>
        <w:bottom w:val="none" w:sz="0" w:space="0" w:color="auto"/>
        <w:right w:val="none" w:sz="0" w:space="0" w:color="auto"/>
      </w:divBdr>
    </w:div>
    <w:div w:id="1320770132">
      <w:bodyDiv w:val="1"/>
      <w:marLeft w:val="0"/>
      <w:marRight w:val="0"/>
      <w:marTop w:val="0"/>
      <w:marBottom w:val="0"/>
      <w:divBdr>
        <w:top w:val="none" w:sz="0" w:space="0" w:color="auto"/>
        <w:left w:val="none" w:sz="0" w:space="0" w:color="auto"/>
        <w:bottom w:val="none" w:sz="0" w:space="0" w:color="auto"/>
        <w:right w:val="none" w:sz="0" w:space="0" w:color="auto"/>
      </w:divBdr>
    </w:div>
    <w:div w:id="1327710828">
      <w:bodyDiv w:val="1"/>
      <w:marLeft w:val="0"/>
      <w:marRight w:val="0"/>
      <w:marTop w:val="0"/>
      <w:marBottom w:val="0"/>
      <w:divBdr>
        <w:top w:val="none" w:sz="0" w:space="0" w:color="auto"/>
        <w:left w:val="none" w:sz="0" w:space="0" w:color="auto"/>
        <w:bottom w:val="none" w:sz="0" w:space="0" w:color="auto"/>
        <w:right w:val="none" w:sz="0" w:space="0" w:color="auto"/>
      </w:divBdr>
    </w:div>
    <w:div w:id="1359429001">
      <w:bodyDiv w:val="1"/>
      <w:marLeft w:val="0"/>
      <w:marRight w:val="0"/>
      <w:marTop w:val="0"/>
      <w:marBottom w:val="0"/>
      <w:divBdr>
        <w:top w:val="none" w:sz="0" w:space="0" w:color="auto"/>
        <w:left w:val="none" w:sz="0" w:space="0" w:color="auto"/>
        <w:bottom w:val="none" w:sz="0" w:space="0" w:color="auto"/>
        <w:right w:val="none" w:sz="0" w:space="0" w:color="auto"/>
      </w:divBdr>
      <w:divsChild>
        <w:div w:id="975918115">
          <w:marLeft w:val="0"/>
          <w:marRight w:val="0"/>
          <w:marTop w:val="0"/>
          <w:marBottom w:val="0"/>
          <w:divBdr>
            <w:top w:val="none" w:sz="0" w:space="0" w:color="auto"/>
            <w:left w:val="none" w:sz="0" w:space="0" w:color="auto"/>
            <w:bottom w:val="none" w:sz="0" w:space="0" w:color="auto"/>
            <w:right w:val="none" w:sz="0" w:space="0" w:color="auto"/>
          </w:divBdr>
          <w:divsChild>
            <w:div w:id="1719431598">
              <w:marLeft w:val="120"/>
              <w:marRight w:val="120"/>
              <w:marTop w:val="120"/>
              <w:marBottom w:val="120"/>
              <w:divBdr>
                <w:top w:val="none" w:sz="0" w:space="0" w:color="auto"/>
                <w:left w:val="none" w:sz="0" w:space="0" w:color="auto"/>
                <w:bottom w:val="none" w:sz="0" w:space="0" w:color="auto"/>
                <w:right w:val="none" w:sz="0" w:space="0" w:color="auto"/>
              </w:divBdr>
              <w:divsChild>
                <w:div w:id="798108808">
                  <w:marLeft w:val="0"/>
                  <w:marRight w:val="0"/>
                  <w:marTop w:val="0"/>
                  <w:marBottom w:val="0"/>
                  <w:divBdr>
                    <w:top w:val="none" w:sz="0" w:space="0" w:color="auto"/>
                    <w:left w:val="none" w:sz="0" w:space="0" w:color="auto"/>
                    <w:bottom w:val="none" w:sz="0" w:space="0" w:color="auto"/>
                    <w:right w:val="none" w:sz="0" w:space="0" w:color="auto"/>
                  </w:divBdr>
                  <w:divsChild>
                    <w:div w:id="1346857762">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
                        <w:div w:id="11823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14393">
          <w:marLeft w:val="0"/>
          <w:marRight w:val="0"/>
          <w:marTop w:val="0"/>
          <w:marBottom w:val="0"/>
          <w:divBdr>
            <w:top w:val="none" w:sz="0" w:space="0" w:color="auto"/>
            <w:left w:val="single" w:sz="48" w:space="0" w:color="auto"/>
            <w:bottom w:val="none" w:sz="0" w:space="0" w:color="auto"/>
            <w:right w:val="single" w:sz="48" w:space="0" w:color="auto"/>
          </w:divBdr>
          <w:divsChild>
            <w:div w:id="1724984787">
              <w:marLeft w:val="0"/>
              <w:marRight w:val="0"/>
              <w:marTop w:val="100"/>
              <w:marBottom w:val="100"/>
              <w:divBdr>
                <w:top w:val="none" w:sz="0" w:space="0" w:color="auto"/>
                <w:left w:val="none" w:sz="0" w:space="0" w:color="auto"/>
                <w:bottom w:val="none" w:sz="0" w:space="0" w:color="auto"/>
                <w:right w:val="none" w:sz="0" w:space="0" w:color="auto"/>
              </w:divBdr>
              <w:divsChild>
                <w:div w:id="1966346634">
                  <w:marLeft w:val="0"/>
                  <w:marRight w:val="0"/>
                  <w:marTop w:val="0"/>
                  <w:marBottom w:val="0"/>
                  <w:divBdr>
                    <w:top w:val="none" w:sz="0" w:space="0" w:color="auto"/>
                    <w:left w:val="none" w:sz="0" w:space="0" w:color="auto"/>
                    <w:bottom w:val="none" w:sz="0" w:space="0" w:color="auto"/>
                    <w:right w:val="none" w:sz="0" w:space="0" w:color="auto"/>
                  </w:divBdr>
                </w:div>
              </w:divsChild>
            </w:div>
            <w:div w:id="1683628044">
              <w:marLeft w:val="0"/>
              <w:marRight w:val="0"/>
              <w:marTop w:val="0"/>
              <w:marBottom w:val="0"/>
              <w:divBdr>
                <w:top w:val="none" w:sz="0" w:space="0" w:color="auto"/>
                <w:left w:val="none" w:sz="0" w:space="0" w:color="auto"/>
                <w:bottom w:val="none" w:sz="0" w:space="0" w:color="auto"/>
                <w:right w:val="none" w:sz="0" w:space="0" w:color="auto"/>
              </w:divBdr>
              <w:divsChild>
                <w:div w:id="243493733">
                  <w:marLeft w:val="0"/>
                  <w:marRight w:val="0"/>
                  <w:marTop w:val="0"/>
                  <w:marBottom w:val="0"/>
                  <w:divBdr>
                    <w:top w:val="none" w:sz="0" w:space="0" w:color="auto"/>
                    <w:left w:val="none" w:sz="0" w:space="0" w:color="auto"/>
                    <w:bottom w:val="none" w:sz="0" w:space="0" w:color="auto"/>
                    <w:right w:val="none" w:sz="0" w:space="0" w:color="auto"/>
                  </w:divBdr>
                </w:div>
                <w:div w:id="959797083">
                  <w:marLeft w:val="0"/>
                  <w:marRight w:val="0"/>
                  <w:marTop w:val="0"/>
                  <w:marBottom w:val="0"/>
                  <w:divBdr>
                    <w:top w:val="none" w:sz="0" w:space="0" w:color="auto"/>
                    <w:left w:val="none" w:sz="0" w:space="0" w:color="auto"/>
                    <w:bottom w:val="none" w:sz="0" w:space="0" w:color="auto"/>
                    <w:right w:val="none" w:sz="0" w:space="0" w:color="auto"/>
                  </w:divBdr>
                </w:div>
              </w:divsChild>
            </w:div>
            <w:div w:id="1051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1762">
      <w:bodyDiv w:val="1"/>
      <w:marLeft w:val="0"/>
      <w:marRight w:val="0"/>
      <w:marTop w:val="0"/>
      <w:marBottom w:val="0"/>
      <w:divBdr>
        <w:top w:val="none" w:sz="0" w:space="0" w:color="auto"/>
        <w:left w:val="none" w:sz="0" w:space="0" w:color="auto"/>
        <w:bottom w:val="none" w:sz="0" w:space="0" w:color="auto"/>
        <w:right w:val="none" w:sz="0" w:space="0" w:color="auto"/>
      </w:divBdr>
    </w:div>
    <w:div w:id="1382945735">
      <w:bodyDiv w:val="1"/>
      <w:marLeft w:val="0"/>
      <w:marRight w:val="0"/>
      <w:marTop w:val="0"/>
      <w:marBottom w:val="0"/>
      <w:divBdr>
        <w:top w:val="none" w:sz="0" w:space="0" w:color="auto"/>
        <w:left w:val="none" w:sz="0" w:space="0" w:color="auto"/>
        <w:bottom w:val="none" w:sz="0" w:space="0" w:color="auto"/>
        <w:right w:val="none" w:sz="0" w:space="0" w:color="auto"/>
      </w:divBdr>
    </w:div>
    <w:div w:id="1453480109">
      <w:bodyDiv w:val="1"/>
      <w:marLeft w:val="0"/>
      <w:marRight w:val="0"/>
      <w:marTop w:val="0"/>
      <w:marBottom w:val="0"/>
      <w:divBdr>
        <w:top w:val="none" w:sz="0" w:space="0" w:color="auto"/>
        <w:left w:val="none" w:sz="0" w:space="0" w:color="auto"/>
        <w:bottom w:val="none" w:sz="0" w:space="0" w:color="auto"/>
        <w:right w:val="none" w:sz="0" w:space="0" w:color="auto"/>
      </w:divBdr>
    </w:div>
    <w:div w:id="1456480440">
      <w:bodyDiv w:val="1"/>
      <w:marLeft w:val="0"/>
      <w:marRight w:val="0"/>
      <w:marTop w:val="0"/>
      <w:marBottom w:val="0"/>
      <w:divBdr>
        <w:top w:val="none" w:sz="0" w:space="0" w:color="auto"/>
        <w:left w:val="none" w:sz="0" w:space="0" w:color="auto"/>
        <w:bottom w:val="none" w:sz="0" w:space="0" w:color="auto"/>
        <w:right w:val="none" w:sz="0" w:space="0" w:color="auto"/>
      </w:divBdr>
    </w:div>
    <w:div w:id="1474714588">
      <w:bodyDiv w:val="1"/>
      <w:marLeft w:val="0"/>
      <w:marRight w:val="0"/>
      <w:marTop w:val="0"/>
      <w:marBottom w:val="0"/>
      <w:divBdr>
        <w:top w:val="none" w:sz="0" w:space="0" w:color="auto"/>
        <w:left w:val="none" w:sz="0" w:space="0" w:color="auto"/>
        <w:bottom w:val="none" w:sz="0" w:space="0" w:color="auto"/>
        <w:right w:val="none" w:sz="0" w:space="0" w:color="auto"/>
      </w:divBdr>
    </w:div>
    <w:div w:id="1475413878">
      <w:bodyDiv w:val="1"/>
      <w:marLeft w:val="0"/>
      <w:marRight w:val="0"/>
      <w:marTop w:val="0"/>
      <w:marBottom w:val="0"/>
      <w:divBdr>
        <w:top w:val="none" w:sz="0" w:space="0" w:color="auto"/>
        <w:left w:val="none" w:sz="0" w:space="0" w:color="auto"/>
        <w:bottom w:val="none" w:sz="0" w:space="0" w:color="auto"/>
        <w:right w:val="none" w:sz="0" w:space="0" w:color="auto"/>
      </w:divBdr>
      <w:divsChild>
        <w:div w:id="1459183598">
          <w:marLeft w:val="0"/>
          <w:marRight w:val="0"/>
          <w:marTop w:val="240"/>
          <w:marBottom w:val="480"/>
          <w:divBdr>
            <w:top w:val="none" w:sz="0" w:space="0" w:color="auto"/>
            <w:left w:val="none" w:sz="0" w:space="0" w:color="auto"/>
            <w:bottom w:val="none" w:sz="0" w:space="0" w:color="auto"/>
            <w:right w:val="none" w:sz="0" w:space="0" w:color="auto"/>
          </w:divBdr>
          <w:divsChild>
            <w:div w:id="317611233">
              <w:marLeft w:val="0"/>
              <w:marRight w:val="0"/>
              <w:marTop w:val="0"/>
              <w:marBottom w:val="0"/>
              <w:divBdr>
                <w:top w:val="none" w:sz="0" w:space="0" w:color="auto"/>
                <w:left w:val="none" w:sz="0" w:space="0" w:color="auto"/>
                <w:bottom w:val="none" w:sz="0" w:space="0" w:color="auto"/>
                <w:right w:val="none" w:sz="0" w:space="0" w:color="auto"/>
              </w:divBdr>
              <w:divsChild>
                <w:div w:id="816537347">
                  <w:marLeft w:val="0"/>
                  <w:marRight w:val="0"/>
                  <w:marTop w:val="0"/>
                  <w:marBottom w:val="0"/>
                  <w:divBdr>
                    <w:top w:val="none" w:sz="0" w:space="0" w:color="auto"/>
                    <w:left w:val="none" w:sz="0" w:space="0" w:color="auto"/>
                    <w:bottom w:val="none" w:sz="0" w:space="0" w:color="auto"/>
                    <w:right w:val="none" w:sz="0" w:space="0" w:color="auto"/>
                  </w:divBdr>
                  <w:divsChild>
                    <w:div w:id="37360833">
                      <w:marLeft w:val="0"/>
                      <w:marRight w:val="0"/>
                      <w:marTop w:val="0"/>
                      <w:marBottom w:val="0"/>
                      <w:divBdr>
                        <w:top w:val="none" w:sz="0" w:space="0" w:color="auto"/>
                        <w:left w:val="none" w:sz="0" w:space="0" w:color="auto"/>
                        <w:bottom w:val="none" w:sz="0" w:space="0" w:color="auto"/>
                        <w:right w:val="none" w:sz="0" w:space="0" w:color="auto"/>
                      </w:divBdr>
                      <w:divsChild>
                        <w:div w:id="657534325">
                          <w:marLeft w:val="0"/>
                          <w:marRight w:val="0"/>
                          <w:marTop w:val="0"/>
                          <w:marBottom w:val="0"/>
                          <w:divBdr>
                            <w:top w:val="none" w:sz="0" w:space="0" w:color="auto"/>
                            <w:left w:val="none" w:sz="0" w:space="0" w:color="auto"/>
                            <w:bottom w:val="none" w:sz="0" w:space="0" w:color="auto"/>
                            <w:right w:val="none" w:sz="0" w:space="0" w:color="auto"/>
                          </w:divBdr>
                          <w:divsChild>
                            <w:div w:id="1288661511">
                              <w:marLeft w:val="0"/>
                              <w:marRight w:val="0"/>
                              <w:marTop w:val="0"/>
                              <w:marBottom w:val="0"/>
                              <w:divBdr>
                                <w:top w:val="none" w:sz="0" w:space="0" w:color="auto"/>
                                <w:left w:val="none" w:sz="0" w:space="0" w:color="auto"/>
                                <w:bottom w:val="none" w:sz="0" w:space="0" w:color="auto"/>
                                <w:right w:val="none" w:sz="0" w:space="0" w:color="auto"/>
                              </w:divBdr>
                              <w:divsChild>
                                <w:div w:id="1994333575">
                                  <w:marLeft w:val="0"/>
                                  <w:marRight w:val="0"/>
                                  <w:marTop w:val="150"/>
                                  <w:marBottom w:val="150"/>
                                  <w:divBdr>
                                    <w:top w:val="none" w:sz="0" w:space="0" w:color="auto"/>
                                    <w:left w:val="none" w:sz="0" w:space="0" w:color="auto"/>
                                    <w:bottom w:val="none" w:sz="0" w:space="0" w:color="auto"/>
                                    <w:right w:val="none" w:sz="0" w:space="0" w:color="auto"/>
                                  </w:divBdr>
                                  <w:divsChild>
                                    <w:div w:id="942610106">
                                      <w:marLeft w:val="0"/>
                                      <w:marRight w:val="0"/>
                                      <w:marTop w:val="0"/>
                                      <w:marBottom w:val="0"/>
                                      <w:divBdr>
                                        <w:top w:val="none" w:sz="0" w:space="0" w:color="auto"/>
                                        <w:left w:val="none" w:sz="0" w:space="0" w:color="auto"/>
                                        <w:bottom w:val="none" w:sz="0" w:space="0" w:color="auto"/>
                                        <w:right w:val="none" w:sz="0" w:space="0" w:color="auto"/>
                                      </w:divBdr>
                                      <w:divsChild>
                                        <w:div w:id="20453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15110">
      <w:bodyDiv w:val="1"/>
      <w:marLeft w:val="0"/>
      <w:marRight w:val="0"/>
      <w:marTop w:val="0"/>
      <w:marBottom w:val="0"/>
      <w:divBdr>
        <w:top w:val="none" w:sz="0" w:space="0" w:color="auto"/>
        <w:left w:val="none" w:sz="0" w:space="0" w:color="auto"/>
        <w:bottom w:val="none" w:sz="0" w:space="0" w:color="auto"/>
        <w:right w:val="none" w:sz="0" w:space="0" w:color="auto"/>
      </w:divBdr>
    </w:div>
    <w:div w:id="1543863710">
      <w:bodyDiv w:val="1"/>
      <w:marLeft w:val="0"/>
      <w:marRight w:val="0"/>
      <w:marTop w:val="0"/>
      <w:marBottom w:val="0"/>
      <w:divBdr>
        <w:top w:val="none" w:sz="0" w:space="0" w:color="auto"/>
        <w:left w:val="none" w:sz="0" w:space="0" w:color="auto"/>
        <w:bottom w:val="none" w:sz="0" w:space="0" w:color="auto"/>
        <w:right w:val="none" w:sz="0" w:space="0" w:color="auto"/>
      </w:divBdr>
    </w:div>
    <w:div w:id="1570798553">
      <w:bodyDiv w:val="1"/>
      <w:marLeft w:val="0"/>
      <w:marRight w:val="0"/>
      <w:marTop w:val="0"/>
      <w:marBottom w:val="0"/>
      <w:divBdr>
        <w:top w:val="none" w:sz="0" w:space="0" w:color="auto"/>
        <w:left w:val="none" w:sz="0" w:space="0" w:color="auto"/>
        <w:bottom w:val="none" w:sz="0" w:space="0" w:color="auto"/>
        <w:right w:val="none" w:sz="0" w:space="0" w:color="auto"/>
      </w:divBdr>
      <w:divsChild>
        <w:div w:id="1774747177">
          <w:marLeft w:val="0"/>
          <w:marRight w:val="0"/>
          <w:marTop w:val="0"/>
          <w:marBottom w:val="0"/>
          <w:divBdr>
            <w:top w:val="none" w:sz="0" w:space="0" w:color="auto"/>
            <w:left w:val="none" w:sz="0" w:space="0" w:color="auto"/>
            <w:bottom w:val="none" w:sz="0" w:space="0" w:color="auto"/>
            <w:right w:val="none" w:sz="0" w:space="0" w:color="auto"/>
          </w:divBdr>
          <w:divsChild>
            <w:div w:id="414134625">
              <w:marLeft w:val="0"/>
              <w:marRight w:val="0"/>
              <w:marTop w:val="0"/>
              <w:marBottom w:val="0"/>
              <w:divBdr>
                <w:top w:val="none" w:sz="0" w:space="0" w:color="auto"/>
                <w:left w:val="none" w:sz="0" w:space="0" w:color="auto"/>
                <w:bottom w:val="none" w:sz="0" w:space="0" w:color="auto"/>
                <w:right w:val="none" w:sz="0" w:space="0" w:color="auto"/>
              </w:divBdr>
              <w:divsChild>
                <w:div w:id="683019716">
                  <w:marLeft w:val="0"/>
                  <w:marRight w:val="0"/>
                  <w:marTop w:val="0"/>
                  <w:marBottom w:val="0"/>
                  <w:divBdr>
                    <w:top w:val="none" w:sz="0" w:space="0" w:color="auto"/>
                    <w:left w:val="none" w:sz="0" w:space="0" w:color="auto"/>
                    <w:bottom w:val="none" w:sz="0" w:space="0" w:color="auto"/>
                    <w:right w:val="none" w:sz="0" w:space="0" w:color="auto"/>
                  </w:divBdr>
                  <w:divsChild>
                    <w:div w:id="305018177">
                      <w:marLeft w:val="0"/>
                      <w:marRight w:val="0"/>
                      <w:marTop w:val="0"/>
                      <w:marBottom w:val="0"/>
                      <w:divBdr>
                        <w:top w:val="none" w:sz="0" w:space="0" w:color="auto"/>
                        <w:left w:val="none" w:sz="0" w:space="0" w:color="auto"/>
                        <w:bottom w:val="none" w:sz="0" w:space="0" w:color="auto"/>
                        <w:right w:val="none" w:sz="0" w:space="0" w:color="auto"/>
                      </w:divBdr>
                      <w:divsChild>
                        <w:div w:id="468742873">
                          <w:marLeft w:val="384"/>
                          <w:marRight w:val="384"/>
                          <w:marTop w:val="0"/>
                          <w:marBottom w:val="0"/>
                          <w:divBdr>
                            <w:top w:val="none" w:sz="0" w:space="0" w:color="auto"/>
                            <w:left w:val="none" w:sz="0" w:space="0" w:color="auto"/>
                            <w:bottom w:val="none" w:sz="0" w:space="0" w:color="auto"/>
                            <w:right w:val="none" w:sz="0" w:space="0" w:color="auto"/>
                          </w:divBdr>
                          <w:divsChild>
                            <w:div w:id="1904607279">
                              <w:marLeft w:val="0"/>
                              <w:marRight w:val="0"/>
                              <w:marTop w:val="0"/>
                              <w:marBottom w:val="0"/>
                              <w:divBdr>
                                <w:top w:val="none" w:sz="0" w:space="0" w:color="auto"/>
                                <w:left w:val="none" w:sz="0" w:space="0" w:color="auto"/>
                                <w:bottom w:val="none" w:sz="0" w:space="0" w:color="auto"/>
                                <w:right w:val="none" w:sz="0" w:space="0" w:color="auto"/>
                              </w:divBdr>
                              <w:divsChild>
                                <w:div w:id="1300652996">
                                  <w:marLeft w:val="0"/>
                                  <w:marRight w:val="0"/>
                                  <w:marTop w:val="0"/>
                                  <w:marBottom w:val="0"/>
                                  <w:divBdr>
                                    <w:top w:val="none" w:sz="0" w:space="0" w:color="auto"/>
                                    <w:left w:val="none" w:sz="0" w:space="0" w:color="auto"/>
                                    <w:bottom w:val="none" w:sz="0" w:space="0" w:color="auto"/>
                                    <w:right w:val="none" w:sz="0" w:space="0" w:color="auto"/>
                                  </w:divBdr>
                                  <w:divsChild>
                                    <w:div w:id="1899510790">
                                      <w:marLeft w:val="0"/>
                                      <w:marRight w:val="0"/>
                                      <w:marTop w:val="332"/>
                                      <w:marBottom w:val="332"/>
                                      <w:divBdr>
                                        <w:top w:val="none" w:sz="0" w:space="0" w:color="auto"/>
                                        <w:left w:val="none" w:sz="0" w:space="0" w:color="auto"/>
                                        <w:bottom w:val="none" w:sz="0" w:space="0" w:color="auto"/>
                                        <w:right w:val="none" w:sz="0" w:space="0" w:color="auto"/>
                                      </w:divBdr>
                                      <w:divsChild>
                                        <w:div w:id="478888744">
                                          <w:marLeft w:val="0"/>
                                          <w:marRight w:val="0"/>
                                          <w:marTop w:val="332"/>
                                          <w:marBottom w:val="332"/>
                                          <w:divBdr>
                                            <w:top w:val="none" w:sz="0" w:space="0" w:color="auto"/>
                                            <w:left w:val="none" w:sz="0" w:space="0" w:color="auto"/>
                                            <w:bottom w:val="none" w:sz="0" w:space="0" w:color="auto"/>
                                            <w:right w:val="none" w:sz="0" w:space="0" w:color="auto"/>
                                          </w:divBdr>
                                          <w:divsChild>
                                            <w:div w:id="1565723341">
                                              <w:marLeft w:val="0"/>
                                              <w:marRight w:val="0"/>
                                              <w:marTop w:val="0"/>
                                              <w:marBottom w:val="0"/>
                                              <w:divBdr>
                                                <w:top w:val="none" w:sz="0" w:space="0" w:color="auto"/>
                                                <w:left w:val="none" w:sz="0" w:space="0" w:color="auto"/>
                                                <w:bottom w:val="none" w:sz="0" w:space="0" w:color="auto"/>
                                                <w:right w:val="none" w:sz="0" w:space="0" w:color="auto"/>
                                              </w:divBdr>
                                            </w:div>
                                            <w:div w:id="6755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750331">
      <w:bodyDiv w:val="1"/>
      <w:marLeft w:val="0"/>
      <w:marRight w:val="0"/>
      <w:marTop w:val="0"/>
      <w:marBottom w:val="0"/>
      <w:divBdr>
        <w:top w:val="none" w:sz="0" w:space="0" w:color="auto"/>
        <w:left w:val="none" w:sz="0" w:space="0" w:color="auto"/>
        <w:bottom w:val="none" w:sz="0" w:space="0" w:color="auto"/>
        <w:right w:val="none" w:sz="0" w:space="0" w:color="auto"/>
      </w:divBdr>
    </w:div>
    <w:div w:id="1601329193">
      <w:bodyDiv w:val="1"/>
      <w:marLeft w:val="0"/>
      <w:marRight w:val="0"/>
      <w:marTop w:val="0"/>
      <w:marBottom w:val="0"/>
      <w:divBdr>
        <w:top w:val="none" w:sz="0" w:space="0" w:color="auto"/>
        <w:left w:val="none" w:sz="0" w:space="0" w:color="auto"/>
        <w:bottom w:val="none" w:sz="0" w:space="0" w:color="auto"/>
        <w:right w:val="none" w:sz="0" w:space="0" w:color="auto"/>
      </w:divBdr>
    </w:div>
    <w:div w:id="1602563770">
      <w:bodyDiv w:val="1"/>
      <w:marLeft w:val="0"/>
      <w:marRight w:val="0"/>
      <w:marTop w:val="0"/>
      <w:marBottom w:val="0"/>
      <w:divBdr>
        <w:top w:val="none" w:sz="0" w:space="0" w:color="auto"/>
        <w:left w:val="none" w:sz="0" w:space="0" w:color="auto"/>
        <w:bottom w:val="none" w:sz="0" w:space="0" w:color="auto"/>
        <w:right w:val="none" w:sz="0" w:space="0" w:color="auto"/>
      </w:divBdr>
    </w:div>
    <w:div w:id="1662198236">
      <w:bodyDiv w:val="1"/>
      <w:marLeft w:val="0"/>
      <w:marRight w:val="0"/>
      <w:marTop w:val="0"/>
      <w:marBottom w:val="0"/>
      <w:divBdr>
        <w:top w:val="none" w:sz="0" w:space="0" w:color="auto"/>
        <w:left w:val="none" w:sz="0" w:space="0" w:color="auto"/>
        <w:bottom w:val="none" w:sz="0" w:space="0" w:color="auto"/>
        <w:right w:val="none" w:sz="0" w:space="0" w:color="auto"/>
      </w:divBdr>
    </w:div>
    <w:div w:id="1662539554">
      <w:bodyDiv w:val="1"/>
      <w:marLeft w:val="0"/>
      <w:marRight w:val="0"/>
      <w:marTop w:val="0"/>
      <w:marBottom w:val="0"/>
      <w:divBdr>
        <w:top w:val="none" w:sz="0" w:space="0" w:color="auto"/>
        <w:left w:val="none" w:sz="0" w:space="0" w:color="auto"/>
        <w:bottom w:val="none" w:sz="0" w:space="0" w:color="auto"/>
        <w:right w:val="none" w:sz="0" w:space="0" w:color="auto"/>
      </w:divBdr>
    </w:div>
    <w:div w:id="1682465760">
      <w:bodyDiv w:val="1"/>
      <w:marLeft w:val="0"/>
      <w:marRight w:val="0"/>
      <w:marTop w:val="0"/>
      <w:marBottom w:val="0"/>
      <w:divBdr>
        <w:top w:val="none" w:sz="0" w:space="0" w:color="auto"/>
        <w:left w:val="none" w:sz="0" w:space="0" w:color="auto"/>
        <w:bottom w:val="none" w:sz="0" w:space="0" w:color="auto"/>
        <w:right w:val="none" w:sz="0" w:space="0" w:color="auto"/>
      </w:divBdr>
    </w:div>
    <w:div w:id="1701395042">
      <w:bodyDiv w:val="1"/>
      <w:marLeft w:val="0"/>
      <w:marRight w:val="0"/>
      <w:marTop w:val="0"/>
      <w:marBottom w:val="0"/>
      <w:divBdr>
        <w:top w:val="none" w:sz="0" w:space="0" w:color="auto"/>
        <w:left w:val="none" w:sz="0" w:space="0" w:color="auto"/>
        <w:bottom w:val="none" w:sz="0" w:space="0" w:color="auto"/>
        <w:right w:val="none" w:sz="0" w:space="0" w:color="auto"/>
      </w:divBdr>
    </w:div>
    <w:div w:id="1708218557">
      <w:bodyDiv w:val="1"/>
      <w:marLeft w:val="0"/>
      <w:marRight w:val="0"/>
      <w:marTop w:val="0"/>
      <w:marBottom w:val="0"/>
      <w:divBdr>
        <w:top w:val="none" w:sz="0" w:space="0" w:color="auto"/>
        <w:left w:val="none" w:sz="0" w:space="0" w:color="auto"/>
        <w:bottom w:val="none" w:sz="0" w:space="0" w:color="auto"/>
        <w:right w:val="none" w:sz="0" w:space="0" w:color="auto"/>
      </w:divBdr>
    </w:div>
    <w:div w:id="1735082364">
      <w:bodyDiv w:val="1"/>
      <w:marLeft w:val="0"/>
      <w:marRight w:val="0"/>
      <w:marTop w:val="0"/>
      <w:marBottom w:val="0"/>
      <w:divBdr>
        <w:top w:val="none" w:sz="0" w:space="0" w:color="auto"/>
        <w:left w:val="none" w:sz="0" w:space="0" w:color="auto"/>
        <w:bottom w:val="none" w:sz="0" w:space="0" w:color="auto"/>
        <w:right w:val="none" w:sz="0" w:space="0" w:color="auto"/>
      </w:divBdr>
    </w:div>
    <w:div w:id="1735740970">
      <w:bodyDiv w:val="1"/>
      <w:marLeft w:val="0"/>
      <w:marRight w:val="0"/>
      <w:marTop w:val="0"/>
      <w:marBottom w:val="0"/>
      <w:divBdr>
        <w:top w:val="none" w:sz="0" w:space="0" w:color="auto"/>
        <w:left w:val="none" w:sz="0" w:space="0" w:color="auto"/>
        <w:bottom w:val="none" w:sz="0" w:space="0" w:color="auto"/>
        <w:right w:val="none" w:sz="0" w:space="0" w:color="auto"/>
      </w:divBdr>
    </w:div>
    <w:div w:id="1761565339">
      <w:bodyDiv w:val="1"/>
      <w:marLeft w:val="0"/>
      <w:marRight w:val="0"/>
      <w:marTop w:val="0"/>
      <w:marBottom w:val="0"/>
      <w:divBdr>
        <w:top w:val="none" w:sz="0" w:space="0" w:color="auto"/>
        <w:left w:val="none" w:sz="0" w:space="0" w:color="auto"/>
        <w:bottom w:val="none" w:sz="0" w:space="0" w:color="auto"/>
        <w:right w:val="none" w:sz="0" w:space="0" w:color="auto"/>
      </w:divBdr>
    </w:div>
    <w:div w:id="1775633003">
      <w:bodyDiv w:val="1"/>
      <w:marLeft w:val="0"/>
      <w:marRight w:val="0"/>
      <w:marTop w:val="0"/>
      <w:marBottom w:val="0"/>
      <w:divBdr>
        <w:top w:val="none" w:sz="0" w:space="0" w:color="auto"/>
        <w:left w:val="none" w:sz="0" w:space="0" w:color="auto"/>
        <w:bottom w:val="none" w:sz="0" w:space="0" w:color="auto"/>
        <w:right w:val="none" w:sz="0" w:space="0" w:color="auto"/>
      </w:divBdr>
    </w:div>
    <w:div w:id="1776711918">
      <w:bodyDiv w:val="1"/>
      <w:marLeft w:val="0"/>
      <w:marRight w:val="0"/>
      <w:marTop w:val="0"/>
      <w:marBottom w:val="0"/>
      <w:divBdr>
        <w:top w:val="none" w:sz="0" w:space="0" w:color="auto"/>
        <w:left w:val="none" w:sz="0" w:space="0" w:color="auto"/>
        <w:bottom w:val="none" w:sz="0" w:space="0" w:color="auto"/>
        <w:right w:val="none" w:sz="0" w:space="0" w:color="auto"/>
      </w:divBdr>
    </w:div>
    <w:div w:id="1837107833">
      <w:bodyDiv w:val="1"/>
      <w:marLeft w:val="0"/>
      <w:marRight w:val="0"/>
      <w:marTop w:val="0"/>
      <w:marBottom w:val="0"/>
      <w:divBdr>
        <w:top w:val="none" w:sz="0" w:space="0" w:color="auto"/>
        <w:left w:val="none" w:sz="0" w:space="0" w:color="auto"/>
        <w:bottom w:val="none" w:sz="0" w:space="0" w:color="auto"/>
        <w:right w:val="none" w:sz="0" w:space="0" w:color="auto"/>
      </w:divBdr>
    </w:div>
    <w:div w:id="1890801206">
      <w:bodyDiv w:val="1"/>
      <w:marLeft w:val="0"/>
      <w:marRight w:val="0"/>
      <w:marTop w:val="0"/>
      <w:marBottom w:val="0"/>
      <w:divBdr>
        <w:top w:val="none" w:sz="0" w:space="0" w:color="auto"/>
        <w:left w:val="none" w:sz="0" w:space="0" w:color="auto"/>
        <w:bottom w:val="none" w:sz="0" w:space="0" w:color="auto"/>
        <w:right w:val="none" w:sz="0" w:space="0" w:color="auto"/>
      </w:divBdr>
    </w:div>
    <w:div w:id="1938321549">
      <w:bodyDiv w:val="1"/>
      <w:marLeft w:val="0"/>
      <w:marRight w:val="0"/>
      <w:marTop w:val="0"/>
      <w:marBottom w:val="0"/>
      <w:divBdr>
        <w:top w:val="none" w:sz="0" w:space="0" w:color="auto"/>
        <w:left w:val="none" w:sz="0" w:space="0" w:color="auto"/>
        <w:bottom w:val="none" w:sz="0" w:space="0" w:color="auto"/>
        <w:right w:val="none" w:sz="0" w:space="0" w:color="auto"/>
      </w:divBdr>
    </w:div>
    <w:div w:id="1950812549">
      <w:bodyDiv w:val="1"/>
      <w:marLeft w:val="0"/>
      <w:marRight w:val="0"/>
      <w:marTop w:val="0"/>
      <w:marBottom w:val="0"/>
      <w:divBdr>
        <w:top w:val="none" w:sz="0" w:space="0" w:color="auto"/>
        <w:left w:val="none" w:sz="0" w:space="0" w:color="auto"/>
        <w:bottom w:val="none" w:sz="0" w:space="0" w:color="auto"/>
        <w:right w:val="none" w:sz="0" w:space="0" w:color="auto"/>
      </w:divBdr>
      <w:divsChild>
        <w:div w:id="1533423649">
          <w:marLeft w:val="0"/>
          <w:marRight w:val="0"/>
          <w:marTop w:val="0"/>
          <w:marBottom w:val="0"/>
          <w:divBdr>
            <w:top w:val="none" w:sz="0" w:space="0" w:color="auto"/>
            <w:left w:val="none" w:sz="0" w:space="0" w:color="auto"/>
            <w:bottom w:val="none" w:sz="0" w:space="0" w:color="auto"/>
            <w:right w:val="none" w:sz="0" w:space="0" w:color="auto"/>
          </w:divBdr>
          <w:divsChild>
            <w:div w:id="390234010">
              <w:marLeft w:val="0"/>
              <w:marRight w:val="0"/>
              <w:marTop w:val="0"/>
              <w:marBottom w:val="0"/>
              <w:divBdr>
                <w:top w:val="none" w:sz="0" w:space="0" w:color="auto"/>
                <w:left w:val="none" w:sz="0" w:space="0" w:color="auto"/>
                <w:bottom w:val="none" w:sz="0" w:space="0" w:color="auto"/>
                <w:right w:val="none" w:sz="0" w:space="0" w:color="auto"/>
              </w:divBdr>
              <w:divsChild>
                <w:div w:id="802843079">
                  <w:marLeft w:val="0"/>
                  <w:marRight w:val="0"/>
                  <w:marTop w:val="0"/>
                  <w:marBottom w:val="0"/>
                  <w:divBdr>
                    <w:top w:val="none" w:sz="0" w:space="0" w:color="auto"/>
                    <w:left w:val="none" w:sz="0" w:space="0" w:color="auto"/>
                    <w:bottom w:val="none" w:sz="0" w:space="0" w:color="auto"/>
                    <w:right w:val="none" w:sz="0" w:space="0" w:color="auto"/>
                  </w:divBdr>
                  <w:divsChild>
                    <w:div w:id="1707830174">
                      <w:marLeft w:val="0"/>
                      <w:marRight w:val="0"/>
                      <w:marTop w:val="0"/>
                      <w:marBottom w:val="0"/>
                      <w:divBdr>
                        <w:top w:val="none" w:sz="0" w:space="0" w:color="auto"/>
                        <w:left w:val="none" w:sz="0" w:space="0" w:color="auto"/>
                        <w:bottom w:val="none" w:sz="0" w:space="0" w:color="auto"/>
                        <w:right w:val="none" w:sz="0" w:space="0" w:color="auto"/>
                      </w:divBdr>
                      <w:divsChild>
                        <w:div w:id="1731492929">
                          <w:marLeft w:val="0"/>
                          <w:marRight w:val="0"/>
                          <w:marTop w:val="0"/>
                          <w:marBottom w:val="0"/>
                          <w:divBdr>
                            <w:top w:val="none" w:sz="0" w:space="0" w:color="auto"/>
                            <w:left w:val="none" w:sz="0" w:space="0" w:color="auto"/>
                            <w:bottom w:val="none" w:sz="0" w:space="0" w:color="auto"/>
                            <w:right w:val="none" w:sz="0" w:space="0" w:color="auto"/>
                          </w:divBdr>
                          <w:divsChild>
                            <w:div w:id="1682512430">
                              <w:marLeft w:val="0"/>
                              <w:marRight w:val="0"/>
                              <w:marTop w:val="0"/>
                              <w:marBottom w:val="0"/>
                              <w:divBdr>
                                <w:top w:val="none" w:sz="0" w:space="0" w:color="auto"/>
                                <w:left w:val="none" w:sz="0" w:space="0" w:color="auto"/>
                                <w:bottom w:val="none" w:sz="0" w:space="0" w:color="auto"/>
                                <w:right w:val="none" w:sz="0" w:space="0" w:color="auto"/>
                              </w:divBdr>
                              <w:divsChild>
                                <w:div w:id="2058890960">
                                  <w:marLeft w:val="0"/>
                                  <w:marRight w:val="0"/>
                                  <w:marTop w:val="0"/>
                                  <w:marBottom w:val="0"/>
                                  <w:divBdr>
                                    <w:top w:val="none" w:sz="0" w:space="0" w:color="auto"/>
                                    <w:left w:val="none" w:sz="0" w:space="0" w:color="auto"/>
                                    <w:bottom w:val="none" w:sz="0" w:space="0" w:color="auto"/>
                                    <w:right w:val="none" w:sz="0" w:space="0" w:color="auto"/>
                                  </w:divBdr>
                                  <w:divsChild>
                                    <w:div w:id="1221096359">
                                      <w:marLeft w:val="0"/>
                                      <w:marRight w:val="0"/>
                                      <w:marTop w:val="0"/>
                                      <w:marBottom w:val="360"/>
                                      <w:divBdr>
                                        <w:top w:val="none" w:sz="0" w:space="0" w:color="auto"/>
                                        <w:left w:val="none" w:sz="0" w:space="0" w:color="auto"/>
                                        <w:bottom w:val="none" w:sz="0" w:space="0" w:color="auto"/>
                                        <w:right w:val="none" w:sz="0" w:space="0" w:color="auto"/>
                                      </w:divBdr>
                                      <w:divsChild>
                                        <w:div w:id="196238384">
                                          <w:marLeft w:val="0"/>
                                          <w:marRight w:val="0"/>
                                          <w:marTop w:val="0"/>
                                          <w:marBottom w:val="0"/>
                                          <w:divBdr>
                                            <w:top w:val="none" w:sz="0" w:space="0" w:color="auto"/>
                                            <w:left w:val="none" w:sz="0" w:space="0" w:color="auto"/>
                                            <w:bottom w:val="none" w:sz="0" w:space="0" w:color="auto"/>
                                            <w:right w:val="none" w:sz="0" w:space="0" w:color="auto"/>
                                          </w:divBdr>
                                          <w:divsChild>
                                            <w:div w:id="1215582928">
                                              <w:marLeft w:val="0"/>
                                              <w:marRight w:val="0"/>
                                              <w:marTop w:val="0"/>
                                              <w:marBottom w:val="0"/>
                                              <w:divBdr>
                                                <w:top w:val="none" w:sz="0" w:space="0" w:color="auto"/>
                                                <w:left w:val="none" w:sz="0" w:space="0" w:color="auto"/>
                                                <w:bottom w:val="none" w:sz="0" w:space="0" w:color="auto"/>
                                                <w:right w:val="none" w:sz="0" w:space="0" w:color="auto"/>
                                              </w:divBdr>
                                              <w:divsChild>
                                                <w:div w:id="23485707">
                                                  <w:marLeft w:val="0"/>
                                                  <w:marRight w:val="0"/>
                                                  <w:marTop w:val="0"/>
                                                  <w:marBottom w:val="0"/>
                                                  <w:divBdr>
                                                    <w:top w:val="none" w:sz="0" w:space="0" w:color="auto"/>
                                                    <w:left w:val="none" w:sz="0" w:space="0" w:color="auto"/>
                                                    <w:bottom w:val="none" w:sz="0" w:space="0" w:color="auto"/>
                                                    <w:right w:val="none" w:sz="0" w:space="0" w:color="auto"/>
                                                  </w:divBdr>
                                                </w:div>
                                                <w:div w:id="1396318392">
                                                  <w:marLeft w:val="0"/>
                                                  <w:marRight w:val="0"/>
                                                  <w:marTop w:val="0"/>
                                                  <w:marBottom w:val="0"/>
                                                  <w:divBdr>
                                                    <w:top w:val="none" w:sz="0" w:space="0" w:color="auto"/>
                                                    <w:left w:val="none" w:sz="0" w:space="0" w:color="auto"/>
                                                    <w:bottom w:val="none" w:sz="0" w:space="0" w:color="auto"/>
                                                    <w:right w:val="none" w:sz="0" w:space="0" w:color="auto"/>
                                                  </w:divBdr>
                                                  <w:divsChild>
                                                    <w:div w:id="217133595">
                                                      <w:marLeft w:val="0"/>
                                                      <w:marRight w:val="0"/>
                                                      <w:marTop w:val="0"/>
                                                      <w:marBottom w:val="0"/>
                                                      <w:divBdr>
                                                        <w:top w:val="single" w:sz="2" w:space="3" w:color="008000"/>
                                                        <w:left w:val="single" w:sz="2" w:space="0" w:color="008000"/>
                                                        <w:bottom w:val="single" w:sz="2" w:space="0" w:color="008000"/>
                                                        <w:right w:val="single" w:sz="2" w:space="0" w:color="008000"/>
                                                      </w:divBdr>
                                                      <w:divsChild>
                                                        <w:div w:id="556861694">
                                                          <w:marLeft w:val="0"/>
                                                          <w:marRight w:val="0"/>
                                                          <w:marTop w:val="0"/>
                                                          <w:marBottom w:val="0"/>
                                                          <w:divBdr>
                                                            <w:top w:val="none" w:sz="0" w:space="0" w:color="auto"/>
                                                            <w:left w:val="none" w:sz="0" w:space="0" w:color="auto"/>
                                                            <w:bottom w:val="none" w:sz="0" w:space="0" w:color="auto"/>
                                                            <w:right w:val="none" w:sz="0" w:space="0" w:color="auto"/>
                                                          </w:divBdr>
                                                          <w:divsChild>
                                                            <w:div w:id="2017078069">
                                                              <w:marLeft w:val="0"/>
                                                              <w:marRight w:val="0"/>
                                                              <w:marTop w:val="0"/>
                                                              <w:marBottom w:val="0"/>
                                                              <w:divBdr>
                                                                <w:top w:val="none" w:sz="0" w:space="0" w:color="auto"/>
                                                                <w:left w:val="none" w:sz="0" w:space="0" w:color="auto"/>
                                                                <w:bottom w:val="none" w:sz="0" w:space="0" w:color="auto"/>
                                                                <w:right w:val="none" w:sz="0" w:space="0" w:color="auto"/>
                                                              </w:divBdr>
                                                              <w:divsChild>
                                                                <w:div w:id="21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7799478">
      <w:bodyDiv w:val="1"/>
      <w:marLeft w:val="0"/>
      <w:marRight w:val="0"/>
      <w:marTop w:val="0"/>
      <w:marBottom w:val="0"/>
      <w:divBdr>
        <w:top w:val="none" w:sz="0" w:space="0" w:color="auto"/>
        <w:left w:val="none" w:sz="0" w:space="0" w:color="auto"/>
        <w:bottom w:val="none" w:sz="0" w:space="0" w:color="auto"/>
        <w:right w:val="none" w:sz="0" w:space="0" w:color="auto"/>
      </w:divBdr>
    </w:div>
    <w:div w:id="2031032676">
      <w:bodyDiv w:val="1"/>
      <w:marLeft w:val="0"/>
      <w:marRight w:val="0"/>
      <w:marTop w:val="0"/>
      <w:marBottom w:val="0"/>
      <w:divBdr>
        <w:top w:val="none" w:sz="0" w:space="0" w:color="auto"/>
        <w:left w:val="none" w:sz="0" w:space="0" w:color="auto"/>
        <w:bottom w:val="none" w:sz="0" w:space="0" w:color="auto"/>
        <w:right w:val="none" w:sz="0" w:space="0" w:color="auto"/>
      </w:divBdr>
    </w:div>
    <w:div w:id="2043901669">
      <w:bodyDiv w:val="1"/>
      <w:marLeft w:val="0"/>
      <w:marRight w:val="0"/>
      <w:marTop w:val="0"/>
      <w:marBottom w:val="0"/>
      <w:divBdr>
        <w:top w:val="none" w:sz="0" w:space="0" w:color="auto"/>
        <w:left w:val="none" w:sz="0" w:space="0" w:color="auto"/>
        <w:bottom w:val="none" w:sz="0" w:space="0" w:color="auto"/>
        <w:right w:val="none" w:sz="0" w:space="0" w:color="auto"/>
      </w:divBdr>
    </w:div>
    <w:div w:id="211747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hs-klassifikation.de/en/01_einleitung/02_einleitun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7\D990%20-%20Botox%20for%20migraine\Comparison%20of%20scripts%20for%20Botox%20by%20indication%20pre%20and%20post%20Sep%202015%20v5c%20-%20Fig1%20with%20MBS%20overl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7\D990%20-%20Botox%20for%20migraine\D990_PATCNTBY_NEWITE_SERV_Q%20-%20Fig2.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entral.health\dfsgroupdata\sites\CO1\CO\PBD\PEB\EVAL\DUSC\DUSC%20Database%20and%20other%20utilisation%20data\Data%20Requests\Requests%202017\D990%20-%20Botox%20for%20migraine\D990%20-%20SERVS_24M_SUM_FREQ.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7\D990%20-%20Botox%20for%20migraine\D990%20-%20DRUG_CNT_FREQ%20for%20April%20to%20Nov2016%20cohort%20with%20lookback%20to%20Jan%2020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7\D990%20-%20Botox%20for%20migraine\Spreadsheet%20archive\D990V7_PATCNTBY%20MBS%20INDICA2_%20pat_state%20and%20yr_fr_Dec%20v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7\D990%20-%20Botox%20for%20migraine\Spreadsheet%20archive\D990V7_PATCNTBY%20MBS%20INDICA2_%20pat_state%20and%20yr_fr_Dec%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[Comparison of scripts for Botox by indication pre and post Sep 2015 v5c - Fig1 with MBS overlay.xlsx]Sheet4 (3)!PivotTable1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pivotFmt>
      <c:pivotFmt>
        <c:idx val="4"/>
      </c:pivotFmt>
      <c:pivotFmt>
        <c:idx val="5"/>
        <c:marker>
          <c:symbol val="none"/>
        </c:marker>
      </c:pivotFmt>
      <c:pivotFmt>
        <c:idx val="6"/>
      </c:pivotFmt>
      <c:pivotFmt>
        <c:idx val="7"/>
      </c:pivotFmt>
      <c:pivotFmt>
        <c:idx val="8"/>
      </c:pivotFmt>
      <c:pivotFmt>
        <c:idx val="9"/>
        <c:marker>
          <c:symbol val="none"/>
        </c:marker>
      </c:pivotFmt>
      <c:pivotFmt>
        <c:idx val="10"/>
        <c:marker>
          <c:symbol val="none"/>
        </c:marker>
      </c:pivotFmt>
      <c:pivotFmt>
        <c:idx val="11"/>
      </c:pivotFmt>
      <c:pivotFmt>
        <c:idx val="12"/>
      </c:pivotFmt>
      <c:pivotFmt>
        <c:idx val="13"/>
      </c:pivotFmt>
      <c:pivotFmt>
        <c:idx val="14"/>
        <c:marker>
          <c:symbol val="none"/>
        </c:marker>
      </c:pivotFmt>
      <c:pivotFmt>
        <c:idx val="15"/>
        <c:marker>
          <c:symbol val="none"/>
        </c:marker>
      </c:pivotFmt>
      <c:pivotFmt>
        <c:idx val="16"/>
      </c:pivotFmt>
      <c:pivotFmt>
        <c:idx val="17"/>
      </c:pivotFmt>
      <c:pivotFmt>
        <c:idx val="18"/>
        <c:marker>
          <c:symbol val="none"/>
        </c:marker>
      </c:pivotFmt>
      <c:pivotFmt>
        <c:idx val="19"/>
        <c:marker>
          <c:symbol val="none"/>
        </c:marker>
      </c:pivotFmt>
      <c:pivotFmt>
        <c:idx val="20"/>
      </c:pivotFmt>
      <c:pivotFmt>
        <c:idx val="21"/>
      </c:pivotFmt>
    </c:pivotFmts>
    <c:plotArea>
      <c:layout/>
      <c:barChart>
        <c:barDir val="col"/>
        <c:grouping val="stacked"/>
        <c:varyColors val="0"/>
        <c:ser>
          <c:idx val="0"/>
          <c:order val="0"/>
          <c:tx>
            <c:strRef>
              <c:f>'Sheet4 (3)'!$C$1</c:f>
              <c:strCache>
                <c:ptCount val="1"/>
                <c:pt idx="0">
                  <c:v>Prescriptions (DHS prescriptions claims database)</c:v>
                </c:pt>
              </c:strCache>
            </c:strRef>
          </c:tx>
          <c:invertIfNegative val="0"/>
          <c:cat>
            <c:strRef>
              <c:f>'Sheet4 (3)'!$C$1</c:f>
              <c:strCache>
                <c:ptCount val="34"/>
                <c:pt idx="0">
                  <c:v>201403</c:v>
                </c:pt>
                <c:pt idx="1">
                  <c:v>201404</c:v>
                </c:pt>
                <c:pt idx="2">
                  <c:v>201405</c:v>
                </c:pt>
                <c:pt idx="3">
                  <c:v>201406</c:v>
                </c:pt>
                <c:pt idx="4">
                  <c:v>201407</c:v>
                </c:pt>
                <c:pt idx="5">
                  <c:v>201408</c:v>
                </c:pt>
                <c:pt idx="6">
                  <c:v>201409</c:v>
                </c:pt>
                <c:pt idx="7">
                  <c:v>201410</c:v>
                </c:pt>
                <c:pt idx="8">
                  <c:v>201411</c:v>
                </c:pt>
                <c:pt idx="9">
                  <c:v>201412</c:v>
                </c:pt>
                <c:pt idx="10">
                  <c:v>201501</c:v>
                </c:pt>
                <c:pt idx="11">
                  <c:v>201502</c:v>
                </c:pt>
                <c:pt idx="12">
                  <c:v>201503</c:v>
                </c:pt>
                <c:pt idx="13">
                  <c:v>201504</c:v>
                </c:pt>
                <c:pt idx="14">
                  <c:v>201505</c:v>
                </c:pt>
                <c:pt idx="15">
                  <c:v>201506</c:v>
                </c:pt>
                <c:pt idx="16">
                  <c:v>201507</c:v>
                </c:pt>
                <c:pt idx="17">
                  <c:v>201508</c:v>
                </c:pt>
                <c:pt idx="18">
                  <c:v>201509</c:v>
                </c:pt>
                <c:pt idx="19">
                  <c:v>201510</c:v>
                </c:pt>
                <c:pt idx="20">
                  <c:v>201511</c:v>
                </c:pt>
                <c:pt idx="21">
                  <c:v>201512</c:v>
                </c:pt>
                <c:pt idx="22">
                  <c:v>201601</c:v>
                </c:pt>
                <c:pt idx="23">
                  <c:v>201602</c:v>
                </c:pt>
                <c:pt idx="24">
                  <c:v>201603</c:v>
                </c:pt>
                <c:pt idx="25">
                  <c:v>201604</c:v>
                </c:pt>
                <c:pt idx="26">
                  <c:v>201605</c:v>
                </c:pt>
                <c:pt idx="27">
                  <c:v>201606</c:v>
                </c:pt>
                <c:pt idx="28">
                  <c:v>201607</c:v>
                </c:pt>
                <c:pt idx="29">
                  <c:v>201608</c:v>
                </c:pt>
                <c:pt idx="30">
                  <c:v>201609</c:v>
                </c:pt>
                <c:pt idx="31">
                  <c:v>201610</c:v>
                </c:pt>
                <c:pt idx="32">
                  <c:v>201611</c:v>
                </c:pt>
                <c:pt idx="33">
                  <c:v>201612</c:v>
                </c:pt>
              </c:strCache>
            </c:strRef>
          </c:cat>
          <c:val>
            <c:numRef>
              <c:f>'Sheet4 (3)'!$C$1</c:f>
              <c:numCache>
                <c:formatCode>General</c:formatCode>
                <c:ptCount val="34"/>
                <c:pt idx="18">
                  <c:v>492</c:v>
                </c:pt>
                <c:pt idx="19">
                  <c:v>779</c:v>
                </c:pt>
                <c:pt idx="20">
                  <c:v>865</c:v>
                </c:pt>
                <c:pt idx="21">
                  <c:v>1874</c:v>
                </c:pt>
                <c:pt idx="22">
                  <c:v>1064</c:v>
                </c:pt>
                <c:pt idx="23">
                  <c:v>1586</c:v>
                </c:pt>
                <c:pt idx="24">
                  <c:v>1497</c:v>
                </c:pt>
                <c:pt idx="25">
                  <c:v>1295</c:v>
                </c:pt>
                <c:pt idx="26">
                  <c:v>1752</c:v>
                </c:pt>
                <c:pt idx="27">
                  <c:v>1556</c:v>
                </c:pt>
                <c:pt idx="28">
                  <c:v>1436</c:v>
                </c:pt>
                <c:pt idx="29">
                  <c:v>1923</c:v>
                </c:pt>
                <c:pt idx="30">
                  <c:v>1749</c:v>
                </c:pt>
                <c:pt idx="31">
                  <c:v>1525</c:v>
                </c:pt>
                <c:pt idx="32">
                  <c:v>2165</c:v>
                </c:pt>
                <c:pt idx="33">
                  <c:v>2369</c:v>
                </c:pt>
              </c:numCache>
            </c:numRef>
          </c:val>
        </c:ser>
        <c:ser>
          <c:idx val="1"/>
          <c:order val="1"/>
          <c:tx>
            <c:strRef>
              <c:f>'Sheet4 (3)'!$C$1</c:f>
              <c:strCache>
                <c:ptCount val="1"/>
                <c:pt idx="0">
                  <c:v>Treatments (DHS Tasmania)</c:v>
                </c:pt>
              </c:strCache>
            </c:strRef>
          </c:tx>
          <c:invertIfNegative val="0"/>
          <c:cat>
            <c:strRef>
              <c:f>'Sheet4 (3)'!$C$1</c:f>
              <c:strCache>
                <c:ptCount val="34"/>
                <c:pt idx="0">
                  <c:v>201403</c:v>
                </c:pt>
                <c:pt idx="1">
                  <c:v>201404</c:v>
                </c:pt>
                <c:pt idx="2">
                  <c:v>201405</c:v>
                </c:pt>
                <c:pt idx="3">
                  <c:v>201406</c:v>
                </c:pt>
                <c:pt idx="4">
                  <c:v>201407</c:v>
                </c:pt>
                <c:pt idx="5">
                  <c:v>201408</c:v>
                </c:pt>
                <c:pt idx="6">
                  <c:v>201409</c:v>
                </c:pt>
                <c:pt idx="7">
                  <c:v>201410</c:v>
                </c:pt>
                <c:pt idx="8">
                  <c:v>201411</c:v>
                </c:pt>
                <c:pt idx="9">
                  <c:v>201412</c:v>
                </c:pt>
                <c:pt idx="10">
                  <c:v>201501</c:v>
                </c:pt>
                <c:pt idx="11">
                  <c:v>201502</c:v>
                </c:pt>
                <c:pt idx="12">
                  <c:v>201503</c:v>
                </c:pt>
                <c:pt idx="13">
                  <c:v>201504</c:v>
                </c:pt>
                <c:pt idx="14">
                  <c:v>201505</c:v>
                </c:pt>
                <c:pt idx="15">
                  <c:v>201506</c:v>
                </c:pt>
                <c:pt idx="16">
                  <c:v>201507</c:v>
                </c:pt>
                <c:pt idx="17">
                  <c:v>201508</c:v>
                </c:pt>
                <c:pt idx="18">
                  <c:v>201509</c:v>
                </c:pt>
                <c:pt idx="19">
                  <c:v>201510</c:v>
                </c:pt>
                <c:pt idx="20">
                  <c:v>201511</c:v>
                </c:pt>
                <c:pt idx="21">
                  <c:v>201512</c:v>
                </c:pt>
                <c:pt idx="22">
                  <c:v>201601</c:v>
                </c:pt>
                <c:pt idx="23">
                  <c:v>201602</c:v>
                </c:pt>
                <c:pt idx="24">
                  <c:v>201603</c:v>
                </c:pt>
                <c:pt idx="25">
                  <c:v>201604</c:v>
                </c:pt>
                <c:pt idx="26">
                  <c:v>201605</c:v>
                </c:pt>
                <c:pt idx="27">
                  <c:v>201606</c:v>
                </c:pt>
                <c:pt idx="28">
                  <c:v>201607</c:v>
                </c:pt>
                <c:pt idx="29">
                  <c:v>201608</c:v>
                </c:pt>
                <c:pt idx="30">
                  <c:v>201609</c:v>
                </c:pt>
                <c:pt idx="31">
                  <c:v>201610</c:v>
                </c:pt>
                <c:pt idx="32">
                  <c:v>201611</c:v>
                </c:pt>
                <c:pt idx="33">
                  <c:v>201612</c:v>
                </c:pt>
              </c:strCache>
            </c:strRef>
          </c:cat>
          <c:val>
            <c:numRef>
              <c:f>'Sheet4 (3)'!$C$1</c:f>
              <c:numCache>
                <c:formatCode>General</c:formatCode>
                <c:ptCount val="34"/>
                <c:pt idx="0">
                  <c:v>292</c:v>
                </c:pt>
                <c:pt idx="1">
                  <c:v>340</c:v>
                </c:pt>
                <c:pt idx="2">
                  <c:v>456</c:v>
                </c:pt>
                <c:pt idx="3">
                  <c:v>488</c:v>
                </c:pt>
                <c:pt idx="4">
                  <c:v>605</c:v>
                </c:pt>
                <c:pt idx="5">
                  <c:v>701</c:v>
                </c:pt>
                <c:pt idx="6">
                  <c:v>671</c:v>
                </c:pt>
                <c:pt idx="7">
                  <c:v>769</c:v>
                </c:pt>
                <c:pt idx="8">
                  <c:v>753</c:v>
                </c:pt>
                <c:pt idx="9">
                  <c:v>836</c:v>
                </c:pt>
                <c:pt idx="10">
                  <c:v>763</c:v>
                </c:pt>
                <c:pt idx="11">
                  <c:v>957</c:v>
                </c:pt>
                <c:pt idx="12">
                  <c:v>1081</c:v>
                </c:pt>
                <c:pt idx="13">
                  <c:v>857</c:v>
                </c:pt>
                <c:pt idx="14">
                  <c:v>1151</c:v>
                </c:pt>
                <c:pt idx="15">
                  <c:v>1164</c:v>
                </c:pt>
                <c:pt idx="16">
                  <c:v>825</c:v>
                </c:pt>
                <c:pt idx="17">
                  <c:v>952</c:v>
                </c:pt>
                <c:pt idx="18">
                  <c:v>1150</c:v>
                </c:pt>
                <c:pt idx="19">
                  <c:v>459</c:v>
                </c:pt>
                <c:pt idx="20">
                  <c:v>127</c:v>
                </c:pt>
                <c:pt idx="21">
                  <c:v>141</c:v>
                </c:pt>
                <c:pt idx="22">
                  <c:v>13</c:v>
                </c:pt>
              </c:numCache>
            </c:numRef>
          </c:val>
        </c:ser>
        <c:dLbls>
          <c:showLegendKey val="0"/>
          <c:showVal val="0"/>
          <c:showCatName val="0"/>
          <c:showSerName val="0"/>
          <c:showPercent val="0"/>
          <c:showBubbleSize val="0"/>
        </c:dLbls>
        <c:gapWidth val="150"/>
        <c:overlap val="100"/>
        <c:axId val="5162880"/>
        <c:axId val="5164416"/>
      </c:barChart>
      <c:lineChart>
        <c:grouping val="standard"/>
        <c:varyColors val="0"/>
        <c:ser>
          <c:idx val="2"/>
          <c:order val="2"/>
          <c:tx>
            <c:strRef>
              <c:f>'Sheet4 (3)'!$C$1</c:f>
              <c:strCache>
                <c:ptCount val="1"/>
                <c:pt idx="0">
                  <c:v>Total PBS (treatments + prescriptions)</c:v>
                </c:pt>
              </c:strCache>
            </c:strRef>
          </c:tx>
          <c:cat>
            <c:strRef>
              <c:f>'Sheet4 (3)'!$C$1</c:f>
              <c:strCache>
                <c:ptCount val="34"/>
                <c:pt idx="0">
                  <c:v>201403</c:v>
                </c:pt>
                <c:pt idx="1">
                  <c:v>201404</c:v>
                </c:pt>
                <c:pt idx="2">
                  <c:v>201405</c:v>
                </c:pt>
                <c:pt idx="3">
                  <c:v>201406</c:v>
                </c:pt>
                <c:pt idx="4">
                  <c:v>201407</c:v>
                </c:pt>
                <c:pt idx="5">
                  <c:v>201408</c:v>
                </c:pt>
                <c:pt idx="6">
                  <c:v>201409</c:v>
                </c:pt>
                <c:pt idx="7">
                  <c:v>201410</c:v>
                </c:pt>
                <c:pt idx="8">
                  <c:v>201411</c:v>
                </c:pt>
                <c:pt idx="9">
                  <c:v>201412</c:v>
                </c:pt>
                <c:pt idx="10">
                  <c:v>201501</c:v>
                </c:pt>
                <c:pt idx="11">
                  <c:v>201502</c:v>
                </c:pt>
                <c:pt idx="12">
                  <c:v>201503</c:v>
                </c:pt>
                <c:pt idx="13">
                  <c:v>201504</c:v>
                </c:pt>
                <c:pt idx="14">
                  <c:v>201505</c:v>
                </c:pt>
                <c:pt idx="15">
                  <c:v>201506</c:v>
                </c:pt>
                <c:pt idx="16">
                  <c:v>201507</c:v>
                </c:pt>
                <c:pt idx="17">
                  <c:v>201508</c:v>
                </c:pt>
                <c:pt idx="18">
                  <c:v>201509</c:v>
                </c:pt>
                <c:pt idx="19">
                  <c:v>201510</c:v>
                </c:pt>
                <c:pt idx="20">
                  <c:v>201511</c:v>
                </c:pt>
                <c:pt idx="21">
                  <c:v>201512</c:v>
                </c:pt>
                <c:pt idx="22">
                  <c:v>201601</c:v>
                </c:pt>
                <c:pt idx="23">
                  <c:v>201602</c:v>
                </c:pt>
                <c:pt idx="24">
                  <c:v>201603</c:v>
                </c:pt>
                <c:pt idx="25">
                  <c:v>201604</c:v>
                </c:pt>
                <c:pt idx="26">
                  <c:v>201605</c:v>
                </c:pt>
                <c:pt idx="27">
                  <c:v>201606</c:v>
                </c:pt>
                <c:pt idx="28">
                  <c:v>201607</c:v>
                </c:pt>
                <c:pt idx="29">
                  <c:v>201608</c:v>
                </c:pt>
                <c:pt idx="30">
                  <c:v>201609</c:v>
                </c:pt>
                <c:pt idx="31">
                  <c:v>201610</c:v>
                </c:pt>
                <c:pt idx="32">
                  <c:v>201611</c:v>
                </c:pt>
                <c:pt idx="33">
                  <c:v>201612</c:v>
                </c:pt>
              </c:strCache>
            </c:strRef>
          </c:cat>
          <c:val>
            <c:numRef>
              <c:f>'Sheet4 (3)'!$C$1</c:f>
              <c:numCache>
                <c:formatCode>General</c:formatCode>
                <c:ptCount val="34"/>
                <c:pt idx="0">
                  <c:v>292</c:v>
                </c:pt>
                <c:pt idx="1">
                  <c:v>340</c:v>
                </c:pt>
                <c:pt idx="2">
                  <c:v>456</c:v>
                </c:pt>
                <c:pt idx="3">
                  <c:v>488</c:v>
                </c:pt>
                <c:pt idx="4">
                  <c:v>605</c:v>
                </c:pt>
                <c:pt idx="5">
                  <c:v>701</c:v>
                </c:pt>
                <c:pt idx="6">
                  <c:v>671</c:v>
                </c:pt>
                <c:pt idx="7">
                  <c:v>769</c:v>
                </c:pt>
                <c:pt idx="8">
                  <c:v>753</c:v>
                </c:pt>
                <c:pt idx="9">
                  <c:v>836</c:v>
                </c:pt>
                <c:pt idx="10">
                  <c:v>763</c:v>
                </c:pt>
                <c:pt idx="11">
                  <c:v>957</c:v>
                </c:pt>
                <c:pt idx="12">
                  <c:v>1081</c:v>
                </c:pt>
                <c:pt idx="13">
                  <c:v>857</c:v>
                </c:pt>
                <c:pt idx="14">
                  <c:v>1151</c:v>
                </c:pt>
                <c:pt idx="15">
                  <c:v>1164</c:v>
                </c:pt>
                <c:pt idx="16">
                  <c:v>825</c:v>
                </c:pt>
                <c:pt idx="17">
                  <c:v>952</c:v>
                </c:pt>
                <c:pt idx="18">
                  <c:v>1642</c:v>
                </c:pt>
                <c:pt idx="19">
                  <c:v>1238</c:v>
                </c:pt>
                <c:pt idx="20">
                  <c:v>992</c:v>
                </c:pt>
                <c:pt idx="21">
                  <c:v>2015</c:v>
                </c:pt>
                <c:pt idx="22">
                  <c:v>1077</c:v>
                </c:pt>
                <c:pt idx="23">
                  <c:v>1586</c:v>
                </c:pt>
                <c:pt idx="24">
                  <c:v>1497</c:v>
                </c:pt>
                <c:pt idx="25">
                  <c:v>1295</c:v>
                </c:pt>
                <c:pt idx="26">
                  <c:v>1752</c:v>
                </c:pt>
                <c:pt idx="27">
                  <c:v>1556</c:v>
                </c:pt>
                <c:pt idx="28">
                  <c:v>1436</c:v>
                </c:pt>
                <c:pt idx="29">
                  <c:v>1923</c:v>
                </c:pt>
                <c:pt idx="30">
                  <c:v>1749</c:v>
                </c:pt>
                <c:pt idx="31">
                  <c:v>1525</c:v>
                </c:pt>
                <c:pt idx="32">
                  <c:v>2165</c:v>
                </c:pt>
                <c:pt idx="33">
                  <c:v>2369</c:v>
                </c:pt>
              </c:numCache>
            </c:numRef>
          </c:val>
          <c:smooth val="0"/>
        </c:ser>
        <c:ser>
          <c:idx val="3"/>
          <c:order val="3"/>
          <c:tx>
            <c:strRef>
              <c:f>'Sheet4 (3)'!$C$1</c:f>
              <c:strCache>
                <c:ptCount val="1"/>
                <c:pt idx="0">
                  <c:v>MBS services for Item 18377</c:v>
                </c:pt>
              </c:strCache>
            </c:strRef>
          </c:tx>
          <c:cat>
            <c:strRef>
              <c:f>'Sheet4 (3)'!$C$1</c:f>
              <c:strCache>
                <c:ptCount val="34"/>
                <c:pt idx="0">
                  <c:v>201403</c:v>
                </c:pt>
                <c:pt idx="1">
                  <c:v>201404</c:v>
                </c:pt>
                <c:pt idx="2">
                  <c:v>201405</c:v>
                </c:pt>
                <c:pt idx="3">
                  <c:v>201406</c:v>
                </c:pt>
                <c:pt idx="4">
                  <c:v>201407</c:v>
                </c:pt>
                <c:pt idx="5">
                  <c:v>201408</c:v>
                </c:pt>
                <c:pt idx="6">
                  <c:v>201409</c:v>
                </c:pt>
                <c:pt idx="7">
                  <c:v>201410</c:v>
                </c:pt>
                <c:pt idx="8">
                  <c:v>201411</c:v>
                </c:pt>
                <c:pt idx="9">
                  <c:v>201412</c:v>
                </c:pt>
                <c:pt idx="10">
                  <c:v>201501</c:v>
                </c:pt>
                <c:pt idx="11">
                  <c:v>201502</c:v>
                </c:pt>
                <c:pt idx="12">
                  <c:v>201503</c:v>
                </c:pt>
                <c:pt idx="13">
                  <c:v>201504</c:v>
                </c:pt>
                <c:pt idx="14">
                  <c:v>201505</c:v>
                </c:pt>
                <c:pt idx="15">
                  <c:v>201506</c:v>
                </c:pt>
                <c:pt idx="16">
                  <c:v>201507</c:v>
                </c:pt>
                <c:pt idx="17">
                  <c:v>201508</c:v>
                </c:pt>
                <c:pt idx="18">
                  <c:v>201509</c:v>
                </c:pt>
                <c:pt idx="19">
                  <c:v>201510</c:v>
                </c:pt>
                <c:pt idx="20">
                  <c:v>201511</c:v>
                </c:pt>
                <c:pt idx="21">
                  <c:v>201512</c:v>
                </c:pt>
                <c:pt idx="22">
                  <c:v>201601</c:v>
                </c:pt>
                <c:pt idx="23">
                  <c:v>201602</c:v>
                </c:pt>
                <c:pt idx="24">
                  <c:v>201603</c:v>
                </c:pt>
                <c:pt idx="25">
                  <c:v>201604</c:v>
                </c:pt>
                <c:pt idx="26">
                  <c:v>201605</c:v>
                </c:pt>
                <c:pt idx="27">
                  <c:v>201606</c:v>
                </c:pt>
                <c:pt idx="28">
                  <c:v>201607</c:v>
                </c:pt>
                <c:pt idx="29">
                  <c:v>201608</c:v>
                </c:pt>
                <c:pt idx="30">
                  <c:v>201609</c:v>
                </c:pt>
                <c:pt idx="31">
                  <c:v>201610</c:v>
                </c:pt>
                <c:pt idx="32">
                  <c:v>201611</c:v>
                </c:pt>
                <c:pt idx="33">
                  <c:v>201612</c:v>
                </c:pt>
              </c:strCache>
            </c:strRef>
          </c:cat>
          <c:val>
            <c:numRef>
              <c:f>'Sheet4 (3)'!$C$1</c:f>
              <c:numCache>
                <c:formatCode>General</c:formatCode>
                <c:ptCount val="34"/>
                <c:pt idx="0">
                  <c:v>415</c:v>
                </c:pt>
                <c:pt idx="1">
                  <c:v>376</c:v>
                </c:pt>
                <c:pt idx="2">
                  <c:v>457</c:v>
                </c:pt>
                <c:pt idx="3">
                  <c:v>554</c:v>
                </c:pt>
                <c:pt idx="4">
                  <c:v>582</c:v>
                </c:pt>
                <c:pt idx="5">
                  <c:v>648</c:v>
                </c:pt>
                <c:pt idx="6">
                  <c:v>667</c:v>
                </c:pt>
                <c:pt idx="7">
                  <c:v>781</c:v>
                </c:pt>
                <c:pt idx="8">
                  <c:v>840</c:v>
                </c:pt>
                <c:pt idx="9">
                  <c:v>756</c:v>
                </c:pt>
                <c:pt idx="10">
                  <c:v>781</c:v>
                </c:pt>
                <c:pt idx="11">
                  <c:v>969</c:v>
                </c:pt>
                <c:pt idx="12">
                  <c:v>922</c:v>
                </c:pt>
                <c:pt idx="13">
                  <c:v>846</c:v>
                </c:pt>
                <c:pt idx="14">
                  <c:v>1133</c:v>
                </c:pt>
                <c:pt idx="15">
                  <c:v>1037</c:v>
                </c:pt>
                <c:pt idx="16">
                  <c:v>1096</c:v>
                </c:pt>
                <c:pt idx="17">
                  <c:v>1216</c:v>
                </c:pt>
                <c:pt idx="18">
                  <c:v>1215</c:v>
                </c:pt>
                <c:pt idx="19">
                  <c:v>1131</c:v>
                </c:pt>
                <c:pt idx="20">
                  <c:v>1337</c:v>
                </c:pt>
                <c:pt idx="21">
                  <c:v>1171</c:v>
                </c:pt>
                <c:pt idx="22">
                  <c:v>1256</c:v>
                </c:pt>
                <c:pt idx="23">
                  <c:v>1513</c:v>
                </c:pt>
                <c:pt idx="24">
                  <c:v>1347</c:v>
                </c:pt>
                <c:pt idx="25">
                  <c:v>1430</c:v>
                </c:pt>
                <c:pt idx="26">
                  <c:v>1524</c:v>
                </c:pt>
                <c:pt idx="27">
                  <c:v>1447</c:v>
                </c:pt>
                <c:pt idx="28">
                  <c:v>1605</c:v>
                </c:pt>
                <c:pt idx="29">
                  <c:v>1766</c:v>
                </c:pt>
                <c:pt idx="30">
                  <c:v>1499</c:v>
                </c:pt>
                <c:pt idx="31">
                  <c:v>1751</c:v>
                </c:pt>
                <c:pt idx="32">
                  <c:v>1837</c:v>
                </c:pt>
              </c:numCache>
            </c:numRef>
          </c:val>
          <c:smooth val="0"/>
        </c:ser>
        <c:dLbls>
          <c:showLegendKey val="0"/>
          <c:showVal val="0"/>
          <c:showCatName val="0"/>
          <c:showSerName val="0"/>
          <c:showPercent val="0"/>
          <c:showBubbleSize val="0"/>
        </c:dLbls>
        <c:marker val="1"/>
        <c:smooth val="0"/>
        <c:axId val="5162880"/>
        <c:axId val="5164416"/>
      </c:lineChart>
      <c:catAx>
        <c:axId val="5162880"/>
        <c:scaling>
          <c:orientation val="minMax"/>
        </c:scaling>
        <c:delete val="0"/>
        <c:axPos val="b"/>
        <c:majorTickMark val="none"/>
        <c:minorTickMark val="none"/>
        <c:tickLblPos val="nextTo"/>
        <c:crossAx val="5164416"/>
        <c:crosses val="autoZero"/>
        <c:auto val="1"/>
        <c:lblAlgn val="ctr"/>
        <c:lblOffset val="100"/>
        <c:noMultiLvlLbl val="0"/>
      </c:catAx>
      <c:valAx>
        <c:axId val="5164416"/>
        <c:scaling>
          <c:orientation val="minMax"/>
        </c:scaling>
        <c:delete val="0"/>
        <c:axPos val="l"/>
        <c:majorGridlines/>
        <c:numFmt formatCode="#,##0" sourceLinked="0"/>
        <c:majorTickMark val="none"/>
        <c:minorTickMark val="none"/>
        <c:tickLblPos val="nextTo"/>
        <c:crossAx val="5162880"/>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[D990_PATCNTBY_NEWITE_SERV_Q - Fig2.xlsx]Sheet1!PivotTable1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pivotFmt>
      <c:pivotFmt>
        <c:idx val="6"/>
        <c:marker>
          <c:symbol val="none"/>
        </c:marker>
      </c:pivotFmt>
      <c:pivotFmt>
        <c:idx val="7"/>
      </c:pivotFmt>
      <c:pivotFmt>
        <c:idx val="8"/>
        <c:marker>
          <c:symbol val="none"/>
        </c:marker>
      </c:pivotFmt>
      <c:pivotFmt>
        <c:idx val="9"/>
        <c:marker>
          <c:symbol val="none"/>
        </c:marker>
      </c:pivotFmt>
      <c:pivotFmt>
        <c:idx val="10"/>
      </c:pivotFmt>
      <c:pivotFmt>
        <c:idx val="11"/>
      </c:pivotFmt>
      <c:pivotFmt>
        <c:idx val="12"/>
      </c:pivotFmt>
      <c:pivotFmt>
        <c:idx val="13"/>
      </c:pivotFmt>
    </c:pivotFmts>
    <c:plotArea>
      <c:layout/>
      <c:lineChart>
        <c:grouping val="standard"/>
        <c:varyColors val="0"/>
        <c:ser>
          <c:idx val="0"/>
          <c:order val="0"/>
          <c:tx>
            <c:strRef>
              <c:f>Sheet1!$B$1</c:f>
              <c:strCache>
                <c:ptCount val="1"/>
                <c:pt idx="0">
                  <c:v>initiating patients</c:v>
                </c:pt>
              </c:strCache>
            </c:strRef>
          </c:tx>
          <c:cat>
            <c:strRef>
              <c:f>Sheet1!$B$1</c:f>
              <c:strCache>
                <c:ptCount val="11"/>
                <c:pt idx="0">
                  <c:v>2014Q1</c:v>
                </c:pt>
                <c:pt idx="1">
                  <c:v>2014Q2</c:v>
                </c:pt>
                <c:pt idx="2">
                  <c:v>2014Q3</c:v>
                </c:pt>
                <c:pt idx="3">
                  <c:v>2014Q4</c:v>
                </c:pt>
                <c:pt idx="4">
                  <c:v>2015Q1</c:v>
                </c:pt>
                <c:pt idx="5">
                  <c:v>2015Q2</c:v>
                </c:pt>
                <c:pt idx="6">
                  <c:v>2015Q3</c:v>
                </c:pt>
                <c:pt idx="7">
                  <c:v>2015Q4</c:v>
                </c:pt>
                <c:pt idx="8">
                  <c:v>2016Q1</c:v>
                </c:pt>
                <c:pt idx="9">
                  <c:v>2016Q2</c:v>
                </c:pt>
                <c:pt idx="10">
                  <c:v>2016Q3</c:v>
                </c:pt>
              </c:strCache>
            </c:strRef>
          </c:cat>
          <c:val>
            <c:numRef>
              <c:f>Sheet1!$B$1</c:f>
              <c:numCache>
                <c:formatCode>General</c:formatCode>
                <c:ptCount val="11"/>
                <c:pt idx="0">
                  <c:v>415</c:v>
                </c:pt>
                <c:pt idx="1">
                  <c:v>1090</c:v>
                </c:pt>
                <c:pt idx="2">
                  <c:v>804</c:v>
                </c:pt>
                <c:pt idx="3">
                  <c:v>791</c:v>
                </c:pt>
                <c:pt idx="4">
                  <c:v>657</c:v>
                </c:pt>
                <c:pt idx="5">
                  <c:v>679</c:v>
                </c:pt>
                <c:pt idx="6">
                  <c:v>797</c:v>
                </c:pt>
                <c:pt idx="7">
                  <c:v>696</c:v>
                </c:pt>
                <c:pt idx="8">
                  <c:v>769</c:v>
                </c:pt>
                <c:pt idx="9">
                  <c:v>770</c:v>
                </c:pt>
                <c:pt idx="10">
                  <c:v>855</c:v>
                </c:pt>
              </c:numCache>
            </c:numRef>
          </c:val>
          <c:smooth val="0"/>
        </c:ser>
        <c:ser>
          <c:idx val="1"/>
          <c:order val="1"/>
          <c:tx>
            <c:strRef>
              <c:f>Sheet1!$B$1</c:f>
              <c:strCache>
                <c:ptCount val="1"/>
                <c:pt idx="0">
                  <c:v>prevalent patients </c:v>
                </c:pt>
              </c:strCache>
            </c:strRef>
          </c:tx>
          <c:cat>
            <c:strRef>
              <c:f>Sheet1!$B$1</c:f>
              <c:strCache>
                <c:ptCount val="11"/>
                <c:pt idx="0">
                  <c:v>2014Q1</c:v>
                </c:pt>
                <c:pt idx="1">
                  <c:v>2014Q2</c:v>
                </c:pt>
                <c:pt idx="2">
                  <c:v>2014Q3</c:v>
                </c:pt>
                <c:pt idx="3">
                  <c:v>2014Q4</c:v>
                </c:pt>
                <c:pt idx="4">
                  <c:v>2015Q1</c:v>
                </c:pt>
                <c:pt idx="5">
                  <c:v>2015Q2</c:v>
                </c:pt>
                <c:pt idx="6">
                  <c:v>2015Q3</c:v>
                </c:pt>
                <c:pt idx="7">
                  <c:v>2015Q4</c:v>
                </c:pt>
                <c:pt idx="8">
                  <c:v>2016Q1</c:v>
                </c:pt>
                <c:pt idx="9">
                  <c:v>2016Q2</c:v>
                </c:pt>
                <c:pt idx="10">
                  <c:v>2016Q3</c:v>
                </c:pt>
              </c:strCache>
            </c:strRef>
          </c:cat>
          <c:val>
            <c:numRef>
              <c:f>Sheet1!$B$1</c:f>
              <c:numCache>
                <c:formatCode>General</c:formatCode>
                <c:ptCount val="11"/>
                <c:pt idx="0">
                  <c:v>415</c:v>
                </c:pt>
                <c:pt idx="1">
                  <c:v>1364</c:v>
                </c:pt>
                <c:pt idx="2">
                  <c:v>1871</c:v>
                </c:pt>
                <c:pt idx="3">
                  <c:v>2370</c:v>
                </c:pt>
                <c:pt idx="4">
                  <c:v>2657</c:v>
                </c:pt>
                <c:pt idx="5">
                  <c:v>2981</c:v>
                </c:pt>
                <c:pt idx="6">
                  <c:v>3429</c:v>
                </c:pt>
                <c:pt idx="7">
                  <c:v>3634</c:v>
                </c:pt>
                <c:pt idx="8">
                  <c:v>4059</c:v>
                </c:pt>
                <c:pt idx="9">
                  <c:v>4322</c:v>
                </c:pt>
                <c:pt idx="10">
                  <c:v>4757</c:v>
                </c:pt>
              </c:numCache>
            </c:numRef>
          </c:val>
          <c:smooth val="0"/>
        </c:ser>
        <c:dLbls>
          <c:showLegendKey val="0"/>
          <c:showVal val="0"/>
          <c:showCatName val="0"/>
          <c:showSerName val="0"/>
          <c:showPercent val="0"/>
          <c:showBubbleSize val="0"/>
        </c:dLbls>
        <c:marker val="1"/>
        <c:smooth val="0"/>
        <c:axId val="33539968"/>
        <c:axId val="33546624"/>
      </c:lineChart>
      <c:catAx>
        <c:axId val="33539968"/>
        <c:scaling>
          <c:orientation val="minMax"/>
        </c:scaling>
        <c:delete val="0"/>
        <c:axPos val="b"/>
        <c:majorTickMark val="none"/>
        <c:minorTickMark val="none"/>
        <c:tickLblPos val="nextTo"/>
        <c:crossAx val="33546624"/>
        <c:crosses val="autoZero"/>
        <c:auto val="1"/>
        <c:lblAlgn val="ctr"/>
        <c:lblOffset val="100"/>
        <c:noMultiLvlLbl val="0"/>
      </c:catAx>
      <c:valAx>
        <c:axId val="33546624"/>
        <c:scaling>
          <c:orientation val="minMax"/>
        </c:scaling>
        <c:delete val="0"/>
        <c:axPos val="l"/>
        <c:majorGridlines/>
        <c:title>
          <c:tx>
            <c:rich>
              <a:bodyPr/>
              <a:lstStyle/>
              <a:p>
                <a:pPr>
                  <a:defRPr b="0"/>
                </a:pPr>
                <a:r>
                  <a:rPr lang="en-US" b="0"/>
                  <a:t>Patients</a:t>
                </a:r>
              </a:p>
            </c:rich>
          </c:tx>
          <c:overlay val="0"/>
        </c:title>
        <c:numFmt formatCode="#,##0" sourceLinked="0"/>
        <c:majorTickMark val="none"/>
        <c:minorTickMark val="none"/>
        <c:tickLblPos val="nextTo"/>
        <c:crossAx val="33539968"/>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 on treatment'!$F$4</c:f>
              <c:strCache>
                <c:ptCount val="1"/>
                <c:pt idx="0">
                  <c:v>% on treament</c:v>
                </c:pt>
              </c:strCache>
            </c:strRef>
          </c:tx>
          <c:val>
            <c:numRef>
              <c:f>'% on treatment'!$F$5:$F$13</c:f>
              <c:numCache>
                <c:formatCode>0.0%</c:formatCode>
                <c:ptCount val="9"/>
                <c:pt idx="0">
                  <c:v>1</c:v>
                </c:pt>
                <c:pt idx="1">
                  <c:v>0.86918238993710695</c:v>
                </c:pt>
                <c:pt idx="2">
                  <c:v>0.71446540880503151</c:v>
                </c:pt>
                <c:pt idx="3">
                  <c:v>0.63270440251572335</c:v>
                </c:pt>
                <c:pt idx="4">
                  <c:v>0.5811320754716981</c:v>
                </c:pt>
                <c:pt idx="5">
                  <c:v>0.52578616352201257</c:v>
                </c:pt>
                <c:pt idx="6">
                  <c:v>0.44276729559748429</c:v>
                </c:pt>
                <c:pt idx="7">
                  <c:v>0.32578616352201262</c:v>
                </c:pt>
                <c:pt idx="8">
                  <c:v>0.11823899371069183</c:v>
                </c:pt>
              </c:numCache>
            </c:numRef>
          </c:val>
          <c:smooth val="0"/>
        </c:ser>
        <c:dLbls>
          <c:showLegendKey val="0"/>
          <c:showVal val="0"/>
          <c:showCatName val="0"/>
          <c:showSerName val="0"/>
          <c:showPercent val="0"/>
          <c:showBubbleSize val="0"/>
        </c:dLbls>
        <c:marker val="1"/>
        <c:smooth val="0"/>
        <c:axId val="63752448"/>
        <c:axId val="81729408"/>
      </c:lineChart>
      <c:catAx>
        <c:axId val="63752448"/>
        <c:scaling>
          <c:orientation val="minMax"/>
        </c:scaling>
        <c:delete val="0"/>
        <c:axPos val="b"/>
        <c:title>
          <c:tx>
            <c:rich>
              <a:bodyPr/>
              <a:lstStyle/>
              <a:p>
                <a:pPr>
                  <a:defRPr b="0"/>
                </a:pPr>
                <a:r>
                  <a:rPr lang="en-US" b="0"/>
                  <a:t>Number of MBS injections services for chronic migraine</a:t>
                </a:r>
              </a:p>
            </c:rich>
          </c:tx>
          <c:overlay val="0"/>
        </c:title>
        <c:majorTickMark val="out"/>
        <c:minorTickMark val="none"/>
        <c:tickLblPos val="nextTo"/>
        <c:crossAx val="81729408"/>
        <c:crosses val="autoZero"/>
        <c:auto val="1"/>
        <c:lblAlgn val="ctr"/>
        <c:lblOffset val="100"/>
        <c:noMultiLvlLbl val="0"/>
      </c:catAx>
      <c:valAx>
        <c:axId val="81729408"/>
        <c:scaling>
          <c:orientation val="minMax"/>
          <c:max val="1"/>
        </c:scaling>
        <c:delete val="0"/>
        <c:axPos val="l"/>
        <c:majorGridlines/>
        <c:title>
          <c:tx>
            <c:rich>
              <a:bodyPr rot="-5400000" vert="horz"/>
              <a:lstStyle/>
              <a:p>
                <a:pPr>
                  <a:defRPr b="0"/>
                </a:pPr>
                <a:r>
                  <a:rPr lang="en-US" b="0"/>
                  <a:t>% patients</a:t>
                </a:r>
              </a:p>
            </c:rich>
          </c:tx>
          <c:overlay val="0"/>
        </c:title>
        <c:numFmt formatCode="0%" sourceLinked="0"/>
        <c:majorTickMark val="out"/>
        <c:minorTickMark val="none"/>
        <c:tickLblPos val="nextTo"/>
        <c:crossAx val="6375244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[D990 - DRUG_CNT_FREQ for April to Nov2016 cohort with lookback to Jan 2003.xlsx]Sheet1!PivotTable2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s>
    <c:plotArea>
      <c:layout/>
      <c:barChart>
        <c:barDir val="col"/>
        <c:grouping val="clustered"/>
        <c:varyColors val="0"/>
        <c:ser>
          <c:idx val="0"/>
          <c:order val="0"/>
          <c:tx>
            <c:strRef>
              <c:f>Sheet1!$B$3:$B$4</c:f>
              <c:strCache>
                <c:ptCount val="1"/>
                <c:pt idx="0">
                  <c:v>Botox pre-requiste prophylactic migraine drugs</c:v>
                </c:pt>
              </c:strCache>
            </c:strRef>
          </c:tx>
          <c:invertIfNegative val="0"/>
          <c:cat>
            <c:strRef>
              <c:f>Sheet1!$A$5:$A$14</c:f>
              <c:strCache>
                <c:ptCount val="9"/>
                <c:pt idx="0">
                  <c:v>0</c:v>
                </c:pt>
                <c:pt idx="1">
                  <c:v>1</c:v>
                </c:pt>
                <c:pt idx="2">
                  <c:v>2</c:v>
                </c:pt>
                <c:pt idx="3">
                  <c:v>3</c:v>
                </c:pt>
                <c:pt idx="4">
                  <c:v>4</c:v>
                </c:pt>
                <c:pt idx="5">
                  <c:v>5</c:v>
                </c:pt>
                <c:pt idx="6">
                  <c:v>6</c:v>
                </c:pt>
                <c:pt idx="7">
                  <c:v>7</c:v>
                </c:pt>
                <c:pt idx="8">
                  <c:v>8</c:v>
                </c:pt>
              </c:strCache>
            </c:strRef>
          </c:cat>
          <c:val>
            <c:numRef>
              <c:f>Sheet1!$B$5:$B$14</c:f>
              <c:numCache>
                <c:formatCode>General</c:formatCode>
                <c:ptCount val="9"/>
                <c:pt idx="0">
                  <c:v>227</c:v>
                </c:pt>
                <c:pt idx="1">
                  <c:v>542</c:v>
                </c:pt>
                <c:pt idx="2">
                  <c:v>688</c:v>
                </c:pt>
                <c:pt idx="3">
                  <c:v>518</c:v>
                </c:pt>
                <c:pt idx="4">
                  <c:v>198</c:v>
                </c:pt>
                <c:pt idx="5">
                  <c:v>49</c:v>
                </c:pt>
                <c:pt idx="6">
                  <c:v>2</c:v>
                </c:pt>
              </c:numCache>
            </c:numRef>
          </c:val>
        </c:ser>
        <c:ser>
          <c:idx val="1"/>
          <c:order val="1"/>
          <c:tx>
            <c:strRef>
              <c:f>Sheet1!$C$3:$C$4</c:f>
              <c:strCache>
                <c:ptCount val="1"/>
                <c:pt idx="0">
                  <c:v>Other prophylactic migraine drugs</c:v>
                </c:pt>
              </c:strCache>
            </c:strRef>
          </c:tx>
          <c:invertIfNegative val="0"/>
          <c:cat>
            <c:strRef>
              <c:f>Sheet1!$A$5:$A$14</c:f>
              <c:strCache>
                <c:ptCount val="9"/>
                <c:pt idx="0">
                  <c:v>0</c:v>
                </c:pt>
                <c:pt idx="1">
                  <c:v>1</c:v>
                </c:pt>
                <c:pt idx="2">
                  <c:v>2</c:v>
                </c:pt>
                <c:pt idx="3">
                  <c:v>3</c:v>
                </c:pt>
                <c:pt idx="4">
                  <c:v>4</c:v>
                </c:pt>
                <c:pt idx="5">
                  <c:v>5</c:v>
                </c:pt>
                <c:pt idx="6">
                  <c:v>6</c:v>
                </c:pt>
                <c:pt idx="7">
                  <c:v>7</c:v>
                </c:pt>
                <c:pt idx="8">
                  <c:v>8</c:v>
                </c:pt>
              </c:strCache>
            </c:strRef>
          </c:cat>
          <c:val>
            <c:numRef>
              <c:f>Sheet1!$C$5:$C$14</c:f>
              <c:numCache>
                <c:formatCode>General</c:formatCode>
                <c:ptCount val="9"/>
                <c:pt idx="0">
                  <c:v>1177</c:v>
                </c:pt>
                <c:pt idx="1">
                  <c:v>665</c:v>
                </c:pt>
                <c:pt idx="2">
                  <c:v>297</c:v>
                </c:pt>
                <c:pt idx="3">
                  <c:v>67</c:v>
                </c:pt>
                <c:pt idx="4">
                  <c:v>16</c:v>
                </c:pt>
                <c:pt idx="5">
                  <c:v>2</c:v>
                </c:pt>
              </c:numCache>
            </c:numRef>
          </c:val>
        </c:ser>
        <c:ser>
          <c:idx val="2"/>
          <c:order val="2"/>
          <c:tx>
            <c:strRef>
              <c:f>Sheet1!$D$3:$D$4</c:f>
              <c:strCache>
                <c:ptCount val="1"/>
                <c:pt idx="0">
                  <c:v>Total prophylactic migraine drugs</c:v>
                </c:pt>
              </c:strCache>
            </c:strRef>
          </c:tx>
          <c:invertIfNegative val="0"/>
          <c:cat>
            <c:strRef>
              <c:f>Sheet1!$A$5:$A$14</c:f>
              <c:strCache>
                <c:ptCount val="9"/>
                <c:pt idx="0">
                  <c:v>0</c:v>
                </c:pt>
                <c:pt idx="1">
                  <c:v>1</c:v>
                </c:pt>
                <c:pt idx="2">
                  <c:v>2</c:v>
                </c:pt>
                <c:pt idx="3">
                  <c:v>3</c:v>
                </c:pt>
                <c:pt idx="4">
                  <c:v>4</c:v>
                </c:pt>
                <c:pt idx="5">
                  <c:v>5</c:v>
                </c:pt>
                <c:pt idx="6">
                  <c:v>6</c:v>
                </c:pt>
                <c:pt idx="7">
                  <c:v>7</c:v>
                </c:pt>
                <c:pt idx="8">
                  <c:v>8</c:v>
                </c:pt>
              </c:strCache>
            </c:strRef>
          </c:cat>
          <c:val>
            <c:numRef>
              <c:f>Sheet1!$D$5:$D$14</c:f>
              <c:numCache>
                <c:formatCode>General</c:formatCode>
                <c:ptCount val="9"/>
                <c:pt idx="0">
                  <c:v>168</c:v>
                </c:pt>
                <c:pt idx="1">
                  <c:v>340</c:v>
                </c:pt>
                <c:pt idx="2">
                  <c:v>536</c:v>
                </c:pt>
                <c:pt idx="3">
                  <c:v>550</c:v>
                </c:pt>
                <c:pt idx="4">
                  <c:v>346</c:v>
                </c:pt>
                <c:pt idx="5">
                  <c:v>156</c:v>
                </c:pt>
                <c:pt idx="6">
                  <c:v>80</c:v>
                </c:pt>
                <c:pt idx="7">
                  <c:v>36</c:v>
                </c:pt>
                <c:pt idx="8">
                  <c:v>11</c:v>
                </c:pt>
              </c:numCache>
            </c:numRef>
          </c:val>
        </c:ser>
        <c:dLbls>
          <c:showLegendKey val="0"/>
          <c:showVal val="0"/>
          <c:showCatName val="0"/>
          <c:showSerName val="0"/>
          <c:showPercent val="0"/>
          <c:showBubbleSize val="0"/>
        </c:dLbls>
        <c:gapWidth val="150"/>
        <c:axId val="225865728"/>
        <c:axId val="225868032"/>
      </c:barChart>
      <c:catAx>
        <c:axId val="225865728"/>
        <c:scaling>
          <c:orientation val="minMax"/>
        </c:scaling>
        <c:delete val="0"/>
        <c:axPos val="b"/>
        <c:title>
          <c:tx>
            <c:rich>
              <a:bodyPr/>
              <a:lstStyle/>
              <a:p>
                <a:pPr>
                  <a:defRPr b="0"/>
                </a:pPr>
                <a:r>
                  <a:rPr lang="en-AU" b="0"/>
                  <a:t>Number of drugs</a:t>
                </a:r>
                <a:r>
                  <a:rPr lang="en-AU" b="0" baseline="0"/>
                  <a:t> prior to initiation</a:t>
                </a:r>
                <a:endParaRPr lang="en-AU" b="0"/>
              </a:p>
            </c:rich>
          </c:tx>
          <c:overlay val="0"/>
        </c:title>
        <c:majorTickMark val="none"/>
        <c:minorTickMark val="none"/>
        <c:tickLblPos val="nextTo"/>
        <c:crossAx val="225868032"/>
        <c:crosses val="autoZero"/>
        <c:auto val="1"/>
        <c:lblAlgn val="ctr"/>
        <c:lblOffset val="100"/>
        <c:noMultiLvlLbl val="0"/>
      </c:catAx>
      <c:valAx>
        <c:axId val="225868032"/>
        <c:scaling>
          <c:orientation val="minMax"/>
          <c:max val="1200"/>
        </c:scaling>
        <c:delete val="0"/>
        <c:axPos val="l"/>
        <c:majorGridlines/>
        <c:title>
          <c:tx>
            <c:rich>
              <a:bodyPr rot="-5400000" vert="horz"/>
              <a:lstStyle/>
              <a:p>
                <a:pPr>
                  <a:defRPr b="0"/>
                </a:pPr>
                <a:r>
                  <a:rPr lang="en-AU" b="0"/>
                  <a:t>Patients</a:t>
                </a:r>
              </a:p>
            </c:rich>
          </c:tx>
          <c:overlay val="0"/>
        </c:title>
        <c:numFmt formatCode="#,##0" sourceLinked="0"/>
        <c:majorTickMark val="none"/>
        <c:minorTickMark val="none"/>
        <c:tickLblPos val="nextTo"/>
        <c:crossAx val="225865728"/>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[D990V7_PATCNTBY MBS INDICA2_ pat_state and yr_fr_Dec v2.xlsx]Sheet1 (5)!PivotTable1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s>
    <c:plotArea>
      <c:layout/>
      <c:barChart>
        <c:barDir val="col"/>
        <c:grouping val="clustered"/>
        <c:varyColors val="0"/>
        <c:ser>
          <c:idx val="0"/>
          <c:order val="0"/>
          <c:tx>
            <c:strRef>
              <c:f>'Sheet1 (5)'!$B$2</c:f>
              <c:strCache>
                <c:ptCount val="1"/>
                <c:pt idx="0">
                  <c:v>Chronic migraine</c:v>
                </c:pt>
              </c:strCache>
            </c:strRef>
          </c:tx>
          <c:invertIfNegative val="0"/>
          <c:cat>
            <c:strRef>
              <c:f>'Sheet1 (5)'!$B$2</c:f>
              <c:strCache>
                <c:ptCount val="8"/>
                <c:pt idx="0">
                  <c:v>ACT</c:v>
                </c:pt>
                <c:pt idx="1">
                  <c:v>NSW</c:v>
                </c:pt>
                <c:pt idx="2">
                  <c:v>NT</c:v>
                </c:pt>
                <c:pt idx="3">
                  <c:v>QLD</c:v>
                </c:pt>
                <c:pt idx="4">
                  <c:v>SA</c:v>
                </c:pt>
                <c:pt idx="5">
                  <c:v>TAS</c:v>
                </c:pt>
                <c:pt idx="6">
                  <c:v>VIC</c:v>
                </c:pt>
                <c:pt idx="7">
                  <c:v>WA</c:v>
                </c:pt>
              </c:strCache>
            </c:strRef>
          </c:cat>
          <c:val>
            <c:numRef>
              <c:f>'Sheet1 (5)'!$B$2</c:f>
              <c:numCache>
                <c:formatCode>General</c:formatCode>
                <c:ptCount val="8"/>
                <c:pt idx="0">
                  <c:v>418</c:v>
                </c:pt>
                <c:pt idx="1">
                  <c:v>2459</c:v>
                </c:pt>
                <c:pt idx="2">
                  <c:v>11</c:v>
                </c:pt>
                <c:pt idx="3">
                  <c:v>1224</c:v>
                </c:pt>
                <c:pt idx="4">
                  <c:v>409</c:v>
                </c:pt>
                <c:pt idx="5">
                  <c:v>143</c:v>
                </c:pt>
                <c:pt idx="6">
                  <c:v>1719</c:v>
                </c:pt>
                <c:pt idx="7">
                  <c:v>599</c:v>
                </c:pt>
              </c:numCache>
            </c:numRef>
          </c:val>
        </c:ser>
        <c:dLbls>
          <c:showLegendKey val="0"/>
          <c:showVal val="0"/>
          <c:showCatName val="0"/>
          <c:showSerName val="0"/>
          <c:showPercent val="0"/>
          <c:showBubbleSize val="0"/>
        </c:dLbls>
        <c:gapWidth val="150"/>
        <c:axId val="228855808"/>
        <c:axId val="228857344"/>
      </c:barChart>
      <c:catAx>
        <c:axId val="228855808"/>
        <c:scaling>
          <c:orientation val="minMax"/>
        </c:scaling>
        <c:delete val="0"/>
        <c:axPos val="b"/>
        <c:majorTickMark val="none"/>
        <c:minorTickMark val="none"/>
        <c:tickLblPos val="nextTo"/>
        <c:crossAx val="228857344"/>
        <c:crosses val="autoZero"/>
        <c:auto val="1"/>
        <c:lblAlgn val="ctr"/>
        <c:lblOffset val="100"/>
        <c:noMultiLvlLbl val="0"/>
      </c:catAx>
      <c:valAx>
        <c:axId val="228857344"/>
        <c:scaling>
          <c:orientation val="minMax"/>
        </c:scaling>
        <c:delete val="0"/>
        <c:axPos val="l"/>
        <c:majorGridlines/>
        <c:title>
          <c:tx>
            <c:rich>
              <a:bodyPr rot="-5400000" vert="horz"/>
              <a:lstStyle/>
              <a:p>
                <a:pPr>
                  <a:defRPr b="0"/>
                </a:pPr>
                <a:r>
                  <a:rPr lang="en-AU" b="0"/>
                  <a:t>Patients</a:t>
                </a:r>
              </a:p>
            </c:rich>
          </c:tx>
          <c:overlay val="0"/>
        </c:title>
        <c:numFmt formatCode="#,##0" sourceLinked="0"/>
        <c:majorTickMark val="none"/>
        <c:minorTickMark val="none"/>
        <c:tickLblPos val="nextTo"/>
        <c:crossAx val="228855808"/>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[D990V7_PATCNTBY MBS INDICA2_ pat_state and yr_fr_Dec v2.xlsx]Sheet1 (2)!PivotTable1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s>
    <c:plotArea>
      <c:layout/>
      <c:barChart>
        <c:barDir val="col"/>
        <c:grouping val="clustered"/>
        <c:varyColors val="0"/>
        <c:ser>
          <c:idx val="0"/>
          <c:order val="0"/>
          <c:tx>
            <c:strRef>
              <c:f>'Sheet1 (2)'!$B$5:$B$6</c:f>
              <c:strCache>
                <c:ptCount val="1"/>
                <c:pt idx="0">
                  <c:v>Chronic migraine</c:v>
                </c:pt>
              </c:strCache>
            </c:strRef>
          </c:tx>
          <c:invertIfNegative val="0"/>
          <c:cat>
            <c:strRef>
              <c:f>'Sheet1 (2)'!$A$7:$A$15</c:f>
              <c:strCache>
                <c:ptCount val="8"/>
                <c:pt idx="0">
                  <c:v>ACT</c:v>
                </c:pt>
                <c:pt idx="1">
                  <c:v>NSW</c:v>
                </c:pt>
                <c:pt idx="2">
                  <c:v>NT</c:v>
                </c:pt>
                <c:pt idx="3">
                  <c:v>QLD</c:v>
                </c:pt>
                <c:pt idx="4">
                  <c:v>SA</c:v>
                </c:pt>
                <c:pt idx="5">
                  <c:v>TAS</c:v>
                </c:pt>
                <c:pt idx="6">
                  <c:v>VIC</c:v>
                </c:pt>
                <c:pt idx="7">
                  <c:v>WA</c:v>
                </c:pt>
              </c:strCache>
            </c:strRef>
          </c:cat>
          <c:val>
            <c:numRef>
              <c:f>'Sheet1 (2)'!$B$7:$B$15</c:f>
              <c:numCache>
                <c:formatCode>General</c:formatCode>
                <c:ptCount val="8"/>
                <c:pt idx="0">
                  <c:v>1.0547724669058829E-3</c:v>
                </c:pt>
                <c:pt idx="1">
                  <c:v>3.1823789130060035E-4</c:v>
                </c:pt>
                <c:pt idx="2">
                  <c:v>4.4862984367289177E-5</c:v>
                </c:pt>
                <c:pt idx="3">
                  <c:v>2.5272009618229542E-4</c:v>
                </c:pt>
                <c:pt idx="4">
                  <c:v>2.3944243282878695E-4</c:v>
                </c:pt>
                <c:pt idx="5">
                  <c:v>2.754964233628673E-4</c:v>
                </c:pt>
                <c:pt idx="6">
                  <c:v>2.8321302957870948E-4</c:v>
                </c:pt>
                <c:pt idx="7">
                  <c:v>2.2888156773557034E-4</c:v>
                </c:pt>
              </c:numCache>
            </c:numRef>
          </c:val>
        </c:ser>
        <c:dLbls>
          <c:showLegendKey val="0"/>
          <c:showVal val="0"/>
          <c:showCatName val="0"/>
          <c:showSerName val="0"/>
          <c:showPercent val="0"/>
          <c:showBubbleSize val="0"/>
        </c:dLbls>
        <c:gapWidth val="150"/>
        <c:axId val="256852736"/>
        <c:axId val="257073152"/>
      </c:barChart>
      <c:catAx>
        <c:axId val="256852736"/>
        <c:scaling>
          <c:orientation val="minMax"/>
        </c:scaling>
        <c:delete val="0"/>
        <c:axPos val="b"/>
        <c:majorTickMark val="none"/>
        <c:minorTickMark val="none"/>
        <c:tickLblPos val="nextTo"/>
        <c:crossAx val="257073152"/>
        <c:crosses val="autoZero"/>
        <c:auto val="1"/>
        <c:lblAlgn val="ctr"/>
        <c:lblOffset val="100"/>
        <c:noMultiLvlLbl val="0"/>
      </c:catAx>
      <c:valAx>
        <c:axId val="257073152"/>
        <c:scaling>
          <c:orientation val="minMax"/>
        </c:scaling>
        <c:delete val="0"/>
        <c:axPos val="l"/>
        <c:majorGridlines/>
        <c:title>
          <c:tx>
            <c:rich>
              <a:bodyPr rot="-5400000" vert="horz"/>
              <a:lstStyle/>
              <a:p>
                <a:pPr>
                  <a:defRPr b="0"/>
                </a:pPr>
                <a:r>
                  <a:rPr lang="en-AU" b="0"/>
                  <a:t>Patients</a:t>
                </a:r>
                <a:r>
                  <a:rPr lang="en-AU" b="0" baseline="0"/>
                  <a:t> as % of population</a:t>
                </a:r>
                <a:endParaRPr lang="en-AU" b="0"/>
              </a:p>
            </c:rich>
          </c:tx>
          <c:overlay val="0"/>
        </c:title>
        <c:numFmt formatCode="0.00%" sourceLinked="0"/>
        <c:majorTickMark val="none"/>
        <c:minorTickMark val="none"/>
        <c:tickLblPos val="nextTo"/>
        <c:crossAx val="256852736"/>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AA83-FF86-4114-AAA7-5A74E4F3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9607</Words>
  <Characters>54764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2017-10-20T00:49:00Z</dcterms:created>
  <dcterms:modified xsi:type="dcterms:W3CDTF">2017-10-20T01:26:00Z</dcterms:modified>
</cp:coreProperties>
</file>