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17" w:rsidRDefault="00333658" w:rsidP="00AF729E">
      <w:pPr>
        <w:pStyle w:val="Title"/>
      </w:pPr>
      <w:proofErr w:type="spellStart"/>
      <w:r>
        <w:t>L</w:t>
      </w:r>
      <w:r w:rsidRPr="005D29E7">
        <w:t>enalidomide</w:t>
      </w:r>
      <w:proofErr w:type="spellEnd"/>
      <w:r w:rsidRPr="005D29E7">
        <w:t xml:space="preserve"> for myelodysplastic syndrome</w:t>
      </w:r>
      <w:r>
        <w:t>: predicted versus actual analysis</w:t>
      </w:r>
    </w:p>
    <w:p w:rsidR="00821C17" w:rsidRDefault="00333658" w:rsidP="00AF729E">
      <w:pPr>
        <w:pStyle w:val="Heading1"/>
      </w:pPr>
      <w:r>
        <w:t>D</w:t>
      </w:r>
      <w:r w:rsidRPr="0063631C">
        <w:t xml:space="preserve">rug utilisation sub-committee </w:t>
      </w:r>
      <w:r>
        <w:t>(DUSC)</w:t>
      </w:r>
    </w:p>
    <w:p w:rsidR="00821C17" w:rsidRPr="00EA531B" w:rsidRDefault="00333658" w:rsidP="00AF729E">
      <w:pPr>
        <w:pStyle w:val="Heading2"/>
        <w:rPr>
          <w:i/>
        </w:rPr>
      </w:pPr>
      <w:r>
        <w:rPr>
          <w:i/>
        </w:rPr>
        <w:t>September</w:t>
      </w:r>
      <w:r w:rsidRPr="00EA531B">
        <w:rPr>
          <w:i/>
        </w:rPr>
        <w:t xml:space="preserve"> 2017</w:t>
      </w:r>
    </w:p>
    <w:p w:rsidR="00821C17" w:rsidRPr="008250BC" w:rsidRDefault="00333658" w:rsidP="00AF729E">
      <w:pPr>
        <w:pStyle w:val="Heading3"/>
        <w:rPr>
          <w:i w:val="0"/>
          <w:sz w:val="32"/>
          <w:szCs w:val="32"/>
        </w:rPr>
      </w:pPr>
      <w:r w:rsidRPr="008250BC">
        <w:rPr>
          <w:i w:val="0"/>
          <w:sz w:val="32"/>
          <w:szCs w:val="32"/>
        </w:rPr>
        <w:t>Abstract</w:t>
      </w:r>
    </w:p>
    <w:p w:rsidR="00821C17" w:rsidRPr="008250BC" w:rsidRDefault="00333658" w:rsidP="00AF729E">
      <w:pPr>
        <w:pStyle w:val="Heading2"/>
        <w:rPr>
          <w:i/>
        </w:rPr>
      </w:pPr>
      <w:r w:rsidRPr="008250BC">
        <w:rPr>
          <w:i/>
        </w:rPr>
        <w:t>Purpose</w:t>
      </w:r>
    </w:p>
    <w:p w:rsidR="00AF729E" w:rsidRPr="00BB03D1" w:rsidRDefault="00333658" w:rsidP="000F3391">
      <w:pPr>
        <w:spacing w:after="0"/>
        <w:rPr>
          <w:rFonts w:cs="Arial"/>
        </w:rPr>
      </w:pPr>
      <w:r w:rsidRPr="00BB03D1">
        <w:t xml:space="preserve">To compare the predicted and actual utilisation of </w:t>
      </w:r>
      <w:proofErr w:type="spellStart"/>
      <w:r>
        <w:rPr>
          <w:rFonts w:eastAsia="Times New Roman" w:cs="Arial"/>
          <w:color w:val="222222"/>
        </w:rPr>
        <w:t>l</w:t>
      </w:r>
      <w:r w:rsidRPr="005D29E7">
        <w:rPr>
          <w:rFonts w:eastAsia="Times New Roman" w:cs="Arial"/>
          <w:color w:val="222222"/>
        </w:rPr>
        <w:t>enalidomide</w:t>
      </w:r>
      <w:proofErr w:type="spellEnd"/>
      <w:r w:rsidRPr="005D29E7">
        <w:rPr>
          <w:rFonts w:eastAsia="Times New Roman" w:cs="Arial"/>
          <w:color w:val="222222"/>
        </w:rPr>
        <w:t xml:space="preserve"> for myelodysplastic syndrome</w:t>
      </w:r>
      <w:r w:rsidRPr="00BB03D1">
        <w:t xml:space="preserve"> </w:t>
      </w:r>
      <w:r>
        <w:t>(MDS) since it was PBS listed for this indication in October 2013</w:t>
      </w:r>
      <w:r w:rsidRPr="00BB03D1">
        <w:t>.</w:t>
      </w:r>
      <w:r>
        <w:t xml:space="preserve"> To list any key uncertainties identified by the PBAC during evaluation of the submission and explore what information about these can be determined from studies of current utilisation or information from key stakeholders.</w:t>
      </w:r>
    </w:p>
    <w:p w:rsidR="00AF729E" w:rsidRDefault="00333658" w:rsidP="00AF729E">
      <w:pPr>
        <w:pStyle w:val="Heading2"/>
        <w:rPr>
          <w:i/>
        </w:rPr>
      </w:pPr>
      <w:r w:rsidRPr="009A6C71">
        <w:rPr>
          <w:i/>
        </w:rPr>
        <w:t>Current PBS restriction</w:t>
      </w:r>
      <w:r>
        <w:rPr>
          <w:i/>
        </w:rPr>
        <w:t xml:space="preserve"> for MDS</w:t>
      </w:r>
    </w:p>
    <w:p w:rsidR="00AF729E" w:rsidRDefault="00333658" w:rsidP="000F3391">
      <w:proofErr w:type="gramStart"/>
      <w:r>
        <w:rPr>
          <w:rFonts w:cs="Arial"/>
        </w:rPr>
        <w:t>Listed under the s100 Highly Specialised Drug (HSD) Authority Required PBS program for t</w:t>
      </w:r>
      <w:r w:rsidRPr="00E20A16">
        <w:rPr>
          <w:rFonts w:cs="Arial"/>
        </w:rPr>
        <w:t xml:space="preserve">reatment of </w:t>
      </w:r>
      <w:r>
        <w:rPr>
          <w:rFonts w:cs="Arial"/>
        </w:rPr>
        <w:t>transfusion-dependent, low risk or intermediate stage (low risk/</w:t>
      </w:r>
      <w:r w:rsidRPr="00E20A16">
        <w:rPr>
          <w:rFonts w:cs="Arial"/>
        </w:rPr>
        <w:t>INT-1</w:t>
      </w:r>
      <w:r>
        <w:rPr>
          <w:rFonts w:cs="Arial"/>
        </w:rPr>
        <w:t>)</w:t>
      </w:r>
      <w:r w:rsidRPr="00E20A16">
        <w:rPr>
          <w:rFonts w:cs="Arial"/>
        </w:rPr>
        <w:t xml:space="preserve">, </w:t>
      </w:r>
      <w:r>
        <w:rPr>
          <w:rFonts w:cs="Arial"/>
        </w:rPr>
        <w:t>deletion 5q</w:t>
      </w:r>
      <w:r w:rsidRPr="00E20A16">
        <w:rPr>
          <w:rFonts w:cs="Arial"/>
        </w:rPr>
        <w:t xml:space="preserve"> </w:t>
      </w:r>
      <w:r w:rsidR="00590152">
        <w:rPr>
          <w:rFonts w:cs="Arial"/>
        </w:rPr>
        <w:t>MDS</w:t>
      </w:r>
      <w:r>
        <w:rPr>
          <w:rFonts w:cs="Arial"/>
        </w:rPr>
        <w:t>.</w:t>
      </w:r>
      <w:proofErr w:type="gramEnd"/>
      <w:r>
        <w:rPr>
          <w:rFonts w:cs="Arial"/>
        </w:rPr>
        <w:t xml:space="preserve"> </w:t>
      </w:r>
      <w:r>
        <w:t>Details of the full restriction are attached in Appendix A.</w:t>
      </w:r>
    </w:p>
    <w:p w:rsidR="00AF729E" w:rsidRDefault="00333658" w:rsidP="000F3391">
      <w:r>
        <w:t xml:space="preserve">Prescribers need to provide information specified in the </w:t>
      </w:r>
      <w:r w:rsidR="00072468">
        <w:t>restriction in</w:t>
      </w:r>
      <w:r>
        <w:t xml:space="preserve"> writing to the Department of Human Services (DHS) to commence treatment (establish eligibility) and to continue treatment (establish response to treatment has occurred within 16 weeks </w:t>
      </w:r>
      <w:r w:rsidR="00542301">
        <w:t xml:space="preserve">of </w:t>
      </w:r>
      <w:r>
        <w:t>treatment). Once the first continuation is approved prescribers obtain subsequent prior approval for continuation by telephone.</w:t>
      </w:r>
    </w:p>
    <w:p w:rsidR="00D43E3B" w:rsidRPr="00CB12A0" w:rsidRDefault="00D43E3B" w:rsidP="00D43E3B">
      <w:pPr>
        <w:pStyle w:val="Heading2"/>
        <w:rPr>
          <w:i/>
        </w:rPr>
      </w:pPr>
      <w:r w:rsidRPr="00CB12A0">
        <w:rPr>
          <w:i/>
        </w:rPr>
        <w:t>Data Source</w:t>
      </w:r>
      <w:r>
        <w:rPr>
          <w:i/>
        </w:rPr>
        <w:t>s</w:t>
      </w:r>
    </w:p>
    <w:p w:rsidR="00D43E3B" w:rsidRDefault="00D43E3B" w:rsidP="00D43E3B">
      <w:r>
        <w:t>Data to assess utilisation was obtained from the Department of Human Services (</w:t>
      </w:r>
      <w:r w:rsidRPr="00CB12A0">
        <w:t>DHS</w:t>
      </w:r>
      <w:r>
        <w:t>)</w:t>
      </w:r>
      <w:r w:rsidRPr="00CB12A0">
        <w:t xml:space="preserve"> </w:t>
      </w:r>
      <w:r>
        <w:t xml:space="preserve">PBS </w:t>
      </w:r>
      <w:r w:rsidRPr="00CB12A0">
        <w:t xml:space="preserve">prescription </w:t>
      </w:r>
      <w:r>
        <w:t xml:space="preserve">claims </w:t>
      </w:r>
      <w:r w:rsidRPr="00CB12A0">
        <w:t>data</w:t>
      </w:r>
      <w:r>
        <w:t xml:space="preserve">base and </w:t>
      </w:r>
      <w:r w:rsidRPr="00D43E3B">
        <w:t>the DHS authority</w:t>
      </w:r>
      <w:r>
        <w:t xml:space="preserve"> approvals database.</w:t>
      </w:r>
    </w:p>
    <w:p w:rsidR="00821C17" w:rsidRPr="009A6C71" w:rsidRDefault="00333658" w:rsidP="00AF729E">
      <w:pPr>
        <w:pStyle w:val="Heading2"/>
        <w:keepNext/>
        <w:rPr>
          <w:i/>
        </w:rPr>
      </w:pPr>
      <w:r w:rsidRPr="009A6C71">
        <w:rPr>
          <w:i/>
        </w:rPr>
        <w:t>Key Findings</w:t>
      </w:r>
    </w:p>
    <w:p w:rsidR="00AF729E" w:rsidRDefault="00333658" w:rsidP="005E58FD">
      <w:pPr>
        <w:pStyle w:val="ListParagraph"/>
        <w:numPr>
          <w:ilvl w:val="0"/>
          <w:numId w:val="14"/>
        </w:numPr>
        <w:rPr>
          <w:rFonts w:ascii="Calibri" w:eastAsia="MS Mincho" w:hAnsi="Calibri" w:cs="Times New Roman"/>
        </w:rPr>
      </w:pPr>
      <w:r w:rsidRPr="008C7F57">
        <w:rPr>
          <w:rFonts w:ascii="Calibri" w:eastAsia="MS Mincho" w:hAnsi="Calibri" w:cs="Times New Roman"/>
        </w:rPr>
        <w:t>The actual prescription utilisation was much less than predicted due</w:t>
      </w:r>
      <w:r>
        <w:rPr>
          <w:rFonts w:ascii="Calibri" w:eastAsia="MS Mincho" w:hAnsi="Calibri" w:cs="Times New Roman"/>
        </w:rPr>
        <w:t xml:space="preserve"> both </w:t>
      </w:r>
      <w:r w:rsidR="00072468">
        <w:rPr>
          <w:rFonts w:ascii="Calibri" w:eastAsia="MS Mincho" w:hAnsi="Calibri" w:cs="Times New Roman"/>
        </w:rPr>
        <w:t xml:space="preserve">to </w:t>
      </w:r>
      <w:r w:rsidR="00AF729E">
        <w:rPr>
          <w:rFonts w:ascii="Calibri" w:eastAsia="MS Mincho" w:hAnsi="Calibri" w:cs="Times New Roman"/>
        </w:rPr>
        <w:t xml:space="preserve">a </w:t>
      </w:r>
      <w:r w:rsidR="00072468">
        <w:rPr>
          <w:rFonts w:ascii="Calibri" w:eastAsia="MS Mincho" w:hAnsi="Calibri" w:cs="Times New Roman"/>
        </w:rPr>
        <w:t>lower</w:t>
      </w:r>
      <w:r>
        <w:rPr>
          <w:rFonts w:ascii="Calibri" w:eastAsia="MS Mincho" w:hAnsi="Calibri" w:cs="Times New Roman"/>
        </w:rPr>
        <w:t xml:space="preserve"> than predicted </w:t>
      </w:r>
      <w:r w:rsidRPr="008C7F57">
        <w:rPr>
          <w:rFonts w:ascii="Calibri" w:eastAsia="MS Mincho" w:hAnsi="Calibri" w:cs="Times New Roman"/>
        </w:rPr>
        <w:t xml:space="preserve">number of patients treated and </w:t>
      </w:r>
      <w:r>
        <w:rPr>
          <w:rFonts w:ascii="Calibri" w:eastAsia="MS Mincho" w:hAnsi="Calibri" w:cs="Times New Roman"/>
        </w:rPr>
        <w:t xml:space="preserve">lower than predicted </w:t>
      </w:r>
      <w:r w:rsidRPr="008C7F57">
        <w:rPr>
          <w:rFonts w:ascii="Calibri" w:eastAsia="MS Mincho" w:hAnsi="Calibri" w:cs="Times New Roman"/>
        </w:rPr>
        <w:t>prescriptions per patient</w:t>
      </w:r>
      <w:r>
        <w:rPr>
          <w:rFonts w:ascii="Calibri" w:eastAsia="MS Mincho" w:hAnsi="Calibri" w:cs="Times New Roman"/>
        </w:rPr>
        <w:t xml:space="preserve"> per year.</w:t>
      </w:r>
    </w:p>
    <w:p w:rsidR="00AF729E" w:rsidRDefault="00333658" w:rsidP="005E58FD">
      <w:pPr>
        <w:pStyle w:val="ListParagraph"/>
        <w:numPr>
          <w:ilvl w:val="0"/>
          <w:numId w:val="14"/>
        </w:numPr>
        <w:rPr>
          <w:rFonts w:ascii="Calibri" w:eastAsia="MS Mincho" w:hAnsi="Calibri" w:cs="Times New Roman"/>
        </w:rPr>
      </w:pPr>
      <w:r>
        <w:rPr>
          <w:rFonts w:ascii="Calibri" w:eastAsia="MS Mincho" w:hAnsi="Calibri" w:cs="Times New Roman"/>
        </w:rPr>
        <w:t xml:space="preserve">The reason for the </w:t>
      </w:r>
      <w:r w:rsidRPr="008C7F57">
        <w:rPr>
          <w:rFonts w:ascii="Calibri" w:eastAsia="MS Mincho" w:hAnsi="Calibri" w:cs="Times New Roman"/>
        </w:rPr>
        <w:t>number of patients treated being less than predicted</w:t>
      </w:r>
      <w:r>
        <w:rPr>
          <w:rFonts w:ascii="Calibri" w:eastAsia="MS Mincho" w:hAnsi="Calibri" w:cs="Times New Roman"/>
        </w:rPr>
        <w:t xml:space="preserve"> is not clear.</w:t>
      </w:r>
    </w:p>
    <w:p w:rsidR="00AF729E" w:rsidRDefault="00333658" w:rsidP="005E58FD">
      <w:pPr>
        <w:pStyle w:val="ListParagraph"/>
        <w:numPr>
          <w:ilvl w:val="1"/>
          <w:numId w:val="17"/>
        </w:numPr>
        <w:ind w:left="851" w:hanging="425"/>
        <w:rPr>
          <w:rFonts w:ascii="Calibri" w:eastAsia="MS Mincho" w:hAnsi="Calibri" w:cs="Times New Roman"/>
        </w:rPr>
      </w:pPr>
      <w:r>
        <w:rPr>
          <w:rFonts w:ascii="Calibri" w:eastAsia="MS Mincho" w:hAnsi="Calibri" w:cs="Times New Roman"/>
        </w:rPr>
        <w:t xml:space="preserve">The proportion of eligible patients could have been an overestimate. This report notes that the prevalence was incorrectly calculated in the estimates considered </w:t>
      </w:r>
      <w:proofErr w:type="gramStart"/>
      <w:r>
        <w:rPr>
          <w:rFonts w:ascii="Calibri" w:eastAsia="MS Mincho" w:hAnsi="Calibri" w:cs="Times New Roman"/>
        </w:rPr>
        <w:lastRenderedPageBreak/>
        <w:t>by</w:t>
      </w:r>
      <w:proofErr w:type="gramEnd"/>
      <w:r>
        <w:rPr>
          <w:rFonts w:ascii="Calibri" w:eastAsia="MS Mincho" w:hAnsi="Calibri" w:cs="Times New Roman"/>
        </w:rPr>
        <w:t xml:space="preserve"> the PBAC. When corrected during this analysis</w:t>
      </w:r>
      <w:r w:rsidR="00AF729E">
        <w:rPr>
          <w:rFonts w:ascii="Calibri" w:eastAsia="MS Mincho" w:hAnsi="Calibri" w:cs="Times New Roman"/>
        </w:rPr>
        <w:t>,</w:t>
      </w:r>
      <w:r>
        <w:rPr>
          <w:rFonts w:ascii="Calibri" w:eastAsia="MS Mincho" w:hAnsi="Calibri" w:cs="Times New Roman"/>
        </w:rPr>
        <w:t xml:space="preserve"> the eligible patient numbers were slightly less. The estimate </w:t>
      </w:r>
      <w:r w:rsidR="00072468">
        <w:rPr>
          <w:rFonts w:ascii="Calibri" w:eastAsia="MS Mincho" w:hAnsi="Calibri" w:cs="Times New Roman"/>
        </w:rPr>
        <w:t>of the</w:t>
      </w:r>
      <w:r>
        <w:rPr>
          <w:rFonts w:ascii="Calibri" w:eastAsia="MS Mincho" w:hAnsi="Calibri" w:cs="Times New Roman"/>
        </w:rPr>
        <w:t xml:space="preserve"> proportion of MDS patients that are </w:t>
      </w:r>
      <w:r>
        <w:rPr>
          <w:rFonts w:cs="Arial"/>
        </w:rPr>
        <w:t>low risk/</w:t>
      </w:r>
      <w:r w:rsidRPr="00E20A16">
        <w:rPr>
          <w:rFonts w:cs="Arial"/>
        </w:rPr>
        <w:t>INT-1</w:t>
      </w:r>
      <w:r>
        <w:rPr>
          <w:rFonts w:ascii="Calibri" w:eastAsia="MS Mincho" w:hAnsi="Calibri" w:cs="Times New Roman"/>
        </w:rPr>
        <w:t xml:space="preserve"> was based on a small study and clinical information which may not accurately reflect the overall Australian experience.</w:t>
      </w:r>
    </w:p>
    <w:p w:rsidR="00AF729E" w:rsidRPr="008C7F57" w:rsidRDefault="00333658" w:rsidP="005E58FD">
      <w:pPr>
        <w:pStyle w:val="ListParagraph"/>
        <w:numPr>
          <w:ilvl w:val="1"/>
          <w:numId w:val="17"/>
        </w:numPr>
        <w:ind w:left="851" w:hanging="425"/>
        <w:rPr>
          <w:rFonts w:ascii="Calibri" w:eastAsia="MS Mincho" w:hAnsi="Calibri" w:cs="Times New Roman"/>
        </w:rPr>
      </w:pPr>
      <w:r>
        <w:rPr>
          <w:rFonts w:ascii="Calibri" w:eastAsia="MS Mincho" w:hAnsi="Calibri" w:cs="Times New Roman"/>
        </w:rPr>
        <w:t>Lower than expected uptake rate may be a result of patient and  prescriber experience of intolerance and adverse events or achievement of less than expected benefit in a larger number of patients with transfusion dependent MDS in practice.</w:t>
      </w:r>
    </w:p>
    <w:p w:rsidR="00AF729E" w:rsidRPr="007272B6" w:rsidRDefault="009D3E82" w:rsidP="005E58FD">
      <w:pPr>
        <w:pStyle w:val="ListParagraph"/>
        <w:numPr>
          <w:ilvl w:val="0"/>
          <w:numId w:val="14"/>
        </w:numPr>
      </w:pPr>
      <w:r>
        <w:t>The submission overestimated the number of prescriptions per patient per year.</w:t>
      </w:r>
      <w:r w:rsidR="00333658" w:rsidRPr="006E2174">
        <w:rPr>
          <w:rFonts w:ascii="Calibri" w:eastAsia="MS Mincho" w:hAnsi="Calibri" w:cs="Times New Roman"/>
        </w:rPr>
        <w:t xml:space="preserve"> This was due to a </w:t>
      </w:r>
      <w:r w:rsidR="00333658">
        <w:rPr>
          <w:rFonts w:ascii="Calibri" w:eastAsia="MS Mincho" w:hAnsi="Calibri" w:cs="Times New Roman"/>
        </w:rPr>
        <w:t>“</w:t>
      </w:r>
      <w:r w:rsidR="00333658" w:rsidRPr="006E2174">
        <w:rPr>
          <w:rFonts w:ascii="Calibri" w:eastAsia="MS Mincho" w:hAnsi="Calibri" w:cs="Times New Roman"/>
        </w:rPr>
        <w:t>part cycle correction</w:t>
      </w:r>
      <w:r w:rsidR="00333658">
        <w:rPr>
          <w:rFonts w:ascii="Calibri" w:eastAsia="MS Mincho" w:hAnsi="Calibri" w:cs="Times New Roman"/>
        </w:rPr>
        <w:t>”</w:t>
      </w:r>
      <w:r w:rsidR="00333658" w:rsidRPr="006E2174">
        <w:rPr>
          <w:rFonts w:ascii="Calibri" w:eastAsia="MS Mincho" w:hAnsi="Calibri" w:cs="Times New Roman"/>
        </w:rPr>
        <w:t xml:space="preserve"> not being applied to each year</w:t>
      </w:r>
      <w:r w:rsidR="00333658">
        <w:rPr>
          <w:rFonts w:ascii="Calibri" w:eastAsia="MS Mincho" w:hAnsi="Calibri" w:cs="Times New Roman"/>
        </w:rPr>
        <w:t xml:space="preserve"> which allows for patients to commence treatment during the year</w:t>
      </w:r>
      <w:r w:rsidR="00333658" w:rsidRPr="006E2174">
        <w:rPr>
          <w:rFonts w:ascii="Calibri" w:eastAsia="MS Mincho" w:hAnsi="Calibri" w:cs="Times New Roman"/>
        </w:rPr>
        <w:t xml:space="preserve">. </w:t>
      </w:r>
    </w:p>
    <w:p w:rsidR="00AF729E" w:rsidRPr="00107A09" w:rsidRDefault="00333658" w:rsidP="005E58FD">
      <w:pPr>
        <w:pStyle w:val="ListParagraph"/>
        <w:numPr>
          <w:ilvl w:val="0"/>
          <w:numId w:val="14"/>
        </w:numPr>
      </w:pPr>
      <w:r>
        <w:rPr>
          <w:rFonts w:ascii="Calibri" w:eastAsia="MS Mincho" w:hAnsi="Calibri" w:cs="Times New Roman"/>
        </w:rPr>
        <w:t>This analysis found that</w:t>
      </w:r>
      <w:r w:rsidRPr="006E2174">
        <w:rPr>
          <w:rFonts w:ascii="Calibri" w:eastAsia="MS Mincho" w:hAnsi="Calibri" w:cs="Times New Roman"/>
        </w:rPr>
        <w:t xml:space="preserve"> the number of prescriptions per patient </w:t>
      </w:r>
      <w:r w:rsidRPr="007272B6">
        <w:rPr>
          <w:rFonts w:ascii="Calibri" w:eastAsia="MS Mincho" w:hAnsi="Calibri" w:cs="Times New Roman"/>
          <w:b/>
        </w:rPr>
        <w:t>overall</w:t>
      </w:r>
      <w:r>
        <w:rPr>
          <w:rFonts w:ascii="Calibri" w:eastAsia="MS Mincho" w:hAnsi="Calibri" w:cs="Times New Roman"/>
        </w:rPr>
        <w:t xml:space="preserve"> </w:t>
      </w:r>
      <w:r w:rsidRPr="006E2174">
        <w:rPr>
          <w:rFonts w:ascii="Calibri" w:eastAsia="MS Mincho" w:hAnsi="Calibri" w:cs="Times New Roman"/>
        </w:rPr>
        <w:t>was slightly more than expected, but these were spread over a longer period than expected and included breaks in treatment.</w:t>
      </w:r>
    </w:p>
    <w:p w:rsidR="00AF729E" w:rsidRPr="006E2174" w:rsidRDefault="00333658" w:rsidP="005E58FD">
      <w:pPr>
        <w:pStyle w:val="ListParagraph"/>
        <w:numPr>
          <w:ilvl w:val="0"/>
          <w:numId w:val="14"/>
        </w:numPr>
      </w:pPr>
      <w:r>
        <w:rPr>
          <w:rFonts w:ascii="Calibri" w:eastAsia="MS Mincho" w:hAnsi="Calibri" w:cs="Times New Roman"/>
        </w:rPr>
        <w:t>The proportion of use of the 5</w:t>
      </w:r>
      <w:r w:rsidR="00542301">
        <w:rPr>
          <w:rFonts w:ascii="Calibri" w:eastAsia="MS Mincho" w:hAnsi="Calibri" w:cs="Times New Roman"/>
        </w:rPr>
        <w:t> </w:t>
      </w:r>
      <w:r>
        <w:rPr>
          <w:rFonts w:ascii="Calibri" w:eastAsia="MS Mincho" w:hAnsi="Calibri" w:cs="Times New Roman"/>
        </w:rPr>
        <w:t>mg capsules (32.7%) was higher than predicted (</w:t>
      </w:r>
      <w:r w:rsidR="00624706">
        <w:rPr>
          <w:rFonts w:ascii="Calibri" w:eastAsia="MS Mincho" w:hAnsi="Calibri" w:cs="Times New Roman"/>
          <w:noProof/>
          <w:color w:val="000000"/>
          <w:highlight w:val="black"/>
        </w:rPr>
        <w:t>'''''''''''</w:t>
      </w:r>
      <w:r>
        <w:rPr>
          <w:rFonts w:ascii="Calibri" w:eastAsia="MS Mincho" w:hAnsi="Calibri" w:cs="Times New Roman"/>
        </w:rPr>
        <w:t>). This result is consistent with PBAC’s concern that adverse events and dose reduction would be greater than predicted.</w:t>
      </w:r>
    </w:p>
    <w:p w:rsidR="00AF729E" w:rsidRDefault="00333658" w:rsidP="005E58FD">
      <w:pPr>
        <w:pStyle w:val="ListParagraph"/>
        <w:numPr>
          <w:ilvl w:val="0"/>
          <w:numId w:val="14"/>
        </w:numPr>
      </w:pPr>
      <w:r w:rsidRPr="006E2174">
        <w:rPr>
          <w:rFonts w:ascii="Calibri" w:eastAsia="MS Mincho" w:hAnsi="Calibri" w:cs="Times New Roman"/>
        </w:rPr>
        <w:t xml:space="preserve">The predicted cost savings from reduction of </w:t>
      </w:r>
      <w:proofErr w:type="spellStart"/>
      <w:r w:rsidR="00072468" w:rsidRPr="00E84A3B">
        <w:t>deferasirox</w:t>
      </w:r>
      <w:proofErr w:type="spellEnd"/>
      <w:r>
        <w:t xml:space="preserve"> use </w:t>
      </w:r>
      <w:r w:rsidRPr="006E2174">
        <w:rPr>
          <w:rFonts w:ascii="Calibri" w:eastAsia="MS Mincho" w:hAnsi="Calibri" w:cs="Times New Roman"/>
        </w:rPr>
        <w:t>were not realised.</w:t>
      </w:r>
    </w:p>
    <w:p w:rsidR="00AF729E" w:rsidRDefault="00333658">
      <w:pPr>
        <w:spacing w:line="276" w:lineRule="auto"/>
        <w:rPr>
          <w:b/>
          <w:sz w:val="32"/>
          <w:szCs w:val="32"/>
        </w:rPr>
      </w:pPr>
      <w:r>
        <w:rPr>
          <w:i/>
        </w:rPr>
        <w:br w:type="page"/>
      </w:r>
    </w:p>
    <w:p w:rsidR="00821C17" w:rsidRDefault="00333658" w:rsidP="00AF729E">
      <w:pPr>
        <w:pStyle w:val="Heading4"/>
        <w:rPr>
          <w:i w:val="0"/>
        </w:rPr>
      </w:pPr>
      <w:r w:rsidRPr="008250BC">
        <w:rPr>
          <w:i w:val="0"/>
        </w:rPr>
        <w:lastRenderedPageBreak/>
        <w:t>Background</w:t>
      </w:r>
    </w:p>
    <w:p w:rsidR="00AF729E" w:rsidRPr="00B87CD5" w:rsidRDefault="00333658" w:rsidP="00AF729E">
      <w:pPr>
        <w:spacing w:before="240"/>
        <w:outlineLvl w:val="1"/>
        <w:rPr>
          <w:rFonts w:ascii="Calibri" w:eastAsia="MS Mincho" w:hAnsi="Calibri" w:cs="Times New Roman"/>
          <w:b/>
          <w:sz w:val="28"/>
        </w:rPr>
      </w:pPr>
      <w:r w:rsidRPr="00B87CD5">
        <w:rPr>
          <w:rFonts w:ascii="Calibri" w:eastAsia="MS Mincho" w:hAnsi="Calibri" w:cs="Times New Roman"/>
          <w:b/>
          <w:sz w:val="28"/>
        </w:rPr>
        <w:t>Clinical situation</w:t>
      </w:r>
    </w:p>
    <w:p w:rsidR="00AF729E" w:rsidRDefault="00333658" w:rsidP="005850B6">
      <w:pPr>
        <w:spacing w:before="240"/>
        <w:outlineLvl w:val="2"/>
      </w:pPr>
      <w:r w:rsidRPr="00905E8A">
        <w:t xml:space="preserve">The myelodysplastic syndromes are a group of disorders of haematopoiesis (formation of blood cellular components), which include refractory anaemia, chronic </w:t>
      </w:r>
      <w:proofErr w:type="spellStart"/>
      <w:r w:rsidRPr="00905E8A">
        <w:t>myelomonocytic</w:t>
      </w:r>
      <w:proofErr w:type="spellEnd"/>
      <w:r w:rsidRPr="00905E8A">
        <w:t xml:space="preserve"> leukaemia, acute myeloid leukaemia (AML) and a specific subtype characterised by the presence of a deletion of the 5q chromosome. The 5q deletion subtype is typically associated with a better prognosis for survival and freedom from progression to AML than occurs in patients without a 5q deletion.</w:t>
      </w:r>
    </w:p>
    <w:p w:rsidR="00AF729E" w:rsidRPr="00905E8A" w:rsidRDefault="00333658" w:rsidP="005850B6">
      <w:pPr>
        <w:autoSpaceDE w:val="0"/>
        <w:autoSpaceDN w:val="0"/>
        <w:adjustRightInd w:val="0"/>
        <w:spacing w:before="240"/>
      </w:pPr>
      <w:r w:rsidRPr="00B16E13">
        <w:t>The incidence of MDS is highest among older persons, w</w:t>
      </w:r>
      <w:r>
        <w:t xml:space="preserve">ith the median age of diagnosis </w:t>
      </w:r>
      <w:r w:rsidRPr="00B16E13">
        <w:t>being in the range of 65 to 70 years. There are currently no</w:t>
      </w:r>
      <w:r>
        <w:t xml:space="preserve"> curative options available for </w:t>
      </w:r>
      <w:r w:rsidRPr="00B16E13">
        <w:t xml:space="preserve">most patients with MDS although a small percentage of </w:t>
      </w:r>
      <w:r>
        <w:t xml:space="preserve">younger and fitter patients may </w:t>
      </w:r>
      <w:r w:rsidRPr="00B16E13">
        <w:t xml:space="preserve">achieve long-term disease control through allogeneic transplantation. </w:t>
      </w:r>
      <w:r w:rsidRPr="00905E8A">
        <w:t>Almost all patients with MDS will receive background supportive therapy consisting of red blood cell (RBC) and platelet transfusions, antibiotics, growth factor support and iron chelating th</w:t>
      </w:r>
      <w:r>
        <w:t>erapy. Additional active therapies, such as chemotherapy</w:t>
      </w:r>
      <w:r w:rsidR="00072468">
        <w:t>, will</w:t>
      </w:r>
      <w:r w:rsidRPr="00905E8A">
        <w:t xml:space="preserve"> be used in patients at higher risk of transforming to leukaemia. The PBAC noted that iron chelation therapy was overused in this condition and provided limited benefits in patients with short life expectancy.</w:t>
      </w:r>
    </w:p>
    <w:p w:rsidR="00AF729E" w:rsidRPr="00905E8A" w:rsidRDefault="00333658" w:rsidP="005850B6">
      <w:pPr>
        <w:spacing w:before="240"/>
        <w:outlineLvl w:val="2"/>
      </w:pPr>
      <w:proofErr w:type="spellStart"/>
      <w:r>
        <w:t>L</w:t>
      </w:r>
      <w:r w:rsidRPr="00905E8A">
        <w:t>enalidomide</w:t>
      </w:r>
      <w:proofErr w:type="spellEnd"/>
      <w:r w:rsidRPr="00905E8A">
        <w:t xml:space="preserve"> provides an alternative treatment option </w:t>
      </w:r>
      <w:r>
        <w:t xml:space="preserve">to best supportive care for people with the 5q deletion </w:t>
      </w:r>
      <w:r w:rsidRPr="00905E8A">
        <w:t>who are unable or not suitable to be treated with active chemotherapy/stem cell transplantation.</w:t>
      </w:r>
      <w:r>
        <w:t xml:space="preserve"> </w:t>
      </w:r>
    </w:p>
    <w:p w:rsidR="00AF729E" w:rsidRDefault="00333658" w:rsidP="00AF729E">
      <w:pPr>
        <w:spacing w:before="240"/>
        <w:outlineLvl w:val="1"/>
        <w:rPr>
          <w:rFonts w:ascii="Calibri" w:eastAsia="MS Mincho" w:hAnsi="Calibri" w:cs="Times New Roman"/>
          <w:b/>
          <w:sz w:val="28"/>
        </w:rPr>
      </w:pPr>
      <w:r w:rsidRPr="00B87CD5">
        <w:rPr>
          <w:rFonts w:ascii="Calibri" w:eastAsia="MS Mincho" w:hAnsi="Calibri" w:cs="Times New Roman"/>
          <w:b/>
          <w:sz w:val="28"/>
        </w:rPr>
        <w:t>Pharmacology</w:t>
      </w:r>
    </w:p>
    <w:p w:rsidR="00AF729E" w:rsidRPr="001C3C4C" w:rsidRDefault="00333658" w:rsidP="005850B6">
      <w:pPr>
        <w:spacing w:before="240"/>
        <w:outlineLvl w:val="1"/>
        <w:rPr>
          <w:rFonts w:eastAsia="MS Mincho" w:cs="Times New Roman"/>
          <w:b/>
        </w:rPr>
      </w:pPr>
      <w:proofErr w:type="spellStart"/>
      <w:r>
        <w:t>L</w:t>
      </w:r>
      <w:r w:rsidRPr="00905E8A">
        <w:t>enalidomide</w:t>
      </w:r>
      <w:proofErr w:type="spellEnd"/>
      <w:r w:rsidRPr="00905E8A">
        <w:t xml:space="preserve"> inhibits proliferation of certain haematopoietic tumour cells (including multiple myeloma [MM] plasma tumour cells and those with deletions of chromosome 5), enhances T cell- and Natural Killer (NK) cell-mediated immunity and increases the number of NK T cells, inhibits production of pro-inflammatory cytokines (e.g. TNF-α and IL-6) by monocytes, inhibits angiogenesis by blocking the migration and adhesion of endothelial cells and the formation of </w:t>
      </w:r>
      <w:proofErr w:type="spellStart"/>
      <w:r w:rsidRPr="00905E8A">
        <w:t>microvessels</w:t>
      </w:r>
      <w:proofErr w:type="spellEnd"/>
      <w:r w:rsidRPr="00905E8A">
        <w:t xml:space="preserve">, and augments foetal haemoglobin production by </w:t>
      </w:r>
      <w:r>
        <w:t>CD34+ haematopoietic stem cells (sourced from the Product information available on the ARTG website)</w:t>
      </w:r>
      <w:r w:rsidR="00AF729E">
        <w:t>.</w:t>
      </w:r>
    </w:p>
    <w:p w:rsidR="00AF729E" w:rsidRPr="00B87CD5" w:rsidRDefault="00333658" w:rsidP="00AF729E">
      <w:pPr>
        <w:spacing w:before="240"/>
        <w:outlineLvl w:val="1"/>
        <w:rPr>
          <w:rFonts w:ascii="Calibri" w:eastAsia="MS Mincho" w:hAnsi="Calibri" w:cs="Times New Roman"/>
          <w:b/>
          <w:sz w:val="28"/>
        </w:rPr>
      </w:pPr>
      <w:r w:rsidRPr="00B87CD5">
        <w:rPr>
          <w:rFonts w:ascii="Calibri" w:eastAsia="MS Mincho" w:hAnsi="Calibri" w:cs="Times New Roman"/>
          <w:b/>
          <w:sz w:val="28"/>
        </w:rPr>
        <w:t>Therapeutic Goods Administr</w:t>
      </w:r>
      <w:r>
        <w:rPr>
          <w:rFonts w:ascii="Calibri" w:eastAsia="MS Mincho" w:hAnsi="Calibri" w:cs="Times New Roman"/>
          <w:b/>
          <w:sz w:val="28"/>
        </w:rPr>
        <w:t>ation (TGA) approved indications and other PBS restrictions</w:t>
      </w:r>
    </w:p>
    <w:p w:rsidR="00AF729E" w:rsidRDefault="00072468" w:rsidP="00AF729E">
      <w:pPr>
        <w:spacing w:before="240" w:line="276" w:lineRule="auto"/>
        <w:jc w:val="both"/>
        <w:rPr>
          <w:rFonts w:ascii="Calibri" w:eastAsia="MS Mincho" w:hAnsi="Calibri" w:cs="Times New Roman"/>
        </w:rPr>
      </w:pPr>
      <w:proofErr w:type="spellStart"/>
      <w:r w:rsidRPr="00917DA6">
        <w:rPr>
          <w:rFonts w:ascii="Calibri" w:eastAsia="MS Mincho" w:hAnsi="Calibri" w:cs="Times New Roman"/>
        </w:rPr>
        <w:t>Lenalidom</w:t>
      </w:r>
      <w:r>
        <w:rPr>
          <w:rFonts w:ascii="Calibri" w:eastAsia="MS Mincho" w:hAnsi="Calibri" w:cs="Times New Roman"/>
        </w:rPr>
        <w:t>ide</w:t>
      </w:r>
      <w:proofErr w:type="spellEnd"/>
      <w:r w:rsidR="00333658">
        <w:rPr>
          <w:rFonts w:ascii="Calibri" w:eastAsia="MS Mincho" w:hAnsi="Calibri" w:cs="Times New Roman"/>
        </w:rPr>
        <w:t xml:space="preserve"> (</w:t>
      </w:r>
      <w:proofErr w:type="spellStart"/>
      <w:r w:rsidR="00333658">
        <w:rPr>
          <w:rFonts w:ascii="Calibri" w:eastAsia="MS Mincho" w:hAnsi="Calibri" w:cs="Times New Roman"/>
        </w:rPr>
        <w:t>Revlimid</w:t>
      </w:r>
      <w:proofErr w:type="spellEnd"/>
      <w:r w:rsidR="00333658">
        <w:rPr>
          <w:rFonts w:ascii="Calibri" w:eastAsia="MS Mincho" w:hAnsi="Calibri" w:cs="Times New Roman"/>
        </w:rPr>
        <w:t>®) is approved by the TGA for</w:t>
      </w:r>
      <w:r w:rsidR="009D3E82">
        <w:rPr>
          <w:rFonts w:ascii="Calibri" w:eastAsia="MS Mincho" w:hAnsi="Calibri" w:cs="Times New Roman"/>
        </w:rPr>
        <w:t>:</w:t>
      </w:r>
    </w:p>
    <w:p w:rsidR="00AF729E" w:rsidRPr="006E6B70" w:rsidRDefault="00333658" w:rsidP="005850B6">
      <w:pPr>
        <w:pStyle w:val="ListParagraph"/>
        <w:numPr>
          <w:ilvl w:val="0"/>
          <w:numId w:val="1"/>
        </w:numPr>
        <w:spacing w:before="240"/>
        <w:ind w:left="357" w:hanging="357"/>
        <w:rPr>
          <w:rFonts w:ascii="Calibri" w:eastAsia="MS Mincho" w:hAnsi="Calibri" w:cs="Times New Roman"/>
        </w:rPr>
      </w:pPr>
      <w:r w:rsidRPr="006E6B70">
        <w:rPr>
          <w:rFonts w:ascii="Calibri" w:eastAsia="MS Mincho" w:hAnsi="Calibri" w:cs="Times New Roman"/>
        </w:rPr>
        <w:t>Newly diagnosed multiple myeloma in patients who are ineligible for autologous stem cell transplantation. Subsidised on the PBS</w:t>
      </w:r>
      <w:r>
        <w:rPr>
          <w:rFonts w:ascii="Calibri" w:eastAsia="MS Mincho" w:hAnsi="Calibri" w:cs="Times New Roman"/>
        </w:rPr>
        <w:t xml:space="preserve"> </w:t>
      </w:r>
      <w:r w:rsidRPr="006E6B70">
        <w:rPr>
          <w:rFonts w:ascii="Calibri" w:eastAsia="MS Mincho" w:hAnsi="Calibri" w:cs="Times New Roman"/>
        </w:rPr>
        <w:t>(25</w:t>
      </w:r>
      <w:r w:rsidR="003B67C0">
        <w:rPr>
          <w:rFonts w:ascii="Calibri" w:eastAsia="MS Mincho" w:hAnsi="Calibri" w:cs="Times New Roman"/>
        </w:rPr>
        <w:t> </w:t>
      </w:r>
      <w:r w:rsidRPr="006E6B70">
        <w:rPr>
          <w:rFonts w:ascii="Calibri" w:eastAsia="MS Mincho" w:hAnsi="Calibri" w:cs="Times New Roman"/>
        </w:rPr>
        <w:t>mg</w:t>
      </w:r>
      <w:r>
        <w:rPr>
          <w:rFonts w:ascii="Calibri" w:eastAsia="MS Mincho" w:hAnsi="Calibri" w:cs="Times New Roman"/>
        </w:rPr>
        <w:t xml:space="preserve"> item codes 11055W, 11041D</w:t>
      </w:r>
      <w:r w:rsidR="00AF729E">
        <w:rPr>
          <w:rFonts w:ascii="Calibri" w:eastAsia="MS Mincho" w:hAnsi="Calibri" w:cs="Times New Roman"/>
        </w:rPr>
        <w:t>;</w:t>
      </w:r>
      <w:r w:rsidRPr="006E6B70">
        <w:rPr>
          <w:rFonts w:ascii="Calibri" w:eastAsia="MS Mincho" w:hAnsi="Calibri" w:cs="Times New Roman"/>
        </w:rPr>
        <w:t xml:space="preserve"> 15</w:t>
      </w:r>
      <w:r w:rsidR="003B67C0">
        <w:rPr>
          <w:rFonts w:ascii="Calibri" w:eastAsia="MS Mincho" w:hAnsi="Calibri" w:cs="Times New Roman"/>
        </w:rPr>
        <w:t> </w:t>
      </w:r>
      <w:r w:rsidRPr="006E6B70">
        <w:rPr>
          <w:rFonts w:ascii="Calibri" w:eastAsia="MS Mincho" w:hAnsi="Calibri" w:cs="Times New Roman"/>
        </w:rPr>
        <w:t xml:space="preserve">mg </w:t>
      </w:r>
      <w:r>
        <w:rPr>
          <w:rFonts w:ascii="Calibri" w:eastAsia="MS Mincho" w:hAnsi="Calibri" w:cs="Times New Roman"/>
        </w:rPr>
        <w:t xml:space="preserve">item codes </w:t>
      </w:r>
      <w:r w:rsidRPr="006E6B70">
        <w:rPr>
          <w:rFonts w:ascii="Calibri" w:eastAsia="MS Mincho" w:hAnsi="Calibri" w:cs="Times New Roman"/>
        </w:rPr>
        <w:t>11042E,</w:t>
      </w:r>
      <w:r>
        <w:rPr>
          <w:rFonts w:ascii="Calibri" w:eastAsia="MS Mincho" w:hAnsi="Calibri" w:cs="Times New Roman"/>
        </w:rPr>
        <w:t xml:space="preserve"> 11062F; 10</w:t>
      </w:r>
      <w:r w:rsidR="003B67C0">
        <w:rPr>
          <w:rFonts w:ascii="Calibri" w:eastAsia="MS Mincho" w:hAnsi="Calibri" w:cs="Times New Roman"/>
        </w:rPr>
        <w:t> </w:t>
      </w:r>
      <w:r>
        <w:rPr>
          <w:rFonts w:ascii="Calibri" w:eastAsia="MS Mincho" w:hAnsi="Calibri" w:cs="Times New Roman"/>
        </w:rPr>
        <w:t>mg item codes 11064H, 11063G</w:t>
      </w:r>
      <w:r w:rsidRPr="006E6B70">
        <w:rPr>
          <w:rFonts w:ascii="Calibri" w:eastAsia="MS Mincho" w:hAnsi="Calibri" w:cs="Times New Roman"/>
        </w:rPr>
        <w:t>; 5</w:t>
      </w:r>
      <w:r w:rsidR="003B67C0">
        <w:rPr>
          <w:rFonts w:ascii="Calibri" w:eastAsia="MS Mincho" w:hAnsi="Calibri" w:cs="Times New Roman"/>
        </w:rPr>
        <w:t> </w:t>
      </w:r>
      <w:r>
        <w:rPr>
          <w:rFonts w:ascii="Calibri" w:eastAsia="MS Mincho" w:hAnsi="Calibri" w:cs="Times New Roman"/>
        </w:rPr>
        <w:t>mg item codes 11029L, 11036W</w:t>
      </w:r>
      <w:r w:rsidRPr="006E6B70">
        <w:rPr>
          <w:rFonts w:ascii="Calibri" w:eastAsia="MS Mincho" w:hAnsi="Calibri" w:cs="Times New Roman"/>
        </w:rPr>
        <w:t xml:space="preserve">). The PBS </w:t>
      </w:r>
      <w:r>
        <w:rPr>
          <w:rFonts w:ascii="Calibri" w:eastAsia="MS Mincho" w:hAnsi="Calibri" w:cs="Times New Roman"/>
        </w:rPr>
        <w:t xml:space="preserve">restriction </w:t>
      </w:r>
      <w:r w:rsidRPr="006E6B70">
        <w:rPr>
          <w:rFonts w:ascii="Calibri" w:eastAsia="MS Mincho" w:hAnsi="Calibri" w:cs="Times New Roman"/>
        </w:rPr>
        <w:t>also specifie</w:t>
      </w:r>
      <w:r>
        <w:rPr>
          <w:rFonts w:ascii="Calibri" w:eastAsia="MS Mincho" w:hAnsi="Calibri" w:cs="Times New Roman"/>
        </w:rPr>
        <w:t>s</w:t>
      </w:r>
      <w:r w:rsidRPr="006E6B70">
        <w:rPr>
          <w:rFonts w:ascii="Calibri" w:eastAsia="MS Mincho" w:hAnsi="Calibri" w:cs="Times New Roman"/>
        </w:rPr>
        <w:t xml:space="preserve"> that treatment is in combination </w:t>
      </w:r>
      <w:r w:rsidRPr="006E6B70">
        <w:rPr>
          <w:rFonts w:ascii="Calibri" w:eastAsia="MS Mincho" w:hAnsi="Calibri" w:cs="Times New Roman"/>
        </w:rPr>
        <w:lastRenderedPageBreak/>
        <w:t>with dexamethasone and that treatment is discontinued in patients with progressive disease.</w:t>
      </w:r>
    </w:p>
    <w:p w:rsidR="00AF729E" w:rsidRPr="006E6B70" w:rsidRDefault="00333658" w:rsidP="005850B6">
      <w:pPr>
        <w:pStyle w:val="ListParagraph"/>
        <w:numPr>
          <w:ilvl w:val="0"/>
          <w:numId w:val="1"/>
        </w:numPr>
        <w:spacing w:before="240"/>
        <w:ind w:left="357" w:hanging="357"/>
        <w:rPr>
          <w:rFonts w:ascii="Calibri" w:eastAsia="MS Mincho" w:hAnsi="Calibri" w:cs="Times New Roman"/>
        </w:rPr>
      </w:pPr>
      <w:r w:rsidRPr="006E6B70">
        <w:rPr>
          <w:rFonts w:ascii="Calibri" w:eastAsia="MS Mincho" w:hAnsi="Calibri" w:cs="Times New Roman"/>
        </w:rPr>
        <w:t>In patients who have received one prior therapy and have progressed multiple myeloma disease</w:t>
      </w:r>
      <w:r>
        <w:rPr>
          <w:rFonts w:ascii="Calibri" w:eastAsia="MS Mincho" w:hAnsi="Calibri" w:cs="Times New Roman"/>
        </w:rPr>
        <w:t xml:space="preserve"> (20 December 2007)</w:t>
      </w:r>
      <w:r w:rsidRPr="006E6B70">
        <w:rPr>
          <w:rFonts w:ascii="Calibri" w:eastAsia="MS Mincho" w:hAnsi="Calibri" w:cs="Times New Roman"/>
        </w:rPr>
        <w:t xml:space="preserve">. </w:t>
      </w:r>
      <w:proofErr w:type="spellStart"/>
      <w:r w:rsidRPr="006E6B70">
        <w:rPr>
          <w:rFonts w:ascii="Calibri" w:eastAsia="MS Mincho" w:hAnsi="Calibri" w:cs="Times New Roman"/>
        </w:rPr>
        <w:t>Lenalidomide</w:t>
      </w:r>
      <w:proofErr w:type="spellEnd"/>
      <w:r w:rsidRPr="006E6B70">
        <w:rPr>
          <w:rFonts w:ascii="Calibri" w:eastAsia="MS Mincho" w:hAnsi="Calibri" w:cs="Times New Roman"/>
        </w:rPr>
        <w:t xml:space="preserve"> is administered in combination with dexamethasone. Subsidised on the PBS</w:t>
      </w:r>
      <w:r w:rsidR="00072468">
        <w:rPr>
          <w:rFonts w:ascii="Calibri" w:eastAsia="MS Mincho" w:hAnsi="Calibri" w:cs="Times New Roman"/>
        </w:rPr>
        <w:t xml:space="preserve"> (</w:t>
      </w:r>
      <w:r>
        <w:rPr>
          <w:rFonts w:ascii="Calibri" w:eastAsia="MS Mincho" w:hAnsi="Calibri" w:cs="Times New Roman"/>
        </w:rPr>
        <w:t>25</w:t>
      </w:r>
      <w:r w:rsidR="003B67C0">
        <w:rPr>
          <w:rFonts w:ascii="Calibri" w:eastAsia="MS Mincho" w:hAnsi="Calibri" w:cs="Times New Roman"/>
        </w:rPr>
        <w:t> </w:t>
      </w:r>
      <w:r>
        <w:rPr>
          <w:rFonts w:ascii="Calibri" w:eastAsia="MS Mincho" w:hAnsi="Calibri" w:cs="Times New Roman"/>
        </w:rPr>
        <w:t>mg 9645P, 9644N; 15</w:t>
      </w:r>
      <w:r w:rsidR="003B67C0">
        <w:rPr>
          <w:rFonts w:ascii="Calibri" w:eastAsia="MS Mincho" w:hAnsi="Calibri" w:cs="Times New Roman"/>
        </w:rPr>
        <w:t> </w:t>
      </w:r>
      <w:r>
        <w:rPr>
          <w:rFonts w:ascii="Calibri" w:eastAsia="MS Mincho" w:hAnsi="Calibri" w:cs="Times New Roman"/>
        </w:rPr>
        <w:t>mg 5785L, 9644N; 10</w:t>
      </w:r>
      <w:r w:rsidR="003B67C0">
        <w:rPr>
          <w:rFonts w:ascii="Calibri" w:eastAsia="MS Mincho" w:hAnsi="Calibri" w:cs="Times New Roman"/>
        </w:rPr>
        <w:t> </w:t>
      </w:r>
      <w:r>
        <w:rPr>
          <w:rFonts w:ascii="Calibri" w:eastAsia="MS Mincho" w:hAnsi="Calibri" w:cs="Times New Roman"/>
        </w:rPr>
        <w:t xml:space="preserve">mg </w:t>
      </w:r>
      <w:r w:rsidRPr="006E6B70">
        <w:rPr>
          <w:rFonts w:ascii="Calibri" w:eastAsia="MS Mincho" w:hAnsi="Calibri" w:cs="Times New Roman"/>
        </w:rPr>
        <w:t>5784K, 9643M</w:t>
      </w:r>
      <w:r>
        <w:rPr>
          <w:rFonts w:ascii="Calibri" w:eastAsia="MS Mincho" w:hAnsi="Calibri" w:cs="Times New Roman"/>
        </w:rPr>
        <w:t>; 5</w:t>
      </w:r>
      <w:r w:rsidR="003B67C0">
        <w:rPr>
          <w:rFonts w:ascii="Calibri" w:eastAsia="MS Mincho" w:hAnsi="Calibri" w:cs="Times New Roman"/>
        </w:rPr>
        <w:t> </w:t>
      </w:r>
      <w:r>
        <w:rPr>
          <w:rFonts w:ascii="Calibri" w:eastAsia="MS Mincho" w:hAnsi="Calibri" w:cs="Times New Roman"/>
        </w:rPr>
        <w:t xml:space="preserve">mg </w:t>
      </w:r>
      <w:r w:rsidRPr="006E6B70">
        <w:rPr>
          <w:rFonts w:ascii="Calibri" w:eastAsia="MS Mincho" w:hAnsi="Calibri" w:cs="Times New Roman"/>
        </w:rPr>
        <w:t>5783J, 9642L</w:t>
      </w:r>
      <w:r>
        <w:rPr>
          <w:rFonts w:ascii="Calibri" w:eastAsia="MS Mincho" w:hAnsi="Calibri" w:cs="Times New Roman"/>
        </w:rPr>
        <w:t>)</w:t>
      </w:r>
      <w:r w:rsidRPr="006E6B70">
        <w:rPr>
          <w:rFonts w:ascii="Calibri" w:eastAsia="MS Mincho" w:hAnsi="Calibri" w:cs="Times New Roman"/>
        </w:rPr>
        <w:t>. The PBS restriction also specifies that patient</w:t>
      </w:r>
      <w:r>
        <w:rPr>
          <w:rFonts w:ascii="Calibri" w:eastAsia="MS Mincho" w:hAnsi="Calibri" w:cs="Times New Roman"/>
        </w:rPr>
        <w:t>s</w:t>
      </w:r>
      <w:r w:rsidRPr="006E6B70">
        <w:rPr>
          <w:rFonts w:ascii="Calibri" w:eastAsia="MS Mincho" w:hAnsi="Calibri" w:cs="Times New Roman"/>
        </w:rPr>
        <w:t xml:space="preserve"> are not eligible for stem cell transplant and treatment is discontinued in patients with progressive disease.</w:t>
      </w:r>
    </w:p>
    <w:p w:rsidR="00AF729E" w:rsidRPr="006E6B70" w:rsidRDefault="00333658" w:rsidP="005850B6">
      <w:pPr>
        <w:pStyle w:val="ListParagraph"/>
        <w:numPr>
          <w:ilvl w:val="0"/>
          <w:numId w:val="1"/>
        </w:numPr>
        <w:spacing w:before="240"/>
        <w:rPr>
          <w:rFonts w:ascii="Calibri" w:eastAsia="MS Mincho" w:hAnsi="Calibri" w:cs="Times New Roman"/>
        </w:rPr>
      </w:pPr>
      <w:r w:rsidRPr="006E6B70">
        <w:rPr>
          <w:rFonts w:ascii="Calibri" w:eastAsia="MS Mincho" w:hAnsi="Calibri" w:cs="Times New Roman"/>
        </w:rPr>
        <w:t>Patients with relapsed or refractory mantle cell lymphoma.</w:t>
      </w:r>
    </w:p>
    <w:p w:rsidR="00AF729E" w:rsidRPr="006E6B70" w:rsidRDefault="00333658" w:rsidP="005850B6">
      <w:pPr>
        <w:pStyle w:val="ListParagraph"/>
        <w:numPr>
          <w:ilvl w:val="0"/>
          <w:numId w:val="1"/>
        </w:numPr>
        <w:spacing w:before="240"/>
        <w:ind w:left="357" w:hanging="357"/>
        <w:rPr>
          <w:rFonts w:ascii="Calibri" w:eastAsia="MS Mincho" w:hAnsi="Calibri" w:cs="Times New Roman"/>
        </w:rPr>
      </w:pPr>
      <w:r w:rsidRPr="006E6B70">
        <w:rPr>
          <w:rFonts w:ascii="Calibri" w:eastAsia="MS Mincho" w:hAnsi="Calibri" w:cs="Times New Roman"/>
        </w:rPr>
        <w:t>Transfusion dependent anaemia due to low or intermediate-1 risk myelod</w:t>
      </w:r>
      <w:r>
        <w:rPr>
          <w:rFonts w:ascii="Calibri" w:eastAsia="MS Mincho" w:hAnsi="Calibri" w:cs="Times New Roman"/>
        </w:rPr>
        <w:t>y</w:t>
      </w:r>
      <w:r w:rsidRPr="006E6B70">
        <w:rPr>
          <w:rFonts w:ascii="Calibri" w:eastAsia="MS Mincho" w:hAnsi="Calibri" w:cs="Times New Roman"/>
        </w:rPr>
        <w:t>splastic syndrome associated with deletion 5q cytogenetic abnormality</w:t>
      </w:r>
      <w:r>
        <w:rPr>
          <w:rFonts w:ascii="Calibri" w:eastAsia="MS Mincho" w:hAnsi="Calibri" w:cs="Times New Roman"/>
        </w:rPr>
        <w:t xml:space="preserve"> (15 April 2010)</w:t>
      </w:r>
      <w:r w:rsidRPr="006E6B70">
        <w:rPr>
          <w:rFonts w:ascii="Calibri" w:eastAsia="MS Mincho" w:hAnsi="Calibri" w:cs="Times New Roman"/>
        </w:rPr>
        <w:t>.</w:t>
      </w:r>
    </w:p>
    <w:p w:rsidR="00AF729E" w:rsidRPr="00917DA6" w:rsidRDefault="00333658" w:rsidP="005850B6">
      <w:pPr>
        <w:spacing w:before="240"/>
        <w:rPr>
          <w:rFonts w:ascii="Calibri" w:eastAsia="MS Mincho" w:hAnsi="Calibri" w:cs="Times New Roman"/>
        </w:rPr>
      </w:pPr>
      <w:proofErr w:type="spellStart"/>
      <w:r>
        <w:rPr>
          <w:rFonts w:ascii="Calibri" w:eastAsia="MS Mincho" w:hAnsi="Calibri" w:cs="Times New Roman"/>
        </w:rPr>
        <w:t>Lenalidomide</w:t>
      </w:r>
      <w:proofErr w:type="spellEnd"/>
      <w:r>
        <w:rPr>
          <w:rFonts w:ascii="Calibri" w:eastAsia="MS Mincho" w:hAnsi="Calibri" w:cs="Times New Roman"/>
        </w:rPr>
        <w:t xml:space="preserve"> is a category X (high risk) poison. All patients, prescribers and dispensing pharmacists are required to be registered on </w:t>
      </w:r>
      <w:proofErr w:type="gramStart"/>
      <w:r>
        <w:rPr>
          <w:rFonts w:ascii="Calibri" w:eastAsia="MS Mincho" w:hAnsi="Calibri" w:cs="Times New Roman"/>
        </w:rPr>
        <w:t xml:space="preserve">the </w:t>
      </w:r>
      <w:proofErr w:type="spellStart"/>
      <w:r>
        <w:rPr>
          <w:rFonts w:ascii="Calibri" w:eastAsia="MS Mincho" w:hAnsi="Calibri" w:cs="Times New Roman"/>
        </w:rPr>
        <w:t>i</w:t>
      </w:r>
      <w:proofErr w:type="spellEnd"/>
      <w:proofErr w:type="gramEnd"/>
      <w:r>
        <w:rPr>
          <w:rFonts w:ascii="Calibri" w:eastAsia="MS Mincho" w:hAnsi="Calibri" w:cs="Times New Roman"/>
        </w:rPr>
        <w:t>-access® program provided by Celgene P</w:t>
      </w:r>
      <w:r w:rsidR="00590152">
        <w:rPr>
          <w:rFonts w:ascii="Calibri" w:eastAsia="MS Mincho" w:hAnsi="Calibri" w:cs="Times New Roman"/>
        </w:rPr>
        <w:t xml:space="preserve">ty </w:t>
      </w:r>
      <w:r>
        <w:rPr>
          <w:rFonts w:ascii="Calibri" w:eastAsia="MS Mincho" w:hAnsi="Calibri" w:cs="Times New Roman"/>
        </w:rPr>
        <w:t>L</w:t>
      </w:r>
      <w:r w:rsidR="00590152">
        <w:rPr>
          <w:rFonts w:ascii="Calibri" w:eastAsia="MS Mincho" w:hAnsi="Calibri" w:cs="Times New Roman"/>
        </w:rPr>
        <w:t>td</w:t>
      </w:r>
      <w:r>
        <w:rPr>
          <w:rFonts w:ascii="Calibri" w:eastAsia="MS Mincho" w:hAnsi="Calibri" w:cs="Times New Roman"/>
        </w:rPr>
        <w:t>.</w:t>
      </w:r>
    </w:p>
    <w:p w:rsidR="00AF729E" w:rsidRDefault="00333658" w:rsidP="00AF729E">
      <w:pPr>
        <w:spacing w:line="276" w:lineRule="auto"/>
        <w:rPr>
          <w:rFonts w:ascii="Calibri" w:eastAsia="MS Mincho" w:hAnsi="Calibri" w:cs="Times New Roman"/>
          <w:b/>
          <w:sz w:val="28"/>
        </w:rPr>
      </w:pPr>
      <w:r w:rsidRPr="00B87CD5">
        <w:rPr>
          <w:rFonts w:ascii="Calibri" w:eastAsia="MS Mincho" w:hAnsi="Calibri" w:cs="Times New Roman"/>
          <w:b/>
          <w:sz w:val="28"/>
        </w:rPr>
        <w:t>Dosage and administration</w:t>
      </w:r>
    </w:p>
    <w:p w:rsidR="00AF729E" w:rsidRDefault="00333658" w:rsidP="00AF729E">
      <w:pPr>
        <w:spacing w:before="240"/>
        <w:jc w:val="both"/>
        <w:rPr>
          <w:rFonts w:ascii="Calibri" w:eastAsia="MS Mincho" w:hAnsi="Calibri" w:cs="Times New Roman"/>
        </w:rPr>
      </w:pPr>
      <w:proofErr w:type="gramStart"/>
      <w:r>
        <w:rPr>
          <w:rFonts w:ascii="Calibri" w:eastAsia="MS Mincho" w:hAnsi="Calibri" w:cs="Times New Roman"/>
        </w:rPr>
        <w:t>10</w:t>
      </w:r>
      <w:r w:rsidR="003B67C0">
        <w:rPr>
          <w:rFonts w:ascii="Calibri" w:eastAsia="MS Mincho" w:hAnsi="Calibri" w:cs="Times New Roman"/>
        </w:rPr>
        <w:t> </w:t>
      </w:r>
      <w:r>
        <w:rPr>
          <w:rFonts w:ascii="Calibri" w:eastAsia="MS Mincho" w:hAnsi="Calibri" w:cs="Times New Roman"/>
        </w:rPr>
        <w:t>mg orally once daily on days 1 to 21 of a 28 day repeating cycle.</w:t>
      </w:r>
      <w:proofErr w:type="gramEnd"/>
    </w:p>
    <w:p w:rsidR="00AF729E" w:rsidRPr="001C3C4C" w:rsidRDefault="00333658" w:rsidP="005850B6">
      <w:pPr>
        <w:spacing w:before="240"/>
        <w:rPr>
          <w:rFonts w:ascii="Calibri" w:eastAsia="MS Mincho" w:hAnsi="Calibri" w:cs="Times New Roman"/>
        </w:rPr>
      </w:pPr>
      <w:r>
        <w:rPr>
          <w:rFonts w:ascii="Calibri" w:eastAsia="MS Mincho" w:hAnsi="Calibri" w:cs="Times New Roman"/>
        </w:rPr>
        <w:t>Treatment interruption and subsequent return to therapy at a lower dose are required for a range of commonly occurring grade 3 or 4 adverse events. These include neutropenia, thrombocytopenia (</w:t>
      </w:r>
      <w:proofErr w:type="spellStart"/>
      <w:r>
        <w:t>haematologic</w:t>
      </w:r>
      <w:proofErr w:type="spellEnd"/>
      <w:r>
        <w:t xml:space="preserve"> toxicity was </w:t>
      </w:r>
      <w:r>
        <w:rPr>
          <w:rFonts w:ascii="Calibri" w:eastAsia="MS Mincho" w:hAnsi="Calibri" w:cs="Times New Roman"/>
        </w:rPr>
        <w:t xml:space="preserve">reported in 80% patients in clinical trials) thromboembolism, abnormal liver function tests, tumour flare reaction, severe dermatological reactions. Dose reduction is required if renal function is reduced. </w:t>
      </w:r>
      <w:proofErr w:type="spellStart"/>
      <w:r>
        <w:rPr>
          <w:rFonts w:ascii="Calibri" w:eastAsia="MS Mincho" w:hAnsi="Calibri" w:cs="Times New Roman"/>
        </w:rPr>
        <w:t>Lenalidomide</w:t>
      </w:r>
      <w:proofErr w:type="spellEnd"/>
      <w:r>
        <w:rPr>
          <w:rFonts w:ascii="Calibri" w:eastAsia="MS Mincho" w:hAnsi="Calibri" w:cs="Times New Roman"/>
        </w:rPr>
        <w:t xml:space="preserve"> has been used in </w:t>
      </w:r>
      <w:r w:rsidR="009B71B4">
        <w:rPr>
          <w:rFonts w:ascii="Calibri" w:eastAsia="MS Mincho" w:hAnsi="Calibri" w:cs="Times New Roman"/>
        </w:rPr>
        <w:t xml:space="preserve">older </w:t>
      </w:r>
      <w:r>
        <w:rPr>
          <w:rFonts w:ascii="Calibri" w:eastAsia="MS Mincho" w:hAnsi="Calibri" w:cs="Times New Roman"/>
        </w:rPr>
        <w:t>patients in clinical trials.</w:t>
      </w:r>
    </w:p>
    <w:p w:rsidR="00AF729E" w:rsidRDefault="00333658" w:rsidP="00AF729E">
      <w:pPr>
        <w:spacing w:before="240"/>
        <w:outlineLvl w:val="1"/>
        <w:rPr>
          <w:rFonts w:ascii="Calibri" w:eastAsia="MS Mincho" w:hAnsi="Calibri" w:cs="Times New Roman"/>
          <w:b/>
          <w:sz w:val="28"/>
        </w:rPr>
      </w:pPr>
      <w:r w:rsidRPr="00B87CD5">
        <w:rPr>
          <w:rFonts w:ascii="Calibri" w:eastAsia="MS Mincho" w:hAnsi="Calibri" w:cs="Times New Roman"/>
          <w:b/>
          <w:sz w:val="28"/>
        </w:rPr>
        <w:t>Relevant aspects of consideration by the P</w:t>
      </w:r>
      <w:r>
        <w:rPr>
          <w:rFonts w:ascii="Calibri" w:eastAsia="MS Mincho" w:hAnsi="Calibri" w:cs="Times New Roman"/>
          <w:b/>
          <w:sz w:val="28"/>
        </w:rPr>
        <w:t>BAC</w:t>
      </w:r>
      <w:r w:rsidRPr="00B87CD5">
        <w:rPr>
          <w:rFonts w:ascii="Calibri" w:eastAsia="MS Mincho" w:hAnsi="Calibri" w:cs="Times New Roman"/>
          <w:b/>
          <w:sz w:val="28"/>
        </w:rPr>
        <w:t xml:space="preserve"> (abridged)</w:t>
      </w:r>
    </w:p>
    <w:p w:rsidR="00AF729E" w:rsidRPr="00701A4E" w:rsidRDefault="00333658" w:rsidP="00AF729E">
      <w:pPr>
        <w:rPr>
          <w:rFonts w:ascii="Calibri" w:eastAsia="MS Mincho" w:hAnsi="Calibri" w:cs="Times New Roman"/>
        </w:rPr>
      </w:pPr>
      <w:r>
        <w:rPr>
          <w:rFonts w:ascii="Calibri" w:eastAsia="MS Mincho" w:hAnsi="Calibri" w:cs="Times New Roman"/>
        </w:rPr>
        <w:t>The following details are extracted from the March 2013 PBAC Minutes, the Pre-PBAC Response from Celgene P</w:t>
      </w:r>
      <w:r w:rsidR="00590152">
        <w:rPr>
          <w:rFonts w:ascii="Calibri" w:eastAsia="MS Mincho" w:hAnsi="Calibri" w:cs="Times New Roman"/>
        </w:rPr>
        <w:t xml:space="preserve">ty </w:t>
      </w:r>
      <w:r>
        <w:rPr>
          <w:rFonts w:ascii="Calibri" w:eastAsia="MS Mincho" w:hAnsi="Calibri" w:cs="Times New Roman"/>
        </w:rPr>
        <w:t>L</w:t>
      </w:r>
      <w:r w:rsidR="00590152">
        <w:rPr>
          <w:rFonts w:ascii="Calibri" w:eastAsia="MS Mincho" w:hAnsi="Calibri" w:cs="Times New Roman"/>
        </w:rPr>
        <w:t>td</w:t>
      </w:r>
      <w:r>
        <w:rPr>
          <w:rFonts w:ascii="Calibri" w:eastAsia="MS Mincho" w:hAnsi="Calibri" w:cs="Times New Roman"/>
        </w:rPr>
        <w:t xml:space="preserve">, </w:t>
      </w:r>
      <w:r w:rsidR="00590152">
        <w:rPr>
          <w:rFonts w:ascii="Calibri" w:eastAsia="MS Mincho" w:hAnsi="Calibri" w:cs="Times New Roman"/>
        </w:rPr>
        <w:t>re</w:t>
      </w:r>
      <w:r>
        <w:rPr>
          <w:rFonts w:ascii="Calibri" w:eastAsia="MS Mincho" w:hAnsi="Calibri" w:cs="Times New Roman"/>
        </w:rPr>
        <w:t>-submission section E spreadsheet and main body.</w:t>
      </w:r>
    </w:p>
    <w:p w:rsidR="00AF729E" w:rsidRPr="00975F00" w:rsidRDefault="00333658" w:rsidP="00AF729E">
      <w:pPr>
        <w:rPr>
          <w:rFonts w:ascii="Calibri" w:eastAsia="MS Mincho" w:hAnsi="Calibri" w:cs="Times New Roman"/>
          <w:b/>
          <w:i/>
        </w:rPr>
      </w:pPr>
      <w:r w:rsidRPr="00975F00">
        <w:rPr>
          <w:rFonts w:ascii="Calibri" w:eastAsia="MS Mincho" w:hAnsi="Calibri" w:cs="Times New Roman"/>
          <w:b/>
          <w:i/>
        </w:rPr>
        <w:t>Comparative clinical effectiveness</w:t>
      </w:r>
    </w:p>
    <w:p w:rsidR="00AF729E" w:rsidRDefault="00333658" w:rsidP="00AF729E">
      <w:pPr>
        <w:rPr>
          <w:rFonts w:ascii="Calibri" w:eastAsia="MS Mincho" w:hAnsi="Calibri" w:cs="Times New Roman"/>
        </w:rPr>
      </w:pPr>
      <w:r>
        <w:rPr>
          <w:rFonts w:ascii="Calibri" w:eastAsia="MS Mincho" w:hAnsi="Calibri" w:cs="Times New Roman"/>
        </w:rPr>
        <w:t xml:space="preserve">The PBAC considered that </w:t>
      </w:r>
      <w:proofErr w:type="spellStart"/>
      <w:r>
        <w:rPr>
          <w:rFonts w:ascii="Calibri" w:eastAsia="MS Mincho" w:hAnsi="Calibri" w:cs="Times New Roman"/>
        </w:rPr>
        <w:t>lenalidomide</w:t>
      </w:r>
      <w:proofErr w:type="spellEnd"/>
      <w:r>
        <w:rPr>
          <w:rFonts w:ascii="Calibri" w:eastAsia="MS Mincho" w:hAnsi="Calibri" w:cs="Times New Roman"/>
        </w:rPr>
        <w:t xml:space="preserve"> treatment resulted in a statistically significant increase in transfusion independence in people with low risk or </w:t>
      </w:r>
      <w:r w:rsidR="00785847">
        <w:rPr>
          <w:rFonts w:ascii="Calibri" w:eastAsia="MS Mincho" w:hAnsi="Calibri" w:cs="Times New Roman"/>
        </w:rPr>
        <w:t>INT</w:t>
      </w:r>
      <w:r>
        <w:rPr>
          <w:rFonts w:ascii="Calibri" w:eastAsia="MS Mincho" w:hAnsi="Calibri" w:cs="Times New Roman"/>
        </w:rPr>
        <w:t xml:space="preserve">-1 </w:t>
      </w:r>
      <w:r w:rsidR="00590152">
        <w:rPr>
          <w:rFonts w:ascii="Calibri" w:eastAsia="MS Mincho" w:hAnsi="Calibri" w:cs="Times New Roman"/>
        </w:rPr>
        <w:t>MDS</w:t>
      </w:r>
      <w:r>
        <w:rPr>
          <w:rFonts w:ascii="Calibri" w:eastAsia="MS Mincho" w:hAnsi="Calibri" w:cs="Times New Roman"/>
        </w:rPr>
        <w:t xml:space="preserve"> after 6 months of treatment. These patients progressed to </w:t>
      </w:r>
      <w:r w:rsidR="00590152">
        <w:rPr>
          <w:rFonts w:ascii="Calibri" w:eastAsia="MS Mincho" w:hAnsi="Calibri" w:cs="Times New Roman"/>
        </w:rPr>
        <w:t>AML</w:t>
      </w:r>
      <w:r>
        <w:rPr>
          <w:rFonts w:ascii="Calibri" w:eastAsia="MS Mincho" w:hAnsi="Calibri" w:cs="Times New Roman"/>
        </w:rPr>
        <w:t xml:space="preserve"> at a slower rate. The trial results did not support increased overall survival but the PBAC considered an increase in overall survival was likely.</w:t>
      </w:r>
    </w:p>
    <w:p w:rsidR="00AF729E" w:rsidRDefault="00333658" w:rsidP="00AF729E">
      <w:pPr>
        <w:rPr>
          <w:rFonts w:ascii="Calibri" w:eastAsia="MS Mincho" w:hAnsi="Calibri" w:cs="Times New Roman"/>
        </w:rPr>
      </w:pPr>
      <w:r>
        <w:rPr>
          <w:rFonts w:ascii="Calibri" w:eastAsia="MS Mincho" w:hAnsi="Calibri" w:cs="Times New Roman"/>
        </w:rPr>
        <w:t xml:space="preserve">The main trial considered by the PBAC was a randomised phase 3 </w:t>
      </w:r>
      <w:proofErr w:type="gramStart"/>
      <w:r>
        <w:rPr>
          <w:rFonts w:ascii="Calibri" w:eastAsia="MS Mincho" w:hAnsi="Calibri" w:cs="Times New Roman"/>
        </w:rPr>
        <w:t>trial</w:t>
      </w:r>
      <w:proofErr w:type="gramEnd"/>
      <w:r>
        <w:rPr>
          <w:rFonts w:ascii="Calibri" w:eastAsia="MS Mincho" w:hAnsi="Calibri" w:cs="Times New Roman"/>
        </w:rPr>
        <w:t xml:space="preserve"> of 205 patients comparing </w:t>
      </w:r>
      <w:proofErr w:type="spellStart"/>
      <w:r>
        <w:rPr>
          <w:rFonts w:ascii="Calibri" w:eastAsia="MS Mincho" w:hAnsi="Calibri" w:cs="Times New Roman"/>
        </w:rPr>
        <w:t>lenalidomide</w:t>
      </w:r>
      <w:proofErr w:type="spellEnd"/>
      <w:r>
        <w:rPr>
          <w:rFonts w:ascii="Calibri" w:eastAsia="MS Mincho" w:hAnsi="Calibri" w:cs="Times New Roman"/>
        </w:rPr>
        <w:t xml:space="preserve"> to best supportive care. The primary outcome was the proportion of patients who had no transfusions of red blood cells in 6 months and an increase of haemoglobin of 1</w:t>
      </w:r>
      <w:r w:rsidR="00590152">
        <w:rPr>
          <w:rFonts w:ascii="Calibri" w:eastAsia="MS Mincho" w:hAnsi="Calibri" w:cs="Times New Roman"/>
        </w:rPr>
        <w:t> </w:t>
      </w:r>
      <w:r>
        <w:rPr>
          <w:rFonts w:ascii="Calibri" w:eastAsia="MS Mincho" w:hAnsi="Calibri" w:cs="Times New Roman"/>
        </w:rPr>
        <w:t>g/</w:t>
      </w:r>
      <w:proofErr w:type="spellStart"/>
      <w:r>
        <w:rPr>
          <w:rFonts w:ascii="Calibri" w:eastAsia="MS Mincho" w:hAnsi="Calibri" w:cs="Times New Roman"/>
        </w:rPr>
        <w:t>dL</w:t>
      </w:r>
      <w:proofErr w:type="spellEnd"/>
      <w:r>
        <w:rPr>
          <w:rFonts w:ascii="Calibri" w:eastAsia="MS Mincho" w:hAnsi="Calibri" w:cs="Times New Roman"/>
        </w:rPr>
        <w:t xml:space="preserve"> in 12 months. This was statistically significant for the </w:t>
      </w:r>
      <w:proofErr w:type="spellStart"/>
      <w:r>
        <w:rPr>
          <w:rFonts w:ascii="Calibri" w:eastAsia="MS Mincho" w:hAnsi="Calibri" w:cs="Times New Roman"/>
        </w:rPr>
        <w:t>lenalidomide</w:t>
      </w:r>
      <w:proofErr w:type="spellEnd"/>
      <w:r>
        <w:rPr>
          <w:rFonts w:ascii="Calibri" w:eastAsia="MS Mincho" w:hAnsi="Calibri" w:cs="Times New Roman"/>
        </w:rPr>
        <w:t xml:space="preserve"> arm (NNT: 2.0 95%CI 1.5, 3)</w:t>
      </w:r>
      <w:r w:rsidR="009B71B4">
        <w:rPr>
          <w:rFonts w:ascii="Calibri" w:eastAsia="MS Mincho" w:hAnsi="Calibri" w:cs="Times New Roman"/>
        </w:rPr>
        <w:t>.</w:t>
      </w:r>
    </w:p>
    <w:p w:rsidR="00AF729E" w:rsidRDefault="00333658" w:rsidP="00AF729E">
      <w:pPr>
        <w:rPr>
          <w:rFonts w:ascii="Calibri" w:eastAsia="MS Mincho" w:hAnsi="Calibri" w:cs="Times New Roman"/>
        </w:rPr>
      </w:pPr>
      <w:r>
        <w:rPr>
          <w:rFonts w:ascii="Calibri" w:eastAsia="MS Mincho" w:hAnsi="Calibri" w:cs="Times New Roman"/>
        </w:rPr>
        <w:t xml:space="preserve">The economic analysis relied on a secondary trial effect measure – transfusion independence for ≥ 56 days. This was considered clinical meaningful by the International </w:t>
      </w:r>
      <w:r>
        <w:rPr>
          <w:rFonts w:ascii="Calibri" w:eastAsia="MS Mincho" w:hAnsi="Calibri" w:cs="Times New Roman"/>
        </w:rPr>
        <w:lastRenderedPageBreak/>
        <w:t>Working Group for Myelodysplastic Syndrome (NNT 1.9; 95%CI 1.4, 2.7). This result was recorded after 8 weeks</w:t>
      </w:r>
      <w:r w:rsidR="00590152">
        <w:rPr>
          <w:rFonts w:ascii="Calibri" w:eastAsia="MS Mincho" w:hAnsi="Calibri" w:cs="Times New Roman"/>
        </w:rPr>
        <w:t>’</w:t>
      </w:r>
      <w:r>
        <w:rPr>
          <w:rFonts w:ascii="Calibri" w:eastAsia="MS Mincho" w:hAnsi="Calibri" w:cs="Times New Roman"/>
        </w:rPr>
        <w:t xml:space="preserve"> duration of the trial.</w:t>
      </w:r>
    </w:p>
    <w:p w:rsidR="00AF729E" w:rsidRDefault="00333658" w:rsidP="00AF729E">
      <w:pPr>
        <w:rPr>
          <w:rFonts w:ascii="Calibri" w:eastAsia="MS Mincho" w:hAnsi="Calibri" w:cs="Times New Roman"/>
        </w:rPr>
      </w:pPr>
      <w:r>
        <w:rPr>
          <w:rFonts w:ascii="Calibri" w:eastAsia="MS Mincho" w:hAnsi="Calibri" w:cs="Times New Roman"/>
        </w:rPr>
        <w:t xml:space="preserve">Overall survival and reduction in the time to transform </w:t>
      </w:r>
      <w:r w:rsidR="00590152">
        <w:rPr>
          <w:rFonts w:ascii="Calibri" w:eastAsia="MS Mincho" w:hAnsi="Calibri" w:cs="Times New Roman"/>
        </w:rPr>
        <w:t>MDS</w:t>
      </w:r>
      <w:r>
        <w:rPr>
          <w:rFonts w:ascii="Calibri" w:eastAsia="MS Mincho" w:hAnsi="Calibri" w:cs="Times New Roman"/>
        </w:rPr>
        <w:t xml:space="preserve"> to </w:t>
      </w:r>
      <w:r w:rsidR="00590152">
        <w:rPr>
          <w:rFonts w:ascii="Calibri" w:eastAsia="MS Mincho" w:hAnsi="Calibri" w:cs="Times New Roman"/>
        </w:rPr>
        <w:t>AML</w:t>
      </w:r>
      <w:r>
        <w:rPr>
          <w:rFonts w:ascii="Calibri" w:eastAsia="MS Mincho" w:hAnsi="Calibri" w:cs="Times New Roman"/>
        </w:rPr>
        <w:t xml:space="preserve"> was measured in a continuation phase of the original trial. Overall survival results could not be clearly attributed to treatment with </w:t>
      </w:r>
      <w:proofErr w:type="spellStart"/>
      <w:r>
        <w:rPr>
          <w:rFonts w:ascii="Calibri" w:eastAsia="MS Mincho" w:hAnsi="Calibri" w:cs="Times New Roman"/>
        </w:rPr>
        <w:t>lenalidomide</w:t>
      </w:r>
      <w:proofErr w:type="spellEnd"/>
      <w:r>
        <w:rPr>
          <w:rFonts w:ascii="Calibri" w:eastAsia="MS Mincho" w:hAnsi="Calibri" w:cs="Times New Roman"/>
        </w:rPr>
        <w:t xml:space="preserve"> as the study protocol allow</w:t>
      </w:r>
      <w:r w:rsidR="009B71B4">
        <w:rPr>
          <w:rFonts w:ascii="Calibri" w:eastAsia="MS Mincho" w:hAnsi="Calibri" w:cs="Times New Roman"/>
        </w:rPr>
        <w:t>ed</w:t>
      </w:r>
      <w:r>
        <w:rPr>
          <w:rFonts w:ascii="Calibri" w:eastAsia="MS Mincho" w:hAnsi="Calibri" w:cs="Times New Roman"/>
        </w:rPr>
        <w:t xml:space="preserve"> crossover</w:t>
      </w:r>
      <w:r w:rsidR="00590152">
        <w:rPr>
          <w:rFonts w:ascii="Calibri" w:eastAsia="MS Mincho" w:hAnsi="Calibri" w:cs="Times New Roman"/>
        </w:rPr>
        <w:t>;</w:t>
      </w:r>
      <w:r>
        <w:rPr>
          <w:rFonts w:ascii="Calibri" w:eastAsia="MS Mincho" w:hAnsi="Calibri" w:cs="Times New Roman"/>
        </w:rPr>
        <w:t xml:space="preserve"> i.e. study patients who did not receive </w:t>
      </w:r>
      <w:proofErr w:type="spellStart"/>
      <w:r>
        <w:rPr>
          <w:rFonts w:ascii="Calibri" w:eastAsia="MS Mincho" w:hAnsi="Calibri" w:cs="Times New Roman"/>
        </w:rPr>
        <w:t>lenalidomide</w:t>
      </w:r>
      <w:proofErr w:type="spellEnd"/>
      <w:r>
        <w:rPr>
          <w:rFonts w:ascii="Calibri" w:eastAsia="MS Mincho" w:hAnsi="Calibri" w:cs="Times New Roman"/>
        </w:rPr>
        <w:t xml:space="preserve"> in the initial allocation of treatments were able to cross over to the </w:t>
      </w:r>
      <w:proofErr w:type="spellStart"/>
      <w:r>
        <w:rPr>
          <w:rFonts w:ascii="Calibri" w:eastAsia="MS Mincho" w:hAnsi="Calibri" w:cs="Times New Roman"/>
        </w:rPr>
        <w:t>lenalidomide</w:t>
      </w:r>
      <w:proofErr w:type="spellEnd"/>
      <w:r>
        <w:rPr>
          <w:rFonts w:ascii="Calibri" w:eastAsia="MS Mincho" w:hAnsi="Calibri" w:cs="Times New Roman"/>
        </w:rPr>
        <w:t xml:space="preserve"> treatment arm after 16 weeks of treatment if they required a transfusion during the initial 16 weeks.</w:t>
      </w:r>
    </w:p>
    <w:p w:rsidR="00AF729E" w:rsidRDefault="00333658" w:rsidP="00AF729E">
      <w:pPr>
        <w:rPr>
          <w:rFonts w:ascii="Calibri" w:eastAsia="MS Mincho" w:hAnsi="Calibri" w:cs="Times New Roman"/>
        </w:rPr>
      </w:pPr>
      <w:r>
        <w:rPr>
          <w:rFonts w:ascii="Calibri" w:eastAsia="MS Mincho" w:hAnsi="Calibri" w:cs="Times New Roman"/>
        </w:rPr>
        <w:t>Quality of life was measured using the health related quality of life measure (</w:t>
      </w:r>
      <w:proofErr w:type="spellStart"/>
      <w:r>
        <w:rPr>
          <w:rFonts w:ascii="Calibri" w:eastAsia="MS Mincho" w:hAnsi="Calibri" w:cs="Times New Roman"/>
        </w:rPr>
        <w:t>HRQoL</w:t>
      </w:r>
      <w:proofErr w:type="spellEnd"/>
      <w:r>
        <w:rPr>
          <w:rFonts w:ascii="Calibri" w:eastAsia="MS Mincho" w:hAnsi="Calibri" w:cs="Times New Roman"/>
        </w:rPr>
        <w:t>). There was considerable loss to follow-up after the first measurement at 24 weeks making it difficult to draw conclusions about quality of life gains.</w:t>
      </w:r>
    </w:p>
    <w:p w:rsidR="00AF729E" w:rsidRPr="00975F00" w:rsidRDefault="00333658" w:rsidP="00AF729E">
      <w:pPr>
        <w:rPr>
          <w:rFonts w:ascii="Calibri" w:eastAsia="MS Mincho" w:hAnsi="Calibri" w:cs="Times New Roman"/>
          <w:b/>
          <w:i/>
        </w:rPr>
      </w:pPr>
      <w:r w:rsidRPr="00975F00">
        <w:rPr>
          <w:rFonts w:ascii="Calibri" w:eastAsia="MS Mincho" w:hAnsi="Calibri" w:cs="Times New Roman"/>
          <w:b/>
          <w:i/>
        </w:rPr>
        <w:t>Cost effectiveness</w:t>
      </w:r>
    </w:p>
    <w:p w:rsidR="00AF729E" w:rsidRDefault="00333658" w:rsidP="00AF729E">
      <w:pPr>
        <w:rPr>
          <w:rFonts w:ascii="Calibri" w:eastAsia="MS Mincho" w:hAnsi="Calibri" w:cs="Times New Roman"/>
        </w:rPr>
      </w:pPr>
      <w:r>
        <w:rPr>
          <w:rFonts w:ascii="Calibri" w:eastAsia="MS Mincho" w:hAnsi="Calibri" w:cs="Times New Roman"/>
        </w:rPr>
        <w:t xml:space="preserve">PBAC found that the decision </w:t>
      </w:r>
      <w:r w:rsidR="00072468">
        <w:rPr>
          <w:rFonts w:ascii="Calibri" w:eastAsia="MS Mincho" w:hAnsi="Calibri" w:cs="Times New Roman"/>
        </w:rPr>
        <w:t>analytic</w:t>
      </w:r>
      <w:r>
        <w:rPr>
          <w:rFonts w:ascii="Calibri" w:eastAsia="MS Mincho" w:hAnsi="Calibri" w:cs="Times New Roman"/>
        </w:rPr>
        <w:t xml:space="preserve"> model in the submission favoured </w:t>
      </w:r>
      <w:proofErr w:type="spellStart"/>
      <w:r>
        <w:rPr>
          <w:rFonts w:ascii="Calibri" w:eastAsia="MS Mincho" w:hAnsi="Calibri" w:cs="Times New Roman"/>
        </w:rPr>
        <w:t>lenalidomide</w:t>
      </w:r>
      <w:proofErr w:type="spellEnd"/>
      <w:r>
        <w:rPr>
          <w:rFonts w:ascii="Calibri" w:eastAsia="MS Mincho" w:hAnsi="Calibri" w:cs="Times New Roman"/>
        </w:rPr>
        <w:t>. The key inputs to the model were</w:t>
      </w:r>
      <w:r w:rsidR="009D3E82">
        <w:rPr>
          <w:rFonts w:ascii="Calibri" w:eastAsia="MS Mincho" w:hAnsi="Calibri" w:cs="Times New Roman"/>
        </w:rPr>
        <w:t>:</w:t>
      </w:r>
    </w:p>
    <w:p w:rsidR="00AF729E" w:rsidRPr="00651E35" w:rsidRDefault="00333658" w:rsidP="005E58FD">
      <w:pPr>
        <w:pStyle w:val="ListParagraph"/>
        <w:numPr>
          <w:ilvl w:val="0"/>
          <w:numId w:val="11"/>
        </w:numPr>
        <w:rPr>
          <w:rFonts w:ascii="Calibri" w:eastAsia="MS Mincho" w:hAnsi="Calibri" w:cs="Times New Roman"/>
        </w:rPr>
      </w:pPr>
      <w:r w:rsidRPr="00651E35">
        <w:rPr>
          <w:rFonts w:ascii="Calibri" w:eastAsia="MS Mincho" w:hAnsi="Calibri" w:cs="Times New Roman"/>
        </w:rPr>
        <w:t>Proportion of people achieving transfusion</w:t>
      </w:r>
      <w:r w:rsidR="00CD29FD">
        <w:rPr>
          <w:rFonts w:ascii="Calibri" w:eastAsia="MS Mincho" w:hAnsi="Calibri" w:cs="Times New Roman"/>
        </w:rPr>
        <w:t xml:space="preserve"> i</w:t>
      </w:r>
      <w:r>
        <w:rPr>
          <w:rFonts w:ascii="Calibri" w:eastAsia="MS Mincho" w:hAnsi="Calibri" w:cs="Times New Roman"/>
        </w:rPr>
        <w:t>ndependence ≥ 56 days.</w:t>
      </w:r>
    </w:p>
    <w:p w:rsidR="00AF729E" w:rsidRDefault="00333658" w:rsidP="005E58FD">
      <w:pPr>
        <w:pStyle w:val="ListParagraph"/>
        <w:numPr>
          <w:ilvl w:val="0"/>
          <w:numId w:val="11"/>
        </w:numPr>
        <w:rPr>
          <w:rFonts w:ascii="Calibri" w:eastAsia="MS Mincho" w:hAnsi="Calibri" w:cs="Times New Roman"/>
        </w:rPr>
      </w:pPr>
      <w:r w:rsidRPr="00651E35">
        <w:rPr>
          <w:rFonts w:ascii="Calibri" w:eastAsia="MS Mincho" w:hAnsi="Calibri" w:cs="Times New Roman"/>
        </w:rPr>
        <w:t xml:space="preserve">Cost of </w:t>
      </w:r>
      <w:proofErr w:type="spellStart"/>
      <w:r w:rsidRPr="00651E35">
        <w:rPr>
          <w:rFonts w:ascii="Calibri" w:eastAsia="MS Mincho" w:hAnsi="Calibri" w:cs="Times New Roman"/>
        </w:rPr>
        <w:t>lenalidomide</w:t>
      </w:r>
      <w:proofErr w:type="spellEnd"/>
      <w:r>
        <w:rPr>
          <w:rFonts w:ascii="Calibri" w:eastAsia="MS Mincho" w:hAnsi="Calibri" w:cs="Times New Roman"/>
        </w:rPr>
        <w:t xml:space="preserve"> compared to current best supportive care</w:t>
      </w:r>
      <w:r w:rsidRPr="00651E35">
        <w:rPr>
          <w:rFonts w:ascii="Calibri" w:eastAsia="MS Mincho" w:hAnsi="Calibri" w:cs="Times New Roman"/>
        </w:rPr>
        <w:t xml:space="preserve">. </w:t>
      </w:r>
    </w:p>
    <w:p w:rsidR="00AF729E" w:rsidRPr="00E775DF" w:rsidRDefault="00333658" w:rsidP="00AF729E">
      <w:pPr>
        <w:rPr>
          <w:rFonts w:ascii="Calibri" w:eastAsia="MS Mincho" w:hAnsi="Calibri" w:cs="Times New Roman"/>
        </w:rPr>
      </w:pPr>
      <w:r w:rsidRPr="00E775DF">
        <w:rPr>
          <w:rFonts w:ascii="Calibri" w:eastAsia="MS Mincho" w:hAnsi="Calibri" w:cs="Times New Roman"/>
        </w:rPr>
        <w:t xml:space="preserve">The PBAC </w:t>
      </w:r>
      <w:r w:rsidR="009D3E82">
        <w:rPr>
          <w:rFonts w:ascii="Calibri" w:eastAsia="MS Mincho" w:hAnsi="Calibri" w:cs="Times New Roman"/>
        </w:rPr>
        <w:t xml:space="preserve">recommended </w:t>
      </w:r>
      <w:proofErr w:type="spellStart"/>
      <w:r w:rsidR="009D3E82">
        <w:rPr>
          <w:rFonts w:ascii="Calibri" w:eastAsia="MS Mincho" w:hAnsi="Calibri" w:cs="Times New Roman"/>
        </w:rPr>
        <w:t>lenalidomide</w:t>
      </w:r>
      <w:proofErr w:type="spellEnd"/>
      <w:r w:rsidR="009D3E82">
        <w:rPr>
          <w:rFonts w:ascii="Calibri" w:eastAsia="MS Mincho" w:hAnsi="Calibri" w:cs="Times New Roman"/>
        </w:rPr>
        <w:t xml:space="preserve"> </w:t>
      </w:r>
      <w:r w:rsidRPr="00E775DF">
        <w:rPr>
          <w:rFonts w:ascii="Calibri" w:eastAsia="MS Mincho" w:hAnsi="Calibri" w:cs="Times New Roman"/>
        </w:rPr>
        <w:t xml:space="preserve">on the basis of the proposed reduction in the cost of treatment which reduced the ICER/QALY to </w:t>
      </w:r>
      <w:proofErr w:type="gramStart"/>
      <w:r w:rsidR="000D3E34" w:rsidRPr="0080375F">
        <w:rPr>
          <w:rFonts w:ascii="Calibri" w:eastAsia="MS Mincho" w:hAnsi="Calibri" w:cs="Times New Roman"/>
        </w:rPr>
        <w:t>between $15,000 - $45,000 per QALY</w:t>
      </w:r>
      <w:proofErr w:type="gramEnd"/>
      <w:r w:rsidR="000D3E34" w:rsidRPr="0080375F">
        <w:rPr>
          <w:rFonts w:ascii="Calibri" w:eastAsia="MS Mincho" w:hAnsi="Calibri" w:cs="Times New Roman"/>
        </w:rPr>
        <w:t xml:space="preserve"> gained</w:t>
      </w:r>
      <w:r w:rsidR="000D3E34">
        <w:rPr>
          <w:rFonts w:ascii="Calibri" w:eastAsia="MS Mincho" w:hAnsi="Calibri" w:cs="Times New Roman"/>
        </w:rPr>
        <w:t>.</w:t>
      </w:r>
    </w:p>
    <w:p w:rsidR="00AF729E" w:rsidRDefault="00333658" w:rsidP="00AF729E">
      <w:pPr>
        <w:rPr>
          <w:rFonts w:ascii="Calibri" w:eastAsia="MS Mincho" w:hAnsi="Calibri" w:cs="Times New Roman"/>
        </w:rPr>
      </w:pPr>
      <w:r>
        <w:rPr>
          <w:rFonts w:ascii="Calibri" w:eastAsia="MS Mincho" w:hAnsi="Calibri" w:cs="Times New Roman"/>
        </w:rPr>
        <w:t>The key uncertainties that remained were</w:t>
      </w:r>
      <w:r w:rsidR="009D3E82">
        <w:rPr>
          <w:rFonts w:ascii="Calibri" w:eastAsia="MS Mincho" w:hAnsi="Calibri" w:cs="Times New Roman"/>
        </w:rPr>
        <w:t>:</w:t>
      </w:r>
    </w:p>
    <w:p w:rsidR="00AF729E" w:rsidRPr="005B1D3B" w:rsidRDefault="006F44D0" w:rsidP="005E58FD">
      <w:pPr>
        <w:pStyle w:val="ListParagraph"/>
        <w:numPr>
          <w:ilvl w:val="0"/>
          <w:numId w:val="12"/>
        </w:numPr>
        <w:rPr>
          <w:rFonts w:ascii="Calibri" w:eastAsia="MS Mincho" w:hAnsi="Calibri" w:cs="Times New Roman"/>
        </w:rPr>
      </w:pPr>
      <w:r>
        <w:rPr>
          <w:rFonts w:ascii="Calibri" w:eastAsia="MS Mincho" w:hAnsi="Calibri" w:cs="Times New Roman"/>
        </w:rPr>
        <w:t>T</w:t>
      </w:r>
      <w:r w:rsidR="00333658" w:rsidRPr="005B1D3B">
        <w:rPr>
          <w:rFonts w:ascii="Calibri" w:eastAsia="MS Mincho" w:hAnsi="Calibri" w:cs="Times New Roman"/>
        </w:rPr>
        <w:t xml:space="preserve">he source of utility measures. The </w:t>
      </w:r>
      <w:r w:rsidR="00072468" w:rsidRPr="005B1D3B">
        <w:rPr>
          <w:rFonts w:ascii="Calibri" w:eastAsia="MS Mincho" w:hAnsi="Calibri" w:cs="Times New Roman"/>
        </w:rPr>
        <w:t>base case</w:t>
      </w:r>
      <w:r w:rsidR="00333658" w:rsidRPr="005B1D3B">
        <w:rPr>
          <w:rFonts w:ascii="Calibri" w:eastAsia="MS Mincho" w:hAnsi="Calibri" w:cs="Times New Roman"/>
        </w:rPr>
        <w:t xml:space="preserve"> used utilities sourced from </w:t>
      </w:r>
      <w:proofErr w:type="spellStart"/>
      <w:r w:rsidR="00333658" w:rsidRPr="005B1D3B">
        <w:rPr>
          <w:rFonts w:ascii="Calibri" w:eastAsia="MS Mincho" w:hAnsi="Calibri" w:cs="Times New Roman"/>
        </w:rPr>
        <w:t>Szende</w:t>
      </w:r>
      <w:proofErr w:type="spellEnd"/>
      <w:r w:rsidR="004D27A7">
        <w:rPr>
          <w:rFonts w:ascii="Calibri" w:eastAsia="MS Mincho" w:hAnsi="Calibri" w:cs="Times New Roman"/>
        </w:rPr>
        <w:t xml:space="preserve"> et al (2010)</w:t>
      </w:r>
      <w:r w:rsidR="00333658" w:rsidRPr="005B1D3B">
        <w:rPr>
          <w:rFonts w:ascii="Calibri" w:eastAsia="MS Mincho" w:hAnsi="Calibri" w:cs="Times New Roman"/>
        </w:rPr>
        <w:t xml:space="preserve"> which the ESC considered favoured </w:t>
      </w:r>
      <w:proofErr w:type="spellStart"/>
      <w:r w:rsidR="00333658" w:rsidRPr="005B1D3B">
        <w:rPr>
          <w:rFonts w:ascii="Calibri" w:eastAsia="MS Mincho" w:hAnsi="Calibri" w:cs="Times New Roman"/>
        </w:rPr>
        <w:t>lenalidomide</w:t>
      </w:r>
      <w:proofErr w:type="spellEnd"/>
      <w:r w:rsidR="00333658" w:rsidRPr="005B1D3B">
        <w:rPr>
          <w:rFonts w:ascii="Calibri" w:eastAsia="MS Mincho" w:hAnsi="Calibri" w:cs="Times New Roman"/>
        </w:rPr>
        <w:t>. An alternative source of utilities, Buckstein, resulted in an ICER of $44,000 per QALY gained. The PBAC accepted that this could not be further resolved.</w:t>
      </w:r>
    </w:p>
    <w:p w:rsidR="00AF729E" w:rsidRPr="005B1D3B" w:rsidRDefault="006F44D0" w:rsidP="005E58FD">
      <w:pPr>
        <w:pStyle w:val="ListParagraph"/>
        <w:numPr>
          <w:ilvl w:val="0"/>
          <w:numId w:val="12"/>
        </w:numPr>
        <w:rPr>
          <w:rFonts w:ascii="Calibri" w:eastAsia="MS Mincho" w:hAnsi="Calibri" w:cs="Times New Roman"/>
        </w:rPr>
      </w:pPr>
      <w:r>
        <w:rPr>
          <w:rFonts w:ascii="Calibri" w:eastAsia="MS Mincho" w:hAnsi="Calibri" w:cs="Times New Roman"/>
        </w:rPr>
        <w:t>T</w:t>
      </w:r>
      <w:r w:rsidR="00333658" w:rsidRPr="005B1D3B">
        <w:rPr>
          <w:rFonts w:ascii="Calibri" w:eastAsia="MS Mincho" w:hAnsi="Calibri" w:cs="Times New Roman"/>
        </w:rPr>
        <w:t>he proportion of 5</w:t>
      </w:r>
      <w:r w:rsidR="00A1356F">
        <w:rPr>
          <w:rFonts w:ascii="Calibri" w:eastAsia="MS Mincho" w:hAnsi="Calibri" w:cs="Times New Roman"/>
        </w:rPr>
        <w:t> </w:t>
      </w:r>
      <w:r w:rsidR="00333658" w:rsidRPr="005B1D3B">
        <w:rPr>
          <w:rFonts w:ascii="Calibri" w:eastAsia="MS Mincho" w:hAnsi="Calibri" w:cs="Times New Roman"/>
        </w:rPr>
        <w:t>mg and 10</w:t>
      </w:r>
      <w:r w:rsidR="00A1356F">
        <w:rPr>
          <w:rFonts w:ascii="Calibri" w:eastAsia="MS Mincho" w:hAnsi="Calibri" w:cs="Times New Roman"/>
        </w:rPr>
        <w:t> </w:t>
      </w:r>
      <w:r w:rsidR="00333658" w:rsidRPr="005B1D3B">
        <w:rPr>
          <w:rFonts w:ascii="Calibri" w:eastAsia="MS Mincho" w:hAnsi="Calibri" w:cs="Times New Roman"/>
        </w:rPr>
        <w:t xml:space="preserve">mg doses used in the model. The health economic model and </w:t>
      </w:r>
      <w:r w:rsidR="004D27A7">
        <w:rPr>
          <w:rFonts w:ascii="Calibri" w:eastAsia="MS Mincho" w:hAnsi="Calibri" w:cs="Times New Roman"/>
        </w:rPr>
        <w:t xml:space="preserve">the financial </w:t>
      </w:r>
      <w:r w:rsidR="00333658" w:rsidRPr="005B1D3B">
        <w:rPr>
          <w:rFonts w:ascii="Calibri" w:eastAsia="MS Mincho" w:hAnsi="Calibri" w:cs="Times New Roman"/>
        </w:rPr>
        <w:t xml:space="preserve">estimates assumed each patient received </w:t>
      </w:r>
      <w:r w:rsidR="00624706">
        <w:rPr>
          <w:rFonts w:ascii="Calibri" w:eastAsia="MS Mincho" w:hAnsi="Calibri" w:cs="Times New Roman"/>
          <w:noProof/>
          <w:color w:val="000000"/>
          <w:highlight w:val="black"/>
        </w:rPr>
        <w:t>'''''''''</w:t>
      </w:r>
      <w:r w:rsidR="00333658" w:rsidRPr="005B1D3B">
        <w:rPr>
          <w:rFonts w:ascii="Calibri" w:eastAsia="MS Mincho" w:hAnsi="Calibri" w:cs="Times New Roman"/>
        </w:rPr>
        <w:t>% 5</w:t>
      </w:r>
      <w:r w:rsidR="003B67C0">
        <w:rPr>
          <w:rFonts w:ascii="Calibri" w:eastAsia="MS Mincho" w:hAnsi="Calibri" w:cs="Times New Roman"/>
        </w:rPr>
        <w:t> </w:t>
      </w:r>
      <w:r w:rsidR="00333658" w:rsidRPr="005B1D3B">
        <w:rPr>
          <w:rFonts w:ascii="Calibri" w:eastAsia="MS Mincho" w:hAnsi="Calibri" w:cs="Times New Roman"/>
        </w:rPr>
        <w:t xml:space="preserve">mg capsules and </w:t>
      </w:r>
      <w:r w:rsidR="00624706">
        <w:rPr>
          <w:rFonts w:ascii="Calibri" w:eastAsia="MS Mincho" w:hAnsi="Calibri" w:cs="Times New Roman"/>
          <w:noProof/>
          <w:color w:val="000000"/>
          <w:highlight w:val="black"/>
        </w:rPr>
        <w:t>'''''''''</w:t>
      </w:r>
      <w:r w:rsidR="00333658" w:rsidRPr="005B1D3B">
        <w:rPr>
          <w:rFonts w:ascii="Calibri" w:eastAsia="MS Mincho" w:hAnsi="Calibri" w:cs="Times New Roman"/>
        </w:rPr>
        <w:t>% 10</w:t>
      </w:r>
      <w:r w:rsidR="00A1356F">
        <w:rPr>
          <w:rFonts w:ascii="Calibri" w:eastAsia="MS Mincho" w:hAnsi="Calibri" w:cs="Times New Roman"/>
        </w:rPr>
        <w:t> </w:t>
      </w:r>
      <w:r w:rsidR="00333658" w:rsidRPr="005B1D3B">
        <w:rPr>
          <w:rFonts w:ascii="Calibri" w:eastAsia="MS Mincho" w:hAnsi="Calibri" w:cs="Times New Roman"/>
        </w:rPr>
        <w:t xml:space="preserve">mg capsules over the course of treatment. </w:t>
      </w:r>
    </w:p>
    <w:p w:rsidR="00AF729E" w:rsidRPr="005B1D3B" w:rsidRDefault="006F44D0" w:rsidP="005E58FD">
      <w:pPr>
        <w:pStyle w:val="ListParagraph"/>
        <w:numPr>
          <w:ilvl w:val="0"/>
          <w:numId w:val="12"/>
        </w:numPr>
        <w:rPr>
          <w:rFonts w:ascii="Calibri" w:eastAsia="MS Mincho" w:hAnsi="Calibri" w:cs="Times New Roman"/>
        </w:rPr>
      </w:pPr>
      <w:r>
        <w:rPr>
          <w:rFonts w:ascii="Calibri" w:eastAsia="MS Mincho" w:hAnsi="Calibri" w:cs="Times New Roman"/>
        </w:rPr>
        <w:t>T</w:t>
      </w:r>
      <w:r w:rsidR="00333658" w:rsidRPr="005B1D3B">
        <w:rPr>
          <w:rFonts w:ascii="Calibri" w:eastAsia="MS Mincho" w:hAnsi="Calibri" w:cs="Times New Roman"/>
        </w:rPr>
        <w:t xml:space="preserve">he duration of treatment per patient. The </w:t>
      </w:r>
      <w:r w:rsidR="00072468" w:rsidRPr="005B1D3B">
        <w:rPr>
          <w:rFonts w:ascii="Calibri" w:eastAsia="MS Mincho" w:hAnsi="Calibri" w:cs="Times New Roman"/>
        </w:rPr>
        <w:t>base case</w:t>
      </w:r>
      <w:r w:rsidR="00333658" w:rsidRPr="005B1D3B">
        <w:rPr>
          <w:rFonts w:ascii="Calibri" w:eastAsia="MS Mincho" w:hAnsi="Calibri" w:cs="Times New Roman"/>
        </w:rPr>
        <w:t xml:space="preserve"> model used </w:t>
      </w:r>
      <w:r w:rsidR="00624706">
        <w:rPr>
          <w:rFonts w:ascii="Calibri" w:eastAsia="MS Mincho" w:hAnsi="Calibri" w:cs="Times New Roman"/>
          <w:noProof/>
          <w:color w:val="000000"/>
          <w:highlight w:val="black"/>
        </w:rPr>
        <w:t>'''''''''</w:t>
      </w:r>
      <w:r w:rsidR="00333658" w:rsidRPr="005B1D3B">
        <w:rPr>
          <w:rFonts w:ascii="Calibri" w:eastAsia="MS Mincho" w:hAnsi="Calibri" w:cs="Times New Roman"/>
        </w:rPr>
        <w:t xml:space="preserve"> cycles per patient.</w:t>
      </w:r>
    </w:p>
    <w:p w:rsidR="00AF729E" w:rsidRPr="005B1D3B" w:rsidRDefault="00333658" w:rsidP="005E58FD">
      <w:pPr>
        <w:pStyle w:val="ListParagraph"/>
        <w:numPr>
          <w:ilvl w:val="0"/>
          <w:numId w:val="12"/>
        </w:numPr>
        <w:rPr>
          <w:rFonts w:ascii="Calibri" w:eastAsia="MS Mincho" w:hAnsi="Calibri" w:cs="Times New Roman"/>
        </w:rPr>
      </w:pPr>
      <w:r w:rsidRPr="005B1D3B">
        <w:rPr>
          <w:rFonts w:ascii="Calibri" w:eastAsia="MS Mincho" w:hAnsi="Calibri" w:cs="Times New Roman"/>
        </w:rPr>
        <w:t xml:space="preserve">Risk of continuation in patients with minor erythroid response to </w:t>
      </w:r>
      <w:proofErr w:type="spellStart"/>
      <w:r w:rsidRPr="005B1D3B">
        <w:rPr>
          <w:rFonts w:ascii="Calibri" w:eastAsia="MS Mincho" w:hAnsi="Calibri" w:cs="Times New Roman"/>
        </w:rPr>
        <w:t>lenalidomide</w:t>
      </w:r>
      <w:proofErr w:type="spellEnd"/>
    </w:p>
    <w:p w:rsidR="00AF729E" w:rsidRPr="005B1D3B" w:rsidRDefault="00333658" w:rsidP="00AF729E">
      <w:pPr>
        <w:rPr>
          <w:rFonts w:ascii="Calibri" w:eastAsia="MS Mincho" w:hAnsi="Calibri" w:cs="Times New Roman"/>
        </w:rPr>
      </w:pPr>
      <w:r w:rsidRPr="00B87CD5">
        <w:rPr>
          <w:rFonts w:ascii="Calibri" w:eastAsia="MS Mincho" w:hAnsi="Calibri" w:cs="Times New Roman"/>
        </w:rPr>
        <w:t xml:space="preserve">For further details refer to the </w:t>
      </w:r>
      <w:r w:rsidR="000F3391" w:rsidRPr="00624706">
        <w:rPr>
          <w:rFonts w:ascii="Calibri" w:eastAsia="MS Mincho" w:hAnsi="Calibri" w:cs="Times New Roman"/>
        </w:rPr>
        <w:t>March 2013 PBAC Public Summary Document</w:t>
      </w:r>
      <w:r w:rsidR="000F3391">
        <w:rPr>
          <w:rFonts w:ascii="Calibri" w:eastAsia="MS Mincho" w:hAnsi="Calibri" w:cs="Times New Roman"/>
        </w:rPr>
        <w:t xml:space="preserve">. </w:t>
      </w:r>
    </w:p>
    <w:p w:rsidR="00AF729E" w:rsidRPr="00B87CD5" w:rsidRDefault="00333658" w:rsidP="00AF729E">
      <w:pPr>
        <w:spacing w:before="240"/>
        <w:outlineLvl w:val="1"/>
        <w:rPr>
          <w:rFonts w:ascii="Calibri" w:eastAsia="MS Mincho" w:hAnsi="Calibri" w:cs="Times New Roman"/>
          <w:b/>
          <w:sz w:val="28"/>
        </w:rPr>
      </w:pPr>
      <w:r w:rsidRPr="00B87CD5">
        <w:rPr>
          <w:rFonts w:ascii="Calibri" w:eastAsia="MS Mincho" w:hAnsi="Calibri" w:cs="Times New Roman"/>
          <w:b/>
          <w:sz w:val="28"/>
        </w:rPr>
        <w:t>Approach taken to estimate utilisation</w:t>
      </w:r>
    </w:p>
    <w:p w:rsidR="00AF729E" w:rsidRDefault="00857F6A" w:rsidP="00AF729E">
      <w:pPr>
        <w:widowControl w:val="0"/>
        <w:spacing w:after="240"/>
        <w:contextualSpacing/>
        <w:rPr>
          <w:rFonts w:ascii="Calibri" w:eastAsia="MS Mincho" w:hAnsi="Calibri" w:cs="Times New Roman"/>
        </w:rPr>
      </w:pPr>
      <w:r>
        <w:rPr>
          <w:rFonts w:ascii="Calibri" w:eastAsia="MS Mincho" w:hAnsi="Calibri" w:cs="Times New Roman"/>
        </w:rPr>
        <w:t>Following is a s</w:t>
      </w:r>
      <w:r w:rsidR="00333658">
        <w:rPr>
          <w:rFonts w:ascii="Calibri" w:eastAsia="MS Mincho" w:hAnsi="Calibri" w:cs="Times New Roman"/>
        </w:rPr>
        <w:t xml:space="preserve">ummary of key assumptions </w:t>
      </w:r>
      <w:r>
        <w:rPr>
          <w:rFonts w:ascii="Calibri" w:eastAsia="MS Mincho" w:hAnsi="Calibri" w:cs="Times New Roman"/>
        </w:rPr>
        <w:t xml:space="preserve">that were used </w:t>
      </w:r>
      <w:r w:rsidR="00333658">
        <w:rPr>
          <w:rFonts w:ascii="Calibri" w:eastAsia="MS Mincho" w:hAnsi="Calibri" w:cs="Times New Roman"/>
        </w:rPr>
        <w:t>in the submission</w:t>
      </w:r>
      <w:r>
        <w:rPr>
          <w:rFonts w:ascii="Calibri" w:eastAsia="MS Mincho" w:hAnsi="Calibri" w:cs="Times New Roman"/>
        </w:rPr>
        <w:t>’s</w:t>
      </w:r>
      <w:r w:rsidR="00333658">
        <w:rPr>
          <w:rFonts w:ascii="Calibri" w:eastAsia="MS Mincho" w:hAnsi="Calibri" w:cs="Times New Roman"/>
        </w:rPr>
        <w:t xml:space="preserve"> </w:t>
      </w:r>
      <w:r>
        <w:rPr>
          <w:rFonts w:ascii="Calibri" w:eastAsia="MS Mincho" w:hAnsi="Calibri" w:cs="Times New Roman"/>
        </w:rPr>
        <w:t>financial estimates</w:t>
      </w:r>
      <w:r w:rsidR="00333658">
        <w:rPr>
          <w:rFonts w:ascii="Calibri" w:eastAsia="MS Mincho" w:hAnsi="Calibri" w:cs="Times New Roman"/>
        </w:rPr>
        <w:t xml:space="preserve"> (March 2013 PBAC)</w:t>
      </w:r>
      <w:r>
        <w:rPr>
          <w:rFonts w:ascii="Calibri" w:eastAsia="MS Mincho" w:hAnsi="Calibri" w:cs="Times New Roman"/>
        </w:rPr>
        <w:t>.</w:t>
      </w:r>
    </w:p>
    <w:p w:rsidR="00AF729E" w:rsidRDefault="00AF729E" w:rsidP="00AF729E">
      <w:pPr>
        <w:widowControl w:val="0"/>
        <w:spacing w:after="240"/>
        <w:contextualSpacing/>
        <w:rPr>
          <w:rFonts w:ascii="Calibri" w:eastAsia="MS Mincho" w:hAnsi="Calibri" w:cs="Times New Roman"/>
        </w:rPr>
      </w:pPr>
    </w:p>
    <w:p w:rsidR="00AF729E" w:rsidRDefault="00333658" w:rsidP="00AF729E">
      <w:pPr>
        <w:widowControl w:val="0"/>
        <w:spacing w:after="240"/>
        <w:contextualSpacing/>
        <w:rPr>
          <w:rFonts w:ascii="Calibri" w:eastAsia="MS Mincho" w:hAnsi="Calibri" w:cs="Times New Roman"/>
        </w:rPr>
      </w:pPr>
      <w:r>
        <w:rPr>
          <w:rFonts w:ascii="Calibri" w:eastAsia="MS Mincho" w:hAnsi="Calibri" w:cs="Times New Roman"/>
        </w:rPr>
        <w:t>Incidence rate for MDS</w:t>
      </w:r>
      <w:r w:rsidRPr="00395285">
        <w:rPr>
          <w:rFonts w:ascii="Calibri" w:eastAsia="MS Mincho" w:hAnsi="Calibri" w:cs="Times New Roman"/>
        </w:rPr>
        <w:t xml:space="preserve"> w</w:t>
      </w:r>
      <w:r>
        <w:rPr>
          <w:rFonts w:ascii="Calibri" w:eastAsia="MS Mincho" w:hAnsi="Calibri" w:cs="Times New Roman"/>
        </w:rPr>
        <w:t>as</w:t>
      </w:r>
      <w:r w:rsidRPr="00395285">
        <w:rPr>
          <w:rFonts w:ascii="Calibri" w:eastAsia="MS Mincho" w:hAnsi="Calibri" w:cs="Times New Roman"/>
        </w:rPr>
        <w:t xml:space="preserve"> sourced from </w:t>
      </w:r>
      <w:r w:rsidR="00AD575B">
        <w:rPr>
          <w:rFonts w:ascii="Calibri" w:eastAsia="MS Mincho" w:hAnsi="Calibri" w:cs="Times New Roman"/>
        </w:rPr>
        <w:t>the Australian Institute of Health and Welfare (</w:t>
      </w:r>
      <w:r w:rsidRPr="00395285">
        <w:rPr>
          <w:rFonts w:ascii="Calibri" w:eastAsia="MS Mincho" w:hAnsi="Calibri" w:cs="Times New Roman"/>
        </w:rPr>
        <w:t>AIHW</w:t>
      </w:r>
      <w:r w:rsidR="00AD575B">
        <w:rPr>
          <w:rFonts w:ascii="Calibri" w:eastAsia="MS Mincho" w:hAnsi="Calibri" w:cs="Times New Roman"/>
        </w:rPr>
        <w:t>)</w:t>
      </w:r>
      <w:r w:rsidRPr="00395285">
        <w:rPr>
          <w:rFonts w:ascii="Calibri" w:eastAsia="MS Mincho" w:hAnsi="Calibri" w:cs="Times New Roman"/>
        </w:rPr>
        <w:t>. The proporti</w:t>
      </w:r>
      <w:r>
        <w:rPr>
          <w:rFonts w:ascii="Calibri" w:eastAsia="MS Mincho" w:hAnsi="Calibri" w:cs="Times New Roman"/>
        </w:rPr>
        <w:t xml:space="preserve">on of MDS patients that were intermediate and low </w:t>
      </w:r>
      <w:r w:rsidR="00072468">
        <w:rPr>
          <w:rFonts w:ascii="Calibri" w:eastAsia="MS Mincho" w:hAnsi="Calibri" w:cs="Times New Roman"/>
        </w:rPr>
        <w:t>risk</w:t>
      </w:r>
      <w:r>
        <w:rPr>
          <w:rFonts w:ascii="Calibri" w:eastAsia="MS Mincho" w:hAnsi="Calibri" w:cs="Times New Roman"/>
        </w:rPr>
        <w:t xml:space="preserve"> </w:t>
      </w:r>
      <w:r w:rsidR="004D27A7">
        <w:rPr>
          <w:rFonts w:ascii="Calibri" w:eastAsia="MS Mincho" w:hAnsi="Calibri" w:cs="Times New Roman"/>
        </w:rPr>
        <w:t xml:space="preserve">stages </w:t>
      </w:r>
      <w:r w:rsidRPr="00395285">
        <w:rPr>
          <w:rFonts w:ascii="Calibri" w:eastAsia="MS Mincho" w:hAnsi="Calibri" w:cs="Times New Roman"/>
        </w:rPr>
        <w:t>and 12</w:t>
      </w:r>
      <w:r w:rsidR="00A1356F">
        <w:rPr>
          <w:rFonts w:ascii="Calibri" w:eastAsia="MS Mincho" w:hAnsi="Calibri" w:cs="Times New Roman"/>
        </w:rPr>
        <w:t> </w:t>
      </w:r>
      <w:r w:rsidRPr="00395285">
        <w:rPr>
          <w:rFonts w:ascii="Calibri" w:eastAsia="MS Mincho" w:hAnsi="Calibri" w:cs="Times New Roman"/>
        </w:rPr>
        <w:t xml:space="preserve">month mortality </w:t>
      </w:r>
      <w:r>
        <w:rPr>
          <w:rFonts w:ascii="Calibri" w:eastAsia="MS Mincho" w:hAnsi="Calibri" w:cs="Times New Roman"/>
        </w:rPr>
        <w:t xml:space="preserve">for each stage </w:t>
      </w:r>
      <w:proofErr w:type="gramStart"/>
      <w:r>
        <w:rPr>
          <w:rFonts w:ascii="Calibri" w:eastAsia="MS Mincho" w:hAnsi="Calibri" w:cs="Times New Roman"/>
        </w:rPr>
        <w:t>were</w:t>
      </w:r>
      <w:proofErr w:type="gramEnd"/>
      <w:r>
        <w:rPr>
          <w:rFonts w:ascii="Calibri" w:eastAsia="MS Mincho" w:hAnsi="Calibri" w:cs="Times New Roman"/>
        </w:rPr>
        <w:t xml:space="preserve"> </w:t>
      </w:r>
      <w:r w:rsidRPr="00395285">
        <w:rPr>
          <w:rFonts w:ascii="Calibri" w:eastAsia="MS Mincho" w:hAnsi="Calibri" w:cs="Times New Roman"/>
        </w:rPr>
        <w:t>sourced from Hui et al</w:t>
      </w:r>
      <w:r>
        <w:rPr>
          <w:rFonts w:ascii="Calibri" w:eastAsia="MS Mincho" w:hAnsi="Calibri" w:cs="Times New Roman"/>
        </w:rPr>
        <w:t xml:space="preserve"> </w:t>
      </w:r>
      <w:r w:rsidRPr="00395285">
        <w:rPr>
          <w:rFonts w:ascii="Calibri" w:eastAsia="MS Mincho" w:hAnsi="Calibri" w:cs="Times New Roman"/>
        </w:rPr>
        <w:t>(2008</w:t>
      </w:r>
      <w:r w:rsidR="00072468" w:rsidRPr="00395285">
        <w:rPr>
          <w:rFonts w:ascii="Calibri" w:eastAsia="MS Mincho" w:hAnsi="Calibri" w:cs="Times New Roman"/>
        </w:rPr>
        <w:t>) which</w:t>
      </w:r>
      <w:r w:rsidRPr="00395285">
        <w:rPr>
          <w:rFonts w:ascii="Calibri" w:eastAsia="MS Mincho" w:hAnsi="Calibri" w:cs="Times New Roman"/>
        </w:rPr>
        <w:t xml:space="preserve"> reported South Australian data</w:t>
      </w:r>
      <w:r>
        <w:rPr>
          <w:rFonts w:ascii="Calibri" w:eastAsia="MS Mincho" w:hAnsi="Calibri" w:cs="Times New Roman"/>
        </w:rPr>
        <w:t xml:space="preserve"> for MDS. The proportion of patients on 5</w:t>
      </w:r>
      <w:r w:rsidR="00A1356F">
        <w:rPr>
          <w:rFonts w:ascii="Calibri" w:eastAsia="MS Mincho" w:hAnsi="Calibri" w:cs="Times New Roman"/>
        </w:rPr>
        <w:t> </w:t>
      </w:r>
      <w:r>
        <w:rPr>
          <w:rFonts w:ascii="Calibri" w:eastAsia="MS Mincho" w:hAnsi="Calibri" w:cs="Times New Roman"/>
        </w:rPr>
        <w:t>mg (</w:t>
      </w:r>
      <w:proofErr w:type="gramStart"/>
      <w:r w:rsidR="00624706">
        <w:rPr>
          <w:rFonts w:ascii="Calibri" w:eastAsia="MS Mincho" w:hAnsi="Calibri" w:cs="Times New Roman"/>
          <w:noProof/>
          <w:color w:val="000000"/>
          <w:highlight w:val="black"/>
        </w:rPr>
        <w:t>''''''''</w:t>
      </w:r>
      <w:r>
        <w:rPr>
          <w:rFonts w:ascii="Calibri" w:eastAsia="MS Mincho" w:hAnsi="Calibri" w:cs="Times New Roman"/>
        </w:rPr>
        <w:t>%</w:t>
      </w:r>
      <w:proofErr w:type="gramEnd"/>
      <w:r>
        <w:rPr>
          <w:rFonts w:ascii="Calibri" w:eastAsia="MS Mincho" w:hAnsi="Calibri" w:cs="Times New Roman"/>
        </w:rPr>
        <w:t>) and 10</w:t>
      </w:r>
      <w:r w:rsidR="00A1356F">
        <w:rPr>
          <w:rFonts w:ascii="Calibri" w:eastAsia="MS Mincho" w:hAnsi="Calibri" w:cs="Times New Roman"/>
        </w:rPr>
        <w:t> </w:t>
      </w:r>
      <w:r>
        <w:rPr>
          <w:rFonts w:ascii="Calibri" w:eastAsia="MS Mincho" w:hAnsi="Calibri" w:cs="Times New Roman"/>
        </w:rPr>
        <w:t xml:space="preserve">mg </w:t>
      </w:r>
      <w:r>
        <w:rPr>
          <w:rFonts w:ascii="Calibri" w:eastAsia="MS Mincho" w:hAnsi="Calibri" w:cs="Times New Roman"/>
        </w:rPr>
        <w:lastRenderedPageBreak/>
        <w:t>(</w:t>
      </w:r>
      <w:r w:rsidR="00624706">
        <w:rPr>
          <w:rFonts w:ascii="Calibri" w:eastAsia="MS Mincho" w:hAnsi="Calibri" w:cs="Times New Roman"/>
          <w:noProof/>
          <w:color w:val="000000"/>
          <w:highlight w:val="black"/>
        </w:rPr>
        <w:t>''''''''</w:t>
      </w:r>
      <w:r>
        <w:rPr>
          <w:rFonts w:ascii="Calibri" w:eastAsia="MS Mincho" w:hAnsi="Calibri" w:cs="Times New Roman"/>
        </w:rPr>
        <w:t xml:space="preserve">%) was from Celgene marketing data. The proportion of patients with deletion 5q MDS was based on </w:t>
      </w:r>
      <w:r w:rsidR="00072468">
        <w:rPr>
          <w:rFonts w:ascii="Calibri" w:eastAsia="MS Mincho" w:hAnsi="Calibri" w:cs="Times New Roman"/>
        </w:rPr>
        <w:t>advice</w:t>
      </w:r>
      <w:r>
        <w:rPr>
          <w:rFonts w:ascii="Calibri" w:eastAsia="MS Mincho" w:hAnsi="Calibri" w:cs="Times New Roman"/>
        </w:rPr>
        <w:t xml:space="preserve"> from PBAC July 2011. The source of the percentage of patients who were transfusion dependence of </w:t>
      </w:r>
      <w:r w:rsidR="00624706">
        <w:rPr>
          <w:rFonts w:ascii="Calibri" w:eastAsia="MS Mincho" w:hAnsi="Calibri" w:cs="Times New Roman"/>
          <w:noProof/>
          <w:color w:val="000000"/>
          <w:highlight w:val="black"/>
        </w:rPr>
        <w:t>'''''</w:t>
      </w:r>
      <w:r>
        <w:rPr>
          <w:rFonts w:ascii="Calibri" w:eastAsia="MS Mincho" w:hAnsi="Calibri" w:cs="Times New Roman"/>
        </w:rPr>
        <w:t>% was a clinician survey</w:t>
      </w:r>
      <w:r w:rsidR="004D27A7">
        <w:rPr>
          <w:rFonts w:ascii="Calibri" w:eastAsia="MS Mincho" w:hAnsi="Calibri" w:cs="Times New Roman"/>
        </w:rPr>
        <w:t xml:space="preserve"> undertaken by the sponsor</w:t>
      </w:r>
      <w:r>
        <w:rPr>
          <w:rFonts w:ascii="Calibri" w:eastAsia="MS Mincho" w:hAnsi="Calibri" w:cs="Times New Roman"/>
        </w:rPr>
        <w:t>.</w:t>
      </w:r>
    </w:p>
    <w:p w:rsidR="00AF729E" w:rsidRPr="008E2C2B" w:rsidRDefault="00AF729E" w:rsidP="00AF729E">
      <w:pPr>
        <w:widowControl w:val="0"/>
        <w:spacing w:after="240"/>
        <w:contextualSpacing/>
        <w:rPr>
          <w:rFonts w:eastAsia="MS Mincho" w:cs="Times New Roman"/>
        </w:rPr>
      </w:pPr>
    </w:p>
    <w:p w:rsidR="00AF729E" w:rsidRPr="008E2C2B" w:rsidRDefault="00333658" w:rsidP="00AF729E">
      <w:pPr>
        <w:widowControl w:val="0"/>
        <w:spacing w:after="240"/>
        <w:contextualSpacing/>
        <w:rPr>
          <w:rFonts w:eastAsia="MS Mincho" w:cs="Arial"/>
          <w:b/>
        </w:rPr>
      </w:pPr>
      <w:proofErr w:type="gramStart"/>
      <w:r w:rsidRPr="008E2C2B">
        <w:rPr>
          <w:rFonts w:eastAsia="MS Mincho" w:cs="Arial"/>
          <w:b/>
        </w:rPr>
        <w:t>Table</w:t>
      </w:r>
      <w:r>
        <w:rPr>
          <w:rFonts w:eastAsia="MS Mincho" w:cs="Arial"/>
          <w:b/>
        </w:rPr>
        <w:t xml:space="preserve"> 1</w:t>
      </w:r>
      <w:r w:rsidRPr="008E2C2B">
        <w:rPr>
          <w:rFonts w:eastAsia="MS Mincho" w:cs="Arial"/>
          <w:b/>
        </w:rPr>
        <w:t xml:space="preserve">: Summary of the </w:t>
      </w:r>
      <w:r>
        <w:rPr>
          <w:rFonts w:eastAsia="MS Mincho" w:cs="Arial"/>
          <w:b/>
        </w:rPr>
        <w:t xml:space="preserve">predicted </w:t>
      </w:r>
      <w:r w:rsidRPr="008E2C2B">
        <w:rPr>
          <w:rFonts w:eastAsia="MS Mincho" w:cs="Arial"/>
          <w:b/>
        </w:rPr>
        <w:t>patients, packs and financi</w:t>
      </w:r>
      <w:r>
        <w:rPr>
          <w:rFonts w:eastAsia="MS Mincho" w:cs="Arial"/>
          <w:b/>
        </w:rPr>
        <w:t xml:space="preserve">al cost of listing </w:t>
      </w:r>
      <w:proofErr w:type="spellStart"/>
      <w:r w:rsidR="00072468">
        <w:rPr>
          <w:rFonts w:eastAsia="MS Mincho" w:cs="Arial"/>
          <w:b/>
        </w:rPr>
        <w:t>lenalidomide</w:t>
      </w:r>
      <w:proofErr w:type="spellEnd"/>
      <w:r>
        <w:rPr>
          <w:rFonts w:eastAsia="MS Mincho" w:cs="Arial"/>
          <w:b/>
        </w:rPr>
        <w:t>.</w:t>
      </w:r>
      <w:proofErr w:type="gramEnd"/>
    </w:p>
    <w:tbl>
      <w:tblPr>
        <w:tblStyle w:val="TableGrid"/>
        <w:tblW w:w="0" w:type="auto"/>
        <w:tblInd w:w="108" w:type="dxa"/>
        <w:tblLayout w:type="fixed"/>
        <w:tblLook w:val="04A0" w:firstRow="1" w:lastRow="0" w:firstColumn="1" w:lastColumn="0" w:noHBand="0" w:noVBand="1"/>
        <w:tblCaption w:val="Summary of the predicted patients, packs and financial cost of listing lenalidomide"/>
        <w:tblDescription w:val="Summary of the predicted patients, packs and financial cost of listing lenalidomide"/>
      </w:tblPr>
      <w:tblGrid>
        <w:gridCol w:w="2977"/>
        <w:gridCol w:w="1559"/>
        <w:gridCol w:w="1276"/>
        <w:gridCol w:w="1418"/>
        <w:gridCol w:w="1329"/>
      </w:tblGrid>
      <w:tr w:rsidR="00AF729E" w:rsidTr="0077278C">
        <w:trPr>
          <w:tblHeader/>
        </w:trPr>
        <w:tc>
          <w:tcPr>
            <w:tcW w:w="2977" w:type="dxa"/>
            <w:shd w:val="clear" w:color="auto" w:fill="BFBFBF" w:themeFill="background1" w:themeFillShade="BF"/>
          </w:tcPr>
          <w:p w:rsidR="00AF729E" w:rsidRPr="008E2C2B" w:rsidRDefault="00AF729E" w:rsidP="00AF729E">
            <w:pPr>
              <w:widowControl w:val="0"/>
              <w:spacing w:after="240"/>
              <w:contextualSpacing/>
              <w:rPr>
                <w:rFonts w:eastAsia="MS Mincho" w:cs="Arial"/>
                <w:sz w:val="20"/>
                <w:szCs w:val="20"/>
              </w:rPr>
            </w:pPr>
          </w:p>
        </w:tc>
        <w:tc>
          <w:tcPr>
            <w:tcW w:w="1559" w:type="dxa"/>
            <w:shd w:val="clear" w:color="auto" w:fill="BFBFBF" w:themeFill="background1" w:themeFillShade="BF"/>
            <w:vAlign w:val="center"/>
          </w:tcPr>
          <w:p w:rsidR="00AF729E" w:rsidRPr="008E2C2B" w:rsidRDefault="00333658" w:rsidP="00AF729E">
            <w:pPr>
              <w:widowControl w:val="0"/>
              <w:spacing w:after="240"/>
              <w:contextualSpacing/>
              <w:jc w:val="center"/>
              <w:rPr>
                <w:rFonts w:eastAsia="MS Mincho" w:cs="Arial"/>
                <w:b/>
                <w:sz w:val="20"/>
                <w:szCs w:val="20"/>
              </w:rPr>
            </w:pPr>
            <w:r w:rsidRPr="008E2C2B">
              <w:rPr>
                <w:rFonts w:eastAsia="MS Mincho" w:cs="Arial"/>
                <w:b/>
                <w:sz w:val="20"/>
                <w:szCs w:val="20"/>
              </w:rPr>
              <w:t xml:space="preserve">Year 1 </w:t>
            </w:r>
            <w:r w:rsidRPr="008E2C2B">
              <w:rPr>
                <w:rFonts w:eastAsia="MS Mincho" w:cs="Arial"/>
                <w:b/>
                <w:sz w:val="20"/>
                <w:szCs w:val="20"/>
              </w:rPr>
              <w:br/>
            </w:r>
            <w:r>
              <w:rPr>
                <w:rFonts w:eastAsia="MS Mincho" w:cs="Arial"/>
                <w:b/>
                <w:sz w:val="20"/>
                <w:szCs w:val="20"/>
              </w:rPr>
              <w:t>(</w:t>
            </w:r>
            <w:r w:rsidRPr="008E2C2B">
              <w:rPr>
                <w:rFonts w:eastAsia="MS Mincho" w:cs="Arial"/>
                <w:b/>
                <w:sz w:val="20"/>
                <w:szCs w:val="20"/>
              </w:rPr>
              <w:t>Oct 2013 to  Sept 2014)</w:t>
            </w:r>
          </w:p>
        </w:tc>
        <w:tc>
          <w:tcPr>
            <w:tcW w:w="1276" w:type="dxa"/>
            <w:shd w:val="clear" w:color="auto" w:fill="BFBFBF" w:themeFill="background1" w:themeFillShade="BF"/>
            <w:vAlign w:val="center"/>
          </w:tcPr>
          <w:p w:rsidR="00AF729E" w:rsidRDefault="00333658" w:rsidP="00AF729E">
            <w:pPr>
              <w:jc w:val="center"/>
            </w:pPr>
            <w:r w:rsidRPr="000619B5">
              <w:rPr>
                <w:rFonts w:eastAsia="MS Mincho" w:cs="Arial"/>
                <w:b/>
                <w:sz w:val="20"/>
                <w:szCs w:val="20"/>
              </w:rPr>
              <w:t xml:space="preserve">Year </w:t>
            </w:r>
            <w:r>
              <w:rPr>
                <w:rFonts w:eastAsia="MS Mincho" w:cs="Arial"/>
                <w:b/>
                <w:sz w:val="20"/>
                <w:szCs w:val="20"/>
              </w:rPr>
              <w:t>2</w:t>
            </w:r>
            <w:r w:rsidRPr="000619B5">
              <w:rPr>
                <w:rFonts w:eastAsia="MS Mincho" w:cs="Arial"/>
                <w:b/>
                <w:sz w:val="20"/>
                <w:szCs w:val="20"/>
              </w:rPr>
              <w:t xml:space="preserve"> </w:t>
            </w:r>
            <w:r w:rsidRPr="000619B5">
              <w:rPr>
                <w:rFonts w:eastAsia="MS Mincho" w:cs="Arial"/>
                <w:b/>
                <w:sz w:val="20"/>
                <w:szCs w:val="20"/>
              </w:rPr>
              <w:br/>
              <w:t>(Oct 201</w:t>
            </w:r>
            <w:r>
              <w:rPr>
                <w:rFonts w:eastAsia="MS Mincho" w:cs="Arial"/>
                <w:b/>
                <w:sz w:val="20"/>
                <w:szCs w:val="20"/>
              </w:rPr>
              <w:t>4</w:t>
            </w:r>
            <w:r w:rsidRPr="000619B5">
              <w:rPr>
                <w:rFonts w:eastAsia="MS Mincho" w:cs="Arial"/>
                <w:b/>
                <w:sz w:val="20"/>
                <w:szCs w:val="20"/>
              </w:rPr>
              <w:t xml:space="preserve"> to  Sept 201</w:t>
            </w:r>
            <w:r>
              <w:rPr>
                <w:rFonts w:eastAsia="MS Mincho" w:cs="Arial"/>
                <w:b/>
                <w:sz w:val="20"/>
                <w:szCs w:val="20"/>
              </w:rPr>
              <w:t>5</w:t>
            </w:r>
            <w:r w:rsidRPr="000619B5">
              <w:rPr>
                <w:rFonts w:eastAsia="MS Mincho" w:cs="Arial"/>
                <w:b/>
                <w:sz w:val="20"/>
                <w:szCs w:val="20"/>
              </w:rPr>
              <w:t>)</w:t>
            </w:r>
          </w:p>
        </w:tc>
        <w:tc>
          <w:tcPr>
            <w:tcW w:w="1418" w:type="dxa"/>
            <w:shd w:val="clear" w:color="auto" w:fill="BFBFBF" w:themeFill="background1" w:themeFillShade="BF"/>
            <w:vAlign w:val="center"/>
          </w:tcPr>
          <w:p w:rsidR="00AF729E" w:rsidRDefault="00333658" w:rsidP="00AF729E">
            <w:pPr>
              <w:jc w:val="center"/>
            </w:pPr>
            <w:r w:rsidRPr="000619B5">
              <w:rPr>
                <w:rFonts w:eastAsia="MS Mincho" w:cs="Arial"/>
                <w:b/>
                <w:sz w:val="20"/>
                <w:szCs w:val="20"/>
              </w:rPr>
              <w:t xml:space="preserve">Year </w:t>
            </w:r>
            <w:r>
              <w:rPr>
                <w:rFonts w:eastAsia="MS Mincho" w:cs="Arial"/>
                <w:b/>
                <w:sz w:val="20"/>
                <w:szCs w:val="20"/>
              </w:rPr>
              <w:t>3</w:t>
            </w:r>
            <w:r w:rsidRPr="000619B5">
              <w:rPr>
                <w:rFonts w:eastAsia="MS Mincho" w:cs="Arial"/>
                <w:b/>
                <w:sz w:val="20"/>
                <w:szCs w:val="20"/>
              </w:rPr>
              <w:t xml:space="preserve"> </w:t>
            </w:r>
            <w:r w:rsidRPr="000619B5">
              <w:rPr>
                <w:rFonts w:eastAsia="MS Mincho" w:cs="Arial"/>
                <w:b/>
                <w:sz w:val="20"/>
                <w:szCs w:val="20"/>
              </w:rPr>
              <w:br/>
              <w:t>(Oct 201</w:t>
            </w:r>
            <w:r>
              <w:rPr>
                <w:rFonts w:eastAsia="MS Mincho" w:cs="Arial"/>
                <w:b/>
                <w:sz w:val="20"/>
                <w:szCs w:val="20"/>
              </w:rPr>
              <w:t>5</w:t>
            </w:r>
            <w:r w:rsidRPr="000619B5">
              <w:rPr>
                <w:rFonts w:eastAsia="MS Mincho" w:cs="Arial"/>
                <w:b/>
                <w:sz w:val="20"/>
                <w:szCs w:val="20"/>
              </w:rPr>
              <w:t xml:space="preserve"> to  Sept 201</w:t>
            </w:r>
            <w:r>
              <w:rPr>
                <w:rFonts w:eastAsia="MS Mincho" w:cs="Arial"/>
                <w:b/>
                <w:sz w:val="20"/>
                <w:szCs w:val="20"/>
              </w:rPr>
              <w:t>6</w:t>
            </w:r>
            <w:r w:rsidRPr="000619B5">
              <w:rPr>
                <w:rFonts w:eastAsia="MS Mincho" w:cs="Arial"/>
                <w:b/>
                <w:sz w:val="20"/>
                <w:szCs w:val="20"/>
              </w:rPr>
              <w:t>)</w:t>
            </w:r>
          </w:p>
        </w:tc>
        <w:tc>
          <w:tcPr>
            <w:tcW w:w="1329" w:type="dxa"/>
            <w:shd w:val="clear" w:color="auto" w:fill="BFBFBF" w:themeFill="background1" w:themeFillShade="BF"/>
            <w:vAlign w:val="center"/>
          </w:tcPr>
          <w:p w:rsidR="00AF729E" w:rsidRDefault="00333658" w:rsidP="00AF729E">
            <w:pPr>
              <w:jc w:val="center"/>
            </w:pPr>
            <w:r w:rsidRPr="000619B5">
              <w:rPr>
                <w:rFonts w:eastAsia="MS Mincho" w:cs="Arial"/>
                <w:b/>
                <w:sz w:val="20"/>
                <w:szCs w:val="20"/>
              </w:rPr>
              <w:t xml:space="preserve">Year </w:t>
            </w:r>
            <w:r>
              <w:rPr>
                <w:rFonts w:eastAsia="MS Mincho" w:cs="Arial"/>
                <w:b/>
                <w:sz w:val="20"/>
                <w:szCs w:val="20"/>
              </w:rPr>
              <w:t>4</w:t>
            </w:r>
            <w:r w:rsidRPr="000619B5">
              <w:rPr>
                <w:rFonts w:eastAsia="MS Mincho" w:cs="Arial"/>
                <w:b/>
                <w:sz w:val="20"/>
                <w:szCs w:val="20"/>
              </w:rPr>
              <w:t xml:space="preserve"> </w:t>
            </w:r>
            <w:r w:rsidRPr="000619B5">
              <w:rPr>
                <w:rFonts w:eastAsia="MS Mincho" w:cs="Arial"/>
                <w:b/>
                <w:sz w:val="20"/>
                <w:szCs w:val="20"/>
              </w:rPr>
              <w:br/>
              <w:t>(Oct 201</w:t>
            </w:r>
            <w:r>
              <w:rPr>
                <w:rFonts w:eastAsia="MS Mincho" w:cs="Arial"/>
                <w:b/>
                <w:sz w:val="20"/>
                <w:szCs w:val="20"/>
              </w:rPr>
              <w:t>6</w:t>
            </w:r>
            <w:r w:rsidRPr="000619B5">
              <w:rPr>
                <w:rFonts w:eastAsia="MS Mincho" w:cs="Arial"/>
                <w:b/>
                <w:sz w:val="20"/>
                <w:szCs w:val="20"/>
              </w:rPr>
              <w:t xml:space="preserve"> to  Sept 201</w:t>
            </w:r>
            <w:r>
              <w:rPr>
                <w:rFonts w:eastAsia="MS Mincho" w:cs="Arial"/>
                <w:b/>
                <w:sz w:val="20"/>
                <w:szCs w:val="20"/>
              </w:rPr>
              <w:t>7</w:t>
            </w:r>
            <w:r w:rsidRPr="000619B5">
              <w:rPr>
                <w:rFonts w:eastAsia="MS Mincho" w:cs="Arial"/>
                <w:b/>
                <w:sz w:val="20"/>
                <w:szCs w:val="20"/>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970BC6">
              <w:rPr>
                <w:rFonts w:eastAsia="MS Mincho" w:cs="Arial"/>
                <w:sz w:val="20"/>
                <w:szCs w:val="20"/>
              </w:rPr>
              <w:t>MDS incident patients (total)</w:t>
            </w:r>
          </w:p>
        </w:tc>
        <w:tc>
          <w:tcPr>
            <w:tcW w:w="1559" w:type="dxa"/>
          </w:tcPr>
          <w:p w:rsidR="00AF729E" w:rsidRPr="00624706" w:rsidRDefault="00624706" w:rsidP="00AF729E">
            <w:pPr>
              <w:widowControl w:val="0"/>
              <w:contextualSpacing/>
              <w:jc w:val="right"/>
              <w:rPr>
                <w:rFonts w:eastAsia="MS Mincho" w:cs="Arial"/>
                <w:sz w:val="20"/>
                <w:szCs w:val="20"/>
                <w:highlight w:val="black"/>
              </w:rPr>
            </w:pPr>
            <w:r>
              <w:rPr>
                <w:rFonts w:eastAsia="MS Mincho" w:cs="Arial"/>
                <w:noProof/>
                <w:color w:val="000000"/>
                <w:sz w:val="20"/>
                <w:szCs w:val="20"/>
                <w:highlight w:val="black"/>
              </w:rPr>
              <w:t>'''''''''''</w:t>
            </w:r>
          </w:p>
        </w:tc>
        <w:tc>
          <w:tcPr>
            <w:tcW w:w="1276" w:type="dxa"/>
          </w:tcPr>
          <w:p w:rsidR="00AF729E" w:rsidRPr="00624706" w:rsidRDefault="00624706" w:rsidP="00AF729E">
            <w:pPr>
              <w:widowControl w:val="0"/>
              <w:contextualSpacing/>
              <w:jc w:val="right"/>
              <w:rPr>
                <w:rFonts w:eastAsia="MS Mincho" w:cs="Arial"/>
                <w:sz w:val="20"/>
                <w:szCs w:val="20"/>
                <w:highlight w:val="black"/>
              </w:rPr>
            </w:pPr>
            <w:r>
              <w:rPr>
                <w:rFonts w:eastAsia="MS Mincho" w:cs="Arial"/>
                <w:noProof/>
                <w:color w:val="000000"/>
                <w:sz w:val="20"/>
                <w:szCs w:val="20"/>
                <w:highlight w:val="black"/>
              </w:rPr>
              <w:t>'''''''''''</w:t>
            </w:r>
          </w:p>
        </w:tc>
        <w:tc>
          <w:tcPr>
            <w:tcW w:w="1418" w:type="dxa"/>
          </w:tcPr>
          <w:p w:rsidR="00AF729E" w:rsidRPr="00624706" w:rsidRDefault="00624706" w:rsidP="00AF729E">
            <w:pPr>
              <w:widowControl w:val="0"/>
              <w:contextualSpacing/>
              <w:jc w:val="right"/>
              <w:rPr>
                <w:rFonts w:eastAsia="MS Mincho" w:cs="Arial"/>
                <w:sz w:val="20"/>
                <w:szCs w:val="20"/>
                <w:highlight w:val="black"/>
              </w:rPr>
            </w:pPr>
            <w:r>
              <w:rPr>
                <w:rFonts w:eastAsia="MS Mincho" w:cs="Arial"/>
                <w:noProof/>
                <w:color w:val="000000"/>
                <w:sz w:val="20"/>
                <w:szCs w:val="20"/>
                <w:highlight w:val="black"/>
              </w:rPr>
              <w:t>''''''''''</w:t>
            </w:r>
          </w:p>
        </w:tc>
        <w:tc>
          <w:tcPr>
            <w:tcW w:w="1329" w:type="dxa"/>
          </w:tcPr>
          <w:p w:rsidR="00AF729E" w:rsidRPr="00624706" w:rsidRDefault="00624706" w:rsidP="00AF729E">
            <w:pPr>
              <w:widowControl w:val="0"/>
              <w:contextualSpacing/>
              <w:jc w:val="right"/>
              <w:rPr>
                <w:rFonts w:eastAsia="MS Mincho" w:cs="Arial"/>
                <w:sz w:val="20"/>
                <w:szCs w:val="20"/>
                <w:highlight w:val="black"/>
              </w:rPr>
            </w:pPr>
            <w:r>
              <w:rPr>
                <w:rFonts w:eastAsia="MS Mincho"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 xml:space="preserve">Low risk </w:t>
            </w:r>
            <w:r w:rsidR="00624706">
              <w:rPr>
                <w:rFonts w:eastAsia="MS Mincho" w:cs="Arial"/>
                <w:noProof/>
                <w:color w:val="000000"/>
                <w:sz w:val="20"/>
                <w:szCs w:val="20"/>
                <w:highlight w:val="black"/>
              </w:rPr>
              <w:t>''''''''''</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INT-1</w:t>
            </w:r>
            <w:r w:rsidR="00624706">
              <w:rPr>
                <w:rFonts w:eastAsia="MS Mincho" w:cs="Arial"/>
                <w:noProof/>
                <w:color w:val="000000"/>
                <w:sz w:val="20"/>
                <w:szCs w:val="20"/>
                <w:highlight w:val="black"/>
              </w:rPr>
              <w:t xml:space="preserve"> ''''''''''''''</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MDS prevalent patients*</w:t>
            </w:r>
          </w:p>
        </w:tc>
        <w:tc>
          <w:tcPr>
            <w:tcW w:w="1559" w:type="dxa"/>
          </w:tcPr>
          <w:p w:rsidR="00AF729E" w:rsidRPr="00624706" w:rsidRDefault="00AF729E" w:rsidP="00AF729E">
            <w:pPr>
              <w:widowControl w:val="0"/>
              <w:contextualSpacing/>
              <w:jc w:val="right"/>
              <w:rPr>
                <w:rFonts w:eastAsia="MS Mincho" w:cs="Arial"/>
                <w:sz w:val="20"/>
                <w:szCs w:val="20"/>
              </w:rPr>
            </w:pPr>
          </w:p>
        </w:tc>
        <w:tc>
          <w:tcPr>
            <w:tcW w:w="1276" w:type="dxa"/>
          </w:tcPr>
          <w:p w:rsidR="00AF729E" w:rsidRPr="00624706" w:rsidRDefault="00AF729E" w:rsidP="00AF729E">
            <w:pPr>
              <w:widowControl w:val="0"/>
              <w:contextualSpacing/>
              <w:jc w:val="right"/>
              <w:rPr>
                <w:rFonts w:eastAsia="MS Mincho" w:cs="Arial"/>
                <w:sz w:val="20"/>
                <w:szCs w:val="20"/>
              </w:rPr>
            </w:pPr>
          </w:p>
        </w:tc>
        <w:tc>
          <w:tcPr>
            <w:tcW w:w="1418" w:type="dxa"/>
          </w:tcPr>
          <w:p w:rsidR="00AF729E" w:rsidRPr="00624706" w:rsidRDefault="00AF729E" w:rsidP="00AF729E">
            <w:pPr>
              <w:widowControl w:val="0"/>
              <w:contextualSpacing/>
              <w:jc w:val="right"/>
              <w:rPr>
                <w:rFonts w:eastAsia="MS Mincho" w:cs="Arial"/>
                <w:sz w:val="20"/>
                <w:szCs w:val="20"/>
              </w:rPr>
            </w:pPr>
          </w:p>
        </w:tc>
        <w:tc>
          <w:tcPr>
            <w:tcW w:w="1329" w:type="dxa"/>
          </w:tcPr>
          <w:p w:rsidR="00AF729E" w:rsidRPr="00624706" w:rsidRDefault="00AF729E" w:rsidP="00AF729E">
            <w:pPr>
              <w:widowControl w:val="0"/>
              <w:contextualSpacing/>
              <w:jc w:val="right"/>
              <w:rPr>
                <w:rFonts w:eastAsia="MS Mincho" w:cs="Arial"/>
                <w:sz w:val="20"/>
                <w:szCs w:val="20"/>
              </w:rPr>
            </w:pP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Low risk</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INT-1</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Number eligible**</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Uptake rate***</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Number treated</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Packs 5</w:t>
            </w:r>
            <w:r w:rsidR="003B67C0" w:rsidRPr="00C53565">
              <w:rPr>
                <w:rFonts w:eastAsia="MS Mincho" w:cs="Arial"/>
                <w:sz w:val="20"/>
                <w:szCs w:val="20"/>
              </w:rPr>
              <w:t> </w:t>
            </w:r>
            <w:r w:rsidRPr="00C53565">
              <w:rPr>
                <w:rFonts w:eastAsia="MS Mincho" w:cs="Arial"/>
                <w:sz w:val="20"/>
                <w:szCs w:val="20"/>
              </w:rPr>
              <w:t>mg****</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 xml:space="preserve">                 '''''''' </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 xml:space="preserve">                ''''''' </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 xml:space="preserve">                '''''''' </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 xml:space="preserve">                ''''''' </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Pack 10</w:t>
            </w:r>
            <w:r w:rsidR="003B67C0" w:rsidRPr="00C53565">
              <w:rPr>
                <w:rFonts w:eastAsia="MS Mincho" w:cs="Arial"/>
                <w:sz w:val="20"/>
                <w:szCs w:val="20"/>
              </w:rPr>
              <w:t> </w:t>
            </w:r>
            <w:r w:rsidRPr="00C53565">
              <w:rPr>
                <w:rFonts w:eastAsia="MS Mincho" w:cs="Arial"/>
                <w:sz w:val="20"/>
                <w:szCs w:val="20"/>
              </w:rPr>
              <w:t>mg*****</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 xml:space="preserve">                 '''''''' </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 xml:space="preserve">             '''''''''''' </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 xml:space="preserve">             ''''''''''' </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 xml:space="preserve">             '''''''''' </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 xml:space="preserve">Total government expenditure (net </w:t>
            </w:r>
            <w:proofErr w:type="spellStart"/>
            <w:r w:rsidRPr="00C53565">
              <w:rPr>
                <w:rFonts w:eastAsia="MS Mincho" w:cs="Arial"/>
                <w:sz w:val="20"/>
                <w:szCs w:val="20"/>
              </w:rPr>
              <w:t>copayment</w:t>
            </w:r>
            <w:proofErr w:type="spellEnd"/>
            <w:r w:rsidRPr="00C53565">
              <w:rPr>
                <w:rFonts w:eastAsia="MS Mincho" w:cs="Arial"/>
                <w:sz w:val="20"/>
                <w:szCs w:val="20"/>
              </w:rPr>
              <w:t>, published price)</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Number of non-responders</w:t>
            </w:r>
            <w:r w:rsidR="00624706">
              <w:rPr>
                <w:rFonts w:eastAsia="MS Mincho" w:cs="Arial"/>
                <w:noProof/>
                <w:color w:val="000000"/>
                <w:sz w:val="20"/>
                <w:szCs w:val="20"/>
                <w:highlight w:val="black"/>
              </w:rPr>
              <w:t xml:space="preserve"> '''''''''''</w:t>
            </w:r>
          </w:p>
        </w:tc>
        <w:tc>
          <w:tcPr>
            <w:tcW w:w="1559" w:type="dxa"/>
          </w:tcPr>
          <w:p w:rsidR="00AF729E" w:rsidRPr="00624706" w:rsidRDefault="00624706" w:rsidP="00AF729E">
            <w:pPr>
              <w:widowControl w:val="0"/>
              <w:contextualSpacing/>
              <w:jc w:val="right"/>
              <w:rPr>
                <w:rFonts w:eastAsia="MS Mincho" w:cs="Arial"/>
                <w:sz w:val="20"/>
                <w:szCs w:val="20"/>
                <w:highlight w:val="black"/>
              </w:rPr>
            </w:pPr>
            <w:r>
              <w:rPr>
                <w:rFonts w:eastAsia="MS Mincho" w:cs="Arial"/>
                <w:noProof/>
                <w:color w:val="000000"/>
                <w:sz w:val="20"/>
                <w:szCs w:val="20"/>
                <w:highlight w:val="black"/>
              </w:rPr>
              <w:t>'''''</w:t>
            </w:r>
          </w:p>
        </w:tc>
        <w:tc>
          <w:tcPr>
            <w:tcW w:w="1276" w:type="dxa"/>
          </w:tcPr>
          <w:p w:rsidR="00AF729E" w:rsidRPr="00624706" w:rsidRDefault="00624706" w:rsidP="00AF729E">
            <w:pPr>
              <w:widowControl w:val="0"/>
              <w:contextualSpacing/>
              <w:jc w:val="right"/>
              <w:rPr>
                <w:rFonts w:eastAsia="MS Mincho" w:cs="Arial"/>
                <w:sz w:val="20"/>
                <w:szCs w:val="20"/>
                <w:highlight w:val="black"/>
              </w:rPr>
            </w:pPr>
            <w:r>
              <w:rPr>
                <w:rFonts w:eastAsia="MS Mincho" w:cs="Arial"/>
                <w:noProof/>
                <w:color w:val="000000"/>
                <w:sz w:val="20"/>
                <w:szCs w:val="20"/>
                <w:highlight w:val="black"/>
              </w:rPr>
              <w:t>'''''</w:t>
            </w:r>
          </w:p>
        </w:tc>
        <w:tc>
          <w:tcPr>
            <w:tcW w:w="1418" w:type="dxa"/>
          </w:tcPr>
          <w:p w:rsidR="00AF729E" w:rsidRPr="00624706" w:rsidRDefault="00624706" w:rsidP="00AF729E">
            <w:pPr>
              <w:widowControl w:val="0"/>
              <w:contextualSpacing/>
              <w:jc w:val="right"/>
              <w:rPr>
                <w:rFonts w:eastAsia="MS Mincho" w:cs="Arial"/>
                <w:sz w:val="20"/>
                <w:szCs w:val="20"/>
                <w:highlight w:val="black"/>
              </w:rPr>
            </w:pPr>
            <w:r>
              <w:rPr>
                <w:rFonts w:eastAsia="MS Mincho" w:cs="Arial"/>
                <w:noProof/>
                <w:color w:val="000000"/>
                <w:sz w:val="20"/>
                <w:szCs w:val="20"/>
                <w:highlight w:val="black"/>
              </w:rPr>
              <w:t>''''''</w:t>
            </w:r>
          </w:p>
        </w:tc>
        <w:tc>
          <w:tcPr>
            <w:tcW w:w="1329" w:type="dxa"/>
          </w:tcPr>
          <w:p w:rsidR="00AF729E" w:rsidRPr="00624706" w:rsidRDefault="00624706" w:rsidP="00AF729E">
            <w:pPr>
              <w:widowControl w:val="0"/>
              <w:contextualSpacing/>
              <w:jc w:val="right"/>
              <w:rPr>
                <w:rFonts w:eastAsia="MS Mincho" w:cs="Arial"/>
                <w:sz w:val="20"/>
                <w:szCs w:val="20"/>
                <w:highlight w:val="black"/>
              </w:rPr>
            </w:pPr>
            <w:r>
              <w:rPr>
                <w:rFonts w:eastAsia="MS Mincho"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 xml:space="preserve">Total government expenditure (net </w:t>
            </w:r>
            <w:proofErr w:type="spellStart"/>
            <w:r w:rsidRPr="00C53565">
              <w:rPr>
                <w:rFonts w:eastAsia="MS Mincho" w:cs="Arial"/>
                <w:sz w:val="20"/>
                <w:szCs w:val="20"/>
              </w:rPr>
              <w:t>copayment</w:t>
            </w:r>
            <w:proofErr w:type="spellEnd"/>
            <w:r w:rsidRPr="00C53565">
              <w:rPr>
                <w:rFonts w:eastAsia="MS Mincho" w:cs="Arial"/>
                <w:sz w:val="20"/>
                <w:szCs w:val="20"/>
              </w:rPr>
              <w:t xml:space="preserve"> and non-responders)</w:t>
            </w:r>
          </w:p>
        </w:tc>
        <w:tc>
          <w:tcPr>
            <w:tcW w:w="155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276"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418"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c>
          <w:tcPr>
            <w:tcW w:w="1329" w:type="dxa"/>
            <w:vAlign w:val="bottom"/>
          </w:tcPr>
          <w:p w:rsidR="00AF729E" w:rsidRPr="00624706" w:rsidRDefault="00624706" w:rsidP="00AF729E">
            <w:pPr>
              <w:jc w:val="right"/>
              <w:rPr>
                <w:rFonts w:cs="Arial"/>
                <w:sz w:val="20"/>
                <w:szCs w:val="20"/>
                <w:highlight w:val="black"/>
              </w:rPr>
            </w:pPr>
            <w:r>
              <w:rPr>
                <w:rFonts w:cs="Arial"/>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 xml:space="preserve">Reduction in </w:t>
            </w:r>
            <w:proofErr w:type="spellStart"/>
            <w:r w:rsidR="00072468" w:rsidRPr="00C53565">
              <w:rPr>
                <w:rFonts w:eastAsia="MS Mincho" w:cs="Arial"/>
                <w:sz w:val="20"/>
                <w:szCs w:val="20"/>
              </w:rPr>
              <w:t>deferasirox</w:t>
            </w:r>
            <w:proofErr w:type="spellEnd"/>
          </w:p>
        </w:tc>
        <w:tc>
          <w:tcPr>
            <w:tcW w:w="1559" w:type="dxa"/>
            <w:vAlign w:val="bottom"/>
          </w:tcPr>
          <w:p w:rsidR="00AF729E" w:rsidRPr="00624706" w:rsidRDefault="00624706" w:rsidP="00AF729E">
            <w:pPr>
              <w:jc w:val="right"/>
              <w:rPr>
                <w:rFonts w:cs="Arial"/>
                <w:bCs/>
                <w:sz w:val="20"/>
                <w:szCs w:val="20"/>
                <w:highlight w:val="black"/>
              </w:rPr>
            </w:pPr>
            <w:r>
              <w:rPr>
                <w:rFonts w:cs="Arial"/>
                <w:bCs/>
                <w:noProof/>
                <w:color w:val="000000"/>
                <w:sz w:val="20"/>
                <w:szCs w:val="20"/>
                <w:highlight w:val="black"/>
              </w:rPr>
              <w:t>''''''''''''''''''''</w:t>
            </w:r>
          </w:p>
        </w:tc>
        <w:tc>
          <w:tcPr>
            <w:tcW w:w="1276" w:type="dxa"/>
            <w:vAlign w:val="bottom"/>
          </w:tcPr>
          <w:p w:rsidR="00AF729E" w:rsidRPr="00624706" w:rsidRDefault="00624706" w:rsidP="00AF729E">
            <w:pPr>
              <w:jc w:val="right"/>
              <w:rPr>
                <w:rFonts w:cs="Arial"/>
                <w:bCs/>
                <w:sz w:val="20"/>
                <w:szCs w:val="20"/>
                <w:highlight w:val="black"/>
              </w:rPr>
            </w:pPr>
            <w:r>
              <w:rPr>
                <w:rFonts w:cs="Arial"/>
                <w:bCs/>
                <w:noProof/>
                <w:color w:val="000000"/>
                <w:sz w:val="20"/>
                <w:szCs w:val="20"/>
                <w:highlight w:val="black"/>
              </w:rPr>
              <w:t>'''''''''''''''''''</w:t>
            </w:r>
          </w:p>
        </w:tc>
        <w:tc>
          <w:tcPr>
            <w:tcW w:w="1418" w:type="dxa"/>
            <w:vAlign w:val="bottom"/>
          </w:tcPr>
          <w:p w:rsidR="00AF729E" w:rsidRPr="00624706" w:rsidRDefault="00624706" w:rsidP="00AF729E">
            <w:pPr>
              <w:jc w:val="right"/>
              <w:rPr>
                <w:rFonts w:cs="Arial"/>
                <w:bCs/>
                <w:sz w:val="20"/>
                <w:szCs w:val="20"/>
                <w:highlight w:val="black"/>
              </w:rPr>
            </w:pPr>
            <w:r>
              <w:rPr>
                <w:rFonts w:cs="Arial"/>
                <w:bCs/>
                <w:noProof/>
                <w:color w:val="000000"/>
                <w:sz w:val="20"/>
                <w:szCs w:val="20"/>
                <w:highlight w:val="black"/>
              </w:rPr>
              <w:t>'''''''''''''''''''''</w:t>
            </w:r>
          </w:p>
        </w:tc>
        <w:tc>
          <w:tcPr>
            <w:tcW w:w="1329" w:type="dxa"/>
            <w:vAlign w:val="bottom"/>
          </w:tcPr>
          <w:p w:rsidR="00AF729E" w:rsidRPr="00624706" w:rsidRDefault="00624706" w:rsidP="00AF729E">
            <w:pPr>
              <w:jc w:val="right"/>
              <w:rPr>
                <w:rFonts w:cs="Arial"/>
                <w:bCs/>
                <w:sz w:val="20"/>
                <w:szCs w:val="20"/>
                <w:highlight w:val="black"/>
              </w:rPr>
            </w:pPr>
            <w:r>
              <w:rPr>
                <w:rFonts w:cs="Arial"/>
                <w:bCs/>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 xml:space="preserve">Additional </w:t>
            </w:r>
            <w:proofErr w:type="spellStart"/>
            <w:r w:rsidRPr="00C53565">
              <w:rPr>
                <w:rFonts w:eastAsia="MS Mincho" w:cs="Arial"/>
                <w:sz w:val="20"/>
                <w:szCs w:val="20"/>
              </w:rPr>
              <w:t>gCSF</w:t>
            </w:r>
            <w:proofErr w:type="spellEnd"/>
            <w:r w:rsidRPr="00C53565">
              <w:rPr>
                <w:rFonts w:eastAsia="MS Mincho" w:cs="Arial"/>
                <w:sz w:val="20"/>
                <w:szCs w:val="20"/>
              </w:rPr>
              <w:t xml:space="preserve"> PBS drug costs ******</w:t>
            </w:r>
          </w:p>
        </w:tc>
        <w:tc>
          <w:tcPr>
            <w:tcW w:w="1559" w:type="dxa"/>
            <w:vAlign w:val="bottom"/>
          </w:tcPr>
          <w:p w:rsidR="00AF729E" w:rsidRPr="00624706" w:rsidRDefault="00624706">
            <w:pPr>
              <w:jc w:val="right"/>
              <w:rPr>
                <w:rFonts w:cs="Arial"/>
                <w:bCs/>
                <w:sz w:val="20"/>
                <w:szCs w:val="20"/>
                <w:highlight w:val="black"/>
              </w:rPr>
            </w:pPr>
            <w:r>
              <w:rPr>
                <w:rFonts w:cs="Arial"/>
                <w:bCs/>
                <w:noProof/>
                <w:color w:val="000000"/>
                <w:sz w:val="20"/>
                <w:szCs w:val="20"/>
                <w:highlight w:val="black"/>
              </w:rPr>
              <w:t>''''''''''''''</w:t>
            </w:r>
          </w:p>
        </w:tc>
        <w:tc>
          <w:tcPr>
            <w:tcW w:w="1276" w:type="dxa"/>
            <w:vAlign w:val="bottom"/>
          </w:tcPr>
          <w:p w:rsidR="00AF729E" w:rsidRPr="00624706" w:rsidRDefault="00624706">
            <w:pPr>
              <w:jc w:val="right"/>
              <w:rPr>
                <w:rFonts w:cs="Arial"/>
                <w:bCs/>
                <w:sz w:val="20"/>
                <w:szCs w:val="20"/>
                <w:highlight w:val="black"/>
              </w:rPr>
            </w:pPr>
            <w:r>
              <w:rPr>
                <w:rFonts w:cs="Arial"/>
                <w:bCs/>
                <w:noProof/>
                <w:color w:val="000000"/>
                <w:sz w:val="20"/>
                <w:szCs w:val="20"/>
                <w:highlight w:val="black"/>
              </w:rPr>
              <w:t>'''''''''''''''''''</w:t>
            </w:r>
          </w:p>
        </w:tc>
        <w:tc>
          <w:tcPr>
            <w:tcW w:w="1418" w:type="dxa"/>
            <w:vAlign w:val="bottom"/>
          </w:tcPr>
          <w:p w:rsidR="00AF729E" w:rsidRPr="00624706" w:rsidRDefault="00624706">
            <w:pPr>
              <w:jc w:val="right"/>
              <w:rPr>
                <w:rFonts w:cs="Arial"/>
                <w:bCs/>
                <w:sz w:val="20"/>
                <w:szCs w:val="20"/>
                <w:highlight w:val="black"/>
              </w:rPr>
            </w:pPr>
            <w:r>
              <w:rPr>
                <w:rFonts w:cs="Arial"/>
                <w:bCs/>
                <w:noProof/>
                <w:color w:val="000000"/>
                <w:sz w:val="20"/>
                <w:szCs w:val="20"/>
                <w:highlight w:val="black"/>
              </w:rPr>
              <w:t>'''''''''''''''''</w:t>
            </w:r>
          </w:p>
        </w:tc>
        <w:tc>
          <w:tcPr>
            <w:tcW w:w="1329" w:type="dxa"/>
            <w:vAlign w:val="bottom"/>
          </w:tcPr>
          <w:p w:rsidR="00AF729E" w:rsidRPr="00624706" w:rsidRDefault="00624706">
            <w:pPr>
              <w:jc w:val="right"/>
              <w:rPr>
                <w:rFonts w:cs="Arial"/>
                <w:bCs/>
                <w:sz w:val="20"/>
                <w:szCs w:val="20"/>
                <w:highlight w:val="black"/>
              </w:rPr>
            </w:pPr>
            <w:r>
              <w:rPr>
                <w:rFonts w:cs="Arial"/>
                <w:bCs/>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 xml:space="preserve">Additional </w:t>
            </w:r>
            <w:proofErr w:type="spellStart"/>
            <w:r w:rsidRPr="00C53565">
              <w:rPr>
                <w:rFonts w:eastAsia="MS Mincho" w:cs="Arial"/>
                <w:sz w:val="20"/>
                <w:szCs w:val="20"/>
              </w:rPr>
              <w:t>gCSF</w:t>
            </w:r>
            <w:proofErr w:type="spellEnd"/>
            <w:r w:rsidRPr="00C53565">
              <w:rPr>
                <w:rFonts w:eastAsia="MS Mincho" w:cs="Arial"/>
                <w:sz w:val="20"/>
                <w:szCs w:val="20"/>
              </w:rPr>
              <w:t xml:space="preserve"> hospital costs</w:t>
            </w:r>
          </w:p>
        </w:tc>
        <w:tc>
          <w:tcPr>
            <w:tcW w:w="1559" w:type="dxa"/>
            <w:vAlign w:val="bottom"/>
          </w:tcPr>
          <w:p w:rsidR="00AF729E" w:rsidRPr="00624706" w:rsidRDefault="00624706">
            <w:pPr>
              <w:jc w:val="right"/>
              <w:rPr>
                <w:rFonts w:cs="Arial"/>
                <w:bCs/>
                <w:sz w:val="20"/>
                <w:szCs w:val="20"/>
                <w:highlight w:val="black"/>
              </w:rPr>
            </w:pPr>
            <w:r>
              <w:rPr>
                <w:rFonts w:cs="Arial"/>
                <w:bCs/>
                <w:noProof/>
                <w:color w:val="000000"/>
                <w:sz w:val="20"/>
                <w:szCs w:val="20"/>
                <w:highlight w:val="black"/>
              </w:rPr>
              <w:t>'''''''''''''''''</w:t>
            </w:r>
          </w:p>
        </w:tc>
        <w:tc>
          <w:tcPr>
            <w:tcW w:w="1276" w:type="dxa"/>
            <w:vAlign w:val="bottom"/>
          </w:tcPr>
          <w:p w:rsidR="00AF729E" w:rsidRPr="00624706" w:rsidRDefault="00624706">
            <w:pPr>
              <w:jc w:val="right"/>
              <w:rPr>
                <w:rFonts w:cs="Arial"/>
                <w:bCs/>
                <w:sz w:val="20"/>
                <w:szCs w:val="20"/>
                <w:highlight w:val="black"/>
              </w:rPr>
            </w:pPr>
            <w:r>
              <w:rPr>
                <w:rFonts w:cs="Arial"/>
                <w:bCs/>
                <w:noProof/>
                <w:color w:val="000000"/>
                <w:sz w:val="20"/>
                <w:szCs w:val="20"/>
                <w:highlight w:val="black"/>
              </w:rPr>
              <w:t>''''''''''''''''</w:t>
            </w:r>
          </w:p>
        </w:tc>
        <w:tc>
          <w:tcPr>
            <w:tcW w:w="1418" w:type="dxa"/>
            <w:vAlign w:val="bottom"/>
          </w:tcPr>
          <w:p w:rsidR="00AF729E" w:rsidRPr="00624706" w:rsidRDefault="00624706">
            <w:pPr>
              <w:jc w:val="right"/>
              <w:rPr>
                <w:rFonts w:cs="Arial"/>
                <w:bCs/>
                <w:sz w:val="20"/>
                <w:szCs w:val="20"/>
                <w:highlight w:val="black"/>
              </w:rPr>
            </w:pPr>
            <w:r>
              <w:rPr>
                <w:rFonts w:cs="Arial"/>
                <w:bCs/>
                <w:noProof/>
                <w:color w:val="000000"/>
                <w:sz w:val="20"/>
                <w:szCs w:val="20"/>
                <w:highlight w:val="black"/>
              </w:rPr>
              <w:t>''''''''''''''''''</w:t>
            </w:r>
          </w:p>
        </w:tc>
        <w:tc>
          <w:tcPr>
            <w:tcW w:w="1329" w:type="dxa"/>
            <w:vAlign w:val="bottom"/>
          </w:tcPr>
          <w:p w:rsidR="00AF729E" w:rsidRPr="00624706" w:rsidRDefault="00624706">
            <w:pPr>
              <w:jc w:val="right"/>
              <w:rPr>
                <w:rFonts w:cs="Arial"/>
                <w:bCs/>
                <w:sz w:val="20"/>
                <w:szCs w:val="20"/>
                <w:highlight w:val="black"/>
              </w:rPr>
            </w:pPr>
            <w:r>
              <w:rPr>
                <w:rFonts w:cs="Arial"/>
                <w:bCs/>
                <w:noProof/>
                <w:color w:val="000000"/>
                <w:sz w:val="20"/>
                <w:szCs w:val="20"/>
                <w:highlight w:val="black"/>
              </w:rPr>
              <w:t>'''''''''''''''''''</w:t>
            </w:r>
          </w:p>
        </w:tc>
      </w:tr>
      <w:tr w:rsidR="00AF729E" w:rsidRPr="00970BC6">
        <w:trPr>
          <w:trHeight w:val="227"/>
        </w:trPr>
        <w:tc>
          <w:tcPr>
            <w:tcW w:w="2977" w:type="dxa"/>
          </w:tcPr>
          <w:p w:rsidR="00AF729E" w:rsidRPr="00624706" w:rsidRDefault="00333658" w:rsidP="00AF729E">
            <w:pPr>
              <w:widowControl w:val="0"/>
              <w:contextualSpacing/>
              <w:rPr>
                <w:rFonts w:eastAsia="MS Mincho" w:cs="Arial"/>
                <w:sz w:val="20"/>
                <w:szCs w:val="20"/>
              </w:rPr>
            </w:pPr>
            <w:r w:rsidRPr="00C53565">
              <w:rPr>
                <w:rFonts w:eastAsia="MS Mincho" w:cs="Arial"/>
                <w:sz w:val="20"/>
                <w:szCs w:val="20"/>
              </w:rPr>
              <w:t xml:space="preserve">Additional </w:t>
            </w:r>
            <w:proofErr w:type="spellStart"/>
            <w:r w:rsidRPr="00C53565">
              <w:rPr>
                <w:rFonts w:eastAsia="MS Mincho" w:cs="Arial"/>
                <w:sz w:val="20"/>
                <w:szCs w:val="20"/>
              </w:rPr>
              <w:t>gCSF</w:t>
            </w:r>
            <w:proofErr w:type="spellEnd"/>
            <w:r w:rsidRPr="00C53565">
              <w:rPr>
                <w:rFonts w:eastAsia="MS Mincho" w:cs="Arial"/>
                <w:sz w:val="20"/>
                <w:szCs w:val="20"/>
              </w:rPr>
              <w:t xml:space="preserve"> total costs</w:t>
            </w:r>
          </w:p>
        </w:tc>
        <w:tc>
          <w:tcPr>
            <w:tcW w:w="1559" w:type="dxa"/>
            <w:vAlign w:val="bottom"/>
          </w:tcPr>
          <w:p w:rsidR="00AF729E" w:rsidRPr="00624706" w:rsidRDefault="00624706" w:rsidP="00AF729E">
            <w:pPr>
              <w:jc w:val="right"/>
              <w:rPr>
                <w:rFonts w:cs="Arial"/>
                <w:bCs/>
                <w:sz w:val="20"/>
                <w:szCs w:val="20"/>
                <w:highlight w:val="black"/>
              </w:rPr>
            </w:pPr>
            <w:r>
              <w:rPr>
                <w:rFonts w:cs="Arial"/>
                <w:bCs/>
                <w:noProof/>
                <w:color w:val="000000"/>
                <w:sz w:val="20"/>
                <w:szCs w:val="20"/>
                <w:highlight w:val="black"/>
              </w:rPr>
              <w:t>'''''''''''''''''</w:t>
            </w:r>
          </w:p>
        </w:tc>
        <w:tc>
          <w:tcPr>
            <w:tcW w:w="1276" w:type="dxa"/>
            <w:vAlign w:val="bottom"/>
          </w:tcPr>
          <w:p w:rsidR="00AF729E" w:rsidRPr="00624706" w:rsidRDefault="00624706" w:rsidP="00AF729E">
            <w:pPr>
              <w:jc w:val="right"/>
              <w:rPr>
                <w:rFonts w:cs="Arial"/>
                <w:bCs/>
                <w:sz w:val="20"/>
                <w:szCs w:val="20"/>
                <w:highlight w:val="black"/>
              </w:rPr>
            </w:pPr>
            <w:r>
              <w:rPr>
                <w:rFonts w:cs="Arial"/>
                <w:bCs/>
                <w:noProof/>
                <w:color w:val="000000"/>
                <w:sz w:val="20"/>
                <w:szCs w:val="20"/>
                <w:highlight w:val="black"/>
              </w:rPr>
              <w:t>''''''''''''''''''</w:t>
            </w:r>
          </w:p>
        </w:tc>
        <w:tc>
          <w:tcPr>
            <w:tcW w:w="1418" w:type="dxa"/>
            <w:vAlign w:val="bottom"/>
          </w:tcPr>
          <w:p w:rsidR="00AF729E" w:rsidRPr="00624706" w:rsidRDefault="00624706" w:rsidP="00AF729E">
            <w:pPr>
              <w:jc w:val="right"/>
              <w:rPr>
                <w:rFonts w:cs="Arial"/>
                <w:bCs/>
                <w:sz w:val="20"/>
                <w:szCs w:val="20"/>
                <w:highlight w:val="black"/>
              </w:rPr>
            </w:pPr>
            <w:r>
              <w:rPr>
                <w:rFonts w:cs="Arial"/>
                <w:bCs/>
                <w:noProof/>
                <w:color w:val="000000"/>
                <w:sz w:val="20"/>
                <w:szCs w:val="20"/>
                <w:highlight w:val="black"/>
              </w:rPr>
              <w:t>'''''''''''''''''</w:t>
            </w:r>
          </w:p>
        </w:tc>
        <w:tc>
          <w:tcPr>
            <w:tcW w:w="1329" w:type="dxa"/>
            <w:vAlign w:val="bottom"/>
          </w:tcPr>
          <w:p w:rsidR="00AF729E" w:rsidRPr="00624706" w:rsidRDefault="00624706" w:rsidP="00AF729E">
            <w:pPr>
              <w:jc w:val="right"/>
              <w:rPr>
                <w:rFonts w:cs="Arial"/>
                <w:bCs/>
                <w:sz w:val="20"/>
                <w:szCs w:val="20"/>
                <w:highlight w:val="black"/>
              </w:rPr>
            </w:pPr>
            <w:r>
              <w:rPr>
                <w:rFonts w:cs="Arial"/>
                <w:bCs/>
                <w:noProof/>
                <w:color w:val="000000"/>
                <w:sz w:val="20"/>
                <w:szCs w:val="20"/>
                <w:highlight w:val="black"/>
              </w:rPr>
              <w:t>'''''''''''''''''''</w:t>
            </w:r>
          </w:p>
        </w:tc>
      </w:tr>
    </w:tbl>
    <w:p w:rsidR="00AF729E" w:rsidRDefault="00333658" w:rsidP="00AF729E">
      <w:pPr>
        <w:pStyle w:val="ListParagraph"/>
        <w:widowControl w:val="0"/>
        <w:spacing w:after="240"/>
        <w:ind w:left="0"/>
        <w:rPr>
          <w:rFonts w:ascii="Calibri" w:eastAsia="MS Mincho" w:hAnsi="Calibri" w:cs="Times New Roman"/>
          <w:sz w:val="20"/>
          <w:szCs w:val="20"/>
        </w:rPr>
      </w:pPr>
      <w:r>
        <w:rPr>
          <w:rFonts w:ascii="Calibri" w:eastAsia="MS Mincho" w:hAnsi="Calibri" w:cs="Times New Roman"/>
          <w:sz w:val="20"/>
          <w:szCs w:val="20"/>
        </w:rPr>
        <w:t>Source: March 2013 s</w:t>
      </w:r>
      <w:r w:rsidRPr="007D2E7A">
        <w:rPr>
          <w:rFonts w:ascii="Calibri" w:eastAsia="MS Mincho" w:hAnsi="Calibri" w:cs="Times New Roman"/>
          <w:sz w:val="20"/>
          <w:szCs w:val="20"/>
        </w:rPr>
        <w:t>ubmission section E spreadsheet</w:t>
      </w:r>
      <w:r>
        <w:rPr>
          <w:rFonts w:ascii="Calibri" w:eastAsia="MS Mincho" w:hAnsi="Calibri" w:cs="Times New Roman"/>
          <w:sz w:val="20"/>
          <w:szCs w:val="20"/>
        </w:rPr>
        <w:t>, corrected for price negotiation post PBAC recommendation.</w:t>
      </w:r>
    </w:p>
    <w:p w:rsidR="000F3391" w:rsidRDefault="000F3391" w:rsidP="00AF729E">
      <w:pPr>
        <w:pStyle w:val="ListParagraph"/>
        <w:widowControl w:val="0"/>
        <w:spacing w:after="240"/>
        <w:ind w:left="0"/>
        <w:rPr>
          <w:rFonts w:ascii="Calibri" w:eastAsia="MS Mincho" w:hAnsi="Calibri" w:cs="Times New Roman"/>
          <w:sz w:val="20"/>
          <w:szCs w:val="20"/>
        </w:rPr>
      </w:pPr>
      <w:proofErr w:type="spellStart"/>
      <w:proofErr w:type="gramStart"/>
      <w:r>
        <w:rPr>
          <w:rFonts w:ascii="Calibri" w:eastAsia="MS Mincho" w:hAnsi="Calibri" w:cs="Times New Roman"/>
          <w:sz w:val="20"/>
          <w:szCs w:val="20"/>
        </w:rPr>
        <w:t>gCSF</w:t>
      </w:r>
      <w:proofErr w:type="spellEnd"/>
      <w:proofErr w:type="gramEnd"/>
      <w:r>
        <w:rPr>
          <w:rFonts w:ascii="Calibri" w:eastAsia="MS Mincho" w:hAnsi="Calibri" w:cs="Times New Roman"/>
          <w:sz w:val="20"/>
          <w:szCs w:val="20"/>
        </w:rPr>
        <w:t xml:space="preserve"> = </w:t>
      </w:r>
      <w:r w:rsidRPr="00975F00">
        <w:rPr>
          <w:rFonts w:ascii="Calibri" w:eastAsia="MS Mincho" w:hAnsi="Calibri" w:cs="Times New Roman"/>
          <w:sz w:val="20"/>
          <w:szCs w:val="20"/>
        </w:rPr>
        <w:t>granulocyte colony-stimulating factor</w:t>
      </w:r>
    </w:p>
    <w:p w:rsidR="000F3391" w:rsidRDefault="000F3391" w:rsidP="00AF729E">
      <w:pPr>
        <w:pStyle w:val="ListParagraph"/>
        <w:widowControl w:val="0"/>
        <w:spacing w:after="240"/>
        <w:ind w:left="0"/>
        <w:rPr>
          <w:rFonts w:ascii="Calibri" w:eastAsia="MS Mincho" w:hAnsi="Calibri" w:cs="Times New Roman"/>
          <w:sz w:val="20"/>
          <w:szCs w:val="20"/>
        </w:rPr>
      </w:pPr>
      <w:r>
        <w:rPr>
          <w:rFonts w:ascii="Calibri" w:eastAsia="MS Mincho" w:hAnsi="Calibri" w:cs="Times New Roman"/>
          <w:sz w:val="20"/>
          <w:szCs w:val="20"/>
        </w:rPr>
        <w:t xml:space="preserve">INT-1 = </w:t>
      </w:r>
      <w:r w:rsidRPr="000F3391">
        <w:rPr>
          <w:rFonts w:ascii="Calibri" w:eastAsia="MS Mincho" w:hAnsi="Calibri" w:cs="Times New Roman"/>
          <w:sz w:val="20"/>
          <w:szCs w:val="20"/>
        </w:rPr>
        <w:t>intermediate stage</w:t>
      </w:r>
    </w:p>
    <w:p w:rsidR="00AF729E" w:rsidRPr="00E14A3B" w:rsidRDefault="00333658" w:rsidP="00AF729E">
      <w:pPr>
        <w:pStyle w:val="ListParagraph"/>
        <w:widowControl w:val="0"/>
        <w:spacing w:after="240"/>
        <w:ind w:left="0"/>
        <w:rPr>
          <w:rFonts w:ascii="Calibri" w:eastAsia="MS Mincho" w:hAnsi="Calibri" w:cs="Times New Roman"/>
          <w:sz w:val="20"/>
          <w:szCs w:val="20"/>
        </w:rPr>
      </w:pPr>
      <w:r w:rsidRPr="00E14A3B">
        <w:rPr>
          <w:rFonts w:ascii="Calibri" w:eastAsia="MS Mincho" w:hAnsi="Calibri" w:cs="Times New Roman"/>
          <w:sz w:val="20"/>
          <w:szCs w:val="20"/>
        </w:rPr>
        <w:t>*Prevalent patients were calculated by incident patients from the previous year x survival</w:t>
      </w:r>
      <w:r>
        <w:rPr>
          <w:rFonts w:ascii="Calibri" w:eastAsia="MS Mincho" w:hAnsi="Calibri" w:cs="Times New Roman"/>
          <w:sz w:val="20"/>
          <w:szCs w:val="20"/>
        </w:rPr>
        <w:t xml:space="preserve"> </w:t>
      </w:r>
      <w:r w:rsidRPr="00E14A3B">
        <w:rPr>
          <w:rFonts w:ascii="Calibri" w:eastAsia="MS Mincho" w:hAnsi="Calibri" w:cs="Times New Roman"/>
          <w:sz w:val="20"/>
          <w:szCs w:val="20"/>
        </w:rPr>
        <w:t xml:space="preserve">% for each stage at 12 months (Hui, 2008) – </w:t>
      </w:r>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 xml:space="preserve">% who transform to high risk (PBAC 2011 </w:t>
      </w:r>
      <w:r w:rsidR="009828AD">
        <w:rPr>
          <w:rFonts w:ascii="Calibri" w:eastAsia="MS Mincho" w:hAnsi="Calibri" w:cs="Times New Roman"/>
          <w:sz w:val="20"/>
          <w:szCs w:val="20"/>
        </w:rPr>
        <w:t>ratified m</w:t>
      </w:r>
      <w:r w:rsidRPr="00E14A3B">
        <w:rPr>
          <w:rFonts w:ascii="Calibri" w:eastAsia="MS Mincho" w:hAnsi="Calibri" w:cs="Times New Roman"/>
          <w:sz w:val="20"/>
          <w:szCs w:val="20"/>
        </w:rPr>
        <w:t>inutes)</w:t>
      </w:r>
    </w:p>
    <w:p w:rsidR="00AF729E" w:rsidRPr="00E14A3B" w:rsidRDefault="00333658" w:rsidP="00AF729E">
      <w:pPr>
        <w:pStyle w:val="ListParagraph"/>
        <w:widowControl w:val="0"/>
        <w:spacing w:after="240"/>
        <w:ind w:left="0"/>
        <w:rPr>
          <w:rFonts w:ascii="Calibri" w:eastAsia="MS Mincho" w:hAnsi="Calibri" w:cs="Times New Roman"/>
          <w:sz w:val="20"/>
          <w:szCs w:val="20"/>
        </w:rPr>
      </w:pPr>
      <w:r w:rsidRPr="00E14A3B">
        <w:rPr>
          <w:rFonts w:ascii="Calibri" w:eastAsia="MS Mincho" w:hAnsi="Calibri" w:cs="Times New Roman"/>
          <w:sz w:val="20"/>
          <w:szCs w:val="20"/>
        </w:rPr>
        <w:t>** Prevalent patients in low risk and INT-1 stages with 5q deletion (</w:t>
      </w:r>
      <w:proofErr w:type="gramStart"/>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w:t>
      </w:r>
      <w:proofErr w:type="gramEnd"/>
      <w:r w:rsidRPr="00E14A3B">
        <w:rPr>
          <w:rFonts w:ascii="Calibri" w:eastAsia="MS Mincho" w:hAnsi="Calibri" w:cs="Times New Roman"/>
          <w:sz w:val="20"/>
          <w:szCs w:val="20"/>
        </w:rPr>
        <w:t>) and transfusion dependent (</w:t>
      </w:r>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w:t>
      </w:r>
    </w:p>
    <w:p w:rsidR="00AF729E" w:rsidRPr="00E14A3B" w:rsidRDefault="00333658" w:rsidP="00AF729E">
      <w:pPr>
        <w:pStyle w:val="ListParagraph"/>
        <w:widowControl w:val="0"/>
        <w:spacing w:after="240"/>
        <w:ind w:left="0"/>
        <w:rPr>
          <w:rFonts w:ascii="Calibri" w:eastAsia="MS Mincho" w:hAnsi="Calibri" w:cs="Times New Roman"/>
          <w:sz w:val="20"/>
          <w:szCs w:val="20"/>
        </w:rPr>
      </w:pPr>
      <w:r w:rsidRPr="00E14A3B">
        <w:rPr>
          <w:rFonts w:ascii="Calibri" w:eastAsia="MS Mincho" w:hAnsi="Calibri" w:cs="Times New Roman"/>
          <w:sz w:val="20"/>
          <w:szCs w:val="20"/>
        </w:rPr>
        <w:t xml:space="preserve">*** </w:t>
      </w:r>
      <w:proofErr w:type="gramStart"/>
      <w:r w:rsidRPr="00E14A3B">
        <w:rPr>
          <w:rFonts w:ascii="Calibri" w:eastAsia="MS Mincho" w:hAnsi="Calibri" w:cs="Times New Roman"/>
          <w:sz w:val="20"/>
          <w:szCs w:val="20"/>
        </w:rPr>
        <w:t>uptake</w:t>
      </w:r>
      <w:proofErr w:type="gramEnd"/>
      <w:r w:rsidRPr="00E14A3B">
        <w:rPr>
          <w:rFonts w:ascii="Calibri" w:eastAsia="MS Mincho" w:hAnsi="Calibri" w:cs="Times New Roman"/>
          <w:sz w:val="20"/>
          <w:szCs w:val="20"/>
        </w:rPr>
        <w:t xml:space="preserve"> of treatment proposed by Celgene</w:t>
      </w:r>
    </w:p>
    <w:p w:rsidR="00AF729E" w:rsidRPr="00E14A3B" w:rsidRDefault="00333658" w:rsidP="00AF729E">
      <w:pPr>
        <w:pStyle w:val="ListParagraph"/>
        <w:widowControl w:val="0"/>
        <w:spacing w:after="240"/>
        <w:ind w:left="0"/>
        <w:rPr>
          <w:rFonts w:ascii="Calibri" w:eastAsia="MS Mincho" w:hAnsi="Calibri" w:cs="Times New Roman"/>
          <w:sz w:val="20"/>
          <w:szCs w:val="20"/>
        </w:rPr>
      </w:pPr>
      <w:r w:rsidRPr="00E14A3B">
        <w:rPr>
          <w:rFonts w:ascii="Calibri" w:eastAsia="MS Mincho" w:hAnsi="Calibri" w:cs="Times New Roman"/>
          <w:sz w:val="20"/>
          <w:szCs w:val="20"/>
        </w:rPr>
        <w:t xml:space="preserve">**** </w:t>
      </w:r>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 xml:space="preserve">% patients taking </w:t>
      </w:r>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 xml:space="preserve"> packs to provide </w:t>
      </w:r>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 xml:space="preserve"> treatment cycles. </w:t>
      </w:r>
      <w:r w:rsidRPr="00E14A3B">
        <w:rPr>
          <w:rFonts w:ascii="Calibri" w:eastAsia="MS Mincho" w:hAnsi="Calibri" w:cs="Times New Roman"/>
          <w:i/>
          <w:sz w:val="20"/>
          <w:szCs w:val="20"/>
        </w:rPr>
        <w:t>This appears to be an error in the estimates as there is no stated reason why patients take 5</w:t>
      </w:r>
      <w:r w:rsidR="00A1356F">
        <w:rPr>
          <w:rFonts w:ascii="Calibri" w:eastAsia="MS Mincho" w:hAnsi="Calibri" w:cs="Times New Roman"/>
          <w:i/>
          <w:sz w:val="20"/>
          <w:szCs w:val="20"/>
        </w:rPr>
        <w:t> </w:t>
      </w:r>
      <w:r w:rsidRPr="00E14A3B">
        <w:rPr>
          <w:rFonts w:ascii="Calibri" w:eastAsia="MS Mincho" w:hAnsi="Calibri" w:cs="Times New Roman"/>
          <w:i/>
          <w:sz w:val="20"/>
          <w:szCs w:val="20"/>
        </w:rPr>
        <w:t>mg daily for 28 days rather than the treatment cycle in the PI which stated 21 days of 28 day cycle.</w:t>
      </w:r>
    </w:p>
    <w:p w:rsidR="00AF729E" w:rsidRPr="00E14A3B" w:rsidRDefault="00333658" w:rsidP="00AF729E">
      <w:pPr>
        <w:pStyle w:val="ListParagraph"/>
        <w:widowControl w:val="0"/>
        <w:spacing w:after="240"/>
        <w:ind w:left="0"/>
        <w:rPr>
          <w:rFonts w:ascii="Calibri" w:eastAsia="MS Mincho" w:hAnsi="Calibri" w:cs="Times New Roman"/>
          <w:sz w:val="20"/>
          <w:szCs w:val="20"/>
        </w:rPr>
      </w:pPr>
      <w:r w:rsidRPr="00E14A3B">
        <w:rPr>
          <w:rFonts w:ascii="Calibri" w:eastAsia="MS Mincho" w:hAnsi="Calibri" w:cs="Times New Roman"/>
          <w:sz w:val="20"/>
          <w:szCs w:val="20"/>
        </w:rPr>
        <w:t xml:space="preserve">***** </w:t>
      </w:r>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 xml:space="preserve">% patients taking </w:t>
      </w:r>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 xml:space="preserve"> packs to provide </w:t>
      </w:r>
      <w:r w:rsidR="00624706">
        <w:rPr>
          <w:rFonts w:ascii="Calibri" w:eastAsia="MS Mincho" w:hAnsi="Calibri" w:cs="Times New Roman"/>
          <w:noProof/>
          <w:color w:val="000000"/>
          <w:sz w:val="20"/>
          <w:szCs w:val="20"/>
          <w:highlight w:val="black"/>
        </w:rPr>
        <w:t>''''''''</w:t>
      </w:r>
      <w:r w:rsidRPr="00E14A3B">
        <w:rPr>
          <w:rFonts w:ascii="Calibri" w:eastAsia="MS Mincho" w:hAnsi="Calibri" w:cs="Times New Roman"/>
          <w:sz w:val="20"/>
          <w:szCs w:val="20"/>
        </w:rPr>
        <w:t xml:space="preserve"> treatment cycles</w:t>
      </w:r>
    </w:p>
    <w:p w:rsidR="00AF729E" w:rsidRPr="00E14A3B" w:rsidRDefault="00333658" w:rsidP="00AF729E">
      <w:pPr>
        <w:pStyle w:val="ListParagraph"/>
        <w:widowControl w:val="0"/>
        <w:spacing w:after="240"/>
        <w:ind w:left="0"/>
        <w:rPr>
          <w:rFonts w:ascii="Calibri" w:eastAsia="MS Mincho" w:hAnsi="Calibri" w:cs="Times New Roman"/>
          <w:sz w:val="20"/>
          <w:szCs w:val="20"/>
        </w:rPr>
      </w:pPr>
      <w:r w:rsidRPr="00E14A3B">
        <w:rPr>
          <w:rFonts w:ascii="Calibri" w:eastAsia="MS Mincho" w:hAnsi="Calibri" w:cs="Times New Roman"/>
          <w:sz w:val="20"/>
          <w:szCs w:val="20"/>
        </w:rPr>
        <w:t>******</w:t>
      </w:r>
      <w:r>
        <w:rPr>
          <w:rFonts w:ascii="Calibri" w:eastAsia="MS Mincho" w:hAnsi="Calibri" w:cs="Times New Roman"/>
          <w:sz w:val="20"/>
          <w:szCs w:val="20"/>
        </w:rPr>
        <w:t xml:space="preserve"> </w:t>
      </w:r>
      <w:r w:rsidRPr="00E14A3B">
        <w:rPr>
          <w:rFonts w:ascii="Calibri" w:eastAsia="MS Mincho" w:hAnsi="Calibri" w:cs="Times New Roman"/>
          <w:sz w:val="20"/>
          <w:szCs w:val="20"/>
        </w:rPr>
        <w:t xml:space="preserve">60% patients expected to have Grade 3 or 4 neutropenia requiring </w:t>
      </w:r>
      <w:proofErr w:type="spellStart"/>
      <w:r w:rsidRPr="00E14A3B">
        <w:rPr>
          <w:rFonts w:ascii="Calibri" w:eastAsia="MS Mincho" w:hAnsi="Calibri" w:cs="Times New Roman"/>
          <w:sz w:val="20"/>
          <w:szCs w:val="20"/>
        </w:rPr>
        <w:t>gCSF</w:t>
      </w:r>
      <w:proofErr w:type="spellEnd"/>
      <w:r>
        <w:rPr>
          <w:rFonts w:ascii="Calibri" w:eastAsia="MS Mincho" w:hAnsi="Calibri" w:cs="Times New Roman"/>
          <w:sz w:val="20"/>
          <w:szCs w:val="20"/>
        </w:rPr>
        <w:t xml:space="preserve"> treatment.</w:t>
      </w:r>
      <w:r w:rsidRPr="00E14A3B">
        <w:rPr>
          <w:rFonts w:ascii="Calibri" w:eastAsia="MS Mincho" w:hAnsi="Calibri" w:cs="Times New Roman"/>
          <w:sz w:val="20"/>
          <w:szCs w:val="20"/>
        </w:rPr>
        <w:t xml:space="preserve"> </w:t>
      </w:r>
    </w:p>
    <w:p w:rsidR="00AF729E" w:rsidRDefault="00AF729E" w:rsidP="00AF729E">
      <w:pPr>
        <w:pStyle w:val="ListParagraph"/>
        <w:widowControl w:val="0"/>
        <w:spacing w:after="240"/>
        <w:ind w:left="0"/>
        <w:rPr>
          <w:rFonts w:ascii="Calibri" w:eastAsia="MS Mincho" w:hAnsi="Calibri" w:cs="Times New Roman"/>
        </w:rPr>
      </w:pPr>
    </w:p>
    <w:p w:rsidR="00AF729E" w:rsidRDefault="00333658" w:rsidP="00AF729E">
      <w:pPr>
        <w:pStyle w:val="ListParagraph"/>
        <w:widowControl w:val="0"/>
        <w:spacing w:after="240"/>
        <w:ind w:left="0"/>
        <w:rPr>
          <w:rFonts w:ascii="Calibri" w:eastAsia="MS Mincho" w:hAnsi="Calibri" w:cs="Times New Roman"/>
        </w:rPr>
      </w:pPr>
      <w:r>
        <w:rPr>
          <w:rFonts w:ascii="Calibri" w:eastAsia="MS Mincho" w:hAnsi="Calibri" w:cs="Times New Roman"/>
        </w:rPr>
        <w:t xml:space="preserve">The prices were adjusted in this </w:t>
      </w:r>
      <w:r w:rsidR="00072468">
        <w:rPr>
          <w:rFonts w:ascii="Calibri" w:eastAsia="MS Mincho" w:hAnsi="Calibri" w:cs="Times New Roman"/>
        </w:rPr>
        <w:t>analysis to</w:t>
      </w:r>
      <w:r>
        <w:rPr>
          <w:rFonts w:ascii="Calibri" w:eastAsia="MS Mincho" w:hAnsi="Calibri" w:cs="Times New Roman"/>
        </w:rPr>
        <w:t xml:space="preserve"> allow for the published price agreed with Celgene after the PBAC recommendation to list. The PBAC made the recommendation on the basis of the effective price proposed by Celgene. The effective price is commercial-in-confidence. Celgene and the Commonwealth have a deed of agreement that provides for the Department of Health to invoice Celgene for the difference between the expenditure based on the published and effective price per quarter.</w:t>
      </w:r>
    </w:p>
    <w:p w:rsidR="00AF729E" w:rsidRDefault="00AF729E" w:rsidP="00AF729E">
      <w:pPr>
        <w:pStyle w:val="ListParagraph"/>
        <w:widowControl w:val="0"/>
        <w:spacing w:after="240"/>
        <w:ind w:left="0"/>
        <w:rPr>
          <w:rFonts w:ascii="Calibri" w:eastAsia="MS Mincho" w:hAnsi="Calibri" w:cs="Times New Roman"/>
        </w:rPr>
      </w:pPr>
    </w:p>
    <w:p w:rsidR="00AF729E" w:rsidRDefault="00333658" w:rsidP="00AF729E">
      <w:pPr>
        <w:pStyle w:val="ListParagraph"/>
        <w:widowControl w:val="0"/>
        <w:spacing w:after="240"/>
        <w:ind w:left="0"/>
        <w:rPr>
          <w:rFonts w:ascii="Calibri" w:eastAsia="MS Mincho" w:hAnsi="Calibri" w:cs="Times New Roman"/>
        </w:rPr>
      </w:pPr>
      <w:r>
        <w:rPr>
          <w:rFonts w:ascii="Calibri" w:eastAsia="MS Mincho" w:hAnsi="Calibri" w:cs="Times New Roman"/>
        </w:rPr>
        <w:t xml:space="preserve">The submissions considered by PBAC in March 2011, July 2011 and March 2013 were not reviewed by DUSC. </w:t>
      </w:r>
    </w:p>
    <w:p w:rsidR="00AF729E" w:rsidRDefault="00333658" w:rsidP="00AF729E">
      <w:pPr>
        <w:spacing w:after="0"/>
        <w:rPr>
          <w:rFonts w:ascii="Calibri" w:eastAsia="MS Mincho" w:hAnsi="Calibri" w:cs="Times New Roman"/>
        </w:rPr>
      </w:pPr>
      <w:r>
        <w:rPr>
          <w:rFonts w:ascii="Calibri" w:eastAsia="MS Mincho" w:hAnsi="Calibri" w:cs="Times New Roman"/>
        </w:rPr>
        <w:t xml:space="preserve">The following is extracted from the PBAC Minutes March 2013. </w:t>
      </w:r>
    </w:p>
    <w:p w:rsidR="00AF729E" w:rsidRPr="00190784" w:rsidRDefault="00333658" w:rsidP="00AF729E">
      <w:pPr>
        <w:spacing w:after="0"/>
        <w:rPr>
          <w:rFonts w:ascii="Calibri" w:eastAsia="MS Mincho" w:hAnsi="Calibri" w:cs="Times New Roman"/>
          <w:i/>
        </w:rPr>
      </w:pPr>
      <w:r w:rsidRPr="00190784">
        <w:rPr>
          <w:rFonts w:ascii="Calibri" w:eastAsia="MS Mincho" w:hAnsi="Calibri" w:cs="Times New Roman"/>
          <w:i/>
        </w:rPr>
        <w:t>The PBAC considered that a remaining uncertainty in the [health economic] model, the accuracy of the proportion of 5</w:t>
      </w:r>
      <w:r w:rsidR="00785847">
        <w:rPr>
          <w:rFonts w:ascii="Calibri" w:eastAsia="MS Mincho" w:hAnsi="Calibri" w:cs="Times New Roman"/>
          <w:i/>
        </w:rPr>
        <w:t> </w:t>
      </w:r>
      <w:r w:rsidRPr="00190784">
        <w:rPr>
          <w:rFonts w:ascii="Calibri" w:eastAsia="MS Mincho" w:hAnsi="Calibri" w:cs="Times New Roman"/>
          <w:i/>
        </w:rPr>
        <w:t>mg and 10</w:t>
      </w:r>
      <w:r w:rsidR="00785847">
        <w:rPr>
          <w:rFonts w:ascii="Calibri" w:eastAsia="MS Mincho" w:hAnsi="Calibri" w:cs="Times New Roman"/>
          <w:i/>
        </w:rPr>
        <w:t> </w:t>
      </w:r>
      <w:r w:rsidRPr="00190784">
        <w:rPr>
          <w:rFonts w:ascii="Calibri" w:eastAsia="MS Mincho" w:hAnsi="Calibri" w:cs="Times New Roman"/>
          <w:i/>
        </w:rPr>
        <w:t>mg tablets used per patient and the duration of treatment, would be best addressed through calculation of the estimates of likely use in a risk sharing arrangement between the Commonwealth and the sponsor.</w:t>
      </w:r>
    </w:p>
    <w:p w:rsidR="00AF729E" w:rsidRPr="00190784" w:rsidRDefault="00AF729E" w:rsidP="00AF729E">
      <w:pPr>
        <w:spacing w:after="0"/>
        <w:rPr>
          <w:rFonts w:ascii="Calibri" w:eastAsia="MS Mincho" w:hAnsi="Calibri" w:cs="Times New Roman"/>
          <w:i/>
        </w:rPr>
      </w:pPr>
    </w:p>
    <w:p w:rsidR="00AF729E" w:rsidRPr="00190784" w:rsidRDefault="00333658" w:rsidP="00AF729E">
      <w:pPr>
        <w:spacing w:after="0"/>
        <w:rPr>
          <w:rFonts w:ascii="Calibri" w:eastAsia="MS Mincho" w:hAnsi="Calibri" w:cs="Times New Roman"/>
          <w:i/>
        </w:rPr>
      </w:pPr>
      <w:r w:rsidRPr="00190784">
        <w:rPr>
          <w:rFonts w:ascii="Calibri" w:eastAsia="MS Mincho" w:hAnsi="Calibri" w:cs="Times New Roman"/>
          <w:i/>
        </w:rPr>
        <w:t>The PBAC accepted the net cost to the Government provided in the pre-PBAC response reflected the most likely estimate of use in Australia. The patients enrolled in the clinical trial reflected the PBS-eligible population but [the PBAC was] concerned that there was a risk of broader use, particularly where patients did not cease therapy when non-responsive (non-response as measured in the clinical trial).The committee noted that inclusion of non-responders and use of PBS listed medicines to manage adverse drug events in the estimates model was appropriate.</w:t>
      </w:r>
    </w:p>
    <w:p w:rsidR="00AF729E" w:rsidRPr="00190784" w:rsidRDefault="00AF729E" w:rsidP="00AF729E">
      <w:pPr>
        <w:spacing w:after="0"/>
        <w:rPr>
          <w:rFonts w:ascii="Calibri" w:eastAsia="MS Mincho" w:hAnsi="Calibri" w:cs="Times New Roman"/>
          <w:i/>
        </w:rPr>
      </w:pPr>
    </w:p>
    <w:p w:rsidR="00AF729E" w:rsidRPr="00190784" w:rsidRDefault="00333658" w:rsidP="00AF729E">
      <w:pPr>
        <w:spacing w:after="0"/>
        <w:rPr>
          <w:rFonts w:ascii="Calibri" w:eastAsia="MS Mincho" w:hAnsi="Calibri" w:cs="Times New Roman"/>
          <w:i/>
        </w:rPr>
      </w:pPr>
      <w:r w:rsidRPr="00190784">
        <w:rPr>
          <w:rFonts w:ascii="Calibri" w:eastAsia="MS Mincho" w:hAnsi="Calibri" w:cs="Times New Roman"/>
          <w:i/>
        </w:rPr>
        <w:t>In considering the total cost, the PBAC recommended that the Commonwealth and sponsor have a risk sharing arrangement to manage the possibility of additional costs to those provided in the submission (outlined in the pre-PBAC response). The PBAC considered that there were three particular areas of concern</w:t>
      </w:r>
      <w:r w:rsidR="00072468" w:rsidRPr="00190784">
        <w:rPr>
          <w:rFonts w:ascii="Calibri" w:eastAsia="MS Mincho" w:hAnsi="Calibri" w:cs="Times New Roman"/>
          <w:i/>
        </w:rPr>
        <w:t>; the</w:t>
      </w:r>
      <w:r w:rsidRPr="00190784">
        <w:rPr>
          <w:rFonts w:ascii="Calibri" w:eastAsia="MS Mincho" w:hAnsi="Calibri" w:cs="Times New Roman"/>
          <w:i/>
        </w:rPr>
        <w:t xml:space="preserve"> possibility of people with other MDS being included in treatment, uncertainty about the proportion of 5</w:t>
      </w:r>
      <w:r w:rsidR="00785847">
        <w:rPr>
          <w:rFonts w:ascii="Calibri" w:eastAsia="MS Mincho" w:hAnsi="Calibri" w:cs="Times New Roman"/>
          <w:i/>
        </w:rPr>
        <w:t> </w:t>
      </w:r>
      <w:r w:rsidRPr="00190784">
        <w:rPr>
          <w:rFonts w:ascii="Calibri" w:eastAsia="MS Mincho" w:hAnsi="Calibri" w:cs="Times New Roman"/>
          <w:i/>
        </w:rPr>
        <w:t>mg and 10</w:t>
      </w:r>
      <w:r w:rsidR="00785847">
        <w:rPr>
          <w:rFonts w:ascii="Calibri" w:eastAsia="MS Mincho" w:hAnsi="Calibri" w:cs="Times New Roman"/>
          <w:i/>
        </w:rPr>
        <w:t> </w:t>
      </w:r>
      <w:r w:rsidRPr="00190784">
        <w:rPr>
          <w:rFonts w:ascii="Calibri" w:eastAsia="MS Mincho" w:hAnsi="Calibri" w:cs="Times New Roman"/>
          <w:i/>
        </w:rPr>
        <w:t>mg packs, and about the proportion of non-responders who continue therapy.</w:t>
      </w:r>
    </w:p>
    <w:p w:rsidR="00AF729E" w:rsidRPr="00190784" w:rsidRDefault="00AF729E" w:rsidP="00AF729E">
      <w:pPr>
        <w:spacing w:after="0"/>
        <w:rPr>
          <w:rFonts w:ascii="Calibri" w:eastAsia="MS Mincho" w:hAnsi="Calibri" w:cs="Times New Roman"/>
          <w:i/>
        </w:rPr>
      </w:pPr>
    </w:p>
    <w:p w:rsidR="00AF729E" w:rsidRDefault="00333658" w:rsidP="00AF729E">
      <w:pPr>
        <w:spacing w:after="0"/>
        <w:rPr>
          <w:rFonts w:ascii="Calibri" w:eastAsia="MS Mincho" w:hAnsi="Calibri" w:cs="Times New Roman"/>
        </w:rPr>
      </w:pPr>
      <w:r w:rsidRPr="00190784">
        <w:rPr>
          <w:rFonts w:ascii="Calibri" w:eastAsia="MS Mincho" w:hAnsi="Calibri" w:cs="Times New Roman"/>
          <w:i/>
        </w:rPr>
        <w:t>The PBAC asked that the DUSC include analysis of the duration of therapy per patient and the proportion of use of the different strength packs in any review of utilisation post listing.</w:t>
      </w:r>
    </w:p>
    <w:p w:rsidR="00AF729E" w:rsidRDefault="00333658" w:rsidP="00AF729E">
      <w:pPr>
        <w:spacing w:before="240"/>
        <w:outlineLvl w:val="1"/>
        <w:rPr>
          <w:rFonts w:ascii="Calibri" w:eastAsia="MS Mincho" w:hAnsi="Calibri" w:cs="Times New Roman"/>
          <w:b/>
        </w:rPr>
      </w:pPr>
      <w:r w:rsidRPr="003F0749">
        <w:rPr>
          <w:rFonts w:ascii="Calibri" w:eastAsia="MS Mincho" w:hAnsi="Calibri" w:cs="Times New Roman"/>
          <w:b/>
          <w:sz w:val="28"/>
        </w:rPr>
        <w:t xml:space="preserve">PBS listing details </w:t>
      </w:r>
      <w:r w:rsidRPr="003F0749">
        <w:rPr>
          <w:rFonts w:ascii="Calibri" w:eastAsia="MS Mincho" w:hAnsi="Calibri" w:cs="Times New Roman"/>
          <w:b/>
        </w:rPr>
        <w:t>(as at A</w:t>
      </w:r>
      <w:r>
        <w:rPr>
          <w:rFonts w:ascii="Calibri" w:eastAsia="MS Mincho" w:hAnsi="Calibri" w:cs="Times New Roman"/>
          <w:b/>
        </w:rPr>
        <w:t>ugust</w:t>
      </w:r>
      <w:r w:rsidRPr="003F0749">
        <w:rPr>
          <w:rFonts w:ascii="Calibri" w:eastAsia="MS Mincho" w:hAnsi="Calibri" w:cs="Times New Roman"/>
          <w:b/>
        </w:rPr>
        <w:t xml:space="preserve"> 2017)</w:t>
      </w:r>
    </w:p>
    <w:p w:rsidR="00AF729E" w:rsidRDefault="00333658" w:rsidP="00AF729E">
      <w:pPr>
        <w:rPr>
          <w:rFonts w:eastAsia="Times New Roman" w:cs="Arial"/>
          <w:color w:val="222222"/>
        </w:rPr>
      </w:pPr>
      <w:r w:rsidRPr="00155F9A">
        <w:rPr>
          <w:rFonts w:eastAsia="Times New Roman" w:cs="Arial"/>
          <w:color w:val="222222"/>
        </w:rPr>
        <w:t xml:space="preserve">The treatment must be limited to a maximum duration of 16 weeks, </w:t>
      </w:r>
      <w:r w:rsidRPr="00155F9A">
        <w:rPr>
          <w:rFonts w:eastAsia="Times New Roman" w:cs="Arial"/>
          <w:bCs/>
          <w:color w:val="222222"/>
        </w:rPr>
        <w:t>AND p</w:t>
      </w:r>
      <w:r w:rsidRPr="00155F9A">
        <w:rPr>
          <w:rFonts w:eastAsia="Times New Roman" w:cs="Arial"/>
          <w:color w:val="222222"/>
        </w:rPr>
        <w:t xml:space="preserve">atients must be classified as Low risk or Intermediate-1 according to the International Prognostic Scoring System (IPSS), </w:t>
      </w:r>
      <w:r w:rsidRPr="00155F9A">
        <w:rPr>
          <w:rFonts w:eastAsia="Times New Roman" w:cs="Arial"/>
          <w:bCs/>
          <w:color w:val="222222"/>
        </w:rPr>
        <w:t>AND p</w:t>
      </w:r>
      <w:r w:rsidRPr="00155F9A">
        <w:rPr>
          <w:rFonts w:eastAsia="Times New Roman" w:cs="Arial"/>
          <w:color w:val="222222"/>
        </w:rPr>
        <w:t xml:space="preserve">atients must have a deletion 5q cytogenetic abnormality with or without additional cytogenetic abnormalities, </w:t>
      </w:r>
      <w:r w:rsidRPr="00155F9A">
        <w:rPr>
          <w:rFonts w:eastAsia="Times New Roman" w:cs="Arial"/>
          <w:bCs/>
          <w:color w:val="222222"/>
        </w:rPr>
        <w:t>AND p</w:t>
      </w:r>
      <w:r w:rsidRPr="00155F9A">
        <w:rPr>
          <w:rFonts w:eastAsia="Times New Roman" w:cs="Arial"/>
          <w:color w:val="222222"/>
        </w:rPr>
        <w:t>atients must be red blood cell transfusion dependent.</w:t>
      </w:r>
    </w:p>
    <w:p w:rsidR="00AF729E" w:rsidRDefault="00333658" w:rsidP="00AF729E">
      <w:r>
        <w:t xml:space="preserve">Details of the full restriction are attached in Appendix A. </w:t>
      </w:r>
      <w:r w:rsidRPr="00155F9A">
        <w:t xml:space="preserve">There have been no changes to the </w:t>
      </w:r>
      <w:r w:rsidR="00072468" w:rsidRPr="00155F9A">
        <w:t>restriction</w:t>
      </w:r>
      <w:r w:rsidRPr="00155F9A">
        <w:t xml:space="preserve"> wording since listing on 1 October 2013.</w:t>
      </w:r>
    </w:p>
    <w:p w:rsidR="00AF729E" w:rsidRDefault="00333658">
      <w:pPr>
        <w:spacing w:line="276" w:lineRule="auto"/>
        <w:rPr>
          <w:b/>
        </w:rPr>
      </w:pPr>
      <w:r>
        <w:rPr>
          <w:b/>
        </w:rPr>
        <w:br w:type="page"/>
      </w:r>
    </w:p>
    <w:p w:rsidR="00AF729E" w:rsidRPr="00384708" w:rsidRDefault="00333658" w:rsidP="00AF729E">
      <w:pPr>
        <w:spacing w:after="0"/>
        <w:rPr>
          <w:rFonts w:eastAsia="Times New Roman" w:cs="Arial"/>
          <w:b/>
          <w:color w:val="222222"/>
        </w:rPr>
      </w:pPr>
      <w:r w:rsidRPr="00384708">
        <w:rPr>
          <w:b/>
        </w:rPr>
        <w:lastRenderedPageBreak/>
        <w:t>Table 2: Listing Details</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474"/>
        <w:gridCol w:w="505"/>
        <w:gridCol w:w="1204"/>
        <w:gridCol w:w="780"/>
        <w:gridCol w:w="1356"/>
        <w:gridCol w:w="914"/>
        <w:gridCol w:w="1053"/>
        <w:gridCol w:w="935"/>
      </w:tblGrid>
      <w:tr w:rsidR="00AF729E" w:rsidRPr="00CD29FD">
        <w:trPr>
          <w:trHeight w:val="471"/>
        </w:trPr>
        <w:tc>
          <w:tcPr>
            <w:tcW w:w="902" w:type="pct"/>
            <w:shd w:val="clear" w:color="auto" w:fill="BFBFBF" w:themeFill="background1" w:themeFillShade="BF"/>
            <w:vAlign w:val="center"/>
          </w:tcPr>
          <w:p w:rsidR="00AF729E" w:rsidRPr="00CD29FD" w:rsidRDefault="00333658" w:rsidP="00AF729E">
            <w:pPr>
              <w:keepNext/>
              <w:spacing w:after="0"/>
              <w:ind w:left="-108"/>
              <w:rPr>
                <w:rFonts w:cs="Arial"/>
                <w:b/>
                <w:sz w:val="20"/>
                <w:szCs w:val="20"/>
              </w:rPr>
            </w:pPr>
            <w:r w:rsidRPr="00CD29FD">
              <w:rPr>
                <w:rFonts w:cs="Arial"/>
                <w:b/>
                <w:sz w:val="20"/>
                <w:szCs w:val="20"/>
              </w:rPr>
              <w:t>Name</w:t>
            </w:r>
          </w:p>
          <w:p w:rsidR="00AF729E" w:rsidRPr="00CD29FD" w:rsidRDefault="00333658" w:rsidP="00AF729E">
            <w:pPr>
              <w:keepNext/>
              <w:spacing w:after="0"/>
              <w:ind w:left="-108"/>
              <w:rPr>
                <w:rFonts w:cs="Arial"/>
                <w:b/>
                <w:sz w:val="20"/>
                <w:szCs w:val="20"/>
              </w:rPr>
            </w:pPr>
            <w:r w:rsidRPr="00CD29FD">
              <w:rPr>
                <w:rFonts w:cs="Arial"/>
                <w:b/>
                <w:sz w:val="20"/>
                <w:szCs w:val="20"/>
              </w:rPr>
              <w:t>Form &amp; Strength</w:t>
            </w:r>
          </w:p>
        </w:tc>
        <w:tc>
          <w:tcPr>
            <w:tcW w:w="267" w:type="pct"/>
            <w:shd w:val="clear" w:color="auto" w:fill="BFBFBF" w:themeFill="background1" w:themeFillShade="BF"/>
            <w:vAlign w:val="center"/>
          </w:tcPr>
          <w:p w:rsidR="00AF729E" w:rsidRPr="00CD29FD" w:rsidRDefault="00333658" w:rsidP="00AF729E">
            <w:pPr>
              <w:keepNext/>
              <w:spacing w:after="0"/>
              <w:ind w:left="-108"/>
              <w:jc w:val="center"/>
              <w:rPr>
                <w:rFonts w:cs="Arial"/>
                <w:b/>
                <w:sz w:val="20"/>
                <w:szCs w:val="20"/>
              </w:rPr>
            </w:pPr>
            <w:r w:rsidRPr="00CD29FD">
              <w:rPr>
                <w:rFonts w:cs="Arial"/>
                <w:b/>
                <w:sz w:val="20"/>
                <w:szCs w:val="20"/>
              </w:rPr>
              <w:t xml:space="preserve">Max </w:t>
            </w:r>
            <w:proofErr w:type="spellStart"/>
            <w:r w:rsidRPr="00CD29FD">
              <w:rPr>
                <w:rFonts w:cs="Arial"/>
                <w:b/>
                <w:sz w:val="20"/>
                <w:szCs w:val="20"/>
              </w:rPr>
              <w:t>Qty</w:t>
            </w:r>
            <w:proofErr w:type="spellEnd"/>
          </w:p>
        </w:tc>
        <w:tc>
          <w:tcPr>
            <w:tcW w:w="292" w:type="pct"/>
            <w:shd w:val="clear" w:color="auto" w:fill="BFBFBF" w:themeFill="background1" w:themeFillShade="BF"/>
            <w:vAlign w:val="center"/>
          </w:tcPr>
          <w:p w:rsidR="00AF729E" w:rsidRPr="00CD29FD" w:rsidRDefault="00333658" w:rsidP="00AF729E">
            <w:pPr>
              <w:keepNext/>
              <w:spacing w:after="0"/>
              <w:ind w:left="-108"/>
              <w:jc w:val="center"/>
              <w:rPr>
                <w:rFonts w:cs="Arial"/>
                <w:b/>
                <w:sz w:val="20"/>
                <w:szCs w:val="20"/>
              </w:rPr>
            </w:pPr>
            <w:r w:rsidRPr="00CD29FD">
              <w:rPr>
                <w:rFonts w:cs="Arial"/>
                <w:b/>
                <w:sz w:val="20"/>
                <w:szCs w:val="20"/>
              </w:rPr>
              <w:t xml:space="preserve">№ of </w:t>
            </w:r>
            <w:proofErr w:type="spellStart"/>
            <w:r w:rsidRPr="00CD29FD">
              <w:rPr>
                <w:rFonts w:cs="Arial"/>
                <w:b/>
                <w:sz w:val="20"/>
                <w:szCs w:val="20"/>
              </w:rPr>
              <w:t>Rpts</w:t>
            </w:r>
            <w:proofErr w:type="spellEnd"/>
          </w:p>
        </w:tc>
        <w:tc>
          <w:tcPr>
            <w:tcW w:w="2400" w:type="pct"/>
            <w:gridSpan w:val="4"/>
            <w:shd w:val="clear" w:color="auto" w:fill="BFBFBF" w:themeFill="background1" w:themeFillShade="BF"/>
            <w:vAlign w:val="center"/>
          </w:tcPr>
          <w:p w:rsidR="00AF729E" w:rsidRPr="00CD29FD" w:rsidRDefault="00333658" w:rsidP="00AF729E">
            <w:pPr>
              <w:keepNext/>
              <w:spacing w:after="0"/>
              <w:jc w:val="center"/>
              <w:rPr>
                <w:rFonts w:cs="Arial"/>
                <w:b/>
                <w:sz w:val="20"/>
                <w:szCs w:val="20"/>
              </w:rPr>
            </w:pPr>
            <w:r w:rsidRPr="00CD29FD">
              <w:rPr>
                <w:rFonts w:cs="Arial"/>
                <w:b/>
                <w:sz w:val="20"/>
                <w:szCs w:val="20"/>
              </w:rPr>
              <w:t>Original Dispensed Price</w:t>
            </w:r>
          </w:p>
          <w:p w:rsidR="00AF729E" w:rsidRPr="00CD29FD" w:rsidRDefault="00333658" w:rsidP="00AF729E">
            <w:pPr>
              <w:keepNext/>
              <w:spacing w:after="0"/>
              <w:jc w:val="center"/>
              <w:rPr>
                <w:rFonts w:cs="Arial"/>
                <w:b/>
                <w:sz w:val="20"/>
                <w:szCs w:val="20"/>
              </w:rPr>
            </w:pPr>
            <w:r w:rsidRPr="00CD29FD">
              <w:rPr>
                <w:rFonts w:cs="Arial"/>
                <w:b/>
                <w:sz w:val="20"/>
                <w:szCs w:val="20"/>
              </w:rPr>
              <w:t>Current Dispensed Price</w:t>
            </w:r>
            <w:r w:rsidRPr="00CD29FD">
              <w:rPr>
                <w:rFonts w:cs="Arial"/>
                <w:b/>
                <w:sz w:val="20"/>
                <w:szCs w:val="20"/>
                <w:vertAlign w:val="superscript"/>
              </w:rPr>
              <w:t>1</w:t>
            </w:r>
          </w:p>
          <w:p w:rsidR="00AF729E" w:rsidRPr="00CD29FD" w:rsidRDefault="00333658" w:rsidP="00AF729E">
            <w:pPr>
              <w:keepNext/>
              <w:spacing w:after="0"/>
              <w:jc w:val="center"/>
              <w:rPr>
                <w:rFonts w:cs="Arial"/>
                <w:b/>
                <w:sz w:val="20"/>
                <w:szCs w:val="20"/>
              </w:rPr>
            </w:pPr>
            <w:r w:rsidRPr="00CD29FD">
              <w:rPr>
                <w:rFonts w:cs="Arial"/>
                <w:b/>
                <w:sz w:val="20"/>
                <w:szCs w:val="20"/>
              </w:rPr>
              <w:t>(</w:t>
            </w:r>
            <w:r w:rsidRPr="00CD29FD">
              <w:rPr>
                <w:rFonts w:cs="Arial"/>
                <w:b/>
                <w:i/>
                <w:sz w:val="20"/>
                <w:szCs w:val="20"/>
              </w:rPr>
              <w:t>current effective price</w:t>
            </w:r>
            <w:r w:rsidRPr="00CD29FD">
              <w:rPr>
                <w:rFonts w:cs="Arial"/>
                <w:b/>
                <w:sz w:val="20"/>
                <w:szCs w:val="20"/>
              </w:rPr>
              <w:t xml:space="preserve">) </w:t>
            </w:r>
            <w:r w:rsidRPr="00CD29FD">
              <w:rPr>
                <w:rFonts w:cs="Arial"/>
                <w:b/>
                <w:sz w:val="20"/>
                <w:szCs w:val="20"/>
                <w:vertAlign w:val="superscript"/>
              </w:rPr>
              <w:t>2</w:t>
            </w:r>
          </w:p>
        </w:tc>
        <w:tc>
          <w:tcPr>
            <w:tcW w:w="1139" w:type="pct"/>
            <w:gridSpan w:val="2"/>
            <w:shd w:val="clear" w:color="auto" w:fill="BFBFBF" w:themeFill="background1" w:themeFillShade="BF"/>
            <w:vAlign w:val="center"/>
          </w:tcPr>
          <w:p w:rsidR="00AF729E" w:rsidRPr="00CD29FD" w:rsidRDefault="00333658" w:rsidP="00AF729E">
            <w:pPr>
              <w:keepNext/>
              <w:spacing w:after="0"/>
              <w:jc w:val="center"/>
              <w:rPr>
                <w:rFonts w:cs="Arial"/>
                <w:b/>
                <w:sz w:val="20"/>
                <w:szCs w:val="20"/>
                <w:lang w:val="fr-FR"/>
              </w:rPr>
            </w:pPr>
            <w:r w:rsidRPr="00CD29FD">
              <w:rPr>
                <w:rFonts w:cs="Arial"/>
                <w:b/>
                <w:sz w:val="20"/>
                <w:szCs w:val="20"/>
              </w:rPr>
              <w:t>Proprietary Name and Manufacturer</w:t>
            </w:r>
          </w:p>
        </w:tc>
      </w:tr>
      <w:tr w:rsidR="00AF729E" w:rsidRPr="00EE0058">
        <w:trPr>
          <w:trHeight w:val="517"/>
        </w:trPr>
        <w:tc>
          <w:tcPr>
            <w:tcW w:w="902" w:type="pct"/>
            <w:vAlign w:val="center"/>
          </w:tcPr>
          <w:p w:rsidR="00AF729E" w:rsidRPr="00EE0058" w:rsidRDefault="00333658" w:rsidP="00AF729E">
            <w:pPr>
              <w:pStyle w:val="Tabletext1"/>
              <w:keepNext/>
              <w:rPr>
                <w:rFonts w:asciiTheme="minorHAnsi" w:hAnsiTheme="minorHAnsi" w:cs="Arial"/>
                <w:smallCaps/>
              </w:rPr>
            </w:pPr>
            <w:r>
              <w:rPr>
                <w:rFonts w:asciiTheme="minorHAnsi" w:hAnsiTheme="minorHAnsi" w:cs="Arial"/>
                <w:lang w:val="en-AU"/>
              </w:rPr>
              <w:t>L</w:t>
            </w:r>
            <w:proofErr w:type="spellStart"/>
            <w:r w:rsidR="00072468" w:rsidRPr="00EE0058">
              <w:rPr>
                <w:rFonts w:asciiTheme="minorHAnsi" w:hAnsiTheme="minorHAnsi" w:cs="Arial"/>
              </w:rPr>
              <w:t>enalidomide</w:t>
            </w:r>
            <w:proofErr w:type="spellEnd"/>
          </w:p>
        </w:tc>
        <w:tc>
          <w:tcPr>
            <w:tcW w:w="267" w:type="pct"/>
            <w:vAlign w:val="center"/>
          </w:tcPr>
          <w:p w:rsidR="00AF729E" w:rsidRPr="00EE0058" w:rsidRDefault="00AF729E" w:rsidP="00AF729E">
            <w:pPr>
              <w:keepNext/>
              <w:spacing w:after="0"/>
              <w:ind w:left="-108"/>
              <w:jc w:val="center"/>
              <w:rPr>
                <w:rFonts w:cs="Arial"/>
                <w:sz w:val="20"/>
                <w:szCs w:val="20"/>
              </w:rPr>
            </w:pPr>
          </w:p>
        </w:tc>
        <w:tc>
          <w:tcPr>
            <w:tcW w:w="292" w:type="pct"/>
            <w:vAlign w:val="center"/>
          </w:tcPr>
          <w:p w:rsidR="00AF729E" w:rsidRPr="00EE0058" w:rsidRDefault="00AF729E" w:rsidP="00AF729E">
            <w:pPr>
              <w:keepNext/>
              <w:spacing w:after="0"/>
              <w:ind w:left="-108"/>
              <w:jc w:val="center"/>
              <w:rPr>
                <w:rFonts w:cs="Arial"/>
                <w:sz w:val="20"/>
                <w:szCs w:val="20"/>
              </w:rPr>
            </w:pPr>
          </w:p>
        </w:tc>
        <w:tc>
          <w:tcPr>
            <w:tcW w:w="653" w:type="pct"/>
            <w:vAlign w:val="center"/>
          </w:tcPr>
          <w:p w:rsidR="00AF729E" w:rsidRPr="00EE0058" w:rsidRDefault="00333658" w:rsidP="00AF729E">
            <w:pPr>
              <w:keepNext/>
              <w:spacing w:after="0"/>
              <w:ind w:left="-108"/>
              <w:jc w:val="center"/>
              <w:rPr>
                <w:rFonts w:cs="Arial"/>
                <w:sz w:val="20"/>
                <w:szCs w:val="20"/>
              </w:rPr>
            </w:pPr>
            <w:r w:rsidRPr="00EE0058">
              <w:rPr>
                <w:rFonts w:cs="Arial"/>
                <w:sz w:val="20"/>
                <w:szCs w:val="20"/>
              </w:rPr>
              <w:t>Public hospitals</w:t>
            </w:r>
          </w:p>
        </w:tc>
        <w:tc>
          <w:tcPr>
            <w:tcW w:w="448"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Item</w:t>
            </w:r>
          </w:p>
        </w:tc>
        <w:tc>
          <w:tcPr>
            <w:tcW w:w="775"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Private hospitals</w:t>
            </w:r>
          </w:p>
        </w:tc>
        <w:tc>
          <w:tcPr>
            <w:tcW w:w="524"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Item</w:t>
            </w:r>
          </w:p>
        </w:tc>
        <w:tc>
          <w:tcPr>
            <w:tcW w:w="603" w:type="pct"/>
            <w:vAlign w:val="center"/>
          </w:tcPr>
          <w:p w:rsidR="00AF729E" w:rsidRPr="00EE0058" w:rsidRDefault="00AF729E" w:rsidP="00AF729E">
            <w:pPr>
              <w:keepNext/>
              <w:spacing w:after="0"/>
              <w:jc w:val="center"/>
              <w:rPr>
                <w:rFonts w:cs="Arial"/>
                <w:sz w:val="20"/>
                <w:szCs w:val="20"/>
              </w:rPr>
            </w:pPr>
          </w:p>
        </w:tc>
        <w:tc>
          <w:tcPr>
            <w:tcW w:w="536" w:type="pct"/>
            <w:vAlign w:val="center"/>
          </w:tcPr>
          <w:p w:rsidR="00AF729E" w:rsidRPr="00EE0058" w:rsidRDefault="00AF729E" w:rsidP="00AF729E">
            <w:pPr>
              <w:keepNext/>
              <w:spacing w:after="0"/>
              <w:jc w:val="center"/>
              <w:rPr>
                <w:rFonts w:cs="Arial"/>
                <w:sz w:val="20"/>
                <w:szCs w:val="20"/>
              </w:rPr>
            </w:pPr>
          </w:p>
        </w:tc>
      </w:tr>
      <w:tr w:rsidR="00AF729E" w:rsidRPr="00EE0058">
        <w:trPr>
          <w:trHeight w:val="577"/>
        </w:trPr>
        <w:tc>
          <w:tcPr>
            <w:tcW w:w="902" w:type="pct"/>
            <w:vAlign w:val="center"/>
          </w:tcPr>
          <w:p w:rsidR="00AF729E" w:rsidRPr="00EE0058" w:rsidRDefault="00333658" w:rsidP="00AF729E">
            <w:pPr>
              <w:pStyle w:val="Tabletext1"/>
              <w:keepNext/>
              <w:rPr>
                <w:rFonts w:asciiTheme="minorHAnsi" w:hAnsiTheme="minorHAnsi" w:cs="Arial"/>
              </w:rPr>
            </w:pPr>
            <w:r w:rsidRPr="00EE0058">
              <w:rPr>
                <w:rFonts w:asciiTheme="minorHAnsi" w:hAnsiTheme="minorHAnsi" w:cs="Arial"/>
              </w:rPr>
              <w:t>Hard Caps</w:t>
            </w:r>
            <w:r>
              <w:rPr>
                <w:rFonts w:asciiTheme="minorHAnsi" w:hAnsiTheme="minorHAnsi" w:cs="Arial"/>
                <w:lang w:val="en-AU"/>
              </w:rPr>
              <w:t>ules</w:t>
            </w:r>
            <w:r w:rsidRPr="00EE0058">
              <w:rPr>
                <w:rFonts w:asciiTheme="minorHAnsi" w:hAnsiTheme="minorHAnsi" w:cs="Arial"/>
                <w:lang w:val="en-AU"/>
              </w:rPr>
              <w:t xml:space="preserve"> </w:t>
            </w:r>
            <w:r w:rsidRPr="00EE0058">
              <w:rPr>
                <w:rFonts w:asciiTheme="minorHAnsi" w:hAnsiTheme="minorHAnsi" w:cs="Arial"/>
              </w:rPr>
              <w:t>5</w:t>
            </w:r>
            <w:r w:rsidR="003B67C0">
              <w:rPr>
                <w:rFonts w:asciiTheme="minorHAnsi" w:hAnsiTheme="minorHAnsi" w:cs="Arial"/>
                <w:lang w:val="en-AU"/>
              </w:rPr>
              <w:t> </w:t>
            </w:r>
            <w:r w:rsidRPr="00EE0058">
              <w:rPr>
                <w:rFonts w:asciiTheme="minorHAnsi" w:hAnsiTheme="minorHAnsi" w:cs="Arial"/>
              </w:rPr>
              <w:t>mg</w:t>
            </w:r>
          </w:p>
        </w:tc>
        <w:tc>
          <w:tcPr>
            <w:tcW w:w="267"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21</w:t>
            </w:r>
          </w:p>
        </w:tc>
        <w:tc>
          <w:tcPr>
            <w:tcW w:w="292"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3</w:t>
            </w:r>
          </w:p>
        </w:tc>
        <w:tc>
          <w:tcPr>
            <w:tcW w:w="653"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$5,392.38</w:t>
            </w:r>
          </w:p>
          <w:p w:rsidR="00AF729E" w:rsidRPr="00EE0058" w:rsidRDefault="00333658" w:rsidP="00AF729E">
            <w:pPr>
              <w:keepNext/>
              <w:spacing w:after="0"/>
              <w:ind w:left="-108"/>
              <w:jc w:val="center"/>
              <w:rPr>
                <w:rFonts w:cs="Arial"/>
                <w:b/>
                <w:sz w:val="20"/>
                <w:szCs w:val="20"/>
              </w:rPr>
            </w:pPr>
            <w:r w:rsidRPr="00EE0058">
              <w:rPr>
                <w:rFonts w:cs="Arial"/>
                <w:b/>
                <w:sz w:val="20"/>
                <w:szCs w:val="20"/>
              </w:rPr>
              <w:t>$5,122.76</w:t>
            </w:r>
          </w:p>
          <w:p w:rsidR="00AF729E" w:rsidRPr="00624706" w:rsidRDefault="00624706" w:rsidP="00AF729E">
            <w:pPr>
              <w:keepNext/>
              <w:spacing w:after="0"/>
              <w:ind w:left="-108"/>
              <w:jc w:val="center"/>
              <w:rPr>
                <w:rFonts w:cs="Arial"/>
                <w:i/>
                <w:sz w:val="20"/>
                <w:szCs w:val="20"/>
                <w:highlight w:val="black"/>
              </w:rPr>
            </w:pPr>
            <w:r>
              <w:rPr>
                <w:rFonts w:cs="Arial"/>
                <w:i/>
                <w:noProof/>
                <w:color w:val="000000"/>
                <w:sz w:val="20"/>
                <w:szCs w:val="20"/>
                <w:highlight w:val="black"/>
              </w:rPr>
              <w:t>'''''''''''''''''''</w:t>
            </w:r>
          </w:p>
        </w:tc>
        <w:tc>
          <w:tcPr>
            <w:tcW w:w="448"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2799H</w:t>
            </w:r>
          </w:p>
        </w:tc>
        <w:tc>
          <w:tcPr>
            <w:tcW w:w="775"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$5,439.01</w:t>
            </w:r>
          </w:p>
          <w:p w:rsidR="00AF729E" w:rsidRPr="00EE0058" w:rsidRDefault="00333658" w:rsidP="00AF729E">
            <w:pPr>
              <w:keepNext/>
              <w:spacing w:after="0"/>
              <w:jc w:val="center"/>
              <w:rPr>
                <w:rFonts w:cs="Arial"/>
                <w:b/>
                <w:sz w:val="20"/>
                <w:szCs w:val="20"/>
              </w:rPr>
            </w:pPr>
            <w:r w:rsidRPr="00EE0058">
              <w:rPr>
                <w:rFonts w:cs="Arial"/>
                <w:b/>
                <w:sz w:val="20"/>
                <w:szCs w:val="20"/>
              </w:rPr>
              <w:t>$5,169.91</w:t>
            </w:r>
          </w:p>
          <w:p w:rsidR="00AF729E" w:rsidRPr="00624706" w:rsidRDefault="00624706" w:rsidP="00AF729E">
            <w:pPr>
              <w:keepNext/>
              <w:spacing w:after="0"/>
              <w:jc w:val="center"/>
              <w:rPr>
                <w:rFonts w:cs="Arial"/>
                <w:i/>
                <w:sz w:val="20"/>
                <w:szCs w:val="20"/>
                <w:highlight w:val="black"/>
              </w:rPr>
            </w:pPr>
            <w:r>
              <w:rPr>
                <w:rFonts w:cs="Arial"/>
                <w:i/>
                <w:noProof/>
                <w:color w:val="000000"/>
                <w:sz w:val="20"/>
                <w:szCs w:val="20"/>
                <w:highlight w:val="black"/>
              </w:rPr>
              <w:t>'''''''''''''''''''''''</w:t>
            </w:r>
          </w:p>
        </w:tc>
        <w:tc>
          <w:tcPr>
            <w:tcW w:w="524"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2798G</w:t>
            </w:r>
          </w:p>
        </w:tc>
        <w:tc>
          <w:tcPr>
            <w:tcW w:w="603" w:type="pct"/>
            <w:vMerge w:val="restart"/>
            <w:vAlign w:val="center"/>
          </w:tcPr>
          <w:p w:rsidR="00AF729E" w:rsidRPr="00EE0058" w:rsidRDefault="00333658" w:rsidP="00AF729E">
            <w:pPr>
              <w:keepNext/>
              <w:spacing w:after="0"/>
              <w:jc w:val="center"/>
              <w:rPr>
                <w:rFonts w:cs="Arial"/>
                <w:sz w:val="20"/>
                <w:szCs w:val="20"/>
              </w:rPr>
            </w:pPr>
            <w:proofErr w:type="spellStart"/>
            <w:r w:rsidRPr="00EE0058">
              <w:rPr>
                <w:rFonts w:cs="Arial"/>
                <w:sz w:val="20"/>
                <w:szCs w:val="20"/>
              </w:rPr>
              <w:t>Revlimid</w:t>
            </w:r>
            <w:proofErr w:type="spellEnd"/>
            <w:r w:rsidRPr="00EE0058">
              <w:rPr>
                <w:rFonts w:cs="Arial"/>
                <w:sz w:val="20"/>
                <w:szCs w:val="20"/>
                <w:vertAlign w:val="superscript"/>
              </w:rPr>
              <w:t>®</w:t>
            </w:r>
          </w:p>
        </w:tc>
        <w:tc>
          <w:tcPr>
            <w:tcW w:w="536" w:type="pct"/>
            <w:vMerge w:val="restart"/>
            <w:vAlign w:val="center"/>
          </w:tcPr>
          <w:p w:rsidR="00AF729E" w:rsidRPr="00EE0058" w:rsidRDefault="00333658" w:rsidP="00AF729E">
            <w:pPr>
              <w:keepNext/>
              <w:spacing w:after="0"/>
              <w:jc w:val="center"/>
              <w:rPr>
                <w:rFonts w:cs="Arial"/>
                <w:sz w:val="20"/>
                <w:szCs w:val="20"/>
              </w:rPr>
            </w:pPr>
            <w:r w:rsidRPr="00EE0058">
              <w:rPr>
                <w:rFonts w:cs="Arial"/>
                <w:sz w:val="20"/>
                <w:szCs w:val="20"/>
              </w:rPr>
              <w:t>Celgene</w:t>
            </w:r>
          </w:p>
        </w:tc>
      </w:tr>
      <w:tr w:rsidR="00AF729E" w:rsidRPr="00EE0058">
        <w:trPr>
          <w:trHeight w:val="577"/>
        </w:trPr>
        <w:tc>
          <w:tcPr>
            <w:tcW w:w="902" w:type="pct"/>
            <w:vAlign w:val="center"/>
          </w:tcPr>
          <w:p w:rsidR="00AF729E" w:rsidRPr="00EE0058" w:rsidRDefault="00333658" w:rsidP="00AF729E">
            <w:pPr>
              <w:pStyle w:val="Tabletext1"/>
              <w:keepNext/>
              <w:rPr>
                <w:rFonts w:asciiTheme="minorHAnsi" w:hAnsiTheme="minorHAnsi" w:cs="Arial"/>
              </w:rPr>
            </w:pPr>
            <w:r w:rsidRPr="00EE0058">
              <w:rPr>
                <w:rFonts w:asciiTheme="minorHAnsi" w:hAnsiTheme="minorHAnsi" w:cs="Arial"/>
              </w:rPr>
              <w:t>Hard Caps</w:t>
            </w:r>
            <w:r>
              <w:rPr>
                <w:rFonts w:asciiTheme="minorHAnsi" w:hAnsiTheme="minorHAnsi" w:cs="Arial"/>
                <w:lang w:val="en-AU"/>
              </w:rPr>
              <w:t>ules</w:t>
            </w:r>
            <w:r w:rsidRPr="00EE0058">
              <w:rPr>
                <w:rFonts w:asciiTheme="minorHAnsi" w:hAnsiTheme="minorHAnsi" w:cs="Arial"/>
              </w:rPr>
              <w:t xml:space="preserve"> 10</w:t>
            </w:r>
            <w:r w:rsidR="003B67C0">
              <w:rPr>
                <w:rFonts w:asciiTheme="minorHAnsi" w:hAnsiTheme="minorHAnsi" w:cs="Arial"/>
                <w:lang w:val="en-AU"/>
              </w:rPr>
              <w:t> </w:t>
            </w:r>
            <w:r w:rsidRPr="00EE0058">
              <w:rPr>
                <w:rFonts w:asciiTheme="minorHAnsi" w:hAnsiTheme="minorHAnsi" w:cs="Arial"/>
              </w:rPr>
              <w:t>mg</w:t>
            </w:r>
          </w:p>
        </w:tc>
        <w:tc>
          <w:tcPr>
            <w:tcW w:w="267" w:type="pct"/>
            <w:vAlign w:val="center"/>
          </w:tcPr>
          <w:p w:rsidR="00AF729E" w:rsidRPr="00EE0058" w:rsidRDefault="00333658" w:rsidP="00AF729E">
            <w:pPr>
              <w:keepNext/>
              <w:spacing w:after="0"/>
              <w:ind w:left="-108"/>
              <w:jc w:val="center"/>
              <w:rPr>
                <w:rFonts w:cs="Arial"/>
                <w:sz w:val="20"/>
                <w:szCs w:val="20"/>
              </w:rPr>
            </w:pPr>
            <w:r w:rsidRPr="00EE0058">
              <w:rPr>
                <w:rFonts w:cs="Arial"/>
                <w:sz w:val="20"/>
                <w:szCs w:val="20"/>
              </w:rPr>
              <w:t>21</w:t>
            </w:r>
          </w:p>
        </w:tc>
        <w:tc>
          <w:tcPr>
            <w:tcW w:w="292" w:type="pct"/>
            <w:vAlign w:val="center"/>
          </w:tcPr>
          <w:p w:rsidR="00AF729E" w:rsidRPr="00EE0058" w:rsidRDefault="00333658" w:rsidP="00AF729E">
            <w:pPr>
              <w:keepNext/>
              <w:spacing w:after="0"/>
              <w:ind w:left="-108"/>
              <w:jc w:val="center"/>
              <w:rPr>
                <w:rFonts w:cs="Arial"/>
                <w:sz w:val="20"/>
                <w:szCs w:val="20"/>
              </w:rPr>
            </w:pPr>
            <w:r w:rsidRPr="00EE0058">
              <w:rPr>
                <w:rFonts w:cs="Arial"/>
                <w:sz w:val="20"/>
                <w:szCs w:val="20"/>
              </w:rPr>
              <w:t>3</w:t>
            </w:r>
          </w:p>
        </w:tc>
        <w:tc>
          <w:tcPr>
            <w:tcW w:w="653"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$5,643.33</w:t>
            </w:r>
          </w:p>
          <w:p w:rsidR="00AF729E" w:rsidRPr="00EE0058" w:rsidRDefault="00333658" w:rsidP="00AF729E">
            <w:pPr>
              <w:keepNext/>
              <w:spacing w:after="0"/>
              <w:jc w:val="center"/>
              <w:rPr>
                <w:rFonts w:cs="Arial"/>
                <w:b/>
                <w:sz w:val="20"/>
                <w:szCs w:val="20"/>
              </w:rPr>
            </w:pPr>
            <w:r w:rsidRPr="00EE0058">
              <w:rPr>
                <w:rFonts w:cs="Arial"/>
                <w:b/>
                <w:sz w:val="20"/>
                <w:szCs w:val="20"/>
              </w:rPr>
              <w:t>$5,361.16</w:t>
            </w:r>
          </w:p>
          <w:p w:rsidR="00AF729E" w:rsidRPr="00EE0058" w:rsidRDefault="00624706" w:rsidP="00AF729E">
            <w:pPr>
              <w:keepNext/>
              <w:spacing w:after="0"/>
              <w:jc w:val="center"/>
              <w:rPr>
                <w:rFonts w:cs="Arial"/>
                <w:i/>
                <w:sz w:val="20"/>
                <w:szCs w:val="20"/>
              </w:rPr>
            </w:pPr>
            <w:r>
              <w:rPr>
                <w:rFonts w:cs="Arial"/>
                <w:i/>
                <w:noProof/>
                <w:color w:val="000000"/>
                <w:sz w:val="20"/>
                <w:szCs w:val="20"/>
                <w:highlight w:val="black"/>
              </w:rPr>
              <w:t>'''''''''''''''''''''</w:t>
            </w:r>
            <w:r w:rsidR="00333658" w:rsidRPr="00EE0058">
              <w:rPr>
                <w:rFonts w:cs="Arial"/>
                <w:i/>
                <w:sz w:val="20"/>
                <w:szCs w:val="20"/>
              </w:rPr>
              <w:t>)</w:t>
            </w:r>
          </w:p>
        </w:tc>
        <w:tc>
          <w:tcPr>
            <w:tcW w:w="448"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2802L</w:t>
            </w:r>
          </w:p>
        </w:tc>
        <w:tc>
          <w:tcPr>
            <w:tcW w:w="775" w:type="pct"/>
            <w:vAlign w:val="center"/>
          </w:tcPr>
          <w:p w:rsidR="00AF729E" w:rsidRPr="00EE0058" w:rsidRDefault="00333658" w:rsidP="00AF729E">
            <w:pPr>
              <w:keepNext/>
              <w:spacing w:after="0"/>
              <w:jc w:val="center"/>
              <w:rPr>
                <w:rFonts w:cs="Arial"/>
                <w:sz w:val="20"/>
                <w:szCs w:val="20"/>
              </w:rPr>
            </w:pPr>
            <w:r w:rsidRPr="00EE0058">
              <w:rPr>
                <w:rFonts w:cs="Arial"/>
                <w:sz w:val="20"/>
                <w:szCs w:val="20"/>
              </w:rPr>
              <w:t>$5,689.96</w:t>
            </w:r>
          </w:p>
          <w:p w:rsidR="00AF729E" w:rsidRPr="00EE0058" w:rsidRDefault="00333658" w:rsidP="00AF729E">
            <w:pPr>
              <w:keepNext/>
              <w:spacing w:after="0"/>
              <w:jc w:val="center"/>
              <w:rPr>
                <w:rFonts w:cs="Arial"/>
                <w:b/>
                <w:sz w:val="20"/>
                <w:szCs w:val="20"/>
              </w:rPr>
            </w:pPr>
            <w:r w:rsidRPr="00EE0058">
              <w:rPr>
                <w:rFonts w:cs="Arial"/>
                <w:b/>
                <w:sz w:val="20"/>
                <w:szCs w:val="20"/>
              </w:rPr>
              <w:t>$5,408.31</w:t>
            </w:r>
          </w:p>
          <w:p w:rsidR="00AF729E" w:rsidRPr="00624706" w:rsidRDefault="00624706" w:rsidP="00AF729E">
            <w:pPr>
              <w:keepNext/>
              <w:spacing w:after="0"/>
              <w:jc w:val="center"/>
              <w:rPr>
                <w:rFonts w:cs="Arial"/>
                <w:i/>
                <w:sz w:val="20"/>
                <w:szCs w:val="20"/>
                <w:highlight w:val="black"/>
              </w:rPr>
            </w:pPr>
            <w:r>
              <w:rPr>
                <w:rFonts w:cs="Arial"/>
                <w:i/>
                <w:noProof/>
                <w:color w:val="000000"/>
                <w:sz w:val="20"/>
                <w:szCs w:val="20"/>
                <w:highlight w:val="black"/>
              </w:rPr>
              <w:t>'''''''''''''''''''''</w:t>
            </w:r>
          </w:p>
        </w:tc>
        <w:tc>
          <w:tcPr>
            <w:tcW w:w="524" w:type="pct"/>
            <w:vAlign w:val="center"/>
          </w:tcPr>
          <w:p w:rsidR="00AF729E" w:rsidRPr="00EE0058" w:rsidRDefault="00333658" w:rsidP="00AF729E">
            <w:pPr>
              <w:keepNext/>
              <w:spacing w:after="0"/>
              <w:ind w:left="-108"/>
              <w:jc w:val="center"/>
              <w:rPr>
                <w:rFonts w:cs="Arial"/>
                <w:sz w:val="20"/>
                <w:szCs w:val="20"/>
              </w:rPr>
            </w:pPr>
            <w:r w:rsidRPr="00EE0058">
              <w:rPr>
                <w:rFonts w:cs="Arial"/>
                <w:sz w:val="20"/>
                <w:szCs w:val="20"/>
              </w:rPr>
              <w:t>2796E</w:t>
            </w:r>
          </w:p>
        </w:tc>
        <w:tc>
          <w:tcPr>
            <w:tcW w:w="603" w:type="pct"/>
            <w:vMerge/>
            <w:vAlign w:val="center"/>
          </w:tcPr>
          <w:p w:rsidR="00AF729E" w:rsidRPr="00EE0058" w:rsidRDefault="00AF729E" w:rsidP="00AF729E">
            <w:pPr>
              <w:keepNext/>
              <w:spacing w:after="0"/>
              <w:jc w:val="center"/>
              <w:rPr>
                <w:rFonts w:cs="Arial"/>
                <w:sz w:val="20"/>
                <w:szCs w:val="20"/>
              </w:rPr>
            </w:pPr>
          </w:p>
        </w:tc>
        <w:tc>
          <w:tcPr>
            <w:tcW w:w="536" w:type="pct"/>
            <w:vMerge/>
            <w:vAlign w:val="center"/>
          </w:tcPr>
          <w:p w:rsidR="00AF729E" w:rsidRPr="00EE0058" w:rsidRDefault="00AF729E" w:rsidP="00AF729E">
            <w:pPr>
              <w:keepNext/>
              <w:spacing w:after="0"/>
              <w:jc w:val="center"/>
              <w:rPr>
                <w:rFonts w:cs="Arial"/>
                <w:sz w:val="20"/>
                <w:szCs w:val="20"/>
              </w:rPr>
            </w:pPr>
          </w:p>
        </w:tc>
      </w:tr>
    </w:tbl>
    <w:p w:rsidR="00AF729E" w:rsidRPr="00EE0058" w:rsidRDefault="00333658" w:rsidP="00AF729E">
      <w:pPr>
        <w:spacing w:after="0"/>
        <w:rPr>
          <w:sz w:val="20"/>
          <w:szCs w:val="20"/>
        </w:rPr>
      </w:pPr>
      <w:r w:rsidRPr="00EE0058">
        <w:rPr>
          <w:sz w:val="20"/>
          <w:szCs w:val="20"/>
        </w:rPr>
        <w:t>1. Original Published and Effective prices were reduced by 5% following application of Government pricing policy in 1 April 2017. This is the only change in price since listing.</w:t>
      </w:r>
    </w:p>
    <w:p w:rsidR="00AF729E" w:rsidRPr="00EE0058" w:rsidRDefault="00333658" w:rsidP="00AF729E">
      <w:pPr>
        <w:spacing w:after="0"/>
        <w:rPr>
          <w:sz w:val="20"/>
          <w:szCs w:val="20"/>
        </w:rPr>
      </w:pPr>
      <w:r w:rsidRPr="00EE0058">
        <w:rPr>
          <w:sz w:val="20"/>
          <w:szCs w:val="20"/>
        </w:rPr>
        <w:t xml:space="preserve">2. A proposal for a Special Pricing Arrangement was included in the submission and approved by the government post recommendation. </w:t>
      </w:r>
      <w:r w:rsidRPr="00A05D30">
        <w:rPr>
          <w:sz w:val="20"/>
          <w:szCs w:val="20"/>
        </w:rPr>
        <w:t>The 5</w:t>
      </w:r>
      <w:r w:rsidR="00785847">
        <w:rPr>
          <w:sz w:val="20"/>
          <w:szCs w:val="20"/>
        </w:rPr>
        <w:t> </w:t>
      </w:r>
      <w:r w:rsidRPr="00A05D30">
        <w:rPr>
          <w:sz w:val="20"/>
          <w:szCs w:val="20"/>
        </w:rPr>
        <w:t>mg and 10</w:t>
      </w:r>
      <w:r w:rsidR="00785847">
        <w:rPr>
          <w:sz w:val="20"/>
          <w:szCs w:val="20"/>
        </w:rPr>
        <w:t> </w:t>
      </w:r>
      <w:r w:rsidRPr="00A05D30">
        <w:rPr>
          <w:sz w:val="20"/>
          <w:szCs w:val="20"/>
        </w:rPr>
        <w:t xml:space="preserve">mg capsules have a </w:t>
      </w:r>
      <w:r w:rsidR="00624706">
        <w:rPr>
          <w:noProof/>
          <w:color w:val="000000"/>
          <w:sz w:val="20"/>
          <w:szCs w:val="20"/>
          <w:highlight w:val="black"/>
        </w:rPr>
        <w:t>'''''''''''</w:t>
      </w:r>
      <w:r w:rsidRPr="00A05D30">
        <w:rPr>
          <w:sz w:val="20"/>
          <w:szCs w:val="20"/>
        </w:rPr>
        <w:t xml:space="preserve">% and </w:t>
      </w:r>
      <w:r w:rsidR="00624706">
        <w:rPr>
          <w:noProof/>
          <w:color w:val="000000"/>
          <w:sz w:val="20"/>
          <w:szCs w:val="20"/>
          <w:highlight w:val="black"/>
        </w:rPr>
        <w:t>''''''''''''</w:t>
      </w:r>
      <w:r w:rsidRPr="00A05D30">
        <w:rPr>
          <w:sz w:val="20"/>
          <w:szCs w:val="20"/>
        </w:rPr>
        <w:t>% rebate respectively applied to the PBS expenditure</w:t>
      </w:r>
      <w:r>
        <w:rPr>
          <w:sz w:val="20"/>
          <w:szCs w:val="20"/>
        </w:rPr>
        <w:t>.</w:t>
      </w:r>
      <w:r w:rsidRPr="00EE0058">
        <w:rPr>
          <w:sz w:val="20"/>
          <w:szCs w:val="20"/>
        </w:rPr>
        <w:t xml:space="preserve"> </w:t>
      </w:r>
    </w:p>
    <w:p w:rsidR="00AF729E" w:rsidRDefault="00AF729E" w:rsidP="00AF729E">
      <w:pPr>
        <w:spacing w:after="0"/>
        <w:rPr>
          <w:rFonts w:ascii="Calibri" w:eastAsia="MS Gothic" w:hAnsi="Calibri" w:cs="Times New Roman"/>
          <w:b/>
          <w:bCs/>
          <w:sz w:val="32"/>
          <w:szCs w:val="32"/>
        </w:rPr>
      </w:pPr>
    </w:p>
    <w:p w:rsidR="00AF729E" w:rsidRDefault="00333658" w:rsidP="00AF729E">
      <w:pPr>
        <w:spacing w:after="0"/>
        <w:rPr>
          <w:rFonts w:ascii="Calibri" w:eastAsia="MS Gothic" w:hAnsi="Calibri" w:cs="Times New Roman"/>
          <w:b/>
          <w:bCs/>
          <w:sz w:val="32"/>
          <w:szCs w:val="32"/>
        </w:rPr>
      </w:pPr>
      <w:r w:rsidRPr="00822DDF">
        <w:rPr>
          <w:rFonts w:ascii="Calibri" w:eastAsia="MS Gothic" w:hAnsi="Calibri" w:cs="Times New Roman"/>
          <w:b/>
          <w:bCs/>
          <w:sz w:val="32"/>
          <w:szCs w:val="32"/>
        </w:rPr>
        <w:t>Analysis</w:t>
      </w:r>
    </w:p>
    <w:p w:rsidR="00AF729E" w:rsidRDefault="00333658" w:rsidP="00AF729E">
      <w:pPr>
        <w:rPr>
          <w:rFonts w:ascii="Calibri" w:eastAsia="MS Gothic" w:hAnsi="Calibri" w:cs="Times New Roman"/>
          <w:bCs/>
        </w:rPr>
      </w:pPr>
      <w:r w:rsidRPr="00822DDF">
        <w:rPr>
          <w:rFonts w:ascii="Calibri" w:eastAsia="MS Gothic" w:hAnsi="Calibri" w:cs="Times New Roman"/>
          <w:bCs/>
        </w:rPr>
        <w:t>The following assumptions</w:t>
      </w:r>
      <w:r>
        <w:rPr>
          <w:rFonts w:ascii="Calibri" w:eastAsia="MS Gothic" w:hAnsi="Calibri" w:cs="Times New Roman"/>
          <w:bCs/>
        </w:rPr>
        <w:t xml:space="preserve"> </w:t>
      </w:r>
      <w:r w:rsidR="00C93A09">
        <w:rPr>
          <w:rFonts w:ascii="Calibri" w:eastAsia="MS Gothic" w:hAnsi="Calibri" w:cs="Times New Roman"/>
          <w:bCs/>
        </w:rPr>
        <w:t>were</w:t>
      </w:r>
      <w:r>
        <w:rPr>
          <w:rFonts w:ascii="Calibri" w:eastAsia="MS Gothic" w:hAnsi="Calibri" w:cs="Times New Roman"/>
          <w:bCs/>
        </w:rPr>
        <w:t xml:space="preserve"> tested in the utilisation analysis</w:t>
      </w:r>
      <w:r w:rsidR="00E14E6C">
        <w:rPr>
          <w:rFonts w:ascii="Calibri" w:eastAsia="MS Gothic" w:hAnsi="Calibri" w:cs="Times New Roman"/>
          <w:bCs/>
        </w:rPr>
        <w:t>:</w:t>
      </w:r>
    </w:p>
    <w:p w:rsidR="00AF729E" w:rsidRPr="00822DDF" w:rsidRDefault="00333658" w:rsidP="005E58FD">
      <w:pPr>
        <w:pStyle w:val="ListParagraph"/>
        <w:numPr>
          <w:ilvl w:val="0"/>
          <w:numId w:val="13"/>
        </w:numPr>
        <w:spacing w:after="0"/>
        <w:rPr>
          <w:rFonts w:ascii="Calibri" w:eastAsia="MS Mincho" w:hAnsi="Calibri" w:cs="Times New Roman"/>
        </w:rPr>
      </w:pPr>
      <w:r w:rsidRPr="00822DDF">
        <w:rPr>
          <w:rFonts w:ascii="Calibri" w:eastAsia="MS Mincho" w:hAnsi="Calibri" w:cs="Times New Roman"/>
        </w:rPr>
        <w:t>The number of patients who received treatment each year (prevalent and incident)</w:t>
      </w:r>
    </w:p>
    <w:p w:rsidR="00AF729E" w:rsidRPr="00822DDF" w:rsidRDefault="00333658" w:rsidP="005E58FD">
      <w:pPr>
        <w:pStyle w:val="ListParagraph"/>
        <w:numPr>
          <w:ilvl w:val="0"/>
          <w:numId w:val="13"/>
        </w:numPr>
        <w:spacing w:after="0"/>
        <w:rPr>
          <w:rFonts w:ascii="Calibri" w:eastAsia="MS Mincho" w:hAnsi="Calibri" w:cs="Times New Roman"/>
        </w:rPr>
      </w:pPr>
      <w:r w:rsidRPr="00822DDF">
        <w:rPr>
          <w:rFonts w:ascii="Calibri" w:eastAsia="MS Mincho" w:hAnsi="Calibri" w:cs="Times New Roman"/>
        </w:rPr>
        <w:t>The number and type of prescriptions (5</w:t>
      </w:r>
      <w:r w:rsidR="00785847">
        <w:rPr>
          <w:rFonts w:ascii="Calibri" w:eastAsia="MS Mincho" w:hAnsi="Calibri" w:cs="Times New Roman"/>
        </w:rPr>
        <w:t> </w:t>
      </w:r>
      <w:r w:rsidRPr="00822DDF">
        <w:rPr>
          <w:rFonts w:ascii="Calibri" w:eastAsia="MS Mincho" w:hAnsi="Calibri" w:cs="Times New Roman"/>
        </w:rPr>
        <w:t>mg or 10</w:t>
      </w:r>
      <w:r w:rsidR="00785847">
        <w:rPr>
          <w:rFonts w:ascii="Calibri" w:eastAsia="MS Mincho" w:hAnsi="Calibri" w:cs="Times New Roman"/>
        </w:rPr>
        <w:t> </w:t>
      </w:r>
      <w:r w:rsidRPr="00822DDF">
        <w:rPr>
          <w:rFonts w:ascii="Calibri" w:eastAsia="MS Mincho" w:hAnsi="Calibri" w:cs="Times New Roman"/>
        </w:rPr>
        <w:t>mg) supplied per patient</w:t>
      </w:r>
    </w:p>
    <w:p w:rsidR="00AF729E" w:rsidRPr="00822DDF" w:rsidRDefault="00333658" w:rsidP="005E58FD">
      <w:pPr>
        <w:pStyle w:val="ListParagraph"/>
        <w:numPr>
          <w:ilvl w:val="0"/>
          <w:numId w:val="13"/>
        </w:numPr>
        <w:spacing w:after="0"/>
        <w:rPr>
          <w:rFonts w:ascii="Calibri" w:eastAsia="MS Mincho" w:hAnsi="Calibri" w:cs="Times New Roman"/>
        </w:rPr>
      </w:pPr>
      <w:r w:rsidRPr="00822DDF">
        <w:rPr>
          <w:rFonts w:ascii="Calibri" w:eastAsia="MS Mincho" w:hAnsi="Calibri" w:cs="Times New Roman"/>
        </w:rPr>
        <w:t xml:space="preserve">The duration of </w:t>
      </w:r>
      <w:proofErr w:type="spellStart"/>
      <w:r w:rsidRPr="00822DDF">
        <w:rPr>
          <w:rFonts w:ascii="Calibri" w:eastAsia="MS Mincho" w:hAnsi="Calibri" w:cs="Times New Roman"/>
        </w:rPr>
        <w:t>lenalidomide</w:t>
      </w:r>
      <w:proofErr w:type="spellEnd"/>
      <w:r w:rsidRPr="00822DDF">
        <w:rPr>
          <w:rFonts w:ascii="Calibri" w:eastAsia="MS Mincho" w:hAnsi="Calibri" w:cs="Times New Roman"/>
        </w:rPr>
        <w:t xml:space="preserve"> therapy per patient for MDS</w:t>
      </w:r>
    </w:p>
    <w:p w:rsidR="00AF729E" w:rsidRPr="00822DDF" w:rsidRDefault="00333658" w:rsidP="005E58FD">
      <w:pPr>
        <w:pStyle w:val="ListParagraph"/>
        <w:numPr>
          <w:ilvl w:val="0"/>
          <w:numId w:val="13"/>
        </w:numPr>
        <w:spacing w:after="0"/>
        <w:rPr>
          <w:rFonts w:ascii="Calibri" w:eastAsia="MS Mincho" w:hAnsi="Calibri" w:cs="Times New Roman"/>
        </w:rPr>
      </w:pPr>
      <w:r w:rsidRPr="00822DDF">
        <w:rPr>
          <w:rFonts w:ascii="Calibri" w:eastAsia="MS Mincho" w:hAnsi="Calibri" w:cs="Times New Roman"/>
        </w:rPr>
        <w:t xml:space="preserve">A comparison of the predicted number of patients, packs supplied and financial expenditure for </w:t>
      </w:r>
      <w:proofErr w:type="spellStart"/>
      <w:r w:rsidRPr="00822DDF">
        <w:rPr>
          <w:rFonts w:ascii="Calibri" w:eastAsia="MS Mincho" w:hAnsi="Calibri" w:cs="Times New Roman"/>
        </w:rPr>
        <w:t>lenalidomide</w:t>
      </w:r>
      <w:proofErr w:type="spellEnd"/>
      <w:r w:rsidRPr="00822DDF">
        <w:rPr>
          <w:rFonts w:ascii="Calibri" w:eastAsia="MS Mincho" w:hAnsi="Calibri" w:cs="Times New Roman"/>
        </w:rPr>
        <w:t xml:space="preserve"> (net of </w:t>
      </w:r>
      <w:proofErr w:type="spellStart"/>
      <w:r w:rsidRPr="00822DDF">
        <w:rPr>
          <w:rFonts w:ascii="Calibri" w:eastAsia="MS Mincho" w:hAnsi="Calibri" w:cs="Times New Roman"/>
        </w:rPr>
        <w:t>copayment</w:t>
      </w:r>
      <w:proofErr w:type="spellEnd"/>
      <w:r w:rsidRPr="00822DDF">
        <w:rPr>
          <w:rFonts w:ascii="Calibri" w:eastAsia="MS Mincho" w:hAnsi="Calibri" w:cs="Times New Roman"/>
        </w:rPr>
        <w:t xml:space="preserve"> </w:t>
      </w:r>
      <w:r>
        <w:rPr>
          <w:rFonts w:ascii="Calibri" w:eastAsia="MS Mincho" w:hAnsi="Calibri" w:cs="Times New Roman"/>
        </w:rPr>
        <w:t xml:space="preserve">and using the PBS schedule </w:t>
      </w:r>
      <w:r w:rsidRPr="00822DDF">
        <w:rPr>
          <w:rFonts w:ascii="Calibri" w:eastAsia="MS Mincho" w:hAnsi="Calibri" w:cs="Times New Roman"/>
        </w:rPr>
        <w:t xml:space="preserve">published </w:t>
      </w:r>
      <w:r>
        <w:rPr>
          <w:rFonts w:ascii="Calibri" w:eastAsia="MS Mincho" w:hAnsi="Calibri" w:cs="Times New Roman"/>
        </w:rPr>
        <w:t xml:space="preserve">unit </w:t>
      </w:r>
      <w:r w:rsidRPr="00822DDF">
        <w:rPr>
          <w:rFonts w:ascii="Calibri" w:eastAsia="MS Mincho" w:hAnsi="Calibri" w:cs="Times New Roman"/>
        </w:rPr>
        <w:t>cost)</w:t>
      </w:r>
    </w:p>
    <w:p w:rsidR="00AF729E" w:rsidRPr="00822DDF" w:rsidRDefault="00333658" w:rsidP="005E58FD">
      <w:pPr>
        <w:pStyle w:val="ListParagraph"/>
        <w:numPr>
          <w:ilvl w:val="0"/>
          <w:numId w:val="13"/>
        </w:numPr>
        <w:spacing w:after="0"/>
        <w:rPr>
          <w:rFonts w:ascii="Calibri" w:eastAsia="MS Mincho" w:hAnsi="Calibri" w:cs="Times New Roman"/>
        </w:rPr>
      </w:pPr>
      <w:r w:rsidRPr="00822DDF">
        <w:rPr>
          <w:rFonts w:ascii="Calibri" w:eastAsia="MS Mincho" w:hAnsi="Calibri" w:cs="Times New Roman"/>
        </w:rPr>
        <w:t xml:space="preserve">Change in quantities and cost of </w:t>
      </w:r>
      <w:proofErr w:type="spellStart"/>
      <w:r w:rsidR="00072468">
        <w:rPr>
          <w:rFonts w:ascii="Calibri" w:eastAsia="MS Mincho" w:hAnsi="Calibri" w:cs="Times New Roman"/>
        </w:rPr>
        <w:t>desferasi</w:t>
      </w:r>
      <w:r w:rsidRPr="00822DDF">
        <w:rPr>
          <w:rFonts w:ascii="Calibri" w:eastAsia="MS Mincho" w:hAnsi="Calibri" w:cs="Times New Roman"/>
        </w:rPr>
        <w:t>rox</w:t>
      </w:r>
      <w:proofErr w:type="spellEnd"/>
      <w:r w:rsidRPr="00822DDF">
        <w:rPr>
          <w:rFonts w:ascii="Calibri" w:eastAsia="MS Mincho" w:hAnsi="Calibri" w:cs="Times New Roman"/>
        </w:rPr>
        <w:t xml:space="preserve"> and </w:t>
      </w:r>
      <w:proofErr w:type="spellStart"/>
      <w:r w:rsidRPr="00822DDF">
        <w:rPr>
          <w:rFonts w:ascii="Calibri" w:eastAsia="MS Mincho" w:hAnsi="Calibri" w:cs="Times New Roman"/>
        </w:rPr>
        <w:t>gCSF</w:t>
      </w:r>
      <w:proofErr w:type="spellEnd"/>
      <w:r w:rsidRPr="00822DDF">
        <w:rPr>
          <w:rFonts w:ascii="Calibri" w:eastAsia="MS Mincho" w:hAnsi="Calibri" w:cs="Times New Roman"/>
        </w:rPr>
        <w:t xml:space="preserve"> in patients receiving prescriptions for </w:t>
      </w:r>
      <w:proofErr w:type="spellStart"/>
      <w:r w:rsidRPr="00822DDF">
        <w:rPr>
          <w:rFonts w:ascii="Calibri" w:eastAsia="MS Mincho" w:hAnsi="Calibri" w:cs="Times New Roman"/>
        </w:rPr>
        <w:t>lenalidomide</w:t>
      </w:r>
      <w:proofErr w:type="spellEnd"/>
      <w:r w:rsidRPr="00822DDF">
        <w:rPr>
          <w:rFonts w:ascii="Calibri" w:eastAsia="MS Mincho" w:hAnsi="Calibri" w:cs="Times New Roman"/>
        </w:rPr>
        <w:t xml:space="preserve"> for MDS.</w:t>
      </w:r>
    </w:p>
    <w:p w:rsidR="00AF729E" w:rsidRPr="0077058D" w:rsidRDefault="00AF729E" w:rsidP="00AF729E">
      <w:pPr>
        <w:widowControl w:val="0"/>
        <w:spacing w:after="240"/>
        <w:contextualSpacing/>
        <w:rPr>
          <w:rFonts w:ascii="Calibri" w:eastAsia="MS Mincho" w:hAnsi="Calibri" w:cs="Times New Roman"/>
          <w:b/>
        </w:rPr>
      </w:pPr>
    </w:p>
    <w:p w:rsidR="00AF729E" w:rsidRPr="00941706" w:rsidRDefault="00333658" w:rsidP="00AF729E">
      <w:pPr>
        <w:keepNext/>
        <w:keepLines/>
        <w:spacing w:before="480" w:after="240"/>
        <w:outlineLvl w:val="0"/>
        <w:rPr>
          <w:rFonts w:ascii="Calibri" w:eastAsia="MS Gothic" w:hAnsi="Calibri" w:cs="Times New Roman"/>
          <w:b/>
          <w:bCs/>
          <w:sz w:val="32"/>
          <w:szCs w:val="32"/>
        </w:rPr>
      </w:pPr>
      <w:bookmarkStart w:id="0" w:name="_Methods"/>
      <w:bookmarkEnd w:id="0"/>
      <w:r w:rsidRPr="00941706">
        <w:rPr>
          <w:rFonts w:ascii="Calibri" w:eastAsia="MS Gothic" w:hAnsi="Calibri" w:cs="Times New Roman"/>
          <w:b/>
          <w:bCs/>
          <w:sz w:val="32"/>
          <w:szCs w:val="32"/>
        </w:rPr>
        <w:t>Methods</w:t>
      </w:r>
    </w:p>
    <w:p w:rsidR="00AF729E" w:rsidRDefault="00333658" w:rsidP="00AF729E">
      <w:pPr>
        <w:rPr>
          <w:rFonts w:ascii="Calibri" w:eastAsia="MS Mincho" w:hAnsi="Calibri" w:cs="Times New Roman"/>
        </w:rPr>
      </w:pPr>
      <w:r>
        <w:rPr>
          <w:rFonts w:ascii="Calibri" w:eastAsia="MS Mincho" w:hAnsi="Calibri" w:cs="Times New Roman"/>
        </w:rPr>
        <w:t xml:space="preserve">PBS prescription data for </w:t>
      </w:r>
      <w:proofErr w:type="spellStart"/>
      <w:r>
        <w:rPr>
          <w:rFonts w:ascii="Calibri" w:eastAsia="MS Mincho" w:hAnsi="Calibri" w:cs="Times New Roman"/>
        </w:rPr>
        <w:t>lenalidomide</w:t>
      </w:r>
      <w:proofErr w:type="spellEnd"/>
      <w:r>
        <w:rPr>
          <w:rFonts w:ascii="Calibri" w:eastAsia="MS Mincho" w:hAnsi="Calibri" w:cs="Times New Roman"/>
        </w:rPr>
        <w:t xml:space="preserve"> from 1 </w:t>
      </w:r>
      <w:r>
        <w:rPr>
          <w:rFonts w:ascii="Calibri" w:eastAsia="MS Mincho" w:hAnsi="Calibri" w:cs="Times New Roman"/>
          <w:szCs w:val="28"/>
        </w:rPr>
        <w:t xml:space="preserve">November 2009 (the date of first listing of </w:t>
      </w:r>
      <w:proofErr w:type="spellStart"/>
      <w:r>
        <w:rPr>
          <w:rFonts w:ascii="Calibri" w:eastAsia="MS Mincho" w:hAnsi="Calibri" w:cs="Times New Roman"/>
          <w:szCs w:val="28"/>
        </w:rPr>
        <w:t>lenalidomide</w:t>
      </w:r>
      <w:proofErr w:type="spellEnd"/>
      <w:r>
        <w:rPr>
          <w:rFonts w:ascii="Calibri" w:eastAsia="MS Mincho" w:hAnsi="Calibri" w:cs="Times New Roman"/>
          <w:szCs w:val="28"/>
        </w:rPr>
        <w:t xml:space="preserve"> on the PBS</w:t>
      </w:r>
      <w:r w:rsidR="00072468">
        <w:rPr>
          <w:rFonts w:ascii="Calibri" w:eastAsia="MS Mincho" w:hAnsi="Calibri" w:cs="Times New Roman"/>
          <w:szCs w:val="28"/>
        </w:rPr>
        <w:t xml:space="preserve">) </w:t>
      </w:r>
      <w:r w:rsidR="00072468">
        <w:rPr>
          <w:rFonts w:ascii="Calibri" w:eastAsia="MS Mincho" w:hAnsi="Calibri" w:cs="Times New Roman"/>
        </w:rPr>
        <w:t>to</w:t>
      </w:r>
      <w:r>
        <w:rPr>
          <w:rFonts w:ascii="Calibri" w:eastAsia="MS Mincho" w:hAnsi="Calibri" w:cs="Times New Roman"/>
        </w:rPr>
        <w:t xml:space="preserve"> 31 March 2017 were extracted from the </w:t>
      </w:r>
      <w:r w:rsidRPr="00B87CD5">
        <w:rPr>
          <w:rFonts w:ascii="Calibri" w:eastAsia="MS Mincho" w:hAnsi="Calibri" w:cs="Times New Roman"/>
        </w:rPr>
        <w:t>DHS prescription database</w:t>
      </w:r>
      <w:r>
        <w:rPr>
          <w:rFonts w:ascii="Calibri" w:eastAsia="MS Mincho" w:hAnsi="Calibri" w:cs="Times New Roman"/>
        </w:rPr>
        <w:t xml:space="preserve"> based on the date of dispensing. The date of processing of PBS prescriptions may differ from the date of dispensing. Consequently there may be differences in data reported by date of dispensing or processing (such as that available </w:t>
      </w:r>
      <w:r w:rsidRPr="004E2F75">
        <w:rPr>
          <w:rFonts w:ascii="Calibri" w:eastAsia="MS Mincho" w:hAnsi="Calibri" w:cs="Times New Roman"/>
        </w:rPr>
        <w:t>publicly available</w:t>
      </w:r>
      <w:r>
        <w:rPr>
          <w:rFonts w:ascii="Calibri" w:eastAsia="MS Mincho" w:hAnsi="Calibri" w:cs="Times New Roman"/>
        </w:rPr>
        <w:t xml:space="preserve"> from</w:t>
      </w:r>
      <w:r w:rsidRPr="004E2F75">
        <w:rPr>
          <w:rFonts w:ascii="Calibri" w:eastAsia="MS Mincho" w:hAnsi="Calibri" w:cs="Times New Roman"/>
        </w:rPr>
        <w:t xml:space="preserve"> </w:t>
      </w:r>
      <w:r w:rsidRPr="00624706">
        <w:rPr>
          <w:rFonts w:ascii="Calibri" w:eastAsia="MS Mincho" w:hAnsi="Calibri" w:cs="Times New Roman"/>
        </w:rPr>
        <w:t>DHS Medicare website</w:t>
      </w:r>
      <w:r>
        <w:rPr>
          <w:rFonts w:ascii="Calibri" w:eastAsia="MS Mincho" w:hAnsi="Calibri" w:cs="Times New Roman"/>
        </w:rPr>
        <w:t xml:space="preserve">). </w:t>
      </w:r>
    </w:p>
    <w:p w:rsidR="00AF729E" w:rsidRDefault="00333658" w:rsidP="00AF729E">
      <w:pPr>
        <w:rPr>
          <w:rFonts w:ascii="Calibri" w:eastAsia="MS Mincho" w:hAnsi="Calibri" w:cs="Times New Roman"/>
        </w:rPr>
      </w:pPr>
      <w:r>
        <w:rPr>
          <w:rFonts w:ascii="Calibri" w:eastAsia="MS Mincho" w:hAnsi="Calibri" w:cs="Times New Roman"/>
        </w:rPr>
        <w:t>PBS prescription data were used to determine the number of prescriptions supplied and the PBS expenditure. These data were also used to count the number of patients, both incident (new to treatment) and prevalent (number treated in each time period, i</w:t>
      </w:r>
      <w:r w:rsidR="00785847">
        <w:rPr>
          <w:rFonts w:ascii="Calibri" w:eastAsia="MS Mincho" w:hAnsi="Calibri" w:cs="Times New Roman"/>
        </w:rPr>
        <w:t>.</w:t>
      </w:r>
      <w:r>
        <w:rPr>
          <w:rFonts w:ascii="Calibri" w:eastAsia="MS Mincho" w:hAnsi="Calibri" w:cs="Times New Roman"/>
        </w:rPr>
        <w:t xml:space="preserve">e. year or quarter). </w:t>
      </w:r>
    </w:p>
    <w:p w:rsidR="00AF729E" w:rsidRDefault="00333658" w:rsidP="00AF729E">
      <w:pPr>
        <w:rPr>
          <w:rFonts w:ascii="Calibri" w:eastAsia="MS Mincho" w:hAnsi="Calibri" w:cs="Times New Roman"/>
        </w:rPr>
      </w:pPr>
      <w:r>
        <w:rPr>
          <w:rFonts w:ascii="Calibri" w:eastAsia="MS Mincho" w:hAnsi="Calibri" w:cs="Times New Roman"/>
        </w:rPr>
        <w:t xml:space="preserve">The main analysis relates to utilisation since </w:t>
      </w:r>
      <w:proofErr w:type="spellStart"/>
      <w:r>
        <w:rPr>
          <w:rFonts w:ascii="Calibri" w:eastAsia="MS Mincho" w:hAnsi="Calibri" w:cs="Times New Roman"/>
        </w:rPr>
        <w:t>lenalidomide</w:t>
      </w:r>
      <w:proofErr w:type="spellEnd"/>
      <w:r>
        <w:rPr>
          <w:rFonts w:ascii="Calibri" w:eastAsia="MS Mincho" w:hAnsi="Calibri" w:cs="Times New Roman"/>
        </w:rPr>
        <w:t xml:space="preserve"> was listed for the MDS indication (1 October 2013). Data prior to this was used as part of the analysis to determine the “Patient Classification” in the “</w:t>
      </w:r>
      <w:r w:rsidRPr="006265F9">
        <w:rPr>
          <w:rFonts w:ascii="Calibri" w:eastAsia="MS Mincho" w:hAnsi="Calibri" w:cs="Times New Roman"/>
        </w:rPr>
        <w:t>Indication sequence and patient classification</w:t>
      </w:r>
      <w:r>
        <w:rPr>
          <w:rFonts w:ascii="Calibri" w:eastAsia="MS Mincho" w:hAnsi="Calibri" w:cs="Times New Roman"/>
        </w:rPr>
        <w:t xml:space="preserve">” section. </w:t>
      </w:r>
    </w:p>
    <w:p w:rsidR="00AF729E" w:rsidRDefault="00333658" w:rsidP="00AF729E">
      <w:pPr>
        <w:rPr>
          <w:rFonts w:ascii="Calibri" w:eastAsia="MS Mincho" w:hAnsi="Calibri" w:cs="Times New Roman"/>
        </w:rPr>
      </w:pPr>
      <w:r>
        <w:rPr>
          <w:rFonts w:ascii="Calibri" w:eastAsia="MS Mincho" w:hAnsi="Calibri" w:cs="Times New Roman"/>
        </w:rPr>
        <w:lastRenderedPageBreak/>
        <w:t>Prescriptions from public hospitals are not all available at the patient level prior to July</w:t>
      </w:r>
      <w:r w:rsidR="00785847">
        <w:rPr>
          <w:rFonts w:ascii="Calibri" w:eastAsia="MS Mincho" w:hAnsi="Calibri" w:cs="Times New Roman"/>
        </w:rPr>
        <w:t> </w:t>
      </w:r>
      <w:r>
        <w:rPr>
          <w:rFonts w:ascii="Calibri" w:eastAsia="MS Mincho" w:hAnsi="Calibri" w:cs="Times New Roman"/>
        </w:rPr>
        <w:t xml:space="preserve">2013. This has a small impact on the prescription history for </w:t>
      </w:r>
      <w:proofErr w:type="gramStart"/>
      <w:r>
        <w:rPr>
          <w:rFonts w:ascii="Calibri" w:eastAsia="MS Mincho" w:hAnsi="Calibri" w:cs="Times New Roman"/>
        </w:rPr>
        <w:t>patients that was</w:t>
      </w:r>
      <w:proofErr w:type="gramEnd"/>
      <w:r>
        <w:rPr>
          <w:rFonts w:ascii="Calibri" w:eastAsia="MS Mincho" w:hAnsi="Calibri" w:cs="Times New Roman"/>
        </w:rPr>
        <w:t xml:space="preserve"> used in this analysis. More details regarding this issue are in Appendix B.</w:t>
      </w:r>
    </w:p>
    <w:p w:rsidR="00AF729E" w:rsidRDefault="00333658" w:rsidP="00AF729E">
      <w:pPr>
        <w:rPr>
          <w:rFonts w:ascii="Calibri" w:eastAsia="MS Mincho" w:hAnsi="Calibri" w:cs="Times New Roman"/>
        </w:rPr>
      </w:pPr>
      <w:r>
        <w:rPr>
          <w:rFonts w:ascii="Calibri" w:eastAsia="MS Mincho" w:hAnsi="Calibri" w:cs="Times New Roman"/>
        </w:rPr>
        <w:t>There is a possibility that PBS item numbers assigned to MDS may have been used for non-MDS patients, and vice versa. Additional information on this is detailed in section 3. As this misclassification could have an effect on the patient-level analyses a second dataset was developed to minimise the effect of misclassification in these analyses (see below).</w:t>
      </w:r>
    </w:p>
    <w:p w:rsidR="00AF729E" w:rsidRDefault="00333658" w:rsidP="00AF729E">
      <w:pPr>
        <w:rPr>
          <w:rFonts w:ascii="Calibri" w:eastAsia="MS Mincho" w:hAnsi="Calibri" w:cs="Times New Roman"/>
        </w:rPr>
      </w:pPr>
      <w:r>
        <w:rPr>
          <w:rFonts w:ascii="Calibri" w:eastAsia="MS Mincho" w:hAnsi="Calibri" w:cs="Times New Roman"/>
        </w:rPr>
        <w:t xml:space="preserve">This analysis used the Kaplan Meier (aka Product-Limit) method to determine the length of treatment for patients on </w:t>
      </w:r>
      <w:proofErr w:type="spellStart"/>
      <w:r>
        <w:rPr>
          <w:rFonts w:ascii="Calibri" w:eastAsia="MS Mincho" w:hAnsi="Calibri" w:cs="Times New Roman"/>
        </w:rPr>
        <w:t>lenalidomide</w:t>
      </w:r>
      <w:proofErr w:type="spellEnd"/>
      <w:r>
        <w:rPr>
          <w:rFonts w:ascii="Calibri" w:eastAsia="MS Mincho" w:hAnsi="Calibri" w:cs="Times New Roman"/>
        </w:rPr>
        <w:t xml:space="preserve"> for MDS. T</w:t>
      </w:r>
      <w:r w:rsidRPr="00DE3347">
        <w:rPr>
          <w:rFonts w:ascii="Calibri" w:eastAsia="MS Mincho" w:hAnsi="Calibri" w:cs="Times New Roman"/>
        </w:rPr>
        <w:t xml:space="preserve">wo </w:t>
      </w:r>
      <w:r>
        <w:rPr>
          <w:rFonts w:ascii="Calibri" w:eastAsia="MS Mincho" w:hAnsi="Calibri" w:cs="Times New Roman"/>
        </w:rPr>
        <w:t xml:space="preserve">ways of </w:t>
      </w:r>
      <w:r w:rsidRPr="00DE3347">
        <w:rPr>
          <w:rFonts w:ascii="Calibri" w:eastAsia="MS Mincho" w:hAnsi="Calibri" w:cs="Times New Roman"/>
        </w:rPr>
        <w:t>measur</w:t>
      </w:r>
      <w:r>
        <w:rPr>
          <w:rFonts w:ascii="Calibri" w:eastAsia="MS Mincho" w:hAnsi="Calibri" w:cs="Times New Roman"/>
        </w:rPr>
        <w:t>ing length of treatment were undertaken</w:t>
      </w:r>
      <w:r w:rsidRPr="00DE3347">
        <w:rPr>
          <w:rFonts w:ascii="Calibri" w:eastAsia="MS Mincho" w:hAnsi="Calibri" w:cs="Times New Roman"/>
        </w:rPr>
        <w:t>. One exclude</w:t>
      </w:r>
      <w:r>
        <w:rPr>
          <w:rFonts w:ascii="Calibri" w:eastAsia="MS Mincho" w:hAnsi="Calibri" w:cs="Times New Roman"/>
        </w:rPr>
        <w:t>d</w:t>
      </w:r>
      <w:r w:rsidRPr="00DE3347">
        <w:rPr>
          <w:rFonts w:ascii="Calibri" w:eastAsia="MS Mincho" w:hAnsi="Calibri" w:cs="Times New Roman"/>
        </w:rPr>
        <w:t xml:space="preserve"> any breaks in treatment and the other d</w:t>
      </w:r>
      <w:r>
        <w:rPr>
          <w:rFonts w:ascii="Calibri" w:eastAsia="MS Mincho" w:hAnsi="Calibri" w:cs="Times New Roman"/>
        </w:rPr>
        <w:t>id</w:t>
      </w:r>
      <w:r w:rsidRPr="00DE3347">
        <w:rPr>
          <w:rFonts w:ascii="Calibri" w:eastAsia="MS Mincho" w:hAnsi="Calibri" w:cs="Times New Roman"/>
        </w:rPr>
        <w:t xml:space="preserve"> not.</w:t>
      </w:r>
      <w:r>
        <w:rPr>
          <w:rFonts w:ascii="Calibri" w:eastAsia="MS Mincho" w:hAnsi="Calibri" w:cs="Times New Roman"/>
        </w:rPr>
        <w:t xml:space="preserve"> A break in treatment was defined as a gap of more than 3 x median time to resupply between </w:t>
      </w:r>
      <w:proofErr w:type="gramStart"/>
      <w:r>
        <w:rPr>
          <w:rFonts w:ascii="Calibri" w:eastAsia="MS Mincho" w:hAnsi="Calibri" w:cs="Times New Roman"/>
        </w:rPr>
        <w:t>supplies, which was</w:t>
      </w:r>
      <w:proofErr w:type="gramEnd"/>
      <w:r>
        <w:rPr>
          <w:rFonts w:ascii="Calibri" w:eastAsia="MS Mincho" w:hAnsi="Calibri" w:cs="Times New Roman"/>
        </w:rPr>
        <w:t xml:space="preserve"> an estimated break in treatment of at least 2 x median time to resupply. A patient was deemed to be continuing treatment (classified as censored in the Product- Limit method) at the end of the data period (</w:t>
      </w:r>
      <w:proofErr w:type="spellStart"/>
      <w:r>
        <w:rPr>
          <w:rFonts w:ascii="Calibri" w:eastAsia="MS Mincho" w:hAnsi="Calibri" w:cs="Times New Roman"/>
        </w:rPr>
        <w:t>ie</w:t>
      </w:r>
      <w:proofErr w:type="spellEnd"/>
      <w:r>
        <w:rPr>
          <w:rFonts w:ascii="Calibri" w:eastAsia="MS Mincho" w:hAnsi="Calibri" w:cs="Times New Roman"/>
        </w:rPr>
        <w:t xml:space="preserve">. the end of March 2017) if their last prescription is within 3 x median time to resupply of this end date. Otherwise the patient </w:t>
      </w:r>
      <w:r w:rsidR="00785847">
        <w:rPr>
          <w:rFonts w:ascii="Calibri" w:eastAsia="MS Mincho" w:hAnsi="Calibri" w:cs="Times New Roman"/>
        </w:rPr>
        <w:t xml:space="preserve">was </w:t>
      </w:r>
      <w:r>
        <w:rPr>
          <w:rFonts w:ascii="Calibri" w:eastAsia="MS Mincho" w:hAnsi="Calibri" w:cs="Times New Roman"/>
        </w:rPr>
        <w:t>deemed to have ceased treatment with the treatment coverage end date being the supply date of their last prescription plus a median time to resupply.</w:t>
      </w:r>
    </w:p>
    <w:p w:rsidR="00AF729E" w:rsidRDefault="00333658" w:rsidP="00AF729E">
      <w:pPr>
        <w:rPr>
          <w:rFonts w:ascii="Calibri" w:eastAsia="MS Mincho" w:hAnsi="Calibri" w:cs="Times New Roman"/>
        </w:rPr>
      </w:pPr>
      <w:r>
        <w:rPr>
          <w:rFonts w:ascii="Calibri" w:eastAsia="MS Mincho" w:hAnsi="Calibri" w:cs="Times New Roman"/>
        </w:rPr>
        <w:t>In the “</w:t>
      </w:r>
      <w:r w:rsidRPr="00C82722">
        <w:rPr>
          <w:rFonts w:ascii="Calibri" w:eastAsia="MS Mincho" w:hAnsi="Calibri" w:cs="Times New Roman"/>
        </w:rPr>
        <w:t>Estimated Dose</w:t>
      </w:r>
      <w:r w:rsidR="00785847">
        <w:rPr>
          <w:rFonts w:ascii="Calibri" w:eastAsia="MS Mincho" w:hAnsi="Calibri" w:cs="Times New Roman"/>
        </w:rPr>
        <w:t>”</w:t>
      </w:r>
      <w:r>
        <w:rPr>
          <w:rFonts w:ascii="Calibri" w:eastAsia="MS Mincho" w:hAnsi="Calibri" w:cs="Times New Roman"/>
        </w:rPr>
        <w:t xml:space="preserve"> section t</w:t>
      </w:r>
      <w:r w:rsidRPr="00C82722">
        <w:rPr>
          <w:rFonts w:ascii="Calibri" w:eastAsia="MS Mincho" w:hAnsi="Calibri" w:cs="Times New Roman"/>
        </w:rPr>
        <w:t xml:space="preserve">he estimated dose </w:t>
      </w:r>
      <w:r w:rsidR="00785847">
        <w:rPr>
          <w:rFonts w:ascii="Calibri" w:eastAsia="MS Mincho" w:hAnsi="Calibri" w:cs="Times New Roman"/>
        </w:rPr>
        <w:t>was</w:t>
      </w:r>
      <w:r w:rsidR="00785847" w:rsidRPr="00C82722">
        <w:rPr>
          <w:rFonts w:ascii="Calibri" w:eastAsia="MS Mincho" w:hAnsi="Calibri" w:cs="Times New Roman"/>
        </w:rPr>
        <w:t xml:space="preserve"> </w:t>
      </w:r>
      <w:r>
        <w:rPr>
          <w:rFonts w:ascii="Calibri" w:eastAsia="MS Mincho" w:hAnsi="Calibri" w:cs="Times New Roman"/>
        </w:rPr>
        <w:t xml:space="preserve">calculated at the patient level and is equal to the </w:t>
      </w:r>
      <w:r w:rsidRPr="00C82722">
        <w:rPr>
          <w:rFonts w:ascii="Calibri" w:eastAsia="MS Mincho" w:hAnsi="Calibri" w:cs="Times New Roman"/>
        </w:rPr>
        <w:t xml:space="preserve">total mass of </w:t>
      </w:r>
      <w:proofErr w:type="spellStart"/>
      <w:r w:rsidRPr="00C82722">
        <w:rPr>
          <w:rFonts w:ascii="Calibri" w:eastAsia="MS Mincho" w:hAnsi="Calibri" w:cs="Times New Roman"/>
        </w:rPr>
        <w:t>lenalidomide</w:t>
      </w:r>
      <w:proofErr w:type="spellEnd"/>
      <w:r w:rsidRPr="00C82722">
        <w:rPr>
          <w:rFonts w:ascii="Calibri" w:eastAsia="MS Mincho" w:hAnsi="Calibri" w:cs="Times New Roman"/>
        </w:rPr>
        <w:t xml:space="preserve"> supplied to a patient summed across all their prescriptions, divided by their total length of treatment (excluding breaks).</w:t>
      </w:r>
    </w:p>
    <w:p w:rsidR="00AF729E" w:rsidRDefault="00333658" w:rsidP="00AF729E">
      <w:pPr>
        <w:rPr>
          <w:rFonts w:ascii="Calibri" w:eastAsia="MS Mincho" w:hAnsi="Calibri" w:cs="Times New Roman"/>
        </w:rPr>
      </w:pPr>
      <w:r>
        <w:rPr>
          <w:rFonts w:ascii="Calibri" w:eastAsia="MS Mincho" w:hAnsi="Calibri" w:cs="Times New Roman"/>
        </w:rPr>
        <w:t xml:space="preserve">There </w:t>
      </w:r>
      <w:r w:rsidR="00785847">
        <w:rPr>
          <w:rFonts w:ascii="Calibri" w:eastAsia="MS Mincho" w:hAnsi="Calibri" w:cs="Times New Roman"/>
        </w:rPr>
        <w:t xml:space="preserve">were </w:t>
      </w:r>
      <w:r>
        <w:rPr>
          <w:rFonts w:ascii="Calibri" w:eastAsia="MS Mincho" w:hAnsi="Calibri" w:cs="Times New Roman"/>
        </w:rPr>
        <w:t xml:space="preserve">two different sets of data used in the analyses. </w:t>
      </w:r>
    </w:p>
    <w:p w:rsidR="00AF729E" w:rsidRDefault="00333658" w:rsidP="005E58FD">
      <w:pPr>
        <w:pStyle w:val="ListParagraph"/>
        <w:numPr>
          <w:ilvl w:val="0"/>
          <w:numId w:val="16"/>
        </w:numPr>
        <w:rPr>
          <w:rFonts w:ascii="Calibri" w:eastAsia="MS Mincho" w:hAnsi="Calibri" w:cs="Times New Roman"/>
        </w:rPr>
      </w:pPr>
      <w:r w:rsidRPr="00443F76">
        <w:rPr>
          <w:rFonts w:ascii="Calibri" w:eastAsia="MS Mincho" w:hAnsi="Calibri" w:cs="Times New Roman"/>
        </w:rPr>
        <w:t xml:space="preserve">The utilisation dataset includes all the prescription information for </w:t>
      </w:r>
      <w:proofErr w:type="spellStart"/>
      <w:r w:rsidRPr="00443F76">
        <w:rPr>
          <w:rFonts w:ascii="Calibri" w:eastAsia="MS Mincho" w:hAnsi="Calibri" w:cs="Times New Roman"/>
        </w:rPr>
        <w:t>lenalidomide</w:t>
      </w:r>
      <w:proofErr w:type="spellEnd"/>
      <w:r w:rsidRPr="00443F76">
        <w:rPr>
          <w:rFonts w:ascii="Calibri" w:eastAsia="MS Mincho" w:hAnsi="Calibri" w:cs="Times New Roman"/>
        </w:rPr>
        <w:t xml:space="preserve"> PBS items indicated for MDS (see </w:t>
      </w:r>
      <w:r>
        <w:rPr>
          <w:rFonts w:ascii="Calibri" w:eastAsia="MS Mincho" w:hAnsi="Calibri" w:cs="Times New Roman"/>
        </w:rPr>
        <w:t>Listing Details</w:t>
      </w:r>
      <w:r w:rsidRPr="00443F76">
        <w:rPr>
          <w:rFonts w:ascii="Calibri" w:eastAsia="MS Mincho" w:hAnsi="Calibri" w:cs="Times New Roman"/>
        </w:rPr>
        <w:t xml:space="preserve"> section above and </w:t>
      </w:r>
      <w:r>
        <w:rPr>
          <w:rFonts w:ascii="Calibri" w:eastAsia="MS Mincho" w:hAnsi="Calibri" w:cs="Times New Roman"/>
        </w:rPr>
        <w:t>Table 3</w:t>
      </w:r>
      <w:r w:rsidRPr="00443F76">
        <w:rPr>
          <w:rFonts w:ascii="Calibri" w:eastAsia="MS Mincho" w:hAnsi="Calibri" w:cs="Times New Roman"/>
        </w:rPr>
        <w:t xml:space="preserve"> below). </w:t>
      </w:r>
      <w:r>
        <w:rPr>
          <w:rFonts w:ascii="Calibri" w:eastAsia="MS Mincho" w:hAnsi="Calibri" w:cs="Times New Roman"/>
        </w:rPr>
        <w:t>Refer to sections 1 and 2 of the results</w:t>
      </w:r>
    </w:p>
    <w:p w:rsidR="00AF729E" w:rsidRDefault="00333658" w:rsidP="005E58FD">
      <w:pPr>
        <w:pStyle w:val="ListParagraph"/>
        <w:numPr>
          <w:ilvl w:val="0"/>
          <w:numId w:val="16"/>
        </w:numPr>
        <w:rPr>
          <w:rFonts w:ascii="Calibri" w:eastAsia="MS Mincho" w:hAnsi="Calibri" w:cs="Times New Roman"/>
        </w:rPr>
      </w:pPr>
      <w:r w:rsidRPr="00443F76">
        <w:rPr>
          <w:rFonts w:ascii="Calibri" w:eastAsia="MS Mincho" w:hAnsi="Calibri" w:cs="Times New Roman"/>
        </w:rPr>
        <w:t xml:space="preserve">The patient cohort described as “Considered to be patients with MDS” </w:t>
      </w:r>
      <w:r>
        <w:rPr>
          <w:rFonts w:ascii="Calibri" w:eastAsia="MS Mincho" w:hAnsi="Calibri" w:cs="Times New Roman"/>
        </w:rPr>
        <w:t xml:space="preserve">(Cohort MDS) </w:t>
      </w:r>
      <w:r w:rsidRPr="00443F76">
        <w:rPr>
          <w:rFonts w:ascii="Calibri" w:eastAsia="MS Mincho" w:hAnsi="Calibri" w:cs="Times New Roman"/>
        </w:rPr>
        <w:t xml:space="preserve">contains </w:t>
      </w:r>
      <w:proofErr w:type="spellStart"/>
      <w:r>
        <w:rPr>
          <w:rFonts w:ascii="Calibri" w:eastAsia="MS Mincho" w:hAnsi="Calibri" w:cs="Times New Roman"/>
        </w:rPr>
        <w:t>lenalidomide</w:t>
      </w:r>
      <w:proofErr w:type="spellEnd"/>
      <w:r>
        <w:rPr>
          <w:rFonts w:ascii="Calibri" w:eastAsia="MS Mincho" w:hAnsi="Calibri" w:cs="Times New Roman"/>
        </w:rPr>
        <w:t xml:space="preserve"> </w:t>
      </w:r>
      <w:r w:rsidRPr="00443F76">
        <w:rPr>
          <w:rFonts w:ascii="Calibri" w:eastAsia="MS Mincho" w:hAnsi="Calibri" w:cs="Times New Roman"/>
        </w:rPr>
        <w:t xml:space="preserve">prescription data for all patients considered to </w:t>
      </w:r>
      <w:r>
        <w:rPr>
          <w:rFonts w:ascii="Calibri" w:eastAsia="MS Mincho" w:hAnsi="Calibri" w:cs="Times New Roman"/>
        </w:rPr>
        <w:t xml:space="preserve">definitely </w:t>
      </w:r>
      <w:r w:rsidRPr="00443F76">
        <w:rPr>
          <w:rFonts w:ascii="Calibri" w:eastAsia="MS Mincho" w:hAnsi="Calibri" w:cs="Times New Roman"/>
        </w:rPr>
        <w:t>have MDS.</w:t>
      </w:r>
      <w:r>
        <w:rPr>
          <w:rFonts w:ascii="Calibri" w:eastAsia="MS Mincho" w:hAnsi="Calibri" w:cs="Times New Roman"/>
        </w:rPr>
        <w:t xml:space="preserve"> Refer to section 3 of the results.</w:t>
      </w:r>
    </w:p>
    <w:p w:rsidR="00AF729E" w:rsidRDefault="00333658" w:rsidP="00AF729E">
      <w:pPr>
        <w:spacing w:line="276" w:lineRule="auto"/>
        <w:rPr>
          <w:rFonts w:ascii="Calibri" w:eastAsia="MS Gothic" w:hAnsi="Calibri" w:cs="Times New Roman"/>
          <w:b/>
          <w:bCs/>
          <w:sz w:val="32"/>
          <w:szCs w:val="32"/>
        </w:rPr>
      </w:pPr>
      <w:r>
        <w:rPr>
          <w:rFonts w:ascii="Calibri" w:eastAsia="MS Gothic" w:hAnsi="Calibri" w:cs="Times New Roman"/>
          <w:b/>
          <w:bCs/>
          <w:sz w:val="32"/>
          <w:szCs w:val="32"/>
        </w:rPr>
        <w:br w:type="page"/>
      </w:r>
      <w:r w:rsidRPr="00B87CD5">
        <w:rPr>
          <w:rFonts w:ascii="Calibri" w:eastAsia="MS Gothic" w:hAnsi="Calibri" w:cs="Times New Roman"/>
          <w:b/>
          <w:bCs/>
          <w:sz w:val="32"/>
          <w:szCs w:val="32"/>
        </w:rPr>
        <w:lastRenderedPageBreak/>
        <w:t>Results</w:t>
      </w:r>
    </w:p>
    <w:p w:rsidR="00AF729E" w:rsidRPr="00B87CD5" w:rsidRDefault="00333658" w:rsidP="00AF729E">
      <w:pPr>
        <w:spacing w:before="240"/>
        <w:outlineLvl w:val="1"/>
        <w:rPr>
          <w:rFonts w:ascii="Calibri" w:eastAsia="MS Mincho" w:hAnsi="Calibri" w:cs="Times New Roman"/>
          <w:b/>
          <w:sz w:val="28"/>
        </w:rPr>
      </w:pPr>
      <w:r>
        <w:rPr>
          <w:rFonts w:ascii="Calibri" w:eastAsia="MS Mincho" w:hAnsi="Calibri" w:cs="Times New Roman"/>
          <w:b/>
          <w:sz w:val="28"/>
        </w:rPr>
        <w:t>1. Utilisation analyses</w:t>
      </w:r>
    </w:p>
    <w:p w:rsidR="00AF729E" w:rsidRDefault="00333658" w:rsidP="00AF729E">
      <w:pPr>
        <w:spacing w:before="240"/>
        <w:outlineLvl w:val="2"/>
        <w:rPr>
          <w:rFonts w:ascii="Calibri" w:eastAsia="MS Mincho" w:hAnsi="Calibri" w:cs="Times New Roman"/>
          <w:b/>
          <w:i/>
          <w:szCs w:val="28"/>
        </w:rPr>
      </w:pPr>
      <w:r>
        <w:rPr>
          <w:rFonts w:ascii="Calibri" w:eastAsia="MS Mincho" w:hAnsi="Calibri" w:cs="Times New Roman"/>
          <w:b/>
          <w:i/>
          <w:szCs w:val="28"/>
        </w:rPr>
        <w:t>1.1 Prescription U</w:t>
      </w:r>
      <w:r w:rsidRPr="00B87CD5">
        <w:rPr>
          <w:rFonts w:ascii="Calibri" w:eastAsia="MS Mincho" w:hAnsi="Calibri" w:cs="Times New Roman"/>
          <w:b/>
          <w:i/>
          <w:szCs w:val="28"/>
        </w:rPr>
        <w:t>tilisation</w:t>
      </w:r>
    </w:p>
    <w:p w:rsidR="00AF729E" w:rsidRDefault="00333658" w:rsidP="00AF729E">
      <w:pPr>
        <w:rPr>
          <w:rFonts w:ascii="Calibri" w:eastAsia="MS Mincho" w:hAnsi="Calibri" w:cs="Times New Roman"/>
        </w:rPr>
      </w:pPr>
      <w:r>
        <w:rPr>
          <w:rFonts w:ascii="Calibri" w:eastAsia="MS Mincho" w:hAnsi="Calibri" w:cs="Times New Roman"/>
        </w:rPr>
        <w:t>The PBS items included in this analysis were all MDS indication specific items (see Table 3) and the analysis uses dataset 1.</w:t>
      </w:r>
    </w:p>
    <w:p w:rsidR="00AF729E" w:rsidRDefault="00333658" w:rsidP="00AF729E">
      <w:pPr>
        <w:spacing w:after="0"/>
        <w:rPr>
          <w:rFonts w:ascii="Calibri" w:eastAsia="Times New Roman" w:hAnsi="Calibri" w:cs="Times New Roman"/>
          <w:b/>
          <w:iCs/>
          <w:snapToGrid w:val="0"/>
          <w:lang w:eastAsia="en-US"/>
        </w:rPr>
      </w:pPr>
      <w:r w:rsidRPr="00B87CD5">
        <w:rPr>
          <w:rFonts w:ascii="Calibri" w:eastAsia="Times New Roman" w:hAnsi="Calibri" w:cs="Times New Roman"/>
          <w:b/>
          <w:iCs/>
          <w:snapToGrid w:val="0"/>
          <w:lang w:eastAsia="en-US"/>
        </w:rPr>
        <w:t xml:space="preserve">Table </w:t>
      </w:r>
      <w:r>
        <w:rPr>
          <w:rFonts w:ascii="Calibri" w:eastAsia="Times New Roman" w:hAnsi="Calibri" w:cs="Times New Roman"/>
          <w:b/>
          <w:iCs/>
          <w:snapToGrid w:val="0"/>
          <w:lang w:eastAsia="en-US"/>
        </w:rPr>
        <w:t>3</w:t>
      </w:r>
      <w:r w:rsidRPr="00B87CD5">
        <w:rPr>
          <w:rFonts w:ascii="Calibri" w:eastAsia="Times New Roman" w:hAnsi="Calibri" w:cs="Times New Roman"/>
          <w:b/>
          <w:iCs/>
          <w:snapToGrid w:val="0"/>
          <w:lang w:eastAsia="en-US"/>
        </w:rPr>
        <w:t xml:space="preserve">: </w:t>
      </w:r>
      <w:r>
        <w:rPr>
          <w:rFonts w:ascii="Calibri" w:eastAsia="Times New Roman" w:hAnsi="Calibri" w:cs="Times New Roman"/>
          <w:b/>
          <w:iCs/>
          <w:snapToGrid w:val="0"/>
          <w:lang w:eastAsia="en-US"/>
        </w:rPr>
        <w:t>PBS items which are only indicated for the treatment of MDS</w:t>
      </w:r>
    </w:p>
    <w:tbl>
      <w:tblPr>
        <w:tblW w:w="65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757"/>
        <w:gridCol w:w="1037"/>
        <w:gridCol w:w="2276"/>
      </w:tblGrid>
      <w:tr w:rsidR="00AF729E" w:rsidRPr="004969EF">
        <w:trPr>
          <w:trHeight w:val="20"/>
        </w:trPr>
        <w:tc>
          <w:tcPr>
            <w:tcW w:w="1474" w:type="dxa"/>
            <w:shd w:val="clear" w:color="auto" w:fill="BFBFBF" w:themeFill="background1" w:themeFillShade="BF"/>
            <w:noWrap/>
            <w:vAlign w:val="bottom"/>
          </w:tcPr>
          <w:p w:rsidR="00AF729E" w:rsidRPr="004969EF" w:rsidRDefault="00333658" w:rsidP="00AF729E">
            <w:pPr>
              <w:spacing w:after="0"/>
              <w:rPr>
                <w:rFonts w:eastAsia="Times New Roman" w:cs="Times New Roman"/>
                <w:b/>
                <w:bCs/>
                <w:color w:val="000000"/>
                <w:sz w:val="20"/>
                <w:szCs w:val="20"/>
              </w:rPr>
            </w:pPr>
            <w:r w:rsidRPr="004969EF">
              <w:rPr>
                <w:rFonts w:eastAsia="Times New Roman" w:cs="Times New Roman"/>
                <w:b/>
                <w:bCs/>
                <w:color w:val="000000"/>
                <w:sz w:val="20"/>
                <w:szCs w:val="20"/>
              </w:rPr>
              <w:t xml:space="preserve">Drug </w:t>
            </w:r>
          </w:p>
        </w:tc>
        <w:tc>
          <w:tcPr>
            <w:tcW w:w="1757" w:type="dxa"/>
            <w:shd w:val="clear" w:color="auto" w:fill="BFBFBF" w:themeFill="background1" w:themeFillShade="BF"/>
            <w:noWrap/>
            <w:vAlign w:val="bottom"/>
          </w:tcPr>
          <w:p w:rsidR="00AF729E" w:rsidRPr="004969EF" w:rsidRDefault="00333658" w:rsidP="00AF729E">
            <w:pPr>
              <w:spacing w:after="0"/>
              <w:rPr>
                <w:rFonts w:eastAsia="Times New Roman" w:cs="Times New Roman"/>
                <w:b/>
                <w:bCs/>
                <w:color w:val="000000"/>
                <w:sz w:val="20"/>
                <w:szCs w:val="20"/>
              </w:rPr>
            </w:pPr>
            <w:r w:rsidRPr="004969EF">
              <w:rPr>
                <w:rFonts w:eastAsia="Times New Roman" w:cs="Times New Roman"/>
                <w:b/>
                <w:bCs/>
                <w:color w:val="000000"/>
                <w:sz w:val="20"/>
                <w:szCs w:val="20"/>
              </w:rPr>
              <w:t>Description</w:t>
            </w:r>
          </w:p>
        </w:tc>
        <w:tc>
          <w:tcPr>
            <w:tcW w:w="1037" w:type="dxa"/>
            <w:shd w:val="clear" w:color="auto" w:fill="BFBFBF" w:themeFill="background1" w:themeFillShade="BF"/>
            <w:noWrap/>
            <w:vAlign w:val="bottom"/>
          </w:tcPr>
          <w:p w:rsidR="00AF729E" w:rsidRPr="004969EF" w:rsidRDefault="00333658" w:rsidP="00AF729E">
            <w:pPr>
              <w:spacing w:after="0"/>
              <w:rPr>
                <w:rFonts w:eastAsia="Times New Roman" w:cs="Times New Roman"/>
                <w:b/>
                <w:bCs/>
                <w:color w:val="000000"/>
                <w:sz w:val="20"/>
                <w:szCs w:val="20"/>
              </w:rPr>
            </w:pPr>
            <w:r w:rsidRPr="004969EF">
              <w:rPr>
                <w:rFonts w:eastAsia="Times New Roman" w:cs="Times New Roman"/>
                <w:b/>
                <w:bCs/>
                <w:color w:val="000000"/>
                <w:sz w:val="20"/>
                <w:szCs w:val="20"/>
              </w:rPr>
              <w:t>PBS Item</w:t>
            </w:r>
          </w:p>
        </w:tc>
        <w:tc>
          <w:tcPr>
            <w:tcW w:w="2276" w:type="dxa"/>
            <w:shd w:val="clear" w:color="auto" w:fill="BFBFBF" w:themeFill="background1" w:themeFillShade="BF"/>
          </w:tcPr>
          <w:p w:rsidR="00AF729E" w:rsidRPr="004969EF" w:rsidRDefault="00333658" w:rsidP="00AF729E">
            <w:pPr>
              <w:spacing w:after="0"/>
              <w:rPr>
                <w:rFonts w:eastAsia="Times New Roman" w:cs="Times New Roman"/>
                <w:b/>
                <w:bCs/>
                <w:color w:val="000000"/>
                <w:sz w:val="20"/>
                <w:szCs w:val="20"/>
              </w:rPr>
            </w:pPr>
            <w:r w:rsidRPr="004969EF">
              <w:rPr>
                <w:rFonts w:eastAsia="Times New Roman" w:cs="Times New Roman"/>
                <w:b/>
                <w:bCs/>
                <w:color w:val="000000"/>
                <w:sz w:val="20"/>
                <w:szCs w:val="20"/>
              </w:rPr>
              <w:t>Setting</w:t>
            </w:r>
          </w:p>
        </w:tc>
      </w:tr>
      <w:tr w:rsidR="00AF729E" w:rsidRPr="004969EF">
        <w:trPr>
          <w:trHeight w:val="20"/>
        </w:trPr>
        <w:tc>
          <w:tcPr>
            <w:tcW w:w="1474" w:type="dxa"/>
            <w:shd w:val="clear" w:color="auto" w:fill="auto"/>
            <w:noWrap/>
            <w:vAlign w:val="bottom"/>
          </w:tcPr>
          <w:p w:rsidR="00AF729E" w:rsidRPr="004969EF" w:rsidRDefault="00333658" w:rsidP="00AF729E">
            <w:pPr>
              <w:spacing w:after="0"/>
              <w:rPr>
                <w:rFonts w:ascii="Calibri" w:hAnsi="Calibri"/>
                <w:bCs/>
                <w:color w:val="000000"/>
                <w:sz w:val="20"/>
                <w:szCs w:val="20"/>
              </w:rPr>
            </w:pPr>
            <w:proofErr w:type="spellStart"/>
            <w:r w:rsidRPr="004969EF">
              <w:rPr>
                <w:rFonts w:ascii="Calibri" w:hAnsi="Calibri"/>
                <w:bCs/>
                <w:color w:val="000000"/>
                <w:sz w:val="20"/>
                <w:szCs w:val="20"/>
              </w:rPr>
              <w:t>lenalidomide</w:t>
            </w:r>
            <w:proofErr w:type="spellEnd"/>
          </w:p>
        </w:tc>
        <w:tc>
          <w:tcPr>
            <w:tcW w:w="1757" w:type="dxa"/>
            <w:shd w:val="clear" w:color="auto" w:fill="auto"/>
            <w:noWrap/>
            <w:vAlign w:val="bottom"/>
          </w:tcPr>
          <w:p w:rsidR="00AF729E" w:rsidRPr="004969EF" w:rsidRDefault="00333658" w:rsidP="00AF729E">
            <w:pPr>
              <w:spacing w:after="0"/>
              <w:rPr>
                <w:rFonts w:ascii="Calibri" w:hAnsi="Calibri"/>
                <w:bCs/>
                <w:color w:val="000000"/>
                <w:sz w:val="20"/>
                <w:szCs w:val="20"/>
              </w:rPr>
            </w:pPr>
            <w:r w:rsidRPr="004969EF">
              <w:rPr>
                <w:rFonts w:ascii="Calibri" w:hAnsi="Calibri"/>
                <w:bCs/>
                <w:color w:val="000000"/>
                <w:sz w:val="20"/>
                <w:szCs w:val="20"/>
              </w:rPr>
              <w:t>Capsule 5 mg</w:t>
            </w:r>
            <w:r>
              <w:rPr>
                <w:rFonts w:ascii="Calibri" w:hAnsi="Calibri"/>
                <w:bCs/>
                <w:color w:val="000000"/>
                <w:sz w:val="20"/>
                <w:szCs w:val="20"/>
              </w:rPr>
              <w:t xml:space="preserve"> 21</w:t>
            </w:r>
          </w:p>
        </w:tc>
        <w:tc>
          <w:tcPr>
            <w:tcW w:w="1037" w:type="dxa"/>
            <w:shd w:val="clear" w:color="auto" w:fill="auto"/>
            <w:noWrap/>
            <w:vAlign w:val="bottom"/>
          </w:tcPr>
          <w:p w:rsidR="00AF729E" w:rsidRPr="004969EF" w:rsidRDefault="00333658" w:rsidP="00AF729E">
            <w:pPr>
              <w:spacing w:after="0"/>
              <w:rPr>
                <w:rFonts w:ascii="Calibri" w:hAnsi="Calibri"/>
                <w:sz w:val="20"/>
                <w:szCs w:val="20"/>
              </w:rPr>
            </w:pPr>
            <w:r w:rsidRPr="004969EF">
              <w:rPr>
                <w:rFonts w:ascii="Calibri" w:hAnsi="Calibri"/>
                <w:sz w:val="20"/>
                <w:szCs w:val="20"/>
              </w:rPr>
              <w:t>2798G</w:t>
            </w:r>
          </w:p>
        </w:tc>
        <w:tc>
          <w:tcPr>
            <w:tcW w:w="2276" w:type="dxa"/>
            <w:vAlign w:val="bottom"/>
          </w:tcPr>
          <w:p w:rsidR="00AF729E" w:rsidRPr="004969EF" w:rsidRDefault="00333658" w:rsidP="00AF729E">
            <w:pPr>
              <w:spacing w:after="0"/>
              <w:rPr>
                <w:rFonts w:ascii="Calibri" w:hAnsi="Calibri"/>
                <w:sz w:val="20"/>
                <w:szCs w:val="20"/>
              </w:rPr>
            </w:pPr>
            <w:r w:rsidRPr="004969EF">
              <w:rPr>
                <w:rFonts w:ascii="Calibri" w:hAnsi="Calibri"/>
                <w:sz w:val="20"/>
                <w:szCs w:val="20"/>
              </w:rPr>
              <w:t>HSD Private</w:t>
            </w:r>
          </w:p>
        </w:tc>
      </w:tr>
      <w:tr w:rsidR="00AF729E" w:rsidRPr="004969EF">
        <w:trPr>
          <w:trHeight w:val="20"/>
        </w:trPr>
        <w:tc>
          <w:tcPr>
            <w:tcW w:w="1474" w:type="dxa"/>
            <w:shd w:val="clear" w:color="auto" w:fill="auto"/>
            <w:noWrap/>
            <w:vAlign w:val="bottom"/>
          </w:tcPr>
          <w:p w:rsidR="00AF729E" w:rsidRPr="004969EF" w:rsidRDefault="00AF729E" w:rsidP="00AF729E">
            <w:pPr>
              <w:spacing w:after="0"/>
              <w:rPr>
                <w:rFonts w:ascii="Calibri" w:hAnsi="Calibri"/>
                <w:bCs/>
                <w:color w:val="000000"/>
                <w:sz w:val="20"/>
                <w:szCs w:val="20"/>
              </w:rPr>
            </w:pPr>
          </w:p>
        </w:tc>
        <w:tc>
          <w:tcPr>
            <w:tcW w:w="1757" w:type="dxa"/>
            <w:shd w:val="clear" w:color="auto" w:fill="auto"/>
            <w:noWrap/>
            <w:vAlign w:val="bottom"/>
          </w:tcPr>
          <w:p w:rsidR="00AF729E" w:rsidRPr="004969EF" w:rsidRDefault="00AF729E" w:rsidP="00AF729E">
            <w:pPr>
              <w:spacing w:after="0"/>
              <w:rPr>
                <w:rFonts w:ascii="Calibri" w:hAnsi="Calibri"/>
                <w:bCs/>
                <w:color w:val="000000"/>
                <w:sz w:val="20"/>
                <w:szCs w:val="20"/>
              </w:rPr>
            </w:pPr>
          </w:p>
        </w:tc>
        <w:tc>
          <w:tcPr>
            <w:tcW w:w="1037" w:type="dxa"/>
            <w:shd w:val="clear" w:color="auto" w:fill="auto"/>
            <w:noWrap/>
            <w:vAlign w:val="bottom"/>
          </w:tcPr>
          <w:p w:rsidR="00AF729E" w:rsidRPr="004969EF" w:rsidRDefault="00333658" w:rsidP="00AF729E">
            <w:pPr>
              <w:spacing w:after="0"/>
              <w:rPr>
                <w:rFonts w:ascii="Calibri" w:hAnsi="Calibri"/>
                <w:sz w:val="20"/>
                <w:szCs w:val="20"/>
              </w:rPr>
            </w:pPr>
            <w:r w:rsidRPr="004969EF">
              <w:rPr>
                <w:rFonts w:ascii="Calibri" w:hAnsi="Calibri"/>
                <w:sz w:val="20"/>
                <w:szCs w:val="20"/>
              </w:rPr>
              <w:t>2799H</w:t>
            </w:r>
          </w:p>
        </w:tc>
        <w:tc>
          <w:tcPr>
            <w:tcW w:w="2276" w:type="dxa"/>
            <w:vAlign w:val="bottom"/>
          </w:tcPr>
          <w:p w:rsidR="00AF729E" w:rsidRPr="004969EF" w:rsidRDefault="00333658" w:rsidP="00AF729E">
            <w:pPr>
              <w:spacing w:after="0"/>
              <w:rPr>
                <w:rFonts w:ascii="Calibri" w:hAnsi="Calibri"/>
                <w:sz w:val="20"/>
                <w:szCs w:val="20"/>
              </w:rPr>
            </w:pPr>
            <w:r w:rsidRPr="004969EF">
              <w:rPr>
                <w:rFonts w:ascii="Calibri" w:hAnsi="Calibri"/>
                <w:sz w:val="20"/>
                <w:szCs w:val="20"/>
              </w:rPr>
              <w:t>HSD Public Hospital</w:t>
            </w:r>
          </w:p>
        </w:tc>
      </w:tr>
      <w:tr w:rsidR="00AF729E" w:rsidRPr="004969EF">
        <w:trPr>
          <w:trHeight w:val="20"/>
        </w:trPr>
        <w:tc>
          <w:tcPr>
            <w:tcW w:w="1474" w:type="dxa"/>
            <w:shd w:val="clear" w:color="auto" w:fill="auto"/>
            <w:noWrap/>
            <w:vAlign w:val="bottom"/>
          </w:tcPr>
          <w:p w:rsidR="00AF729E" w:rsidRPr="004969EF" w:rsidRDefault="00AF729E" w:rsidP="00AF729E">
            <w:pPr>
              <w:spacing w:after="0"/>
              <w:rPr>
                <w:rFonts w:ascii="Calibri" w:hAnsi="Calibri"/>
                <w:bCs/>
                <w:color w:val="000000"/>
                <w:sz w:val="20"/>
                <w:szCs w:val="20"/>
              </w:rPr>
            </w:pPr>
          </w:p>
        </w:tc>
        <w:tc>
          <w:tcPr>
            <w:tcW w:w="1757" w:type="dxa"/>
            <w:shd w:val="clear" w:color="auto" w:fill="auto"/>
            <w:noWrap/>
            <w:vAlign w:val="bottom"/>
          </w:tcPr>
          <w:p w:rsidR="00AF729E" w:rsidRPr="004969EF" w:rsidRDefault="00333658" w:rsidP="00AF729E">
            <w:pPr>
              <w:spacing w:after="0"/>
              <w:rPr>
                <w:rFonts w:ascii="Calibri" w:hAnsi="Calibri"/>
                <w:bCs/>
                <w:color w:val="000000"/>
                <w:sz w:val="20"/>
                <w:szCs w:val="20"/>
              </w:rPr>
            </w:pPr>
            <w:r w:rsidRPr="004969EF">
              <w:rPr>
                <w:rFonts w:ascii="Calibri" w:hAnsi="Calibri"/>
                <w:bCs/>
                <w:color w:val="000000"/>
                <w:sz w:val="20"/>
                <w:szCs w:val="20"/>
              </w:rPr>
              <w:t>Capsule 10 mg</w:t>
            </w:r>
            <w:r>
              <w:rPr>
                <w:rFonts w:ascii="Calibri" w:hAnsi="Calibri"/>
                <w:bCs/>
                <w:color w:val="000000"/>
                <w:sz w:val="20"/>
                <w:szCs w:val="20"/>
              </w:rPr>
              <w:t xml:space="preserve"> 21</w:t>
            </w:r>
          </w:p>
        </w:tc>
        <w:tc>
          <w:tcPr>
            <w:tcW w:w="1037" w:type="dxa"/>
            <w:shd w:val="clear" w:color="auto" w:fill="auto"/>
            <w:noWrap/>
            <w:vAlign w:val="bottom"/>
          </w:tcPr>
          <w:p w:rsidR="00AF729E" w:rsidRPr="004969EF" w:rsidRDefault="00333658" w:rsidP="00AF729E">
            <w:pPr>
              <w:spacing w:after="0"/>
              <w:rPr>
                <w:rFonts w:ascii="Calibri" w:hAnsi="Calibri"/>
                <w:sz w:val="20"/>
                <w:szCs w:val="20"/>
              </w:rPr>
            </w:pPr>
            <w:r w:rsidRPr="004969EF">
              <w:rPr>
                <w:rFonts w:ascii="Calibri" w:hAnsi="Calibri"/>
                <w:sz w:val="20"/>
                <w:szCs w:val="20"/>
              </w:rPr>
              <w:t>2796E</w:t>
            </w:r>
          </w:p>
        </w:tc>
        <w:tc>
          <w:tcPr>
            <w:tcW w:w="2276" w:type="dxa"/>
            <w:vAlign w:val="bottom"/>
          </w:tcPr>
          <w:p w:rsidR="00AF729E" w:rsidRPr="004969EF" w:rsidRDefault="00333658" w:rsidP="00AF729E">
            <w:pPr>
              <w:spacing w:after="0"/>
              <w:rPr>
                <w:rFonts w:ascii="Calibri" w:hAnsi="Calibri"/>
                <w:sz w:val="20"/>
                <w:szCs w:val="20"/>
              </w:rPr>
            </w:pPr>
            <w:r w:rsidRPr="004969EF">
              <w:rPr>
                <w:rFonts w:ascii="Calibri" w:hAnsi="Calibri"/>
                <w:sz w:val="20"/>
                <w:szCs w:val="20"/>
              </w:rPr>
              <w:t>HSD Private</w:t>
            </w:r>
          </w:p>
        </w:tc>
      </w:tr>
      <w:tr w:rsidR="00AF729E" w:rsidRPr="004969EF">
        <w:trPr>
          <w:trHeight w:val="20"/>
        </w:trPr>
        <w:tc>
          <w:tcPr>
            <w:tcW w:w="1474" w:type="dxa"/>
            <w:shd w:val="clear" w:color="auto" w:fill="auto"/>
            <w:noWrap/>
            <w:vAlign w:val="bottom"/>
          </w:tcPr>
          <w:p w:rsidR="00AF729E" w:rsidRPr="004969EF" w:rsidRDefault="00AF729E" w:rsidP="00AF729E">
            <w:pPr>
              <w:spacing w:after="0"/>
              <w:rPr>
                <w:rFonts w:ascii="Calibri" w:hAnsi="Calibri"/>
                <w:bCs/>
                <w:color w:val="000000"/>
                <w:sz w:val="20"/>
                <w:szCs w:val="20"/>
              </w:rPr>
            </w:pPr>
          </w:p>
        </w:tc>
        <w:tc>
          <w:tcPr>
            <w:tcW w:w="1757" w:type="dxa"/>
            <w:shd w:val="clear" w:color="auto" w:fill="auto"/>
            <w:noWrap/>
            <w:vAlign w:val="bottom"/>
          </w:tcPr>
          <w:p w:rsidR="00AF729E" w:rsidRPr="004969EF" w:rsidRDefault="00AF729E" w:rsidP="00AF729E">
            <w:pPr>
              <w:spacing w:after="0"/>
              <w:rPr>
                <w:rFonts w:ascii="Calibri" w:hAnsi="Calibri"/>
                <w:bCs/>
                <w:color w:val="000000"/>
                <w:sz w:val="20"/>
                <w:szCs w:val="20"/>
              </w:rPr>
            </w:pPr>
          </w:p>
        </w:tc>
        <w:tc>
          <w:tcPr>
            <w:tcW w:w="1037" w:type="dxa"/>
            <w:shd w:val="clear" w:color="auto" w:fill="auto"/>
            <w:noWrap/>
            <w:vAlign w:val="bottom"/>
          </w:tcPr>
          <w:p w:rsidR="00AF729E" w:rsidRPr="004969EF" w:rsidRDefault="00333658" w:rsidP="00AF729E">
            <w:pPr>
              <w:spacing w:after="0"/>
              <w:rPr>
                <w:rFonts w:ascii="Calibri" w:hAnsi="Calibri"/>
                <w:sz w:val="20"/>
                <w:szCs w:val="20"/>
              </w:rPr>
            </w:pPr>
            <w:r w:rsidRPr="004969EF">
              <w:rPr>
                <w:rFonts w:ascii="Calibri" w:hAnsi="Calibri"/>
                <w:sz w:val="20"/>
                <w:szCs w:val="20"/>
              </w:rPr>
              <w:t>2802L</w:t>
            </w:r>
          </w:p>
        </w:tc>
        <w:tc>
          <w:tcPr>
            <w:tcW w:w="2276" w:type="dxa"/>
            <w:vAlign w:val="bottom"/>
          </w:tcPr>
          <w:p w:rsidR="00AF729E" w:rsidRPr="004969EF" w:rsidRDefault="00333658" w:rsidP="00AF729E">
            <w:pPr>
              <w:spacing w:after="0"/>
              <w:rPr>
                <w:rFonts w:ascii="Calibri" w:hAnsi="Calibri"/>
                <w:sz w:val="20"/>
                <w:szCs w:val="20"/>
              </w:rPr>
            </w:pPr>
            <w:r w:rsidRPr="004969EF">
              <w:rPr>
                <w:rFonts w:ascii="Calibri" w:hAnsi="Calibri"/>
                <w:sz w:val="20"/>
                <w:szCs w:val="20"/>
              </w:rPr>
              <w:t>HSD Public Hospital</w:t>
            </w:r>
          </w:p>
        </w:tc>
      </w:tr>
    </w:tbl>
    <w:p w:rsidR="00AF729E" w:rsidRDefault="00AF729E" w:rsidP="00AF729E">
      <w:pPr>
        <w:rPr>
          <w:rFonts w:ascii="Calibri" w:eastAsia="MS Mincho" w:hAnsi="Calibri" w:cs="Times New Roman"/>
        </w:rPr>
      </w:pPr>
    </w:p>
    <w:p w:rsidR="00AF729E" w:rsidRPr="00793E16" w:rsidRDefault="00333658" w:rsidP="00AF729E">
      <w:pPr>
        <w:rPr>
          <w:rFonts w:ascii="Calibri" w:eastAsia="MS Mincho" w:hAnsi="Calibri" w:cs="Times New Roman"/>
          <w:b/>
        </w:rPr>
      </w:pPr>
      <w:r>
        <w:rPr>
          <w:noProof/>
        </w:rPr>
        <w:drawing>
          <wp:inline distT="0" distB="0" distL="0" distR="0" wp14:anchorId="1B1F76A5" wp14:editId="21175982">
            <wp:extent cx="5687695" cy="3716447"/>
            <wp:effectExtent l="0" t="0" r="27305" b="17780"/>
            <wp:docPr id="6" name="Chart 6" title="Figure 1: PBS/RPBS Prescriptions of lenalidomide for myelodysplastic syndrome item numbers by set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87CD5">
        <w:rPr>
          <w:rFonts w:ascii="Calibri" w:eastAsia="MS Mincho" w:hAnsi="Calibri" w:cs="Times New Roman"/>
          <w:b/>
        </w:rPr>
        <w:t xml:space="preserve">Figure 1: </w:t>
      </w:r>
      <w:r>
        <w:rPr>
          <w:rFonts w:ascii="Calibri" w:eastAsia="MS Mincho" w:hAnsi="Calibri" w:cs="Times New Roman"/>
          <w:b/>
        </w:rPr>
        <w:t xml:space="preserve">PBS/RPBS Prescriptions of </w:t>
      </w:r>
      <w:proofErr w:type="spellStart"/>
      <w:r>
        <w:rPr>
          <w:rFonts w:ascii="Calibri" w:eastAsia="MS Mincho" w:hAnsi="Calibri" w:cs="Times New Roman"/>
          <w:b/>
        </w:rPr>
        <w:t>lenalidomide</w:t>
      </w:r>
      <w:proofErr w:type="spellEnd"/>
      <w:r>
        <w:rPr>
          <w:rFonts w:ascii="Calibri" w:eastAsia="MS Mincho" w:hAnsi="Calibri" w:cs="Times New Roman"/>
          <w:b/>
        </w:rPr>
        <w:t xml:space="preserve"> for </w:t>
      </w:r>
      <w:r w:rsidR="00590152">
        <w:rPr>
          <w:rFonts w:ascii="Calibri" w:eastAsia="MS Mincho" w:hAnsi="Calibri" w:cs="Times New Roman"/>
          <w:b/>
        </w:rPr>
        <w:t>MDS</w:t>
      </w:r>
      <w:r w:rsidRPr="00AB4293">
        <w:rPr>
          <w:rFonts w:ascii="Calibri" w:eastAsia="MS Mincho" w:hAnsi="Calibri" w:cs="Times New Roman"/>
          <w:b/>
        </w:rPr>
        <w:t xml:space="preserve"> </w:t>
      </w:r>
      <w:r>
        <w:rPr>
          <w:rFonts w:ascii="Calibri" w:eastAsia="MS Mincho" w:hAnsi="Calibri" w:cs="Times New Roman"/>
          <w:b/>
        </w:rPr>
        <w:t>item numbers by setting.</w:t>
      </w:r>
      <w:r>
        <w:rPr>
          <w:rFonts w:ascii="Calibri" w:eastAsia="MS Mincho" w:hAnsi="Calibri" w:cs="Times New Roman"/>
          <w:b/>
        </w:rPr>
        <w:br/>
      </w:r>
      <w:r>
        <w:rPr>
          <w:rFonts w:ascii="Calibri" w:eastAsia="MS Mincho" w:hAnsi="Calibri" w:cs="Times New Roman"/>
          <w:sz w:val="20"/>
        </w:rPr>
        <w:t>Source:</w:t>
      </w:r>
      <w:r w:rsidRPr="00AB4293">
        <w:rPr>
          <w:rFonts w:ascii="Calibri" w:eastAsia="MS Mincho" w:hAnsi="Calibri" w:cs="Times New Roman"/>
          <w:sz w:val="20"/>
        </w:rPr>
        <w:t xml:space="preserve"> </w:t>
      </w:r>
      <w:r w:rsidRPr="00B87CD5">
        <w:rPr>
          <w:rFonts w:ascii="Calibri" w:eastAsia="MS Mincho" w:hAnsi="Calibri" w:cs="Times New Roman"/>
          <w:sz w:val="20"/>
        </w:rPr>
        <w:t>DHS prescription claims database</w:t>
      </w:r>
      <w:r>
        <w:rPr>
          <w:rFonts w:ascii="Calibri" w:eastAsia="MS Mincho" w:hAnsi="Calibri" w:cs="Times New Roman"/>
          <w:sz w:val="20"/>
        </w:rPr>
        <w:t xml:space="preserve"> (</w:t>
      </w:r>
      <w:r w:rsidRPr="00B87CD5">
        <w:rPr>
          <w:rFonts w:ascii="Calibri" w:eastAsia="MS Mincho" w:hAnsi="Calibri" w:cs="Times New Roman"/>
          <w:sz w:val="20"/>
        </w:rPr>
        <w:t xml:space="preserve">accessed </w:t>
      </w:r>
      <w:r>
        <w:rPr>
          <w:rFonts w:ascii="Calibri" w:eastAsia="MS Mincho" w:hAnsi="Calibri" w:cs="Times New Roman"/>
          <w:sz w:val="20"/>
        </w:rPr>
        <w:t xml:space="preserve">13 June </w:t>
      </w:r>
      <w:r w:rsidRPr="00B87CD5">
        <w:rPr>
          <w:rFonts w:ascii="Calibri" w:eastAsia="MS Mincho" w:hAnsi="Calibri" w:cs="Times New Roman"/>
          <w:sz w:val="20"/>
        </w:rPr>
        <w:t>201</w:t>
      </w:r>
      <w:r>
        <w:rPr>
          <w:rFonts w:ascii="Calibri" w:eastAsia="MS Mincho" w:hAnsi="Calibri" w:cs="Times New Roman"/>
          <w:sz w:val="20"/>
        </w:rPr>
        <w:t>7)</w:t>
      </w:r>
      <w:r w:rsidRPr="00B87CD5">
        <w:rPr>
          <w:rFonts w:ascii="Calibri" w:eastAsia="MS Mincho" w:hAnsi="Calibri" w:cs="Times New Roman"/>
          <w:sz w:val="20"/>
        </w:rPr>
        <w:t>.</w:t>
      </w:r>
      <w:r>
        <w:rPr>
          <w:rFonts w:ascii="Calibri" w:eastAsia="MS Mincho" w:hAnsi="Calibri" w:cs="Times New Roman"/>
          <w:sz w:val="20"/>
        </w:rPr>
        <w:t xml:space="preserve"> </w:t>
      </w:r>
    </w:p>
    <w:p w:rsidR="00AF729E" w:rsidRPr="00CF1434" w:rsidRDefault="00333658" w:rsidP="00AF729E">
      <w:pPr>
        <w:rPr>
          <w:rFonts w:ascii="Calibri" w:eastAsia="MS Mincho" w:hAnsi="Calibri" w:cs="Times New Roman"/>
        </w:rPr>
      </w:pPr>
      <w:r w:rsidRPr="00CF1434">
        <w:rPr>
          <w:rFonts w:ascii="Calibri" w:eastAsia="MS Mincho" w:hAnsi="Calibri" w:cs="Times New Roman"/>
        </w:rPr>
        <w:t xml:space="preserve">Figure 1 shows the utilisation of </w:t>
      </w:r>
      <w:proofErr w:type="spellStart"/>
      <w:r>
        <w:rPr>
          <w:rFonts w:ascii="Calibri" w:eastAsia="MS Mincho" w:hAnsi="Calibri" w:cs="Times New Roman"/>
        </w:rPr>
        <w:t>l</w:t>
      </w:r>
      <w:r w:rsidRPr="0067498B">
        <w:rPr>
          <w:rFonts w:ascii="Calibri" w:eastAsia="MS Mincho" w:hAnsi="Calibri" w:cs="Times New Roman"/>
        </w:rPr>
        <w:t>enalidomide</w:t>
      </w:r>
      <w:proofErr w:type="spellEnd"/>
      <w:r w:rsidRPr="0067498B">
        <w:rPr>
          <w:rFonts w:ascii="Calibri" w:eastAsia="MS Mincho" w:hAnsi="Calibri" w:cs="Times New Roman"/>
        </w:rPr>
        <w:t xml:space="preserve"> for </w:t>
      </w:r>
      <w:r>
        <w:rPr>
          <w:rFonts w:ascii="Calibri" w:eastAsia="MS Mincho" w:hAnsi="Calibri" w:cs="Times New Roman"/>
        </w:rPr>
        <w:t>MDS</w:t>
      </w:r>
      <w:r w:rsidRPr="0067498B">
        <w:rPr>
          <w:rFonts w:ascii="Calibri" w:eastAsia="MS Mincho" w:hAnsi="Calibri" w:cs="Times New Roman"/>
        </w:rPr>
        <w:t xml:space="preserve"> </w:t>
      </w:r>
      <w:r w:rsidRPr="00214079">
        <w:rPr>
          <w:rFonts w:ascii="Calibri" w:eastAsia="MS Mincho" w:hAnsi="Calibri" w:cs="Times New Roman"/>
        </w:rPr>
        <w:t>is increasing and is yet to stabilise.</w:t>
      </w:r>
      <w:r w:rsidR="00206082">
        <w:rPr>
          <w:rFonts w:ascii="Calibri" w:eastAsia="MS Mincho" w:hAnsi="Calibri" w:cs="Times New Roman"/>
        </w:rPr>
        <w:t xml:space="preserve"> The t</w:t>
      </w:r>
      <w:r>
        <w:rPr>
          <w:rFonts w:ascii="Calibri" w:eastAsia="MS Mincho" w:hAnsi="Calibri" w:cs="Times New Roman"/>
        </w:rPr>
        <w:t xml:space="preserve">reatment setting </w:t>
      </w:r>
      <w:r w:rsidR="00206082">
        <w:rPr>
          <w:rFonts w:ascii="Calibri" w:eastAsia="MS Mincho" w:hAnsi="Calibri" w:cs="Times New Roman"/>
        </w:rPr>
        <w:t>wa</w:t>
      </w:r>
      <w:r>
        <w:rPr>
          <w:rFonts w:ascii="Calibri" w:eastAsia="MS Mincho" w:hAnsi="Calibri" w:cs="Times New Roman"/>
        </w:rPr>
        <w:t xml:space="preserve">s more commonly in public hospital outpatient clinics. </w:t>
      </w:r>
    </w:p>
    <w:p w:rsidR="00AF729E" w:rsidRDefault="00AF729E" w:rsidP="00AF729E">
      <w:pPr>
        <w:rPr>
          <w:rFonts w:ascii="Calibri" w:eastAsia="MS Mincho" w:hAnsi="Calibri" w:cs="Times New Roman"/>
        </w:rPr>
      </w:pPr>
    </w:p>
    <w:p w:rsidR="00AF729E" w:rsidRPr="00452C6B" w:rsidRDefault="00AF729E" w:rsidP="00AF729E">
      <w:pPr>
        <w:rPr>
          <w:rFonts w:ascii="Calibri" w:eastAsia="MS Mincho" w:hAnsi="Calibri" w:cs="Times New Roman"/>
        </w:rPr>
      </w:pPr>
    </w:p>
    <w:p w:rsidR="00AF729E" w:rsidRDefault="00333658" w:rsidP="00AF729E">
      <w:pPr>
        <w:rPr>
          <w:rFonts w:ascii="Calibri" w:eastAsia="MS Mincho" w:hAnsi="Calibri" w:cs="Times New Roman"/>
          <w:b/>
        </w:rPr>
      </w:pPr>
      <w:r>
        <w:rPr>
          <w:noProof/>
        </w:rPr>
        <w:lastRenderedPageBreak/>
        <w:drawing>
          <wp:inline distT="0" distB="0" distL="0" distR="0" wp14:anchorId="17D1813C" wp14:editId="5B578654">
            <wp:extent cx="5687695" cy="3716447"/>
            <wp:effectExtent l="0" t="0" r="27305" b="17780"/>
            <wp:docPr id="8" name="Chart 8" title="Figure 2: PBS/RPBS Prescriptions of lenalidomide for myelodysplastic syndrome item numbers by setting and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729E" w:rsidRPr="00793E16" w:rsidRDefault="00333658" w:rsidP="00AF729E">
      <w:pPr>
        <w:rPr>
          <w:rFonts w:ascii="Calibri" w:eastAsia="MS Mincho" w:hAnsi="Calibri" w:cs="Times New Roman"/>
          <w:b/>
        </w:rPr>
      </w:pPr>
      <w:r w:rsidRPr="00B87CD5">
        <w:rPr>
          <w:rFonts w:ascii="Calibri" w:eastAsia="MS Mincho" w:hAnsi="Calibri" w:cs="Times New Roman"/>
          <w:b/>
        </w:rPr>
        <w:t xml:space="preserve">Figure </w:t>
      </w:r>
      <w:r>
        <w:rPr>
          <w:rFonts w:ascii="Calibri" w:eastAsia="MS Mincho" w:hAnsi="Calibri" w:cs="Times New Roman"/>
          <w:b/>
        </w:rPr>
        <w:t>2</w:t>
      </w:r>
      <w:r w:rsidRPr="00B87CD5">
        <w:rPr>
          <w:rFonts w:ascii="Calibri" w:eastAsia="MS Mincho" w:hAnsi="Calibri" w:cs="Times New Roman"/>
          <w:b/>
        </w:rPr>
        <w:t xml:space="preserve">: </w:t>
      </w:r>
      <w:r>
        <w:rPr>
          <w:rFonts w:ascii="Calibri" w:eastAsia="MS Mincho" w:hAnsi="Calibri" w:cs="Times New Roman"/>
          <w:b/>
        </w:rPr>
        <w:t xml:space="preserve">PBS/RPBS Prescriptions of </w:t>
      </w:r>
      <w:proofErr w:type="spellStart"/>
      <w:r w:rsidRPr="0067498B">
        <w:rPr>
          <w:rFonts w:ascii="Calibri" w:eastAsia="MS Mincho" w:hAnsi="Calibri" w:cs="Times New Roman"/>
          <w:b/>
        </w:rPr>
        <w:t>lenalidomide</w:t>
      </w:r>
      <w:proofErr w:type="spellEnd"/>
      <w:r w:rsidRPr="0067498B">
        <w:rPr>
          <w:rFonts w:ascii="Calibri" w:eastAsia="MS Mincho" w:hAnsi="Calibri" w:cs="Times New Roman"/>
          <w:b/>
        </w:rPr>
        <w:t xml:space="preserve"> for </w:t>
      </w:r>
      <w:r w:rsidR="00590152">
        <w:rPr>
          <w:rFonts w:ascii="Calibri" w:eastAsia="MS Mincho" w:hAnsi="Calibri" w:cs="Times New Roman"/>
          <w:b/>
        </w:rPr>
        <w:t>MDS</w:t>
      </w:r>
      <w:r w:rsidRPr="00AB4293">
        <w:rPr>
          <w:rFonts w:ascii="Calibri" w:eastAsia="MS Mincho" w:hAnsi="Calibri" w:cs="Times New Roman"/>
          <w:b/>
        </w:rPr>
        <w:t xml:space="preserve"> </w:t>
      </w:r>
      <w:r>
        <w:rPr>
          <w:rFonts w:ascii="Calibri" w:eastAsia="MS Mincho" w:hAnsi="Calibri" w:cs="Times New Roman"/>
          <w:b/>
        </w:rPr>
        <w:t>item numbers by setting and strength.</w:t>
      </w:r>
      <w:r w:rsidR="00CD29FD">
        <w:rPr>
          <w:rFonts w:ascii="Calibri" w:eastAsia="MS Mincho" w:hAnsi="Calibri" w:cs="Times New Roman"/>
          <w:b/>
        </w:rPr>
        <w:br/>
      </w:r>
      <w:r>
        <w:rPr>
          <w:rFonts w:ascii="Calibri" w:eastAsia="MS Mincho" w:hAnsi="Calibri" w:cs="Times New Roman"/>
          <w:sz w:val="20"/>
        </w:rPr>
        <w:t>Source:</w:t>
      </w:r>
      <w:r w:rsidRPr="00AB4293">
        <w:rPr>
          <w:rFonts w:ascii="Calibri" w:eastAsia="MS Mincho" w:hAnsi="Calibri" w:cs="Times New Roman"/>
          <w:sz w:val="20"/>
        </w:rPr>
        <w:t xml:space="preserve"> </w:t>
      </w:r>
      <w:r w:rsidRPr="00B87CD5">
        <w:rPr>
          <w:rFonts w:ascii="Calibri" w:eastAsia="MS Mincho" w:hAnsi="Calibri" w:cs="Times New Roman"/>
          <w:sz w:val="20"/>
        </w:rPr>
        <w:t>DHS prescription claims database</w:t>
      </w:r>
      <w:r>
        <w:rPr>
          <w:rFonts w:ascii="Calibri" w:eastAsia="MS Mincho" w:hAnsi="Calibri" w:cs="Times New Roman"/>
          <w:sz w:val="20"/>
        </w:rPr>
        <w:t xml:space="preserve"> (</w:t>
      </w:r>
      <w:r w:rsidRPr="00B87CD5">
        <w:rPr>
          <w:rFonts w:ascii="Calibri" w:eastAsia="MS Mincho" w:hAnsi="Calibri" w:cs="Times New Roman"/>
          <w:sz w:val="20"/>
        </w:rPr>
        <w:t xml:space="preserve">accessed </w:t>
      </w:r>
      <w:r>
        <w:rPr>
          <w:rFonts w:ascii="Calibri" w:eastAsia="MS Mincho" w:hAnsi="Calibri" w:cs="Times New Roman"/>
          <w:sz w:val="20"/>
        </w:rPr>
        <w:t xml:space="preserve">13 June </w:t>
      </w:r>
      <w:r w:rsidRPr="00B87CD5">
        <w:rPr>
          <w:rFonts w:ascii="Calibri" w:eastAsia="MS Mincho" w:hAnsi="Calibri" w:cs="Times New Roman"/>
          <w:sz w:val="20"/>
        </w:rPr>
        <w:t>201</w:t>
      </w:r>
      <w:r>
        <w:rPr>
          <w:rFonts w:ascii="Calibri" w:eastAsia="MS Mincho" w:hAnsi="Calibri" w:cs="Times New Roman"/>
          <w:sz w:val="20"/>
        </w:rPr>
        <w:t>7)</w:t>
      </w:r>
      <w:r w:rsidRPr="00B87CD5">
        <w:rPr>
          <w:rFonts w:ascii="Calibri" w:eastAsia="MS Mincho" w:hAnsi="Calibri" w:cs="Times New Roman"/>
          <w:sz w:val="20"/>
        </w:rPr>
        <w:t>.</w:t>
      </w:r>
      <w:r>
        <w:rPr>
          <w:rFonts w:ascii="Calibri" w:eastAsia="MS Mincho" w:hAnsi="Calibri" w:cs="Times New Roman"/>
          <w:sz w:val="20"/>
        </w:rPr>
        <w:t xml:space="preserve"> </w:t>
      </w:r>
    </w:p>
    <w:p w:rsidR="00AF729E" w:rsidRDefault="00333658" w:rsidP="00AF729E">
      <w:pPr>
        <w:rPr>
          <w:rFonts w:ascii="Calibri" w:eastAsia="MS Mincho" w:hAnsi="Calibri" w:cs="Times New Roman"/>
        </w:rPr>
      </w:pPr>
      <w:r>
        <w:rPr>
          <w:rFonts w:ascii="Calibri" w:eastAsia="MS Mincho" w:hAnsi="Calibri" w:cs="Times New Roman"/>
        </w:rPr>
        <w:t>Figure 2 shows Figure 1 broken down by capsule strength. The 10</w:t>
      </w:r>
      <w:r w:rsidR="00785847">
        <w:rPr>
          <w:rFonts w:ascii="Calibri" w:eastAsia="MS Mincho" w:hAnsi="Calibri" w:cs="Times New Roman"/>
        </w:rPr>
        <w:t> </w:t>
      </w:r>
      <w:r>
        <w:rPr>
          <w:rFonts w:ascii="Calibri" w:eastAsia="MS Mincho" w:hAnsi="Calibri" w:cs="Times New Roman"/>
        </w:rPr>
        <w:t>mg capsule has a greater proportion of use than 5</w:t>
      </w:r>
      <w:r w:rsidR="00785847">
        <w:rPr>
          <w:rFonts w:ascii="Calibri" w:eastAsia="MS Mincho" w:hAnsi="Calibri" w:cs="Times New Roman"/>
        </w:rPr>
        <w:t> </w:t>
      </w:r>
      <w:r>
        <w:rPr>
          <w:rFonts w:ascii="Calibri" w:eastAsia="MS Mincho" w:hAnsi="Calibri" w:cs="Times New Roman"/>
        </w:rPr>
        <w:t>mg. Refer to analysis of predicted and actual for additional information on the proportions of use of 5</w:t>
      </w:r>
      <w:r w:rsidR="00785847">
        <w:rPr>
          <w:rFonts w:ascii="Calibri" w:eastAsia="MS Mincho" w:hAnsi="Calibri" w:cs="Times New Roman"/>
        </w:rPr>
        <w:t> </w:t>
      </w:r>
      <w:r>
        <w:rPr>
          <w:rFonts w:ascii="Calibri" w:eastAsia="MS Mincho" w:hAnsi="Calibri" w:cs="Times New Roman"/>
        </w:rPr>
        <w:t>mg and 10</w:t>
      </w:r>
      <w:r w:rsidR="00785847">
        <w:rPr>
          <w:rFonts w:ascii="Calibri" w:eastAsia="MS Mincho" w:hAnsi="Calibri" w:cs="Times New Roman"/>
        </w:rPr>
        <w:t> </w:t>
      </w:r>
      <w:r>
        <w:rPr>
          <w:rFonts w:ascii="Calibri" w:eastAsia="MS Mincho" w:hAnsi="Calibri" w:cs="Times New Roman"/>
        </w:rPr>
        <w:t>mg strengths (section 2).</w:t>
      </w:r>
    </w:p>
    <w:p w:rsidR="00AF729E" w:rsidRPr="00190784" w:rsidRDefault="00333658" w:rsidP="00AF729E">
      <w:pPr>
        <w:rPr>
          <w:rFonts w:ascii="Calibri" w:eastAsia="MS Mincho" w:hAnsi="Calibri" w:cs="Times New Roman"/>
          <w:b/>
          <w:i/>
        </w:rPr>
      </w:pPr>
      <w:r w:rsidRPr="00190784">
        <w:rPr>
          <w:rFonts w:ascii="Calibri" w:eastAsia="MS Mincho" w:hAnsi="Calibri" w:cs="Times New Roman"/>
          <w:b/>
          <w:i/>
        </w:rPr>
        <w:t xml:space="preserve">1.2 </w:t>
      </w:r>
      <w:r>
        <w:rPr>
          <w:rFonts w:ascii="Calibri" w:eastAsia="MS Mincho" w:hAnsi="Calibri" w:cs="Times New Roman"/>
          <w:b/>
          <w:i/>
        </w:rPr>
        <w:t>I</w:t>
      </w:r>
      <w:r w:rsidRPr="00190784">
        <w:rPr>
          <w:rFonts w:ascii="Calibri" w:eastAsia="MS Mincho" w:hAnsi="Calibri" w:cs="Times New Roman"/>
          <w:b/>
          <w:i/>
        </w:rPr>
        <w:t>nitiating and prevalent patient</w:t>
      </w:r>
      <w:r>
        <w:rPr>
          <w:rFonts w:ascii="Calibri" w:eastAsia="MS Mincho" w:hAnsi="Calibri" w:cs="Times New Roman"/>
          <w:b/>
          <w:i/>
        </w:rPr>
        <w:t xml:space="preserve"> counts</w:t>
      </w:r>
    </w:p>
    <w:p w:rsidR="00AF729E" w:rsidRDefault="00333658" w:rsidP="00AF729E">
      <w:pPr>
        <w:rPr>
          <w:rFonts w:ascii="Calibri" w:eastAsia="MS Mincho" w:hAnsi="Calibri" w:cs="Times New Roman"/>
        </w:rPr>
      </w:pPr>
      <w:r>
        <w:rPr>
          <w:rFonts w:ascii="Calibri" w:eastAsia="MS Mincho" w:hAnsi="Calibri" w:cs="Times New Roman"/>
        </w:rPr>
        <w:t xml:space="preserve">This analysis uses dataset 1. Prescription data contains the unique identification number for each patient (PIN). The PINs for all prescriptions supplied for PBS items numbers allocated to MDS were extracted. Incident patients were defined as having no supplies of a PBS prescription for </w:t>
      </w:r>
      <w:proofErr w:type="spellStart"/>
      <w:r>
        <w:rPr>
          <w:rFonts w:ascii="Calibri" w:eastAsia="MS Mincho" w:hAnsi="Calibri" w:cs="Times New Roman"/>
        </w:rPr>
        <w:t>lenalidomide</w:t>
      </w:r>
      <w:proofErr w:type="spellEnd"/>
      <w:r>
        <w:rPr>
          <w:rFonts w:ascii="Calibri" w:eastAsia="MS Mincho" w:hAnsi="Calibri" w:cs="Times New Roman"/>
        </w:rPr>
        <w:t xml:space="preserve"> for MDS from 1 October 2013 to the date of the first prescription supply. Prevalent patients were the count of all unique PINs receiving a PBS prescriptions for supply of any item number for MDS in each period (i</w:t>
      </w:r>
      <w:r w:rsidR="00785847">
        <w:rPr>
          <w:rFonts w:ascii="Calibri" w:eastAsia="MS Mincho" w:hAnsi="Calibri" w:cs="Times New Roman"/>
        </w:rPr>
        <w:t>.</w:t>
      </w:r>
      <w:r>
        <w:rPr>
          <w:rFonts w:ascii="Calibri" w:eastAsia="MS Mincho" w:hAnsi="Calibri" w:cs="Times New Roman"/>
        </w:rPr>
        <w:t>e. by 3 months of supply in Figure 3).</w:t>
      </w:r>
    </w:p>
    <w:p w:rsidR="00AF729E" w:rsidRPr="007C3D6F" w:rsidRDefault="00333658" w:rsidP="00AF729E">
      <w:pPr>
        <w:rPr>
          <w:rFonts w:ascii="Calibri" w:eastAsia="MS Mincho" w:hAnsi="Calibri" w:cs="Times New Roman"/>
        </w:rPr>
      </w:pPr>
      <w:r>
        <w:rPr>
          <w:rFonts w:ascii="Calibri" w:eastAsia="MS Mincho" w:hAnsi="Calibri" w:cs="Times New Roman"/>
        </w:rPr>
        <w:t>The potential for some misclassification of patients to MDS rather than multiple myeloma was investigated later in this report. Refer to section 3.</w:t>
      </w:r>
    </w:p>
    <w:p w:rsidR="00AF729E" w:rsidRPr="009954A3" w:rsidRDefault="00333658" w:rsidP="00AF729E">
      <w:pPr>
        <w:rPr>
          <w:rFonts w:ascii="Calibri" w:eastAsia="MS Mincho" w:hAnsi="Calibri" w:cs="Times New Roman"/>
        </w:rPr>
      </w:pPr>
      <w:r>
        <w:rPr>
          <w:noProof/>
        </w:rPr>
        <w:lastRenderedPageBreak/>
        <w:drawing>
          <wp:inline distT="0" distB="0" distL="0" distR="0" wp14:anchorId="47C932CF" wp14:editId="0CAF176E">
            <wp:extent cx="5687695" cy="3716447"/>
            <wp:effectExtent l="0" t="0" r="27305" b="17780"/>
            <wp:docPr id="9" name="Chart 9" title="Figure 3: Number of patients initiating and prevalent to lenalidomide for M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87CD5">
        <w:rPr>
          <w:rFonts w:ascii="Calibri" w:eastAsia="MS Mincho" w:hAnsi="Calibri" w:cs="Times New Roman"/>
          <w:b/>
        </w:rPr>
        <w:t xml:space="preserve">Figure </w:t>
      </w:r>
      <w:r>
        <w:rPr>
          <w:rFonts w:ascii="Calibri" w:eastAsia="MS Mincho" w:hAnsi="Calibri" w:cs="Times New Roman"/>
          <w:b/>
        </w:rPr>
        <w:t>3</w:t>
      </w:r>
      <w:r w:rsidRPr="00B87CD5">
        <w:rPr>
          <w:rFonts w:ascii="Calibri" w:eastAsia="MS Mincho" w:hAnsi="Calibri" w:cs="Times New Roman"/>
          <w:b/>
        </w:rPr>
        <w:t xml:space="preserve">: </w:t>
      </w:r>
      <w:r>
        <w:rPr>
          <w:rFonts w:ascii="Calibri" w:eastAsia="MS Mincho" w:hAnsi="Calibri" w:cs="Times New Roman"/>
          <w:b/>
        </w:rPr>
        <w:t xml:space="preserve">Number of patients initiating and prevalent to </w:t>
      </w:r>
      <w:proofErr w:type="spellStart"/>
      <w:r w:rsidRPr="0067498B">
        <w:rPr>
          <w:rFonts w:ascii="Calibri" w:eastAsia="MS Mincho" w:hAnsi="Calibri" w:cs="Times New Roman"/>
          <w:b/>
        </w:rPr>
        <w:t>lenalidomide</w:t>
      </w:r>
      <w:proofErr w:type="spellEnd"/>
      <w:r w:rsidRPr="0067498B">
        <w:rPr>
          <w:rFonts w:ascii="Calibri" w:eastAsia="MS Mincho" w:hAnsi="Calibri" w:cs="Times New Roman"/>
          <w:b/>
        </w:rPr>
        <w:t xml:space="preserve"> for </w:t>
      </w:r>
      <w:r>
        <w:rPr>
          <w:rFonts w:ascii="Calibri" w:eastAsia="MS Mincho" w:hAnsi="Calibri" w:cs="Times New Roman"/>
          <w:b/>
        </w:rPr>
        <w:t>MDS.</w:t>
      </w:r>
    </w:p>
    <w:p w:rsidR="00AF729E" w:rsidRDefault="00333658" w:rsidP="00AF729E">
      <w:pPr>
        <w:rPr>
          <w:rFonts w:ascii="Calibri" w:eastAsia="MS Mincho" w:hAnsi="Calibri" w:cs="Times New Roman"/>
        </w:rPr>
      </w:pPr>
      <w:r>
        <w:rPr>
          <w:rFonts w:ascii="Calibri" w:eastAsia="MS Mincho" w:hAnsi="Calibri" w:cs="Times New Roman"/>
        </w:rPr>
        <w:t xml:space="preserve">Figure 3 shows that the number of patients initiating </w:t>
      </w:r>
      <w:proofErr w:type="spellStart"/>
      <w:r>
        <w:rPr>
          <w:rFonts w:ascii="Calibri" w:eastAsia="MS Mincho" w:hAnsi="Calibri" w:cs="Times New Roman"/>
        </w:rPr>
        <w:t>lenalidomide</w:t>
      </w:r>
      <w:proofErr w:type="spellEnd"/>
      <w:r>
        <w:rPr>
          <w:rFonts w:ascii="Calibri" w:eastAsia="MS Mincho" w:hAnsi="Calibri" w:cs="Times New Roman"/>
        </w:rPr>
        <w:t xml:space="preserve"> has been relatively constant since 2014 Q2 (except for 2016 Q4). The number of prevalent patients has increased steadily since listing in October 2013. Using this dataset between 10 and 28 patients per quarter commence treatment with </w:t>
      </w:r>
      <w:proofErr w:type="spellStart"/>
      <w:r>
        <w:rPr>
          <w:rFonts w:ascii="Calibri" w:eastAsia="MS Mincho" w:hAnsi="Calibri" w:cs="Times New Roman"/>
        </w:rPr>
        <w:t>lenalidomide</w:t>
      </w:r>
      <w:proofErr w:type="spellEnd"/>
      <w:r>
        <w:rPr>
          <w:rFonts w:ascii="Calibri" w:eastAsia="MS Mincho" w:hAnsi="Calibri" w:cs="Times New Roman"/>
        </w:rPr>
        <w:t xml:space="preserve"> for MDS. The number of prevalent patients continues to rise (refer to Table 4 for actual numbers) indicating that patients are likely to remain on treatment. Refer to Figure 5 for additional analysis of duration of treatment.</w:t>
      </w:r>
    </w:p>
    <w:p w:rsidR="00AF729E" w:rsidRDefault="00AF729E" w:rsidP="00AF729E">
      <w:pPr>
        <w:spacing w:before="240"/>
        <w:outlineLvl w:val="1"/>
        <w:rPr>
          <w:rFonts w:ascii="Calibri" w:eastAsia="MS Mincho" w:hAnsi="Calibri" w:cs="Times New Roman"/>
        </w:rPr>
      </w:pPr>
    </w:p>
    <w:p w:rsidR="00AF729E" w:rsidRDefault="00333658" w:rsidP="00AF729E">
      <w:pPr>
        <w:spacing w:before="240"/>
        <w:outlineLvl w:val="1"/>
        <w:rPr>
          <w:rFonts w:ascii="Calibri" w:eastAsia="MS Mincho" w:hAnsi="Calibri" w:cs="Times New Roman"/>
        </w:rPr>
      </w:pPr>
      <w:r>
        <w:rPr>
          <w:rFonts w:ascii="Calibri" w:eastAsia="MS Mincho" w:hAnsi="Calibri" w:cs="Times New Roman"/>
        </w:rPr>
        <w:t xml:space="preserve">  </w:t>
      </w:r>
    </w:p>
    <w:p w:rsidR="00AF729E" w:rsidRDefault="00333658">
      <w:pPr>
        <w:spacing w:line="276" w:lineRule="auto"/>
        <w:rPr>
          <w:rFonts w:ascii="Calibri" w:eastAsia="MS Mincho" w:hAnsi="Calibri" w:cs="Times New Roman"/>
          <w:b/>
          <w:sz w:val="28"/>
        </w:rPr>
      </w:pPr>
      <w:r>
        <w:rPr>
          <w:rFonts w:ascii="Calibri" w:eastAsia="MS Mincho" w:hAnsi="Calibri" w:cs="Times New Roman"/>
          <w:b/>
          <w:sz w:val="28"/>
        </w:rPr>
        <w:br w:type="page"/>
      </w:r>
    </w:p>
    <w:p w:rsidR="00AF729E" w:rsidRPr="00B87CD5" w:rsidRDefault="00333658" w:rsidP="00AF729E">
      <w:pPr>
        <w:spacing w:before="240"/>
        <w:outlineLvl w:val="1"/>
        <w:rPr>
          <w:rFonts w:ascii="Calibri" w:eastAsia="MS Mincho" w:hAnsi="Calibri" w:cs="Times New Roman"/>
          <w:b/>
          <w:sz w:val="28"/>
        </w:rPr>
      </w:pPr>
      <w:r>
        <w:rPr>
          <w:rFonts w:ascii="Calibri" w:eastAsia="MS Mincho" w:hAnsi="Calibri" w:cs="Times New Roman"/>
          <w:b/>
          <w:sz w:val="28"/>
        </w:rPr>
        <w:lastRenderedPageBreak/>
        <w:t xml:space="preserve">2. </w:t>
      </w:r>
      <w:r w:rsidRPr="00B87CD5">
        <w:rPr>
          <w:rFonts w:ascii="Calibri" w:eastAsia="MS Mincho" w:hAnsi="Calibri" w:cs="Times New Roman"/>
          <w:b/>
          <w:sz w:val="28"/>
        </w:rPr>
        <w:t>Analysis of predicted versus actual utilisation</w:t>
      </w:r>
    </w:p>
    <w:p w:rsidR="00AF729E" w:rsidRDefault="00333658" w:rsidP="00AF729E">
      <w:pPr>
        <w:rPr>
          <w:rFonts w:ascii="Calibri" w:eastAsia="MS Mincho" w:hAnsi="Calibri" w:cs="Times New Roman"/>
        </w:rPr>
      </w:pPr>
      <w:r w:rsidRPr="00B87CD5">
        <w:rPr>
          <w:rFonts w:ascii="Calibri" w:eastAsia="MS Mincho" w:hAnsi="Calibri" w:cs="Times New Roman"/>
        </w:rPr>
        <w:t xml:space="preserve">This analysis compares the predicted and actual use of </w:t>
      </w:r>
      <w:proofErr w:type="spellStart"/>
      <w:r w:rsidRPr="00FE5452">
        <w:rPr>
          <w:rFonts w:ascii="Calibri" w:eastAsia="MS Mincho" w:hAnsi="Calibri" w:cs="Times New Roman"/>
        </w:rPr>
        <w:t>lenalidomide</w:t>
      </w:r>
      <w:proofErr w:type="spellEnd"/>
      <w:r w:rsidRPr="00FE5452">
        <w:rPr>
          <w:rFonts w:ascii="Calibri" w:eastAsia="MS Mincho" w:hAnsi="Calibri" w:cs="Times New Roman"/>
        </w:rPr>
        <w:t xml:space="preserve"> for </w:t>
      </w:r>
      <w:r>
        <w:rPr>
          <w:rFonts w:ascii="Calibri" w:eastAsia="MS Mincho" w:hAnsi="Calibri" w:cs="Times New Roman"/>
        </w:rPr>
        <w:t>MDS. The predicted use was extracted from section E of the submission considered by PBAC in March 2013 (refer to Table 1) The PBS items included in this analysis of actual utilisation were all MDS indication specific items (see Table 3).</w:t>
      </w:r>
    </w:p>
    <w:p w:rsidR="00AF729E" w:rsidRPr="00B87CD5" w:rsidRDefault="00333658" w:rsidP="00AF729E">
      <w:pPr>
        <w:widowControl w:val="0"/>
        <w:spacing w:after="0"/>
        <w:rPr>
          <w:rFonts w:ascii="Calibri" w:eastAsia="Times New Roman" w:hAnsi="Calibri" w:cs="Times New Roman"/>
          <w:b/>
          <w:iCs/>
          <w:snapToGrid w:val="0"/>
          <w:lang w:eastAsia="en-US"/>
        </w:rPr>
      </w:pPr>
      <w:r w:rsidRPr="00B87CD5">
        <w:rPr>
          <w:rFonts w:ascii="Calibri" w:eastAsia="Times New Roman" w:hAnsi="Calibri" w:cs="Times New Roman"/>
          <w:b/>
          <w:iCs/>
          <w:snapToGrid w:val="0"/>
          <w:lang w:eastAsia="en-US"/>
        </w:rPr>
        <w:t xml:space="preserve">Table </w:t>
      </w:r>
      <w:r>
        <w:rPr>
          <w:rFonts w:ascii="Calibri" w:eastAsia="Times New Roman" w:hAnsi="Calibri" w:cs="Times New Roman"/>
          <w:b/>
          <w:iCs/>
          <w:snapToGrid w:val="0"/>
          <w:lang w:eastAsia="en-US"/>
        </w:rPr>
        <w:t>4</w:t>
      </w:r>
      <w:r w:rsidRPr="00B87CD5">
        <w:rPr>
          <w:rFonts w:ascii="Calibri" w:eastAsia="Times New Roman" w:hAnsi="Calibri" w:cs="Times New Roman"/>
          <w:b/>
          <w:iCs/>
          <w:snapToGrid w:val="0"/>
          <w:lang w:eastAsia="en-US"/>
        </w:rPr>
        <w:t xml:space="preserve">: </w:t>
      </w:r>
      <w:r>
        <w:rPr>
          <w:rFonts w:ascii="Calibri" w:eastAsia="Times New Roman" w:hAnsi="Calibri" w:cs="Times New Roman"/>
          <w:b/>
          <w:iCs/>
          <w:snapToGrid w:val="0"/>
          <w:lang w:eastAsia="en-US"/>
        </w:rPr>
        <w:t>Predicted vs Actual analysis</w:t>
      </w:r>
    </w:p>
    <w:tbl>
      <w:tblPr>
        <w:tblW w:w="9143" w:type="dxa"/>
        <w:tblInd w:w="93" w:type="dxa"/>
        <w:tblLayout w:type="fixed"/>
        <w:tblLook w:val="04A0" w:firstRow="1" w:lastRow="0" w:firstColumn="1" w:lastColumn="0" w:noHBand="0" w:noVBand="1"/>
      </w:tblPr>
      <w:tblGrid>
        <w:gridCol w:w="2604"/>
        <w:gridCol w:w="1522"/>
        <w:gridCol w:w="1843"/>
        <w:gridCol w:w="1587"/>
        <w:gridCol w:w="1587"/>
      </w:tblGrid>
      <w:tr w:rsidR="00AF729E" w:rsidRPr="003E4757">
        <w:trPr>
          <w:trHeight w:val="315"/>
        </w:trPr>
        <w:tc>
          <w:tcPr>
            <w:tcW w:w="2604"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tcPr>
          <w:p w:rsidR="00AF729E" w:rsidRPr="003E4757" w:rsidRDefault="00333658" w:rsidP="00AF729E">
            <w:pPr>
              <w:spacing w:after="0"/>
              <w:rPr>
                <w:rFonts w:ascii="Calibri" w:eastAsia="Times New Roman" w:hAnsi="Calibri" w:cs="Times New Roman"/>
                <w:color w:val="000000"/>
                <w:sz w:val="20"/>
                <w:szCs w:val="20"/>
              </w:rPr>
            </w:pPr>
            <w:r w:rsidRPr="003E4757">
              <w:rPr>
                <w:rFonts w:ascii="Calibri" w:eastAsia="Times New Roman" w:hAnsi="Calibri" w:cs="Times New Roman"/>
                <w:color w:val="000000"/>
                <w:sz w:val="20"/>
                <w:szCs w:val="20"/>
              </w:rPr>
              <w:t> </w:t>
            </w:r>
          </w:p>
        </w:tc>
        <w:tc>
          <w:tcPr>
            <w:tcW w:w="152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AF729E" w:rsidRPr="003E4757" w:rsidRDefault="00333658" w:rsidP="00AF729E">
            <w:pPr>
              <w:spacing w:after="0"/>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 </w:t>
            </w:r>
          </w:p>
        </w:tc>
        <w:tc>
          <w:tcPr>
            <w:tcW w:w="1843" w:type="dxa"/>
            <w:tcBorders>
              <w:top w:val="single" w:sz="8" w:space="0" w:color="auto"/>
              <w:left w:val="single" w:sz="8" w:space="0" w:color="auto"/>
              <w:bottom w:val="single" w:sz="8" w:space="0" w:color="000000"/>
              <w:right w:val="single" w:sz="8" w:space="0" w:color="auto"/>
            </w:tcBorders>
            <w:shd w:val="clear" w:color="000000" w:fill="BFBFBF"/>
            <w:noWrap/>
            <w:vAlign w:val="center"/>
          </w:tcPr>
          <w:p w:rsidR="00AF729E" w:rsidRPr="003E4757" w:rsidRDefault="00333658" w:rsidP="00AF729E">
            <w:pPr>
              <w:spacing w:after="0"/>
              <w:jc w:val="center"/>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Year1</w:t>
            </w:r>
          </w:p>
        </w:tc>
        <w:tc>
          <w:tcPr>
            <w:tcW w:w="1587" w:type="dxa"/>
            <w:tcBorders>
              <w:top w:val="single" w:sz="8" w:space="0" w:color="auto"/>
              <w:left w:val="single" w:sz="8" w:space="0" w:color="auto"/>
              <w:bottom w:val="single" w:sz="8" w:space="0" w:color="000000"/>
              <w:right w:val="single" w:sz="8" w:space="0" w:color="auto"/>
            </w:tcBorders>
            <w:shd w:val="clear" w:color="000000" w:fill="BFBFBF"/>
            <w:noWrap/>
            <w:vAlign w:val="center"/>
          </w:tcPr>
          <w:p w:rsidR="00AF729E" w:rsidRPr="003E4757" w:rsidRDefault="00333658" w:rsidP="00AF729E">
            <w:pPr>
              <w:spacing w:after="0"/>
              <w:jc w:val="center"/>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Year 2</w:t>
            </w:r>
          </w:p>
        </w:tc>
        <w:tc>
          <w:tcPr>
            <w:tcW w:w="1587" w:type="dxa"/>
            <w:tcBorders>
              <w:top w:val="single" w:sz="8" w:space="0" w:color="auto"/>
              <w:left w:val="single" w:sz="8" w:space="0" w:color="auto"/>
              <w:bottom w:val="single" w:sz="8" w:space="0" w:color="000000"/>
              <w:right w:val="single" w:sz="4" w:space="0" w:color="auto"/>
            </w:tcBorders>
            <w:shd w:val="clear" w:color="000000" w:fill="BFBFBF"/>
            <w:noWrap/>
            <w:vAlign w:val="center"/>
          </w:tcPr>
          <w:p w:rsidR="00AF729E" w:rsidRPr="003E4757" w:rsidRDefault="00333658" w:rsidP="00AF729E">
            <w:pPr>
              <w:spacing w:after="0"/>
              <w:jc w:val="center"/>
              <w:rPr>
                <w:rFonts w:ascii="Calibri" w:eastAsia="Times New Roman" w:hAnsi="Calibri" w:cs="Times New Roman"/>
                <w:b/>
                <w:bCs/>
                <w:color w:val="000000"/>
                <w:sz w:val="20"/>
                <w:szCs w:val="20"/>
              </w:rPr>
            </w:pPr>
            <w:r w:rsidRPr="003E4757">
              <w:rPr>
                <w:rFonts w:ascii="Calibri" w:eastAsia="Times New Roman" w:hAnsi="Calibri" w:cs="Times New Roman"/>
                <w:b/>
                <w:bCs/>
                <w:color w:val="000000"/>
                <w:sz w:val="20"/>
                <w:szCs w:val="20"/>
              </w:rPr>
              <w:t>Year 3</w:t>
            </w:r>
          </w:p>
        </w:tc>
      </w:tr>
      <w:tr w:rsidR="00AF729E" w:rsidRPr="003E4757">
        <w:trPr>
          <w:trHeight w:val="330"/>
        </w:trPr>
        <w:tc>
          <w:tcPr>
            <w:tcW w:w="2604" w:type="dxa"/>
            <w:vMerge/>
            <w:tcBorders>
              <w:top w:val="single" w:sz="8" w:space="0" w:color="auto"/>
              <w:left w:val="single" w:sz="8" w:space="0" w:color="auto"/>
              <w:bottom w:val="single" w:sz="4" w:space="0" w:color="auto"/>
              <w:right w:val="single" w:sz="8" w:space="0" w:color="auto"/>
            </w:tcBorders>
            <w:vAlign w:val="center"/>
          </w:tcPr>
          <w:p w:rsidR="00AF729E" w:rsidRPr="003E4757" w:rsidRDefault="00AF729E" w:rsidP="00AF729E">
            <w:pPr>
              <w:spacing w:after="0"/>
              <w:rPr>
                <w:rFonts w:ascii="Calibri" w:eastAsia="Times New Roman" w:hAnsi="Calibri" w:cs="Times New Roman"/>
                <w:color w:val="000000"/>
                <w:sz w:val="20"/>
                <w:szCs w:val="20"/>
              </w:rPr>
            </w:pPr>
          </w:p>
        </w:tc>
        <w:tc>
          <w:tcPr>
            <w:tcW w:w="1522" w:type="dxa"/>
            <w:vMerge/>
            <w:tcBorders>
              <w:top w:val="single" w:sz="8" w:space="0" w:color="auto"/>
              <w:left w:val="single" w:sz="8" w:space="0" w:color="auto"/>
              <w:bottom w:val="single" w:sz="4" w:space="0" w:color="auto"/>
              <w:right w:val="single" w:sz="8" w:space="0" w:color="auto"/>
            </w:tcBorders>
            <w:vAlign w:val="center"/>
          </w:tcPr>
          <w:p w:rsidR="00AF729E" w:rsidRPr="003E4757" w:rsidRDefault="00AF729E" w:rsidP="00AF729E">
            <w:pPr>
              <w:spacing w:after="0"/>
              <w:rPr>
                <w:rFonts w:ascii="Calibri" w:eastAsia="Times New Roman" w:hAnsi="Calibri" w:cs="Times New Roman"/>
                <w:b/>
                <w:bCs/>
                <w:color w:val="000000"/>
                <w:sz w:val="20"/>
                <w:szCs w:val="20"/>
              </w:rPr>
            </w:pPr>
          </w:p>
        </w:tc>
        <w:tc>
          <w:tcPr>
            <w:tcW w:w="1843" w:type="dxa"/>
            <w:tcBorders>
              <w:top w:val="nil"/>
              <w:left w:val="nil"/>
              <w:bottom w:val="single" w:sz="4" w:space="0" w:color="auto"/>
              <w:right w:val="single" w:sz="8" w:space="0" w:color="auto"/>
            </w:tcBorders>
            <w:shd w:val="clear" w:color="000000" w:fill="BFBFBF"/>
            <w:noWrap/>
            <w:vAlign w:val="center"/>
          </w:tcPr>
          <w:p w:rsidR="00AF729E" w:rsidRPr="003E4757" w:rsidRDefault="00333658" w:rsidP="00AF729E">
            <w:pPr>
              <w:spacing w:after="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Oct</w:t>
            </w:r>
            <w:r w:rsidRPr="003E4757">
              <w:rPr>
                <w:rFonts w:ascii="Calibri" w:eastAsia="Times New Roman" w:hAnsi="Calibri" w:cs="Times New Roman"/>
                <w:b/>
                <w:bCs/>
                <w:color w:val="000000"/>
                <w:sz w:val="20"/>
                <w:szCs w:val="20"/>
              </w:rPr>
              <w:t>1</w:t>
            </w:r>
            <w:r>
              <w:rPr>
                <w:rFonts w:ascii="Calibri" w:eastAsia="Times New Roman" w:hAnsi="Calibri" w:cs="Times New Roman"/>
                <w:b/>
                <w:bCs/>
                <w:color w:val="000000"/>
                <w:sz w:val="20"/>
                <w:szCs w:val="20"/>
              </w:rPr>
              <w:t>3</w:t>
            </w:r>
            <w:r w:rsidRPr="003E4757">
              <w:rPr>
                <w:rFonts w:ascii="Calibri" w:eastAsia="Times New Roman" w:hAnsi="Calibri" w:cs="Times New Roman"/>
                <w:b/>
                <w:bCs/>
                <w:color w:val="000000"/>
                <w:sz w:val="20"/>
                <w:szCs w:val="20"/>
              </w:rPr>
              <w:t xml:space="preserve"> to </w:t>
            </w:r>
            <w:r>
              <w:rPr>
                <w:rFonts w:ascii="Calibri" w:eastAsia="Times New Roman" w:hAnsi="Calibri" w:cs="Times New Roman"/>
                <w:b/>
                <w:bCs/>
                <w:color w:val="000000"/>
                <w:sz w:val="20"/>
                <w:szCs w:val="20"/>
              </w:rPr>
              <w:t>Sep</w:t>
            </w:r>
            <w:r w:rsidRPr="003E4757">
              <w:rPr>
                <w:rFonts w:ascii="Calibri" w:eastAsia="Times New Roman" w:hAnsi="Calibri" w:cs="Times New Roman"/>
                <w:b/>
                <w:bCs/>
                <w:color w:val="000000"/>
                <w:sz w:val="20"/>
                <w:szCs w:val="20"/>
              </w:rPr>
              <w:t>1</w:t>
            </w:r>
            <w:r>
              <w:rPr>
                <w:rFonts w:ascii="Calibri" w:eastAsia="Times New Roman" w:hAnsi="Calibri" w:cs="Times New Roman"/>
                <w:b/>
                <w:bCs/>
                <w:color w:val="000000"/>
                <w:sz w:val="20"/>
                <w:szCs w:val="20"/>
              </w:rPr>
              <w:t>4</w:t>
            </w:r>
          </w:p>
        </w:tc>
        <w:tc>
          <w:tcPr>
            <w:tcW w:w="1587" w:type="dxa"/>
            <w:tcBorders>
              <w:top w:val="nil"/>
              <w:left w:val="nil"/>
              <w:bottom w:val="single" w:sz="4" w:space="0" w:color="auto"/>
              <w:right w:val="single" w:sz="8" w:space="0" w:color="auto"/>
            </w:tcBorders>
            <w:shd w:val="clear" w:color="000000" w:fill="BFBFBF"/>
            <w:noWrap/>
            <w:vAlign w:val="center"/>
          </w:tcPr>
          <w:p w:rsidR="00AF729E" w:rsidRPr="003E4757" w:rsidRDefault="00333658" w:rsidP="00AF729E">
            <w:pPr>
              <w:spacing w:after="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Oct</w:t>
            </w:r>
            <w:r w:rsidRPr="003E4757">
              <w:rPr>
                <w:rFonts w:ascii="Calibri" w:eastAsia="Times New Roman" w:hAnsi="Calibri" w:cs="Times New Roman"/>
                <w:b/>
                <w:bCs/>
                <w:color w:val="000000"/>
                <w:sz w:val="20"/>
                <w:szCs w:val="20"/>
              </w:rPr>
              <w:t>1</w:t>
            </w:r>
            <w:r>
              <w:rPr>
                <w:rFonts w:ascii="Calibri" w:eastAsia="Times New Roman" w:hAnsi="Calibri" w:cs="Times New Roman"/>
                <w:b/>
                <w:bCs/>
                <w:color w:val="000000"/>
                <w:sz w:val="20"/>
                <w:szCs w:val="20"/>
              </w:rPr>
              <w:t>4</w:t>
            </w:r>
            <w:r w:rsidRPr="003E4757">
              <w:rPr>
                <w:rFonts w:ascii="Calibri" w:eastAsia="Times New Roman" w:hAnsi="Calibri" w:cs="Times New Roman"/>
                <w:b/>
                <w:bCs/>
                <w:color w:val="000000"/>
                <w:sz w:val="20"/>
                <w:szCs w:val="20"/>
              </w:rPr>
              <w:t xml:space="preserve"> to </w:t>
            </w:r>
            <w:r>
              <w:rPr>
                <w:rFonts w:ascii="Calibri" w:eastAsia="Times New Roman" w:hAnsi="Calibri" w:cs="Times New Roman"/>
                <w:b/>
                <w:bCs/>
                <w:color w:val="000000"/>
                <w:sz w:val="20"/>
                <w:szCs w:val="20"/>
              </w:rPr>
              <w:t>Sep</w:t>
            </w:r>
            <w:r w:rsidRPr="003E4757">
              <w:rPr>
                <w:rFonts w:ascii="Calibri" w:eastAsia="Times New Roman" w:hAnsi="Calibri" w:cs="Times New Roman"/>
                <w:b/>
                <w:bCs/>
                <w:color w:val="000000"/>
                <w:sz w:val="20"/>
                <w:szCs w:val="20"/>
              </w:rPr>
              <w:t>1</w:t>
            </w:r>
            <w:r>
              <w:rPr>
                <w:rFonts w:ascii="Calibri" w:eastAsia="Times New Roman" w:hAnsi="Calibri" w:cs="Times New Roman"/>
                <w:b/>
                <w:bCs/>
                <w:color w:val="000000"/>
                <w:sz w:val="20"/>
                <w:szCs w:val="20"/>
              </w:rPr>
              <w:t>5</w:t>
            </w:r>
          </w:p>
        </w:tc>
        <w:tc>
          <w:tcPr>
            <w:tcW w:w="1587" w:type="dxa"/>
            <w:tcBorders>
              <w:top w:val="nil"/>
              <w:left w:val="nil"/>
              <w:bottom w:val="single" w:sz="4" w:space="0" w:color="auto"/>
              <w:right w:val="single" w:sz="8" w:space="0" w:color="auto"/>
            </w:tcBorders>
            <w:shd w:val="clear" w:color="000000" w:fill="BFBFBF"/>
            <w:noWrap/>
            <w:vAlign w:val="center"/>
          </w:tcPr>
          <w:p w:rsidR="00AF729E" w:rsidRPr="003E4757" w:rsidRDefault="00333658" w:rsidP="00AF729E">
            <w:pPr>
              <w:spacing w:after="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Oct</w:t>
            </w:r>
            <w:r w:rsidRPr="003E4757">
              <w:rPr>
                <w:rFonts w:ascii="Calibri" w:eastAsia="Times New Roman" w:hAnsi="Calibri" w:cs="Times New Roman"/>
                <w:b/>
                <w:bCs/>
                <w:color w:val="000000"/>
                <w:sz w:val="20"/>
                <w:szCs w:val="20"/>
              </w:rPr>
              <w:t>1</w:t>
            </w:r>
            <w:r>
              <w:rPr>
                <w:rFonts w:ascii="Calibri" w:eastAsia="Times New Roman" w:hAnsi="Calibri" w:cs="Times New Roman"/>
                <w:b/>
                <w:bCs/>
                <w:color w:val="000000"/>
                <w:sz w:val="20"/>
                <w:szCs w:val="20"/>
              </w:rPr>
              <w:t>5</w:t>
            </w:r>
            <w:r w:rsidRPr="003E4757">
              <w:rPr>
                <w:rFonts w:ascii="Calibri" w:eastAsia="Times New Roman" w:hAnsi="Calibri" w:cs="Times New Roman"/>
                <w:b/>
                <w:bCs/>
                <w:color w:val="000000"/>
                <w:sz w:val="20"/>
                <w:szCs w:val="20"/>
              </w:rPr>
              <w:t xml:space="preserve"> to </w:t>
            </w:r>
            <w:r>
              <w:rPr>
                <w:rFonts w:ascii="Calibri" w:eastAsia="Times New Roman" w:hAnsi="Calibri" w:cs="Times New Roman"/>
                <w:b/>
                <w:bCs/>
                <w:color w:val="000000"/>
                <w:sz w:val="20"/>
                <w:szCs w:val="20"/>
              </w:rPr>
              <w:t>Sep</w:t>
            </w:r>
            <w:r w:rsidRPr="003E4757">
              <w:rPr>
                <w:rFonts w:ascii="Calibri" w:eastAsia="Times New Roman" w:hAnsi="Calibri" w:cs="Times New Roman"/>
                <w:b/>
                <w:bCs/>
                <w:color w:val="000000"/>
                <w:sz w:val="20"/>
                <w:szCs w:val="20"/>
              </w:rPr>
              <w:t>1</w:t>
            </w:r>
            <w:r>
              <w:rPr>
                <w:rFonts w:ascii="Calibri" w:eastAsia="Times New Roman" w:hAnsi="Calibri" w:cs="Times New Roman"/>
                <w:b/>
                <w:bCs/>
                <w:color w:val="000000"/>
                <w:sz w:val="20"/>
                <w:szCs w:val="20"/>
              </w:rPr>
              <w:t>6</w:t>
            </w:r>
          </w:p>
        </w:tc>
      </w:tr>
      <w:tr w:rsidR="00AF729E" w:rsidRPr="00930414">
        <w:trPr>
          <w:trHeight w:val="20"/>
        </w:trPr>
        <w:tc>
          <w:tcPr>
            <w:tcW w:w="2604" w:type="dxa"/>
            <w:vMerge w:val="restart"/>
            <w:tcBorders>
              <w:top w:val="single" w:sz="4" w:space="0" w:color="auto"/>
              <w:left w:val="single" w:sz="4" w:space="0" w:color="auto"/>
              <w:right w:val="single" w:sz="4" w:space="0" w:color="auto"/>
            </w:tcBorders>
            <w:shd w:val="clear" w:color="auto" w:fill="auto"/>
            <w:noWrap/>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Prevalent patients (PBS &amp; RPBS)</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Predicted (P)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930414">
        <w:trPr>
          <w:trHeight w:val="20"/>
        </w:trPr>
        <w:tc>
          <w:tcPr>
            <w:tcW w:w="2604" w:type="dxa"/>
            <w:vMerge/>
            <w:tcBorders>
              <w:left w:val="single" w:sz="4" w:space="0" w:color="auto"/>
              <w:right w:val="single" w:sz="4" w:space="0" w:color="auto"/>
            </w:tcBorders>
            <w:shd w:val="clear" w:color="auto" w:fill="auto"/>
            <w:noWrap/>
            <w:vAlign w:val="center"/>
          </w:tcPr>
          <w:p w:rsidR="00AF729E" w:rsidRPr="00EA531B" w:rsidRDefault="00AF729E" w:rsidP="00AF729E">
            <w:pPr>
              <w:spacing w:after="0"/>
              <w:rPr>
                <w:rFonts w:ascii="Calibri" w:eastAsia="Times New Roman" w:hAnsi="Calibri" w:cs="Times New Roman"/>
                <w:color w:val="000000"/>
                <w:sz w:val="20"/>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Actual (A)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65</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86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108</w:t>
            </w:r>
          </w:p>
        </w:tc>
      </w:tr>
      <w:tr w:rsidR="00AF729E" w:rsidRPr="00930414">
        <w:trPr>
          <w:trHeight w:val="20"/>
        </w:trPr>
        <w:tc>
          <w:tcPr>
            <w:tcW w:w="2604" w:type="dxa"/>
            <w:vMerge/>
            <w:tcBorders>
              <w:left w:val="single" w:sz="4" w:space="0" w:color="auto"/>
              <w:bottom w:val="single" w:sz="4" w:space="0" w:color="auto"/>
              <w:right w:val="single" w:sz="4" w:space="0" w:color="auto"/>
            </w:tcBorders>
            <w:shd w:val="clear" w:color="auto" w:fill="auto"/>
            <w:noWrap/>
            <w:vAlign w:val="center"/>
          </w:tcPr>
          <w:p w:rsidR="00AF729E" w:rsidRPr="00EA531B" w:rsidRDefault="00AF729E" w:rsidP="00AF729E">
            <w:pPr>
              <w:spacing w:after="0"/>
              <w:rPr>
                <w:rFonts w:ascii="Calibri" w:eastAsia="Times New Roman" w:hAnsi="Calibri" w:cs="Times New Roman"/>
                <w:color w:val="000000"/>
                <w:sz w:val="20"/>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 Difference (A-P)/P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930414">
        <w:trPr>
          <w:trHeight w:val="20"/>
        </w:trPr>
        <w:tc>
          <w:tcPr>
            <w:tcW w:w="26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Prescriptions / packs*  for 5</w:t>
            </w:r>
            <w:r w:rsidR="003B67C0">
              <w:rPr>
                <w:rFonts w:ascii="Calibri" w:hAnsi="Calibri"/>
                <w:color w:val="000000"/>
                <w:sz w:val="20"/>
                <w:szCs w:val="20"/>
              </w:rPr>
              <w:t> </w:t>
            </w:r>
            <w:r>
              <w:rPr>
                <w:rFonts w:ascii="Calibri" w:hAnsi="Calibri"/>
                <w:color w:val="000000"/>
                <w:sz w:val="20"/>
                <w:szCs w:val="20"/>
              </w:rPr>
              <w:t>mg capsules</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Predicted (P)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AF729E" w:rsidP="00AF729E">
            <w:pPr>
              <w:spacing w:after="0"/>
              <w:rPr>
                <w:rFonts w:ascii="Calibri" w:hAnsi="Calibri"/>
                <w:color w:val="000000"/>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Actual (A)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87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177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211</w:t>
            </w:r>
          </w:p>
        </w:tc>
      </w:tr>
      <w:tr w:rsidR="00AF729E" w:rsidRPr="003E4757">
        <w:trPr>
          <w:trHeight w:val="20"/>
        </w:trPr>
        <w:tc>
          <w:tcPr>
            <w:tcW w:w="26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EA531B" w:rsidRDefault="00AF729E" w:rsidP="00AF729E">
            <w:pPr>
              <w:spacing w:after="0"/>
              <w:rPr>
                <w:rFonts w:ascii="Calibri" w:eastAsia="Times New Roman" w:hAnsi="Calibri" w:cs="Times New Roman"/>
                <w:color w:val="000000"/>
                <w:sz w:val="20"/>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 Difference (A-P)/P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EA531B" w:rsidRDefault="00333658" w:rsidP="00AF729E">
            <w:pPr>
              <w:spacing w:after="0"/>
              <w:rPr>
                <w:rFonts w:ascii="Calibri" w:eastAsia="Times New Roman" w:hAnsi="Calibri" w:cs="Times New Roman"/>
                <w:color w:val="000000"/>
                <w:sz w:val="20"/>
              </w:rPr>
            </w:pPr>
            <w:r>
              <w:rPr>
                <w:rFonts w:ascii="Calibri" w:hAnsi="Calibri"/>
                <w:color w:val="000000"/>
                <w:sz w:val="20"/>
                <w:szCs w:val="20"/>
              </w:rPr>
              <w:t>Prescriptions / packs  for 10</w:t>
            </w:r>
            <w:r w:rsidR="003B67C0">
              <w:rPr>
                <w:rFonts w:ascii="Calibri" w:hAnsi="Calibri"/>
                <w:color w:val="000000"/>
                <w:sz w:val="20"/>
                <w:szCs w:val="20"/>
              </w:rPr>
              <w:t> </w:t>
            </w:r>
            <w:r>
              <w:rPr>
                <w:rFonts w:ascii="Calibri" w:hAnsi="Calibri"/>
                <w:color w:val="000000"/>
                <w:sz w:val="20"/>
                <w:szCs w:val="20"/>
              </w:rPr>
              <w:t>mg capsules</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Predicted (P)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AF729E" w:rsidP="00AF729E">
            <w:pPr>
              <w:spacing w:after="0"/>
              <w:rPr>
                <w:rFonts w:ascii="Calibri" w:hAnsi="Calibri"/>
                <w:color w:val="000000"/>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Actual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195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314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433</w:t>
            </w:r>
          </w:p>
        </w:tc>
      </w:tr>
      <w:tr w:rsidR="00AF729E" w:rsidRPr="003E4757">
        <w:trPr>
          <w:trHeight w:val="20"/>
        </w:trPr>
        <w:tc>
          <w:tcPr>
            <w:tcW w:w="26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EA531B" w:rsidRDefault="00AF729E" w:rsidP="00AF729E">
            <w:pPr>
              <w:spacing w:after="0"/>
              <w:rPr>
                <w:rFonts w:ascii="Calibri" w:eastAsia="Times New Roman" w:hAnsi="Calibri" w:cs="Times New Roman"/>
                <w:color w:val="000000"/>
                <w:sz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 Difference (A-P)/P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Prescriptions / packs  Total</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Predicted (P)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tcBorders>
              <w:top w:val="single" w:sz="8" w:space="0" w:color="auto"/>
              <w:left w:val="single" w:sz="8" w:space="0" w:color="auto"/>
              <w:bottom w:val="single" w:sz="8" w:space="0" w:color="000000"/>
              <w:right w:val="single" w:sz="4" w:space="0" w:color="auto"/>
            </w:tcBorders>
            <w:vAlign w:val="center"/>
          </w:tcPr>
          <w:p w:rsidR="00AF729E" w:rsidRPr="00EA531B" w:rsidRDefault="00AF729E" w:rsidP="00AF729E">
            <w:pPr>
              <w:spacing w:after="0"/>
              <w:rPr>
                <w:rFonts w:ascii="Calibri" w:eastAsia="Times New Roman" w:hAnsi="Calibri" w:cs="Times New Roman"/>
                <w:color w:val="000000"/>
                <w:sz w:val="20"/>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Actual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282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491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644</w:t>
            </w:r>
          </w:p>
        </w:tc>
      </w:tr>
      <w:tr w:rsidR="00AF729E" w:rsidRPr="003E4757">
        <w:trPr>
          <w:trHeight w:val="20"/>
        </w:trPr>
        <w:tc>
          <w:tcPr>
            <w:tcW w:w="2604" w:type="dxa"/>
            <w:vMerge/>
            <w:tcBorders>
              <w:top w:val="single" w:sz="8" w:space="0" w:color="auto"/>
              <w:left w:val="single" w:sz="8" w:space="0" w:color="auto"/>
              <w:bottom w:val="single" w:sz="8" w:space="0" w:color="000000"/>
              <w:right w:val="single" w:sz="4" w:space="0" w:color="auto"/>
            </w:tcBorders>
            <w:vAlign w:val="center"/>
          </w:tcPr>
          <w:p w:rsidR="00AF729E" w:rsidRPr="00EA531B" w:rsidRDefault="00AF729E" w:rsidP="00AF729E">
            <w:pPr>
              <w:spacing w:after="0"/>
              <w:rPr>
                <w:rFonts w:ascii="Calibri" w:eastAsia="Times New Roman" w:hAnsi="Calibri" w:cs="Times New Roman"/>
                <w:color w:val="000000"/>
                <w:sz w:val="20"/>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 Difference (A-P)/P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val="restart"/>
            <w:tcBorders>
              <w:top w:val="nil"/>
              <w:left w:val="single" w:sz="8" w:space="0" w:color="auto"/>
              <w:bottom w:val="single" w:sz="8" w:space="0" w:color="000000"/>
              <w:right w:val="single" w:sz="4" w:space="0" w:color="auto"/>
            </w:tcBorders>
            <w:shd w:val="clear" w:color="auto" w:fill="auto"/>
            <w:noWrap/>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Prescriptions per patient</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rPr>
                <w:rFonts w:ascii="Calibri" w:hAnsi="Calibri"/>
                <w:color w:val="000000"/>
                <w:sz w:val="20"/>
                <w:szCs w:val="20"/>
              </w:rPr>
            </w:pPr>
            <w:r>
              <w:rPr>
                <w:rFonts w:ascii="Calibri" w:hAnsi="Calibri"/>
                <w:color w:val="000000"/>
                <w:sz w:val="20"/>
                <w:szCs w:val="20"/>
              </w:rPr>
              <w:t>Predicted (P)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tcBorders>
              <w:top w:val="nil"/>
              <w:left w:val="single" w:sz="8" w:space="0" w:color="auto"/>
              <w:bottom w:val="single" w:sz="8" w:space="0" w:color="000000"/>
              <w:right w:val="single" w:sz="4" w:space="0" w:color="auto"/>
            </w:tcBorders>
            <w:vAlign w:val="center"/>
          </w:tcPr>
          <w:p w:rsidR="00AF729E" w:rsidRPr="00EA531B" w:rsidRDefault="00AF729E" w:rsidP="00AF729E">
            <w:pPr>
              <w:spacing w:after="0"/>
              <w:rPr>
                <w:rFonts w:ascii="Calibri" w:eastAsia="Times New Roman" w:hAnsi="Calibri" w:cs="Times New Roman"/>
                <w:color w:val="000000"/>
                <w:sz w:val="20"/>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Actual (A)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4.3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5.7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6.0</w:t>
            </w:r>
          </w:p>
        </w:tc>
      </w:tr>
      <w:tr w:rsidR="00AF729E" w:rsidRPr="003E4757">
        <w:trPr>
          <w:trHeight w:val="20"/>
        </w:trPr>
        <w:tc>
          <w:tcPr>
            <w:tcW w:w="2604" w:type="dxa"/>
            <w:vMerge/>
            <w:tcBorders>
              <w:top w:val="nil"/>
              <w:left w:val="single" w:sz="8" w:space="0" w:color="auto"/>
              <w:bottom w:val="single" w:sz="8" w:space="0" w:color="000000"/>
              <w:right w:val="single" w:sz="4" w:space="0" w:color="auto"/>
            </w:tcBorders>
            <w:vAlign w:val="center"/>
          </w:tcPr>
          <w:p w:rsidR="00AF729E" w:rsidRPr="00EA531B" w:rsidRDefault="00AF729E" w:rsidP="00AF729E">
            <w:pPr>
              <w:spacing w:after="0"/>
              <w:rPr>
                <w:rFonts w:ascii="Calibri" w:eastAsia="Times New Roman" w:hAnsi="Calibri" w:cs="Times New Roman"/>
                <w:color w:val="000000"/>
                <w:sz w:val="20"/>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Pr="00EA531B" w:rsidRDefault="00333658" w:rsidP="00AF729E">
            <w:pPr>
              <w:spacing w:after="0"/>
              <w:rPr>
                <w:rFonts w:ascii="Calibri" w:eastAsia="Times New Roman" w:hAnsi="Calibri" w:cs="Times New Roman"/>
                <w:color w:val="000000"/>
                <w:sz w:val="20"/>
                <w:szCs w:val="18"/>
              </w:rPr>
            </w:pPr>
            <w:r>
              <w:rPr>
                <w:rFonts w:ascii="Calibri" w:hAnsi="Calibri"/>
                <w:color w:val="000000"/>
                <w:sz w:val="20"/>
                <w:szCs w:val="20"/>
              </w:rPr>
              <w:t>% Difference (A-P)/P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val="restart"/>
            <w:tcBorders>
              <w:top w:val="nil"/>
              <w:left w:val="single" w:sz="8" w:space="0" w:color="auto"/>
              <w:right w:val="single" w:sz="4" w:space="0" w:color="auto"/>
            </w:tcBorders>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R/PBS expenditure (published)</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Predicted (P)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AF729E" w:rsidRPr="003E4757">
        <w:trPr>
          <w:trHeight w:val="20"/>
        </w:trPr>
        <w:tc>
          <w:tcPr>
            <w:tcW w:w="2604" w:type="dxa"/>
            <w:vMerge/>
            <w:tcBorders>
              <w:left w:val="single" w:sz="8" w:space="0" w:color="auto"/>
              <w:right w:val="single" w:sz="4" w:space="0" w:color="auto"/>
            </w:tcBorders>
            <w:vAlign w:val="center"/>
          </w:tcPr>
          <w:p w:rsidR="00AF729E" w:rsidRDefault="00AF729E" w:rsidP="00AF729E">
            <w:pPr>
              <w:spacing w:after="0"/>
              <w:jc w:val="center"/>
              <w:rPr>
                <w:rFonts w:ascii="Calibri" w:hAnsi="Calibri"/>
                <w:color w:val="000000"/>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Actual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29E" w:rsidRDefault="00333658" w:rsidP="00AF729E">
            <w:pPr>
              <w:spacing w:after="0"/>
              <w:jc w:val="center"/>
              <w:rPr>
                <w:rFonts w:ascii="Calibri" w:hAnsi="Calibri"/>
                <w:sz w:val="20"/>
                <w:szCs w:val="20"/>
              </w:rPr>
            </w:pPr>
            <w:r>
              <w:rPr>
                <w:rFonts w:ascii="Calibri" w:hAnsi="Calibri"/>
                <w:sz w:val="20"/>
                <w:szCs w:val="20"/>
              </w:rPr>
              <w:t>$1,556,001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29E" w:rsidRDefault="00333658" w:rsidP="00AF729E">
            <w:pPr>
              <w:spacing w:after="0"/>
              <w:jc w:val="center"/>
              <w:rPr>
                <w:rFonts w:ascii="Calibri" w:hAnsi="Calibri"/>
                <w:sz w:val="20"/>
                <w:szCs w:val="20"/>
              </w:rPr>
            </w:pPr>
            <w:r>
              <w:rPr>
                <w:rFonts w:ascii="Calibri" w:hAnsi="Calibri"/>
                <w:sz w:val="20"/>
                <w:szCs w:val="20"/>
              </w:rPr>
              <w:t>$2,735,616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29E" w:rsidRDefault="00333658" w:rsidP="00AF729E">
            <w:pPr>
              <w:spacing w:after="0"/>
              <w:jc w:val="center"/>
              <w:rPr>
                <w:rFonts w:ascii="Calibri" w:hAnsi="Calibri"/>
                <w:sz w:val="20"/>
                <w:szCs w:val="20"/>
              </w:rPr>
            </w:pPr>
            <w:r>
              <w:rPr>
                <w:rFonts w:ascii="Calibri" w:hAnsi="Calibri"/>
                <w:sz w:val="20"/>
                <w:szCs w:val="20"/>
              </w:rPr>
              <w:t>$3,523,073</w:t>
            </w:r>
          </w:p>
        </w:tc>
      </w:tr>
      <w:tr w:rsidR="00AF729E" w:rsidRPr="003E4757">
        <w:trPr>
          <w:trHeight w:val="20"/>
        </w:trPr>
        <w:tc>
          <w:tcPr>
            <w:tcW w:w="2604" w:type="dxa"/>
            <w:vMerge/>
            <w:tcBorders>
              <w:left w:val="single" w:sz="8" w:space="0" w:color="auto"/>
              <w:bottom w:val="single" w:sz="8" w:space="0" w:color="000000"/>
              <w:right w:val="single" w:sz="4" w:space="0" w:color="auto"/>
            </w:tcBorders>
            <w:vAlign w:val="center"/>
          </w:tcPr>
          <w:p w:rsidR="00AF729E" w:rsidRDefault="00AF729E" w:rsidP="00AF729E">
            <w:pPr>
              <w:spacing w:after="0"/>
              <w:jc w:val="center"/>
              <w:rPr>
                <w:rFonts w:ascii="Calibri" w:hAnsi="Calibri"/>
                <w:color w:val="000000"/>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AF729E" w:rsidRDefault="00333658" w:rsidP="00AF729E">
            <w:pPr>
              <w:spacing w:after="0"/>
              <w:jc w:val="center"/>
              <w:rPr>
                <w:rFonts w:ascii="Calibri" w:hAnsi="Calibri"/>
                <w:color w:val="000000"/>
                <w:sz w:val="20"/>
                <w:szCs w:val="20"/>
              </w:rPr>
            </w:pPr>
            <w:r>
              <w:rPr>
                <w:rFonts w:ascii="Calibri" w:hAnsi="Calibri"/>
                <w:color w:val="000000"/>
                <w:sz w:val="20"/>
                <w:szCs w:val="20"/>
              </w:rPr>
              <w:t>% Difference (A-P)/P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9E" w:rsidRPr="00624706" w:rsidRDefault="00624706" w:rsidP="00AF729E">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bl>
    <w:p w:rsidR="00AF729E" w:rsidRPr="00A5598E" w:rsidRDefault="00333658" w:rsidP="00AF729E">
      <w:pPr>
        <w:outlineLvl w:val="2"/>
        <w:rPr>
          <w:rFonts w:ascii="Calibri" w:eastAsia="MS Mincho" w:hAnsi="Calibri" w:cs="Times New Roman"/>
          <w:sz w:val="20"/>
          <w:szCs w:val="28"/>
        </w:rPr>
      </w:pPr>
      <w:r w:rsidRPr="00A5598E">
        <w:rPr>
          <w:rFonts w:ascii="Calibri" w:eastAsia="MS Mincho" w:hAnsi="Calibri" w:cs="Times New Roman"/>
          <w:sz w:val="20"/>
          <w:szCs w:val="28"/>
        </w:rPr>
        <w:t xml:space="preserve">Notes: </w:t>
      </w:r>
      <w:r>
        <w:rPr>
          <w:rFonts w:ascii="Calibri" w:eastAsia="MS Mincho" w:hAnsi="Calibri" w:cs="Times New Roman"/>
          <w:sz w:val="20"/>
          <w:szCs w:val="28"/>
        </w:rPr>
        <w:t>R/PBS = PBS &amp; Repatriation PBS combined</w:t>
      </w:r>
      <w:r>
        <w:rPr>
          <w:rFonts w:ascii="Calibri" w:eastAsia="MS Mincho" w:hAnsi="Calibri" w:cs="Times New Roman"/>
          <w:sz w:val="20"/>
          <w:szCs w:val="28"/>
        </w:rPr>
        <w:br/>
        <w:t xml:space="preserve">* Predicted values are in packs and actuals are in prescriptions and these units are </w:t>
      </w:r>
      <w:r w:rsidR="00072468">
        <w:rPr>
          <w:rFonts w:ascii="Calibri" w:eastAsia="MS Mincho" w:hAnsi="Calibri" w:cs="Times New Roman"/>
          <w:sz w:val="20"/>
          <w:szCs w:val="28"/>
        </w:rPr>
        <w:t>equivalent</w:t>
      </w:r>
      <w:r>
        <w:rPr>
          <w:rFonts w:ascii="Calibri" w:eastAsia="MS Mincho" w:hAnsi="Calibri" w:cs="Times New Roman"/>
          <w:sz w:val="20"/>
          <w:szCs w:val="28"/>
        </w:rPr>
        <w:t xml:space="preserve"> in this instance.</w:t>
      </w:r>
    </w:p>
    <w:p w:rsidR="00AF729E" w:rsidRDefault="00333658" w:rsidP="0077278C">
      <w:pPr>
        <w:spacing w:after="0"/>
        <w:rPr>
          <w:rFonts w:ascii="Calibri" w:eastAsia="MS Mincho" w:hAnsi="Calibri" w:cs="Times New Roman"/>
          <w:szCs w:val="28"/>
        </w:rPr>
      </w:pPr>
      <w:r>
        <w:rPr>
          <w:rFonts w:ascii="Calibri" w:eastAsia="MS Mincho" w:hAnsi="Calibri" w:cs="Times New Roman"/>
          <w:szCs w:val="28"/>
        </w:rPr>
        <w:t xml:space="preserve">Table 4 shows that utilisation has been much lower than predicted. This is due approximately equally to a lower than predicted number of patients and a lower than predicted number of prescriptions per patient per year.  During the preparation of this report it was noted that the calculation of </w:t>
      </w:r>
      <w:r w:rsidR="00764DF5">
        <w:rPr>
          <w:rFonts w:ascii="Calibri" w:eastAsia="MS Mincho" w:hAnsi="Calibri" w:cs="Times New Roman"/>
          <w:szCs w:val="28"/>
        </w:rPr>
        <w:t xml:space="preserve">the </w:t>
      </w:r>
      <w:r>
        <w:rPr>
          <w:rFonts w:ascii="Calibri" w:eastAsia="MS Mincho" w:hAnsi="Calibri" w:cs="Times New Roman"/>
          <w:szCs w:val="28"/>
        </w:rPr>
        <w:t xml:space="preserve">number of prescriptions per patient assumed that every patient had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prescriptions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cycles) of treatment every year. This does not allow patients to commence or cease treatment part way through the year (often referred to as a part cycle correction) and is likely to have the greatest effect in the first few years of listing i.e. until the market reaches stable equilibrium. This assumption of utilisation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cycles per patient per year) was not consistent with the amount of </w:t>
      </w:r>
      <w:proofErr w:type="spellStart"/>
      <w:r>
        <w:rPr>
          <w:rFonts w:ascii="Calibri" w:eastAsia="MS Mincho" w:hAnsi="Calibri" w:cs="Times New Roman"/>
          <w:szCs w:val="28"/>
        </w:rPr>
        <w:t>lenalidomide</w:t>
      </w:r>
      <w:proofErr w:type="spellEnd"/>
      <w:r>
        <w:rPr>
          <w:rFonts w:ascii="Calibri" w:eastAsia="MS Mincho" w:hAnsi="Calibri" w:cs="Times New Roman"/>
          <w:szCs w:val="28"/>
        </w:rPr>
        <w:t xml:space="preserve"> per patient in the health economic model which assumed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cycles in total per patient, not every year they are alive.</w:t>
      </w:r>
    </w:p>
    <w:p w:rsidR="00AF729E" w:rsidRDefault="00333658" w:rsidP="00AF729E">
      <w:pPr>
        <w:spacing w:before="240"/>
        <w:outlineLvl w:val="2"/>
        <w:rPr>
          <w:rFonts w:ascii="Calibri" w:eastAsia="MS Mincho" w:hAnsi="Calibri" w:cs="Times New Roman"/>
          <w:szCs w:val="28"/>
        </w:rPr>
      </w:pPr>
      <w:r>
        <w:rPr>
          <w:rFonts w:ascii="Calibri" w:eastAsia="MS Mincho" w:hAnsi="Calibri" w:cs="Times New Roman"/>
          <w:szCs w:val="28"/>
        </w:rPr>
        <w:lastRenderedPageBreak/>
        <w:t xml:space="preserve">The PBAC expressed concern about the uncertainty </w:t>
      </w:r>
      <w:r w:rsidR="005A5A53">
        <w:rPr>
          <w:rFonts w:ascii="Calibri" w:eastAsia="MS Mincho" w:hAnsi="Calibri" w:cs="Times New Roman"/>
          <w:szCs w:val="28"/>
        </w:rPr>
        <w:t>in the proportional use</w:t>
      </w:r>
      <w:r>
        <w:rPr>
          <w:rFonts w:ascii="Calibri" w:eastAsia="MS Mincho" w:hAnsi="Calibri" w:cs="Times New Roman"/>
          <w:szCs w:val="28"/>
        </w:rPr>
        <w:t xml:space="preserve"> of </w:t>
      </w:r>
      <w:r w:rsidR="005A5A53">
        <w:rPr>
          <w:rFonts w:ascii="Calibri" w:eastAsia="MS Mincho" w:hAnsi="Calibri" w:cs="Times New Roman"/>
          <w:szCs w:val="28"/>
        </w:rPr>
        <w:t xml:space="preserve">the </w:t>
      </w:r>
      <w:r>
        <w:rPr>
          <w:rFonts w:ascii="Calibri" w:eastAsia="MS Mincho" w:hAnsi="Calibri" w:cs="Times New Roman"/>
          <w:szCs w:val="28"/>
        </w:rPr>
        <w:t>5</w:t>
      </w:r>
      <w:r w:rsidR="00785847">
        <w:rPr>
          <w:rFonts w:ascii="Calibri" w:eastAsia="MS Mincho" w:hAnsi="Calibri" w:cs="Times New Roman"/>
          <w:szCs w:val="28"/>
        </w:rPr>
        <w:t> </w:t>
      </w:r>
      <w:r>
        <w:rPr>
          <w:rFonts w:ascii="Calibri" w:eastAsia="MS Mincho" w:hAnsi="Calibri" w:cs="Times New Roman"/>
          <w:szCs w:val="28"/>
        </w:rPr>
        <w:t>mg and 10</w:t>
      </w:r>
      <w:r w:rsidR="00785847">
        <w:rPr>
          <w:rFonts w:ascii="Calibri" w:eastAsia="MS Mincho" w:hAnsi="Calibri" w:cs="Times New Roman"/>
          <w:szCs w:val="28"/>
        </w:rPr>
        <w:t> </w:t>
      </w:r>
      <w:r>
        <w:rPr>
          <w:rFonts w:ascii="Calibri" w:eastAsia="MS Mincho" w:hAnsi="Calibri" w:cs="Times New Roman"/>
          <w:szCs w:val="28"/>
        </w:rPr>
        <w:t xml:space="preserve">mg packs. The PBAC noted </w:t>
      </w:r>
      <w:r w:rsidR="005A5A53">
        <w:rPr>
          <w:rFonts w:ascii="Calibri" w:eastAsia="MS Mincho" w:hAnsi="Calibri" w:cs="Times New Roman"/>
          <w:szCs w:val="28"/>
        </w:rPr>
        <w:t xml:space="preserve">a </w:t>
      </w:r>
      <w:r>
        <w:rPr>
          <w:rFonts w:ascii="Calibri" w:eastAsia="MS Mincho" w:hAnsi="Calibri" w:cs="Times New Roman"/>
          <w:szCs w:val="28"/>
        </w:rPr>
        <w:t>greater use of the 5</w:t>
      </w:r>
      <w:r w:rsidR="00785847">
        <w:rPr>
          <w:rFonts w:ascii="Calibri" w:eastAsia="MS Mincho" w:hAnsi="Calibri" w:cs="Times New Roman"/>
          <w:szCs w:val="28"/>
        </w:rPr>
        <w:t> </w:t>
      </w:r>
      <w:r>
        <w:rPr>
          <w:rFonts w:ascii="Calibri" w:eastAsia="MS Mincho" w:hAnsi="Calibri" w:cs="Times New Roman"/>
          <w:szCs w:val="28"/>
        </w:rPr>
        <w:t xml:space="preserve">mg strength is consistent with the product information. This reports that 80% of patients in the clinical trial considered by PBAC had grade 3 or 4 </w:t>
      </w:r>
      <w:proofErr w:type="spellStart"/>
      <w:r>
        <w:rPr>
          <w:rFonts w:ascii="Calibri" w:eastAsia="MS Mincho" w:hAnsi="Calibri" w:cs="Times New Roman"/>
          <w:szCs w:val="28"/>
        </w:rPr>
        <w:t>haematologic</w:t>
      </w:r>
      <w:proofErr w:type="spellEnd"/>
      <w:r>
        <w:rPr>
          <w:rFonts w:ascii="Calibri" w:eastAsia="MS Mincho" w:hAnsi="Calibri" w:cs="Times New Roman"/>
          <w:szCs w:val="28"/>
        </w:rPr>
        <w:t xml:space="preserve"> toxicity which may require a short break from therapy and reintroduction of </w:t>
      </w:r>
      <w:proofErr w:type="spellStart"/>
      <w:r>
        <w:rPr>
          <w:rFonts w:ascii="Calibri" w:eastAsia="MS Mincho" w:hAnsi="Calibri" w:cs="Times New Roman"/>
          <w:szCs w:val="28"/>
        </w:rPr>
        <w:t>lenalidomide</w:t>
      </w:r>
      <w:proofErr w:type="spellEnd"/>
      <w:r>
        <w:rPr>
          <w:rFonts w:ascii="Calibri" w:eastAsia="MS Mincho" w:hAnsi="Calibri" w:cs="Times New Roman"/>
          <w:szCs w:val="28"/>
        </w:rPr>
        <w:t xml:space="preserve"> using the 5</w:t>
      </w:r>
      <w:r w:rsidR="003B67C0">
        <w:rPr>
          <w:rFonts w:ascii="Calibri" w:eastAsia="MS Mincho" w:hAnsi="Calibri" w:cs="Times New Roman"/>
          <w:szCs w:val="28"/>
        </w:rPr>
        <w:t> </w:t>
      </w:r>
      <w:r>
        <w:rPr>
          <w:rFonts w:ascii="Calibri" w:eastAsia="MS Mincho" w:hAnsi="Calibri" w:cs="Times New Roman"/>
          <w:szCs w:val="28"/>
        </w:rPr>
        <w:t xml:space="preserve">mg strength (refer to TGA information above). </w:t>
      </w:r>
    </w:p>
    <w:p w:rsidR="00AF729E" w:rsidRDefault="00333658" w:rsidP="00AF729E">
      <w:pPr>
        <w:spacing w:before="240"/>
        <w:outlineLvl w:val="2"/>
        <w:rPr>
          <w:rFonts w:ascii="Calibri" w:eastAsia="MS Mincho" w:hAnsi="Calibri" w:cs="Times New Roman"/>
          <w:szCs w:val="28"/>
        </w:rPr>
      </w:pPr>
      <w:r>
        <w:rPr>
          <w:rFonts w:ascii="Calibri" w:eastAsia="MS Mincho" w:hAnsi="Calibri" w:cs="Times New Roman"/>
          <w:szCs w:val="28"/>
        </w:rPr>
        <w:t xml:space="preserve">The submission assumed in the health economic model and </w:t>
      </w:r>
      <w:r w:rsidR="0005201A">
        <w:rPr>
          <w:rFonts w:ascii="Calibri" w:eastAsia="MS Mincho" w:hAnsi="Calibri" w:cs="Times New Roman"/>
          <w:szCs w:val="28"/>
        </w:rPr>
        <w:t xml:space="preserve">its </w:t>
      </w:r>
      <w:r>
        <w:rPr>
          <w:rFonts w:ascii="Calibri" w:eastAsia="MS Mincho" w:hAnsi="Calibri" w:cs="Times New Roman"/>
          <w:szCs w:val="28"/>
        </w:rPr>
        <w:t xml:space="preserve">estimates of utilisation that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of patients would take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packs of the 5</w:t>
      </w:r>
      <w:r w:rsidR="003B67C0">
        <w:rPr>
          <w:rFonts w:ascii="Calibri" w:eastAsia="MS Mincho" w:hAnsi="Calibri" w:cs="Times New Roman"/>
          <w:szCs w:val="28"/>
        </w:rPr>
        <w:t> </w:t>
      </w:r>
      <w:r>
        <w:rPr>
          <w:rFonts w:ascii="Calibri" w:eastAsia="MS Mincho" w:hAnsi="Calibri" w:cs="Times New Roman"/>
          <w:szCs w:val="28"/>
        </w:rPr>
        <w:t xml:space="preserve">mg capsule and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of patients would take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packs of the 10</w:t>
      </w:r>
      <w:r w:rsidR="00785847">
        <w:rPr>
          <w:rFonts w:ascii="Calibri" w:eastAsia="MS Mincho" w:hAnsi="Calibri" w:cs="Times New Roman"/>
          <w:szCs w:val="28"/>
        </w:rPr>
        <w:t> </w:t>
      </w:r>
      <w:r>
        <w:rPr>
          <w:rFonts w:ascii="Calibri" w:eastAsia="MS Mincho" w:hAnsi="Calibri" w:cs="Times New Roman"/>
          <w:szCs w:val="28"/>
        </w:rPr>
        <w:t>mg capsule in a year. These assumptions translated to the percentage of 5 mg and 10</w:t>
      </w:r>
      <w:r w:rsidR="00785847">
        <w:rPr>
          <w:rFonts w:ascii="Calibri" w:eastAsia="MS Mincho" w:hAnsi="Calibri" w:cs="Times New Roman"/>
          <w:szCs w:val="28"/>
        </w:rPr>
        <w:t> </w:t>
      </w:r>
      <w:r>
        <w:rPr>
          <w:rFonts w:ascii="Calibri" w:eastAsia="MS Mincho" w:hAnsi="Calibri" w:cs="Times New Roman"/>
          <w:szCs w:val="28"/>
        </w:rPr>
        <w:t xml:space="preserve">mg prescriptions supplied being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 xml:space="preserve">% and </w:t>
      </w:r>
      <w:r w:rsidR="00624706">
        <w:rPr>
          <w:rFonts w:ascii="Calibri" w:eastAsia="MS Mincho" w:hAnsi="Calibri" w:cs="Times New Roman"/>
          <w:noProof/>
          <w:color w:val="000000"/>
          <w:szCs w:val="28"/>
          <w:highlight w:val="black"/>
        </w:rPr>
        <w:t>'''''''''</w:t>
      </w:r>
      <w:r>
        <w:rPr>
          <w:rFonts w:ascii="Calibri" w:eastAsia="MS Mincho" w:hAnsi="Calibri" w:cs="Times New Roman"/>
          <w:szCs w:val="28"/>
        </w:rPr>
        <w:t>%</w:t>
      </w:r>
      <w:r w:rsidR="00EF0833">
        <w:rPr>
          <w:rFonts w:ascii="Calibri" w:eastAsia="MS Mincho" w:hAnsi="Calibri" w:cs="Times New Roman"/>
          <w:szCs w:val="28"/>
        </w:rPr>
        <w:t>,</w:t>
      </w:r>
      <w:r>
        <w:rPr>
          <w:rFonts w:ascii="Calibri" w:eastAsia="MS Mincho" w:hAnsi="Calibri" w:cs="Times New Roman"/>
          <w:szCs w:val="28"/>
        </w:rPr>
        <w:t xml:space="preserve"> respectively. The actual </w:t>
      </w:r>
      <w:r w:rsidR="00072468">
        <w:rPr>
          <w:rFonts w:ascii="Calibri" w:eastAsia="MS Mincho" w:hAnsi="Calibri" w:cs="Times New Roman"/>
          <w:szCs w:val="28"/>
        </w:rPr>
        <w:t>proportions</w:t>
      </w:r>
      <w:r>
        <w:rPr>
          <w:rFonts w:ascii="Calibri" w:eastAsia="MS Mincho" w:hAnsi="Calibri" w:cs="Times New Roman"/>
          <w:szCs w:val="28"/>
        </w:rPr>
        <w:t xml:space="preserve"> in Year 3 were 32.7% </w:t>
      </w:r>
      <w:r w:rsidR="00072468">
        <w:rPr>
          <w:rFonts w:ascii="Calibri" w:eastAsia="MS Mincho" w:hAnsi="Calibri" w:cs="Times New Roman"/>
          <w:szCs w:val="28"/>
        </w:rPr>
        <w:t>and</w:t>
      </w:r>
      <w:r>
        <w:rPr>
          <w:rFonts w:ascii="Calibri" w:eastAsia="MS Mincho" w:hAnsi="Calibri" w:cs="Times New Roman"/>
          <w:szCs w:val="28"/>
        </w:rPr>
        <w:t xml:space="preserve"> 67.2%</w:t>
      </w:r>
      <w:r w:rsidR="00EF0833">
        <w:rPr>
          <w:rFonts w:ascii="Calibri" w:eastAsia="MS Mincho" w:hAnsi="Calibri" w:cs="Times New Roman"/>
          <w:szCs w:val="28"/>
        </w:rPr>
        <w:t>,</w:t>
      </w:r>
      <w:r>
        <w:rPr>
          <w:rFonts w:ascii="Calibri" w:eastAsia="MS Mincho" w:hAnsi="Calibri" w:cs="Times New Roman"/>
          <w:szCs w:val="28"/>
        </w:rPr>
        <w:t xml:space="preserve"> respectively. Thus the proportion of 5</w:t>
      </w:r>
      <w:r w:rsidR="00785847">
        <w:rPr>
          <w:rFonts w:ascii="Calibri" w:eastAsia="MS Mincho" w:hAnsi="Calibri" w:cs="Times New Roman"/>
          <w:szCs w:val="28"/>
        </w:rPr>
        <w:t> </w:t>
      </w:r>
      <w:r>
        <w:rPr>
          <w:rFonts w:ascii="Calibri" w:eastAsia="MS Mincho" w:hAnsi="Calibri" w:cs="Times New Roman"/>
          <w:szCs w:val="28"/>
        </w:rPr>
        <w:t xml:space="preserve">mg supply was more than predicted. This is consistent with the concerns </w:t>
      </w:r>
      <w:r w:rsidR="00072468">
        <w:rPr>
          <w:rFonts w:ascii="Calibri" w:eastAsia="MS Mincho" w:hAnsi="Calibri" w:cs="Times New Roman"/>
          <w:szCs w:val="28"/>
        </w:rPr>
        <w:t>expressed</w:t>
      </w:r>
      <w:r>
        <w:rPr>
          <w:rFonts w:ascii="Calibri" w:eastAsia="MS Mincho" w:hAnsi="Calibri" w:cs="Times New Roman"/>
          <w:szCs w:val="28"/>
        </w:rPr>
        <w:t xml:space="preserve"> by the PBAC that the proportion of 5 mg use was underestimated in the submission. This analysis did not re-run the economic model to determine if this difference would have a substantial effect on the ICER.</w:t>
      </w:r>
    </w:p>
    <w:p w:rsidR="00AF729E" w:rsidRPr="00215A58" w:rsidRDefault="00333658" w:rsidP="005E58FD">
      <w:pPr>
        <w:pStyle w:val="ListParagraph"/>
        <w:numPr>
          <w:ilvl w:val="0"/>
          <w:numId w:val="16"/>
        </w:numPr>
        <w:spacing w:line="276" w:lineRule="auto"/>
        <w:rPr>
          <w:rFonts w:ascii="Calibri" w:eastAsia="Times New Roman" w:hAnsi="Calibri" w:cs="Times New Roman"/>
          <w:b/>
          <w:iCs/>
          <w:snapToGrid w:val="0"/>
          <w:sz w:val="28"/>
          <w:lang w:eastAsia="en-US"/>
        </w:rPr>
      </w:pPr>
      <w:r w:rsidRPr="00215A58">
        <w:rPr>
          <w:rFonts w:ascii="Calibri" w:eastAsia="Times New Roman" w:hAnsi="Calibri" w:cs="Times New Roman"/>
          <w:b/>
          <w:iCs/>
          <w:snapToGrid w:val="0"/>
          <w:sz w:val="28"/>
          <w:lang w:eastAsia="en-US"/>
        </w:rPr>
        <w:t xml:space="preserve">Patient-level duration of therapy </w:t>
      </w:r>
    </w:p>
    <w:p w:rsidR="00AF729E" w:rsidRPr="00306A08" w:rsidRDefault="00333658" w:rsidP="00AF729E">
      <w:pPr>
        <w:spacing w:line="276" w:lineRule="auto"/>
        <w:rPr>
          <w:rFonts w:ascii="Calibri" w:eastAsia="Times New Roman" w:hAnsi="Calibri" w:cs="Times New Roman"/>
          <w:i/>
          <w:iCs/>
          <w:snapToGrid w:val="0"/>
          <w:lang w:eastAsia="en-US"/>
        </w:rPr>
      </w:pPr>
      <w:r w:rsidRPr="00306A08">
        <w:rPr>
          <w:rFonts w:ascii="Calibri" w:eastAsia="Times New Roman" w:hAnsi="Calibri" w:cs="Times New Roman"/>
          <w:i/>
          <w:iCs/>
          <w:snapToGrid w:val="0"/>
          <w:lang w:eastAsia="en-US"/>
        </w:rPr>
        <w:t>Indication sequence and patient classification issues</w:t>
      </w:r>
    </w:p>
    <w:p w:rsidR="00AF729E" w:rsidRDefault="00333658" w:rsidP="00AF729E">
      <w:pPr>
        <w:rPr>
          <w:rFonts w:ascii="Calibri" w:eastAsia="MS Mincho" w:hAnsi="Calibri" w:cs="Times New Roman"/>
          <w:szCs w:val="28"/>
        </w:rPr>
      </w:pPr>
      <w:r>
        <w:rPr>
          <w:rFonts w:ascii="Calibri" w:eastAsia="MS Mincho" w:hAnsi="Calibri" w:cs="Times New Roman"/>
          <w:szCs w:val="28"/>
        </w:rPr>
        <w:t xml:space="preserve">Applications for </w:t>
      </w:r>
      <w:r w:rsidR="00072468">
        <w:rPr>
          <w:rFonts w:ascii="Calibri" w:eastAsia="MS Mincho" w:hAnsi="Calibri" w:cs="Times New Roman"/>
          <w:szCs w:val="28"/>
        </w:rPr>
        <w:t>eligibility</w:t>
      </w:r>
      <w:r>
        <w:rPr>
          <w:rFonts w:ascii="Calibri" w:eastAsia="MS Mincho" w:hAnsi="Calibri" w:cs="Times New Roman"/>
          <w:szCs w:val="28"/>
        </w:rPr>
        <w:t xml:space="preserve"> to prescribe </w:t>
      </w:r>
      <w:proofErr w:type="spellStart"/>
      <w:r>
        <w:rPr>
          <w:rFonts w:ascii="Calibri" w:eastAsia="MS Mincho" w:hAnsi="Calibri" w:cs="Times New Roman"/>
          <w:szCs w:val="28"/>
        </w:rPr>
        <w:t>lenalidomide</w:t>
      </w:r>
      <w:proofErr w:type="spellEnd"/>
      <w:r>
        <w:rPr>
          <w:rFonts w:ascii="Calibri" w:eastAsia="MS Mincho" w:hAnsi="Calibri" w:cs="Times New Roman"/>
          <w:szCs w:val="28"/>
        </w:rPr>
        <w:t xml:space="preserve"> for multiple myeloma and MDS are provided in writing to DHS. For each original prescription</w:t>
      </w:r>
      <w:r w:rsidR="00860566">
        <w:rPr>
          <w:rFonts w:ascii="Calibri" w:eastAsia="MS Mincho" w:hAnsi="Calibri" w:cs="Times New Roman"/>
          <w:szCs w:val="28"/>
        </w:rPr>
        <w:t>,</w:t>
      </w:r>
      <w:r>
        <w:rPr>
          <w:rFonts w:ascii="Calibri" w:eastAsia="MS Mincho" w:hAnsi="Calibri" w:cs="Times New Roman"/>
          <w:szCs w:val="28"/>
        </w:rPr>
        <w:t xml:space="preserve"> patients can receive up to three repeats to be supplied for the three subsequent cycles (a 16 week period in total). The original authority prescription is endorsed by DHS with the relevant item number and the first supply is cross checked against the </w:t>
      </w:r>
      <w:proofErr w:type="gramStart"/>
      <w:r w:rsidR="00072468">
        <w:rPr>
          <w:rFonts w:ascii="Calibri" w:eastAsia="MS Mincho" w:hAnsi="Calibri" w:cs="Times New Roman"/>
          <w:szCs w:val="28"/>
        </w:rPr>
        <w:t>authorities</w:t>
      </w:r>
      <w:proofErr w:type="gramEnd"/>
      <w:r>
        <w:rPr>
          <w:rFonts w:ascii="Calibri" w:eastAsia="MS Mincho" w:hAnsi="Calibri" w:cs="Times New Roman"/>
          <w:szCs w:val="28"/>
        </w:rPr>
        <w:t xml:space="preserve"> database at the time the prescription is submitted to DHS for claiming. Therefore a cohort of patients identified using first original prescriptions specifically for MDS was assumed to be the least likely to have misclassification bias. It was still possible for a small number of original and repeat prescriptions to be entered in the pharmacy claim database with an inaccurate item number. This possibility was considered and the extent and possible effect of misclassification was explored.</w:t>
      </w:r>
    </w:p>
    <w:p w:rsidR="00AF729E" w:rsidRPr="00306A08" w:rsidRDefault="00333658" w:rsidP="00AF729E">
      <w:pPr>
        <w:rPr>
          <w:rFonts w:ascii="Calibri" w:eastAsia="MS Mincho" w:hAnsi="Calibri" w:cs="Times New Roman"/>
          <w:i/>
          <w:szCs w:val="28"/>
        </w:rPr>
      </w:pPr>
      <w:r w:rsidRPr="00306A08">
        <w:rPr>
          <w:rFonts w:ascii="Calibri" w:eastAsia="MS Mincho" w:hAnsi="Calibri" w:cs="Times New Roman"/>
          <w:i/>
          <w:szCs w:val="28"/>
        </w:rPr>
        <w:t>Construction of dataset 2 containing patients with MDS and minimal misclassification</w:t>
      </w:r>
    </w:p>
    <w:p w:rsidR="00AF729E" w:rsidRDefault="00333658" w:rsidP="00AF729E">
      <w:pPr>
        <w:rPr>
          <w:rFonts w:ascii="Calibri" w:eastAsia="MS Mincho" w:hAnsi="Calibri" w:cs="Times New Roman"/>
          <w:szCs w:val="28"/>
        </w:rPr>
      </w:pPr>
      <w:r>
        <w:rPr>
          <w:rFonts w:ascii="Calibri" w:eastAsia="MS Mincho" w:hAnsi="Calibri" w:cs="Times New Roman"/>
          <w:szCs w:val="28"/>
        </w:rPr>
        <w:t xml:space="preserve">In order to identify an ‘as accurate as possible’ cohort of patients with MDS with a full medication history for </w:t>
      </w:r>
      <w:proofErr w:type="spellStart"/>
      <w:r>
        <w:rPr>
          <w:rFonts w:ascii="Calibri" w:eastAsia="MS Mincho" w:hAnsi="Calibri" w:cs="Times New Roman"/>
          <w:szCs w:val="28"/>
        </w:rPr>
        <w:t>lenalidomide</w:t>
      </w:r>
      <w:proofErr w:type="spellEnd"/>
      <w:r w:rsidR="00072468">
        <w:rPr>
          <w:rFonts w:ascii="Calibri" w:eastAsia="MS Mincho" w:hAnsi="Calibri" w:cs="Times New Roman"/>
          <w:szCs w:val="28"/>
        </w:rPr>
        <w:t>, all</w:t>
      </w:r>
      <w:r>
        <w:rPr>
          <w:rFonts w:ascii="Calibri" w:eastAsia="MS Mincho" w:hAnsi="Calibri" w:cs="Times New Roman"/>
          <w:szCs w:val="28"/>
        </w:rPr>
        <w:t xml:space="preserve"> PBS supplied prescriptions from the DHS pharmacy claim database for </w:t>
      </w:r>
      <w:proofErr w:type="spellStart"/>
      <w:r>
        <w:rPr>
          <w:rFonts w:ascii="Calibri" w:eastAsia="MS Mincho" w:hAnsi="Calibri" w:cs="Times New Roman"/>
          <w:szCs w:val="28"/>
        </w:rPr>
        <w:t>lenalidomide</w:t>
      </w:r>
      <w:proofErr w:type="spellEnd"/>
      <w:r>
        <w:rPr>
          <w:rFonts w:ascii="Calibri" w:eastAsia="MS Mincho" w:hAnsi="Calibri" w:cs="Times New Roman"/>
          <w:szCs w:val="28"/>
        </w:rPr>
        <w:t xml:space="preserve"> (1 November 2009 to 31 March 2017) were extracted. </w:t>
      </w:r>
    </w:p>
    <w:p w:rsidR="00AF729E" w:rsidRDefault="00333658" w:rsidP="00AF729E">
      <w:pPr>
        <w:widowControl w:val="0"/>
        <w:rPr>
          <w:rFonts w:ascii="Calibri" w:eastAsia="Times New Roman" w:hAnsi="Calibri" w:cs="Times New Roman"/>
          <w:iCs/>
          <w:snapToGrid w:val="0"/>
          <w:lang w:eastAsia="en-US"/>
        </w:rPr>
      </w:pPr>
      <w:r w:rsidRPr="0010077B">
        <w:rPr>
          <w:rFonts w:ascii="Calibri" w:eastAsia="Times New Roman" w:hAnsi="Calibri" w:cs="Times New Roman"/>
          <w:iCs/>
          <w:snapToGrid w:val="0"/>
          <w:lang w:eastAsia="en-US"/>
        </w:rPr>
        <w:t xml:space="preserve">Patients were classified as being likely to have MDS or multiple myeloma </w:t>
      </w:r>
      <w:r>
        <w:rPr>
          <w:rFonts w:ascii="Calibri" w:eastAsia="Times New Roman" w:hAnsi="Calibri" w:cs="Times New Roman"/>
          <w:iCs/>
          <w:snapToGrid w:val="0"/>
          <w:lang w:eastAsia="en-US"/>
        </w:rPr>
        <w:t xml:space="preserve">(MM) </w:t>
      </w:r>
      <w:r w:rsidRPr="0010077B">
        <w:rPr>
          <w:rFonts w:ascii="Calibri" w:eastAsia="Times New Roman" w:hAnsi="Calibri" w:cs="Times New Roman"/>
          <w:iCs/>
          <w:snapToGrid w:val="0"/>
          <w:lang w:eastAsia="en-US"/>
        </w:rPr>
        <w:t>based on the indication sequence of original prescriptions in relation to the MDS indication listing date of 1 October 2013.</w:t>
      </w:r>
      <w:r>
        <w:rPr>
          <w:rFonts w:ascii="Calibri" w:eastAsia="Times New Roman" w:hAnsi="Calibri" w:cs="Times New Roman"/>
          <w:iCs/>
          <w:snapToGrid w:val="0"/>
          <w:lang w:eastAsia="en-US"/>
        </w:rPr>
        <w:t xml:space="preserve"> That is, if a patient’s first original prescription after 1 October 2013 was indicated for MDS and they did not receive a MM indicated original prescription prior to 1 October 2013</w:t>
      </w:r>
      <w:r w:rsidR="00860566">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 xml:space="preserve"> then it was considered that the patient is being treated for MDS (Cohort MDS - 141 patients). Otherwise the patient was considered to be treated for multiple myeloma (Cohort MM - 5,079 patients).</w:t>
      </w:r>
    </w:p>
    <w:p w:rsidR="00AF729E" w:rsidRDefault="00333658" w:rsidP="00AF729E">
      <w:pPr>
        <w:rPr>
          <w:rFonts w:ascii="Calibri" w:eastAsia="MS Mincho" w:hAnsi="Calibri" w:cs="Times New Roman"/>
          <w:szCs w:val="28"/>
        </w:rPr>
      </w:pPr>
      <w:r>
        <w:rPr>
          <w:rFonts w:ascii="Calibri" w:eastAsia="MS Mincho" w:hAnsi="Calibri" w:cs="Times New Roman"/>
          <w:szCs w:val="28"/>
        </w:rPr>
        <w:lastRenderedPageBreak/>
        <w:t xml:space="preserve">Table 5 shows </w:t>
      </w:r>
      <w:r w:rsidRPr="00AA6F7E">
        <w:rPr>
          <w:rFonts w:ascii="Calibri" w:eastAsia="MS Mincho" w:hAnsi="Calibri" w:cs="Times New Roman"/>
          <w:szCs w:val="28"/>
        </w:rPr>
        <w:t>indication sequence</w:t>
      </w:r>
      <w:r>
        <w:rPr>
          <w:rFonts w:ascii="Calibri" w:eastAsia="MS Mincho" w:hAnsi="Calibri" w:cs="Times New Roman"/>
          <w:szCs w:val="28"/>
        </w:rPr>
        <w:t>s</w:t>
      </w:r>
      <w:r w:rsidRPr="00AA6F7E">
        <w:rPr>
          <w:rFonts w:ascii="Calibri" w:eastAsia="MS Mincho" w:hAnsi="Calibri" w:cs="Times New Roman"/>
          <w:szCs w:val="28"/>
        </w:rPr>
        <w:t xml:space="preserve"> for </w:t>
      </w:r>
      <w:r>
        <w:rPr>
          <w:rFonts w:ascii="Calibri" w:eastAsia="MS Mincho" w:hAnsi="Calibri" w:cs="Times New Roman"/>
          <w:szCs w:val="28"/>
        </w:rPr>
        <w:t xml:space="preserve">all </w:t>
      </w:r>
      <w:proofErr w:type="spellStart"/>
      <w:r>
        <w:rPr>
          <w:rFonts w:ascii="Calibri" w:eastAsia="MS Mincho" w:hAnsi="Calibri" w:cs="Times New Roman"/>
          <w:szCs w:val="28"/>
        </w:rPr>
        <w:t>lenalidomide</w:t>
      </w:r>
      <w:proofErr w:type="spellEnd"/>
      <w:r>
        <w:rPr>
          <w:rFonts w:ascii="Calibri" w:eastAsia="MS Mincho" w:hAnsi="Calibri" w:cs="Times New Roman"/>
          <w:szCs w:val="28"/>
        </w:rPr>
        <w:t xml:space="preserve"> original prescriptions (i</w:t>
      </w:r>
      <w:r w:rsidR="007D653C">
        <w:rPr>
          <w:rFonts w:ascii="Calibri" w:eastAsia="MS Mincho" w:hAnsi="Calibri" w:cs="Times New Roman"/>
          <w:szCs w:val="28"/>
        </w:rPr>
        <w:t>.</w:t>
      </w:r>
      <w:r>
        <w:rPr>
          <w:rFonts w:ascii="Calibri" w:eastAsia="MS Mincho" w:hAnsi="Calibri" w:cs="Times New Roman"/>
          <w:szCs w:val="28"/>
        </w:rPr>
        <w:t xml:space="preserve">e.  </w:t>
      </w:r>
      <w:proofErr w:type="gramStart"/>
      <w:r>
        <w:rPr>
          <w:rFonts w:ascii="Calibri" w:eastAsia="MS Mincho" w:hAnsi="Calibri" w:cs="Times New Roman"/>
          <w:szCs w:val="28"/>
        </w:rPr>
        <w:t>including</w:t>
      </w:r>
      <w:proofErr w:type="gramEnd"/>
      <w:r>
        <w:rPr>
          <w:rFonts w:ascii="Calibri" w:eastAsia="MS Mincho" w:hAnsi="Calibri" w:cs="Times New Roman"/>
          <w:szCs w:val="28"/>
        </w:rPr>
        <w:t xml:space="preserve"> all PBS item codes) and subsequent patient classifications</w:t>
      </w:r>
      <w:r w:rsidR="00860566">
        <w:rPr>
          <w:rFonts w:ascii="Calibri" w:eastAsia="MS Mincho" w:hAnsi="Calibri" w:cs="Times New Roman"/>
          <w:szCs w:val="28"/>
        </w:rPr>
        <w:t>.</w:t>
      </w:r>
    </w:p>
    <w:p w:rsidR="00AF729E" w:rsidRDefault="00333658" w:rsidP="00AF729E">
      <w:pPr>
        <w:widowControl w:val="0"/>
        <w:spacing w:after="0"/>
        <w:rPr>
          <w:rFonts w:ascii="Calibri" w:eastAsia="Times New Roman" w:hAnsi="Calibri" w:cs="Times New Roman"/>
          <w:b/>
          <w:iCs/>
          <w:snapToGrid w:val="0"/>
          <w:lang w:eastAsia="en-US"/>
        </w:rPr>
      </w:pPr>
      <w:r>
        <w:rPr>
          <w:rFonts w:ascii="Calibri" w:eastAsia="Times New Roman" w:hAnsi="Calibri" w:cs="Times New Roman"/>
          <w:b/>
          <w:iCs/>
          <w:snapToGrid w:val="0"/>
          <w:lang w:eastAsia="en-US"/>
        </w:rPr>
        <w:t>Table 5</w:t>
      </w:r>
      <w:r w:rsidRPr="00B87CD5">
        <w:rPr>
          <w:rFonts w:ascii="Calibri" w:eastAsia="Times New Roman" w:hAnsi="Calibri" w:cs="Times New Roman"/>
          <w:b/>
          <w:iCs/>
          <w:snapToGrid w:val="0"/>
          <w:lang w:eastAsia="en-US"/>
        </w:rPr>
        <w:t xml:space="preserve">: </w:t>
      </w:r>
      <w:r>
        <w:rPr>
          <w:rFonts w:ascii="Calibri" w:eastAsia="Times New Roman" w:hAnsi="Calibri" w:cs="Times New Roman"/>
          <w:b/>
          <w:iCs/>
          <w:snapToGrid w:val="0"/>
          <w:lang w:eastAsia="en-US"/>
        </w:rPr>
        <w:t>Original prescription indication sequence</w:t>
      </w:r>
    </w:p>
    <w:tbl>
      <w:tblPr>
        <w:tblW w:w="4888" w:type="pct"/>
        <w:tblLayout w:type="fixed"/>
        <w:tblLook w:val="04A0" w:firstRow="1" w:lastRow="0" w:firstColumn="1" w:lastColumn="0" w:noHBand="0" w:noVBand="1"/>
      </w:tblPr>
      <w:tblGrid>
        <w:gridCol w:w="3065"/>
        <w:gridCol w:w="4089"/>
        <w:gridCol w:w="908"/>
        <w:gridCol w:w="906"/>
      </w:tblGrid>
      <w:tr w:rsidR="00AF729E" w:rsidRPr="006520F5">
        <w:trPr>
          <w:trHeight w:val="897"/>
        </w:trPr>
        <w:tc>
          <w:tcPr>
            <w:tcW w:w="1709" w:type="pct"/>
            <w:tcBorders>
              <w:top w:val="single" w:sz="4" w:space="0" w:color="auto"/>
              <w:left w:val="single" w:sz="4" w:space="0" w:color="auto"/>
              <w:bottom w:val="single" w:sz="4" w:space="0" w:color="auto"/>
              <w:right w:val="single" w:sz="4" w:space="0" w:color="auto"/>
            </w:tcBorders>
            <w:shd w:val="clear" w:color="000000" w:fill="BFBFBF"/>
            <w:vAlign w:val="center"/>
          </w:tcPr>
          <w:p w:rsidR="00AF729E" w:rsidRPr="00D05EFE" w:rsidRDefault="00333658" w:rsidP="00AF729E">
            <w:pPr>
              <w:jc w:val="center"/>
              <w:rPr>
                <w:rFonts w:ascii="Calibri" w:hAnsi="Calibri"/>
                <w:b/>
                <w:bCs/>
                <w:color w:val="000000"/>
                <w:sz w:val="20"/>
              </w:rPr>
            </w:pPr>
            <w:r w:rsidRPr="00D05EFE">
              <w:rPr>
                <w:rFonts w:ascii="Calibri" w:hAnsi="Calibri"/>
                <w:b/>
                <w:bCs/>
                <w:color w:val="000000"/>
                <w:sz w:val="20"/>
                <w:szCs w:val="22"/>
              </w:rPr>
              <w:t>Patient classification</w:t>
            </w:r>
          </w:p>
        </w:tc>
        <w:tc>
          <w:tcPr>
            <w:tcW w:w="2280" w:type="pct"/>
            <w:tcBorders>
              <w:top w:val="single" w:sz="4" w:space="0" w:color="auto"/>
              <w:left w:val="nil"/>
              <w:bottom w:val="single" w:sz="4" w:space="0" w:color="auto"/>
              <w:right w:val="single" w:sz="4" w:space="0" w:color="auto"/>
            </w:tcBorders>
            <w:shd w:val="clear" w:color="000000" w:fill="BFBFBF"/>
            <w:noWrap/>
            <w:vAlign w:val="center"/>
          </w:tcPr>
          <w:p w:rsidR="00AF729E" w:rsidRPr="00D05EFE" w:rsidRDefault="00333658" w:rsidP="00AF729E">
            <w:pPr>
              <w:jc w:val="center"/>
              <w:rPr>
                <w:rFonts w:ascii="Calibri" w:hAnsi="Calibri"/>
                <w:b/>
                <w:bCs/>
                <w:color w:val="000000"/>
                <w:sz w:val="20"/>
              </w:rPr>
            </w:pPr>
            <w:r w:rsidRPr="00D05EFE">
              <w:rPr>
                <w:rFonts w:ascii="Calibri" w:hAnsi="Calibri"/>
                <w:b/>
                <w:bCs/>
                <w:color w:val="000000"/>
                <w:sz w:val="20"/>
                <w:szCs w:val="22"/>
              </w:rPr>
              <w:t>Original prescription indication sequence</w:t>
            </w:r>
          </w:p>
        </w:tc>
        <w:tc>
          <w:tcPr>
            <w:tcW w:w="506" w:type="pct"/>
            <w:tcBorders>
              <w:top w:val="single" w:sz="4" w:space="0" w:color="auto"/>
              <w:left w:val="nil"/>
              <w:bottom w:val="single" w:sz="4" w:space="0" w:color="auto"/>
              <w:right w:val="single" w:sz="4" w:space="0" w:color="auto"/>
            </w:tcBorders>
            <w:shd w:val="clear" w:color="000000" w:fill="BFBFBF"/>
            <w:noWrap/>
            <w:vAlign w:val="center"/>
          </w:tcPr>
          <w:p w:rsidR="00AF729E" w:rsidRPr="00D05EFE" w:rsidRDefault="00333658" w:rsidP="00AF729E">
            <w:pPr>
              <w:jc w:val="center"/>
              <w:rPr>
                <w:rFonts w:ascii="Calibri" w:hAnsi="Calibri"/>
                <w:b/>
                <w:bCs/>
                <w:color w:val="000000"/>
                <w:sz w:val="20"/>
              </w:rPr>
            </w:pPr>
            <w:r w:rsidRPr="00D05EFE">
              <w:rPr>
                <w:rFonts w:ascii="Calibri" w:hAnsi="Calibri"/>
                <w:b/>
                <w:bCs/>
                <w:color w:val="000000"/>
                <w:sz w:val="20"/>
                <w:szCs w:val="22"/>
              </w:rPr>
              <w:t>Patients</w:t>
            </w:r>
          </w:p>
        </w:tc>
        <w:tc>
          <w:tcPr>
            <w:tcW w:w="506" w:type="pct"/>
            <w:tcBorders>
              <w:top w:val="single" w:sz="4" w:space="0" w:color="auto"/>
              <w:left w:val="nil"/>
              <w:bottom w:val="single" w:sz="4" w:space="0" w:color="auto"/>
              <w:right w:val="single" w:sz="4" w:space="0" w:color="auto"/>
            </w:tcBorders>
            <w:shd w:val="clear" w:color="000000" w:fill="BFBFBF"/>
            <w:vAlign w:val="center"/>
          </w:tcPr>
          <w:p w:rsidR="00AF729E" w:rsidRPr="00D05EFE" w:rsidRDefault="00333658" w:rsidP="00AF729E">
            <w:pPr>
              <w:jc w:val="center"/>
              <w:rPr>
                <w:rFonts w:ascii="Calibri" w:hAnsi="Calibri"/>
                <w:b/>
                <w:bCs/>
                <w:color w:val="000000"/>
                <w:sz w:val="20"/>
              </w:rPr>
            </w:pPr>
            <w:r w:rsidRPr="00D05EFE">
              <w:rPr>
                <w:rFonts w:ascii="Calibri" w:hAnsi="Calibri"/>
                <w:b/>
                <w:bCs/>
                <w:color w:val="000000"/>
                <w:sz w:val="20"/>
                <w:szCs w:val="22"/>
              </w:rPr>
              <w:t>% Patients</w:t>
            </w:r>
          </w:p>
        </w:tc>
      </w:tr>
      <w:tr w:rsidR="00AF729E" w:rsidRPr="009852B5">
        <w:trPr>
          <w:trHeight w:val="283"/>
        </w:trPr>
        <w:tc>
          <w:tcPr>
            <w:tcW w:w="1709" w:type="pct"/>
            <w:vMerge w:val="restart"/>
            <w:tcBorders>
              <w:top w:val="single" w:sz="4" w:space="0" w:color="auto"/>
              <w:left w:val="single" w:sz="4" w:space="0" w:color="auto"/>
              <w:bottom w:val="single" w:sz="4" w:space="0" w:color="auto"/>
              <w:right w:val="single" w:sz="4" w:space="0" w:color="auto"/>
            </w:tcBorders>
            <w:shd w:val="clear" w:color="auto" w:fill="auto"/>
          </w:tcPr>
          <w:p w:rsidR="00AF729E" w:rsidRPr="00D05EFE" w:rsidRDefault="00333658" w:rsidP="00AF729E">
            <w:pPr>
              <w:spacing w:after="0"/>
              <w:rPr>
                <w:rFonts w:ascii="Calibri" w:hAnsi="Calibri"/>
                <w:b/>
                <w:bCs/>
                <w:color w:val="000000"/>
                <w:sz w:val="20"/>
              </w:rPr>
            </w:pPr>
            <w:r w:rsidRPr="00D05EFE">
              <w:rPr>
                <w:rFonts w:ascii="Calibri" w:hAnsi="Calibri"/>
                <w:b/>
                <w:bCs/>
                <w:color w:val="000000"/>
                <w:sz w:val="20"/>
                <w:szCs w:val="22"/>
              </w:rPr>
              <w:t>Considered to be patients with MDS</w:t>
            </w:r>
            <w:r>
              <w:rPr>
                <w:rFonts w:ascii="Calibri" w:hAnsi="Calibri"/>
                <w:b/>
                <w:bCs/>
                <w:color w:val="000000"/>
                <w:sz w:val="20"/>
                <w:szCs w:val="22"/>
              </w:rPr>
              <w:t xml:space="preserve"> (Cohort MDS)</w:t>
            </w:r>
          </w:p>
        </w:tc>
        <w:tc>
          <w:tcPr>
            <w:tcW w:w="2280" w:type="pct"/>
            <w:tcBorders>
              <w:top w:val="nil"/>
              <w:left w:val="nil"/>
              <w:bottom w:val="single" w:sz="4" w:space="0" w:color="auto"/>
              <w:right w:val="single" w:sz="4" w:space="0" w:color="auto"/>
            </w:tcBorders>
            <w:shd w:val="clear" w:color="auto" w:fill="auto"/>
            <w:noWrap/>
          </w:tcPr>
          <w:p w:rsidR="00AF729E" w:rsidRPr="00D05EFE" w:rsidRDefault="00333658" w:rsidP="00AF729E">
            <w:pPr>
              <w:spacing w:after="0"/>
              <w:rPr>
                <w:rFonts w:ascii="Calibri" w:hAnsi="Calibri"/>
                <w:sz w:val="20"/>
              </w:rPr>
            </w:pPr>
            <w:r w:rsidRPr="00D05EFE">
              <w:rPr>
                <w:rFonts w:ascii="Calibri" w:hAnsi="Calibri"/>
                <w:sz w:val="20"/>
                <w:szCs w:val="22"/>
              </w:rPr>
              <w:t>All original prescriptions were indicated for MDS</w:t>
            </w:r>
          </w:p>
        </w:tc>
        <w:tc>
          <w:tcPr>
            <w:tcW w:w="506" w:type="pct"/>
            <w:tcBorders>
              <w:top w:val="nil"/>
              <w:left w:val="nil"/>
              <w:bottom w:val="single" w:sz="4" w:space="0" w:color="auto"/>
              <w:right w:val="single" w:sz="4" w:space="0" w:color="auto"/>
            </w:tcBorders>
            <w:shd w:val="clear" w:color="auto" w:fill="auto"/>
            <w:noWrap/>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137</w:t>
            </w:r>
          </w:p>
        </w:tc>
        <w:tc>
          <w:tcPr>
            <w:tcW w:w="506" w:type="pct"/>
            <w:tcBorders>
              <w:top w:val="nil"/>
              <w:left w:val="nil"/>
              <w:bottom w:val="single" w:sz="4" w:space="0" w:color="auto"/>
              <w:right w:val="single" w:sz="4" w:space="0" w:color="auto"/>
            </w:tcBorders>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2.6%</w:t>
            </w:r>
          </w:p>
        </w:tc>
      </w:tr>
      <w:tr w:rsidR="00AF729E" w:rsidRPr="009852B5">
        <w:trPr>
          <w:trHeight w:val="283"/>
        </w:trPr>
        <w:tc>
          <w:tcPr>
            <w:tcW w:w="1709" w:type="pct"/>
            <w:vMerge/>
            <w:tcBorders>
              <w:top w:val="single" w:sz="4" w:space="0" w:color="auto"/>
              <w:left w:val="single" w:sz="4" w:space="0" w:color="auto"/>
              <w:bottom w:val="single" w:sz="4" w:space="0" w:color="auto"/>
              <w:right w:val="single" w:sz="4" w:space="0" w:color="auto"/>
            </w:tcBorders>
            <w:shd w:val="clear" w:color="auto" w:fill="auto"/>
          </w:tcPr>
          <w:p w:rsidR="00AF729E" w:rsidRPr="00D05EFE" w:rsidRDefault="00AF729E" w:rsidP="00AF729E">
            <w:pPr>
              <w:spacing w:after="0"/>
              <w:rPr>
                <w:rFonts w:ascii="Calibri" w:hAnsi="Calibri"/>
                <w:b/>
                <w:bCs/>
                <w:color w:val="000000"/>
                <w:sz w:val="20"/>
              </w:rPr>
            </w:pPr>
          </w:p>
        </w:tc>
        <w:tc>
          <w:tcPr>
            <w:tcW w:w="2280" w:type="pct"/>
            <w:tcBorders>
              <w:top w:val="nil"/>
              <w:left w:val="nil"/>
              <w:bottom w:val="single" w:sz="4" w:space="0" w:color="auto"/>
              <w:right w:val="single" w:sz="4" w:space="0" w:color="auto"/>
            </w:tcBorders>
            <w:shd w:val="clear" w:color="auto" w:fill="auto"/>
            <w:noWrap/>
          </w:tcPr>
          <w:p w:rsidR="00AF729E" w:rsidRPr="00D05EFE" w:rsidRDefault="00333658" w:rsidP="00AF729E">
            <w:pPr>
              <w:spacing w:after="0"/>
              <w:rPr>
                <w:rFonts w:ascii="Calibri" w:hAnsi="Calibri"/>
                <w:sz w:val="20"/>
              </w:rPr>
            </w:pPr>
            <w:r w:rsidRPr="00D05EFE">
              <w:rPr>
                <w:rFonts w:ascii="Calibri" w:hAnsi="Calibri"/>
                <w:sz w:val="20"/>
                <w:szCs w:val="22"/>
              </w:rPr>
              <w:t>First original prescription was post 1 October 2013 and indicated for MDS, but patient</w:t>
            </w:r>
            <w:r>
              <w:rPr>
                <w:rFonts w:ascii="Calibri" w:hAnsi="Calibri"/>
                <w:sz w:val="20"/>
                <w:szCs w:val="22"/>
              </w:rPr>
              <w:t>s</w:t>
            </w:r>
            <w:r w:rsidRPr="00D05EFE">
              <w:rPr>
                <w:rFonts w:ascii="Calibri" w:hAnsi="Calibri"/>
                <w:sz w:val="20"/>
                <w:szCs w:val="22"/>
              </w:rPr>
              <w:t xml:space="preserve"> also had at least one </w:t>
            </w:r>
            <w:r>
              <w:rPr>
                <w:rFonts w:ascii="Calibri" w:hAnsi="Calibri"/>
                <w:sz w:val="20"/>
                <w:szCs w:val="22"/>
              </w:rPr>
              <w:t>MM</w:t>
            </w:r>
            <w:r w:rsidRPr="00D05EFE">
              <w:rPr>
                <w:rFonts w:ascii="Calibri" w:hAnsi="Calibri"/>
                <w:sz w:val="20"/>
                <w:szCs w:val="22"/>
              </w:rPr>
              <w:t xml:space="preserve"> original after this</w:t>
            </w:r>
            <w:r>
              <w:rPr>
                <w:rFonts w:ascii="Calibri" w:hAnsi="Calibri"/>
                <w:sz w:val="20"/>
                <w:szCs w:val="22"/>
              </w:rPr>
              <w:t>.</w:t>
            </w:r>
          </w:p>
        </w:tc>
        <w:tc>
          <w:tcPr>
            <w:tcW w:w="506" w:type="pct"/>
            <w:tcBorders>
              <w:top w:val="nil"/>
              <w:left w:val="nil"/>
              <w:bottom w:val="single" w:sz="4" w:space="0" w:color="auto"/>
              <w:right w:val="single" w:sz="4" w:space="0" w:color="auto"/>
            </w:tcBorders>
            <w:shd w:val="clear" w:color="auto" w:fill="auto"/>
            <w:noWrap/>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4</w:t>
            </w:r>
          </w:p>
        </w:tc>
        <w:tc>
          <w:tcPr>
            <w:tcW w:w="506" w:type="pct"/>
            <w:tcBorders>
              <w:top w:val="nil"/>
              <w:left w:val="nil"/>
              <w:bottom w:val="single" w:sz="4" w:space="0" w:color="auto"/>
              <w:right w:val="single" w:sz="4" w:space="0" w:color="auto"/>
            </w:tcBorders>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0.1%</w:t>
            </w:r>
          </w:p>
        </w:tc>
      </w:tr>
      <w:tr w:rsidR="00AF729E" w:rsidRPr="009852B5">
        <w:trPr>
          <w:trHeight w:val="283"/>
        </w:trPr>
        <w:tc>
          <w:tcPr>
            <w:tcW w:w="1709" w:type="pct"/>
            <w:vMerge/>
            <w:tcBorders>
              <w:top w:val="single" w:sz="4" w:space="0" w:color="auto"/>
              <w:left w:val="single" w:sz="4" w:space="0" w:color="auto"/>
              <w:bottom w:val="single" w:sz="4" w:space="0" w:color="auto"/>
              <w:right w:val="single" w:sz="4" w:space="0" w:color="auto"/>
            </w:tcBorders>
            <w:shd w:val="clear" w:color="auto" w:fill="auto"/>
          </w:tcPr>
          <w:p w:rsidR="00AF729E" w:rsidRPr="00D05EFE" w:rsidRDefault="00AF729E" w:rsidP="00AF729E">
            <w:pPr>
              <w:spacing w:after="0"/>
              <w:rPr>
                <w:rFonts w:ascii="Calibri" w:hAnsi="Calibri"/>
                <w:b/>
                <w:bCs/>
                <w:color w:val="000000"/>
                <w:sz w:val="20"/>
              </w:rPr>
            </w:pPr>
          </w:p>
        </w:tc>
        <w:tc>
          <w:tcPr>
            <w:tcW w:w="2280" w:type="pct"/>
            <w:tcBorders>
              <w:top w:val="nil"/>
              <w:left w:val="nil"/>
              <w:bottom w:val="single" w:sz="4" w:space="0" w:color="auto"/>
              <w:right w:val="single" w:sz="4" w:space="0" w:color="auto"/>
            </w:tcBorders>
            <w:shd w:val="clear" w:color="auto" w:fill="auto"/>
            <w:noWrap/>
          </w:tcPr>
          <w:p w:rsidR="00AF729E" w:rsidRPr="00D05EFE" w:rsidRDefault="00333658" w:rsidP="00AF729E">
            <w:pPr>
              <w:spacing w:after="0"/>
              <w:rPr>
                <w:rFonts w:ascii="Calibri" w:hAnsi="Calibri"/>
                <w:sz w:val="20"/>
              </w:rPr>
            </w:pPr>
            <w:r w:rsidRPr="00D05EFE">
              <w:rPr>
                <w:rFonts w:ascii="Calibri" w:hAnsi="Calibri"/>
                <w:sz w:val="20"/>
                <w:szCs w:val="22"/>
              </w:rPr>
              <w:t>Sub-total</w:t>
            </w:r>
          </w:p>
        </w:tc>
        <w:tc>
          <w:tcPr>
            <w:tcW w:w="506" w:type="pct"/>
            <w:tcBorders>
              <w:top w:val="nil"/>
              <w:left w:val="nil"/>
              <w:bottom w:val="single" w:sz="4" w:space="0" w:color="auto"/>
              <w:right w:val="single" w:sz="4" w:space="0" w:color="auto"/>
            </w:tcBorders>
            <w:shd w:val="clear" w:color="auto" w:fill="auto"/>
            <w:noWrap/>
            <w:vAlign w:val="center"/>
          </w:tcPr>
          <w:p w:rsidR="00AF729E" w:rsidRPr="00D05EFE" w:rsidRDefault="00333658" w:rsidP="00AF729E">
            <w:pPr>
              <w:spacing w:after="0"/>
              <w:jc w:val="center"/>
              <w:rPr>
                <w:rFonts w:ascii="Calibri" w:hAnsi="Calibri"/>
                <w:b/>
                <w:bCs/>
                <w:color w:val="000000"/>
                <w:sz w:val="20"/>
              </w:rPr>
            </w:pPr>
            <w:r w:rsidRPr="00D05EFE">
              <w:rPr>
                <w:rFonts w:ascii="Calibri" w:hAnsi="Calibri"/>
                <w:b/>
                <w:bCs/>
                <w:color w:val="000000"/>
                <w:sz w:val="20"/>
                <w:szCs w:val="22"/>
              </w:rPr>
              <w:t>141</w:t>
            </w:r>
          </w:p>
        </w:tc>
        <w:tc>
          <w:tcPr>
            <w:tcW w:w="506" w:type="pct"/>
            <w:tcBorders>
              <w:top w:val="nil"/>
              <w:left w:val="nil"/>
              <w:bottom w:val="single" w:sz="4" w:space="0" w:color="auto"/>
              <w:right w:val="single" w:sz="4" w:space="0" w:color="auto"/>
            </w:tcBorders>
            <w:vAlign w:val="center"/>
          </w:tcPr>
          <w:p w:rsidR="00AF729E" w:rsidRPr="00D05EFE" w:rsidRDefault="00333658" w:rsidP="00AF729E">
            <w:pPr>
              <w:spacing w:after="0"/>
              <w:jc w:val="center"/>
              <w:rPr>
                <w:rFonts w:ascii="Calibri" w:hAnsi="Calibri"/>
                <w:b/>
                <w:bCs/>
                <w:color w:val="000000"/>
                <w:sz w:val="20"/>
              </w:rPr>
            </w:pPr>
            <w:r w:rsidRPr="00D05EFE">
              <w:rPr>
                <w:rFonts w:ascii="Calibri" w:hAnsi="Calibri"/>
                <w:b/>
                <w:bCs/>
                <w:color w:val="000000"/>
                <w:sz w:val="20"/>
                <w:szCs w:val="22"/>
              </w:rPr>
              <w:t>2.7%</w:t>
            </w:r>
          </w:p>
        </w:tc>
      </w:tr>
      <w:tr w:rsidR="00AF729E" w:rsidRPr="009852B5">
        <w:trPr>
          <w:trHeight w:val="283"/>
        </w:trPr>
        <w:tc>
          <w:tcPr>
            <w:tcW w:w="1709" w:type="pct"/>
            <w:vMerge w:val="restart"/>
            <w:tcBorders>
              <w:top w:val="single" w:sz="4" w:space="0" w:color="auto"/>
              <w:left w:val="single" w:sz="4" w:space="0" w:color="auto"/>
              <w:right w:val="single" w:sz="4" w:space="0" w:color="auto"/>
            </w:tcBorders>
            <w:shd w:val="clear" w:color="auto" w:fill="auto"/>
          </w:tcPr>
          <w:p w:rsidR="00AF729E" w:rsidRDefault="00333658" w:rsidP="00AF729E">
            <w:pPr>
              <w:spacing w:after="0"/>
              <w:rPr>
                <w:rFonts w:ascii="Calibri" w:hAnsi="Calibri"/>
                <w:b/>
                <w:bCs/>
                <w:color w:val="000000"/>
                <w:sz w:val="20"/>
              </w:rPr>
            </w:pPr>
            <w:r w:rsidRPr="00D05EFE">
              <w:rPr>
                <w:rFonts w:ascii="Calibri" w:hAnsi="Calibri"/>
                <w:b/>
                <w:bCs/>
                <w:color w:val="000000"/>
                <w:sz w:val="20"/>
                <w:szCs w:val="22"/>
              </w:rPr>
              <w:t xml:space="preserve">Considered to be patients with </w:t>
            </w:r>
            <w:r>
              <w:rPr>
                <w:rFonts w:ascii="Calibri" w:hAnsi="Calibri"/>
                <w:b/>
                <w:bCs/>
                <w:color w:val="000000"/>
                <w:sz w:val="20"/>
                <w:szCs w:val="22"/>
              </w:rPr>
              <w:t>m</w:t>
            </w:r>
            <w:r w:rsidRPr="00D05EFE">
              <w:rPr>
                <w:rFonts w:ascii="Calibri" w:hAnsi="Calibri"/>
                <w:b/>
                <w:bCs/>
                <w:color w:val="000000"/>
                <w:sz w:val="20"/>
                <w:szCs w:val="22"/>
              </w:rPr>
              <w:t xml:space="preserve">ultiple </w:t>
            </w:r>
            <w:r>
              <w:rPr>
                <w:rFonts w:ascii="Calibri" w:hAnsi="Calibri"/>
                <w:b/>
                <w:bCs/>
                <w:color w:val="000000"/>
                <w:sz w:val="20"/>
                <w:szCs w:val="22"/>
              </w:rPr>
              <w:t>m</w:t>
            </w:r>
            <w:r w:rsidRPr="00D05EFE">
              <w:rPr>
                <w:rFonts w:ascii="Calibri" w:hAnsi="Calibri"/>
                <w:b/>
                <w:bCs/>
                <w:color w:val="000000"/>
                <w:sz w:val="20"/>
                <w:szCs w:val="22"/>
              </w:rPr>
              <w:t>yeloma</w:t>
            </w:r>
            <w:r>
              <w:rPr>
                <w:rFonts w:ascii="Calibri" w:hAnsi="Calibri"/>
                <w:b/>
                <w:bCs/>
                <w:color w:val="000000"/>
                <w:sz w:val="20"/>
                <w:szCs w:val="22"/>
              </w:rPr>
              <w:t xml:space="preserve"> (Cohort MM).</w:t>
            </w:r>
          </w:p>
          <w:p w:rsidR="00AF729E" w:rsidRPr="00D05EFE" w:rsidRDefault="00AF729E" w:rsidP="00AF729E">
            <w:pPr>
              <w:spacing w:after="0"/>
              <w:rPr>
                <w:rFonts w:ascii="Calibri" w:hAnsi="Calibri"/>
                <w:b/>
                <w:bCs/>
                <w:color w:val="000000"/>
                <w:sz w:val="20"/>
              </w:rPr>
            </w:pPr>
          </w:p>
        </w:tc>
        <w:tc>
          <w:tcPr>
            <w:tcW w:w="2280" w:type="pct"/>
            <w:tcBorders>
              <w:top w:val="nil"/>
              <w:left w:val="nil"/>
              <w:bottom w:val="single" w:sz="4" w:space="0" w:color="auto"/>
              <w:right w:val="single" w:sz="4" w:space="0" w:color="auto"/>
            </w:tcBorders>
            <w:shd w:val="clear" w:color="auto" w:fill="auto"/>
            <w:noWrap/>
          </w:tcPr>
          <w:p w:rsidR="00AF729E" w:rsidRPr="00D05EFE" w:rsidRDefault="00333658" w:rsidP="00AF729E">
            <w:pPr>
              <w:spacing w:after="0"/>
              <w:rPr>
                <w:rFonts w:ascii="Calibri" w:hAnsi="Calibri"/>
                <w:sz w:val="20"/>
              </w:rPr>
            </w:pPr>
            <w:r w:rsidRPr="00D05EFE">
              <w:rPr>
                <w:rFonts w:ascii="Calibri" w:hAnsi="Calibri"/>
                <w:sz w:val="20"/>
                <w:szCs w:val="22"/>
              </w:rPr>
              <w:t xml:space="preserve">First original prescription post 1 October 2013 was indicated for MDS, but patient also had at least one </w:t>
            </w:r>
            <w:r>
              <w:rPr>
                <w:rFonts w:ascii="Calibri" w:hAnsi="Calibri"/>
                <w:sz w:val="20"/>
                <w:szCs w:val="22"/>
              </w:rPr>
              <w:t>MM</w:t>
            </w:r>
            <w:r w:rsidRPr="00D05EFE">
              <w:rPr>
                <w:rFonts w:ascii="Calibri" w:hAnsi="Calibri"/>
                <w:sz w:val="20"/>
                <w:szCs w:val="22"/>
              </w:rPr>
              <w:t xml:space="preserve"> original prior to 1 October 2013</w:t>
            </w:r>
            <w:r>
              <w:rPr>
                <w:rFonts w:ascii="Calibri" w:hAnsi="Calibri"/>
                <w:sz w:val="20"/>
                <w:szCs w:val="22"/>
              </w:rPr>
              <w:t>. Not clear if MDS post 1 October entry was an error.</w:t>
            </w:r>
          </w:p>
        </w:tc>
        <w:tc>
          <w:tcPr>
            <w:tcW w:w="506" w:type="pct"/>
            <w:tcBorders>
              <w:top w:val="nil"/>
              <w:left w:val="nil"/>
              <w:bottom w:val="single" w:sz="4" w:space="0" w:color="auto"/>
              <w:right w:val="single" w:sz="4" w:space="0" w:color="auto"/>
            </w:tcBorders>
            <w:shd w:val="clear" w:color="auto" w:fill="auto"/>
            <w:noWrap/>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4</w:t>
            </w:r>
          </w:p>
        </w:tc>
        <w:tc>
          <w:tcPr>
            <w:tcW w:w="506" w:type="pct"/>
            <w:tcBorders>
              <w:top w:val="nil"/>
              <w:left w:val="nil"/>
              <w:bottom w:val="single" w:sz="4" w:space="0" w:color="auto"/>
              <w:right w:val="single" w:sz="4" w:space="0" w:color="auto"/>
            </w:tcBorders>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0.1%</w:t>
            </w:r>
          </w:p>
        </w:tc>
      </w:tr>
      <w:tr w:rsidR="00AF729E" w:rsidRPr="009852B5">
        <w:trPr>
          <w:trHeight w:val="283"/>
        </w:trPr>
        <w:tc>
          <w:tcPr>
            <w:tcW w:w="1709" w:type="pct"/>
            <w:vMerge/>
            <w:tcBorders>
              <w:left w:val="single" w:sz="4" w:space="0" w:color="auto"/>
              <w:right w:val="single" w:sz="4" w:space="0" w:color="auto"/>
            </w:tcBorders>
            <w:shd w:val="clear" w:color="auto" w:fill="auto"/>
          </w:tcPr>
          <w:p w:rsidR="00AF729E" w:rsidRPr="00D05EFE" w:rsidRDefault="00AF729E" w:rsidP="00AF729E">
            <w:pPr>
              <w:spacing w:after="0"/>
              <w:rPr>
                <w:rFonts w:ascii="Calibri" w:hAnsi="Calibri"/>
                <w:b/>
                <w:bCs/>
                <w:color w:val="000000"/>
                <w:sz w:val="20"/>
              </w:rPr>
            </w:pPr>
          </w:p>
        </w:tc>
        <w:tc>
          <w:tcPr>
            <w:tcW w:w="2280" w:type="pct"/>
            <w:tcBorders>
              <w:top w:val="nil"/>
              <w:left w:val="nil"/>
              <w:bottom w:val="single" w:sz="4" w:space="0" w:color="auto"/>
              <w:right w:val="single" w:sz="4" w:space="0" w:color="auto"/>
            </w:tcBorders>
            <w:shd w:val="clear" w:color="auto" w:fill="auto"/>
            <w:noWrap/>
          </w:tcPr>
          <w:p w:rsidR="00AF729E" w:rsidRPr="00D05EFE" w:rsidRDefault="00333658" w:rsidP="00AF729E">
            <w:pPr>
              <w:spacing w:after="0"/>
              <w:rPr>
                <w:rFonts w:ascii="Calibri" w:hAnsi="Calibri"/>
                <w:sz w:val="20"/>
              </w:rPr>
            </w:pPr>
            <w:r w:rsidRPr="00D05EFE">
              <w:rPr>
                <w:rFonts w:ascii="Calibri" w:hAnsi="Calibri"/>
                <w:sz w:val="20"/>
                <w:szCs w:val="22"/>
              </w:rPr>
              <w:t xml:space="preserve">All original prescriptions were indicated for </w:t>
            </w:r>
            <w:r>
              <w:rPr>
                <w:rFonts w:ascii="Calibri" w:hAnsi="Calibri"/>
                <w:sz w:val="20"/>
                <w:szCs w:val="22"/>
              </w:rPr>
              <w:t>multiple myeloma PBS item numbers</w:t>
            </w:r>
          </w:p>
        </w:tc>
        <w:tc>
          <w:tcPr>
            <w:tcW w:w="506" w:type="pct"/>
            <w:tcBorders>
              <w:top w:val="nil"/>
              <w:left w:val="nil"/>
              <w:bottom w:val="single" w:sz="4" w:space="0" w:color="auto"/>
              <w:right w:val="single" w:sz="4" w:space="0" w:color="auto"/>
            </w:tcBorders>
            <w:shd w:val="clear" w:color="auto" w:fill="auto"/>
            <w:noWrap/>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5,012</w:t>
            </w:r>
          </w:p>
        </w:tc>
        <w:tc>
          <w:tcPr>
            <w:tcW w:w="506" w:type="pct"/>
            <w:tcBorders>
              <w:top w:val="nil"/>
              <w:left w:val="nil"/>
              <w:bottom w:val="single" w:sz="4" w:space="0" w:color="auto"/>
              <w:right w:val="single" w:sz="4" w:space="0" w:color="auto"/>
            </w:tcBorders>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96.0%</w:t>
            </w:r>
          </w:p>
        </w:tc>
      </w:tr>
      <w:tr w:rsidR="00AF729E" w:rsidRPr="009852B5">
        <w:trPr>
          <w:trHeight w:val="283"/>
        </w:trPr>
        <w:tc>
          <w:tcPr>
            <w:tcW w:w="1709" w:type="pct"/>
            <w:vMerge/>
            <w:tcBorders>
              <w:left w:val="single" w:sz="4" w:space="0" w:color="auto"/>
              <w:bottom w:val="single" w:sz="4" w:space="0" w:color="auto"/>
              <w:right w:val="single" w:sz="4" w:space="0" w:color="auto"/>
            </w:tcBorders>
            <w:shd w:val="clear" w:color="auto" w:fill="auto"/>
          </w:tcPr>
          <w:p w:rsidR="00AF729E" w:rsidRPr="00D05EFE" w:rsidRDefault="00AF729E" w:rsidP="00AF729E">
            <w:pPr>
              <w:spacing w:after="0"/>
              <w:rPr>
                <w:rFonts w:ascii="Calibri" w:hAnsi="Calibri"/>
                <w:b/>
                <w:bCs/>
                <w:color w:val="000000"/>
                <w:sz w:val="20"/>
              </w:rPr>
            </w:pPr>
          </w:p>
        </w:tc>
        <w:tc>
          <w:tcPr>
            <w:tcW w:w="2280" w:type="pct"/>
            <w:tcBorders>
              <w:top w:val="nil"/>
              <w:left w:val="nil"/>
              <w:bottom w:val="single" w:sz="4" w:space="0" w:color="auto"/>
              <w:right w:val="single" w:sz="4" w:space="0" w:color="auto"/>
            </w:tcBorders>
            <w:shd w:val="clear" w:color="auto" w:fill="auto"/>
            <w:noWrap/>
          </w:tcPr>
          <w:p w:rsidR="00AF729E" w:rsidRPr="00D05EFE" w:rsidRDefault="00333658" w:rsidP="00AF729E">
            <w:pPr>
              <w:spacing w:after="0"/>
              <w:rPr>
                <w:rFonts w:ascii="Calibri" w:hAnsi="Calibri"/>
                <w:sz w:val="20"/>
              </w:rPr>
            </w:pPr>
            <w:r w:rsidRPr="00D05EFE">
              <w:rPr>
                <w:rFonts w:ascii="Calibri" w:hAnsi="Calibri"/>
                <w:sz w:val="20"/>
                <w:szCs w:val="22"/>
              </w:rPr>
              <w:t>Patients whose</w:t>
            </w:r>
            <w:r>
              <w:rPr>
                <w:rFonts w:ascii="Calibri" w:hAnsi="Calibri"/>
                <w:sz w:val="20"/>
                <w:szCs w:val="22"/>
              </w:rPr>
              <w:t xml:space="preserve"> first</w:t>
            </w:r>
            <w:r w:rsidRPr="00D05EFE">
              <w:rPr>
                <w:rFonts w:ascii="Calibri" w:hAnsi="Calibri"/>
                <w:sz w:val="20"/>
                <w:szCs w:val="22"/>
              </w:rPr>
              <w:t xml:space="preserve"> original </w:t>
            </w:r>
            <w:r>
              <w:rPr>
                <w:rFonts w:ascii="Calibri" w:hAnsi="Calibri"/>
                <w:sz w:val="20"/>
                <w:szCs w:val="22"/>
              </w:rPr>
              <w:t xml:space="preserve">authority </w:t>
            </w:r>
            <w:r w:rsidRPr="00D05EFE">
              <w:rPr>
                <w:rFonts w:ascii="Calibri" w:hAnsi="Calibri"/>
                <w:sz w:val="20"/>
                <w:szCs w:val="22"/>
              </w:rPr>
              <w:t xml:space="preserve">prescription </w:t>
            </w:r>
            <w:r>
              <w:rPr>
                <w:rFonts w:ascii="Calibri" w:hAnsi="Calibri"/>
                <w:sz w:val="20"/>
                <w:szCs w:val="22"/>
              </w:rPr>
              <w:t xml:space="preserve">was for MM after 1 October 2013 but at least one subsequent original authority prescription was for MDS. Later originals could have been for either indication. </w:t>
            </w:r>
          </w:p>
        </w:tc>
        <w:tc>
          <w:tcPr>
            <w:tcW w:w="506" w:type="pct"/>
            <w:tcBorders>
              <w:top w:val="nil"/>
              <w:left w:val="nil"/>
              <w:bottom w:val="single" w:sz="4" w:space="0" w:color="auto"/>
              <w:right w:val="single" w:sz="4" w:space="0" w:color="auto"/>
            </w:tcBorders>
            <w:shd w:val="clear" w:color="auto" w:fill="auto"/>
            <w:noWrap/>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63</w:t>
            </w:r>
          </w:p>
        </w:tc>
        <w:tc>
          <w:tcPr>
            <w:tcW w:w="506" w:type="pct"/>
            <w:tcBorders>
              <w:top w:val="nil"/>
              <w:left w:val="nil"/>
              <w:bottom w:val="single" w:sz="4" w:space="0" w:color="auto"/>
              <w:right w:val="single" w:sz="4" w:space="0" w:color="auto"/>
            </w:tcBorders>
            <w:vAlign w:val="center"/>
          </w:tcPr>
          <w:p w:rsidR="00AF729E" w:rsidRPr="00D05EFE" w:rsidRDefault="00333658" w:rsidP="00AF729E">
            <w:pPr>
              <w:spacing w:after="0"/>
              <w:jc w:val="center"/>
              <w:rPr>
                <w:rFonts w:ascii="Calibri" w:hAnsi="Calibri"/>
                <w:sz w:val="20"/>
              </w:rPr>
            </w:pPr>
            <w:r w:rsidRPr="00D05EFE">
              <w:rPr>
                <w:rFonts w:ascii="Calibri" w:hAnsi="Calibri"/>
                <w:sz w:val="20"/>
                <w:szCs w:val="22"/>
              </w:rPr>
              <w:t>1.2%</w:t>
            </w:r>
          </w:p>
        </w:tc>
      </w:tr>
      <w:tr w:rsidR="00AF729E" w:rsidRPr="009852B5">
        <w:trPr>
          <w:trHeight w:val="283"/>
        </w:trPr>
        <w:tc>
          <w:tcPr>
            <w:tcW w:w="1709" w:type="pct"/>
            <w:tcBorders>
              <w:left w:val="single" w:sz="4" w:space="0" w:color="auto"/>
              <w:bottom w:val="single" w:sz="4" w:space="0" w:color="auto"/>
              <w:right w:val="single" w:sz="4" w:space="0" w:color="auto"/>
            </w:tcBorders>
            <w:shd w:val="clear" w:color="auto" w:fill="auto"/>
          </w:tcPr>
          <w:p w:rsidR="00AF729E" w:rsidRPr="00D05EFE" w:rsidRDefault="00AF729E" w:rsidP="00AF729E">
            <w:pPr>
              <w:spacing w:after="0"/>
              <w:rPr>
                <w:rFonts w:ascii="Calibri" w:hAnsi="Calibri"/>
                <w:b/>
                <w:bCs/>
                <w:color w:val="000000"/>
                <w:sz w:val="20"/>
              </w:rPr>
            </w:pPr>
          </w:p>
        </w:tc>
        <w:tc>
          <w:tcPr>
            <w:tcW w:w="2280" w:type="pct"/>
            <w:tcBorders>
              <w:top w:val="nil"/>
              <w:left w:val="nil"/>
              <w:bottom w:val="single" w:sz="4" w:space="0" w:color="auto"/>
              <w:right w:val="single" w:sz="4" w:space="0" w:color="auto"/>
            </w:tcBorders>
            <w:shd w:val="clear" w:color="auto" w:fill="auto"/>
            <w:noWrap/>
          </w:tcPr>
          <w:p w:rsidR="00AF729E" w:rsidRPr="00D05EFE" w:rsidRDefault="00333658" w:rsidP="00AF729E">
            <w:pPr>
              <w:spacing w:after="0"/>
              <w:rPr>
                <w:rFonts w:ascii="Calibri" w:hAnsi="Calibri"/>
                <w:sz w:val="20"/>
              </w:rPr>
            </w:pPr>
            <w:r w:rsidRPr="00D05EFE">
              <w:rPr>
                <w:rFonts w:ascii="Calibri" w:hAnsi="Calibri"/>
                <w:sz w:val="20"/>
                <w:szCs w:val="22"/>
              </w:rPr>
              <w:t>Sub-total</w:t>
            </w:r>
          </w:p>
        </w:tc>
        <w:tc>
          <w:tcPr>
            <w:tcW w:w="506" w:type="pct"/>
            <w:tcBorders>
              <w:top w:val="nil"/>
              <w:left w:val="nil"/>
              <w:bottom w:val="single" w:sz="4" w:space="0" w:color="auto"/>
              <w:right w:val="single" w:sz="4" w:space="0" w:color="auto"/>
            </w:tcBorders>
            <w:shd w:val="clear" w:color="auto" w:fill="auto"/>
            <w:noWrap/>
            <w:vAlign w:val="center"/>
          </w:tcPr>
          <w:p w:rsidR="00AF729E" w:rsidRPr="00D05EFE" w:rsidRDefault="00333658" w:rsidP="00AF729E">
            <w:pPr>
              <w:spacing w:after="0"/>
              <w:jc w:val="center"/>
              <w:rPr>
                <w:rFonts w:ascii="Calibri" w:hAnsi="Calibri"/>
                <w:b/>
                <w:bCs/>
                <w:color w:val="000000"/>
                <w:sz w:val="20"/>
              </w:rPr>
            </w:pPr>
            <w:r w:rsidRPr="00D05EFE">
              <w:rPr>
                <w:rFonts w:ascii="Calibri" w:hAnsi="Calibri"/>
                <w:b/>
                <w:bCs/>
                <w:color w:val="000000"/>
                <w:sz w:val="20"/>
                <w:szCs w:val="22"/>
              </w:rPr>
              <w:t>5,079</w:t>
            </w:r>
          </w:p>
        </w:tc>
        <w:tc>
          <w:tcPr>
            <w:tcW w:w="506" w:type="pct"/>
            <w:tcBorders>
              <w:top w:val="nil"/>
              <w:left w:val="nil"/>
              <w:bottom w:val="single" w:sz="4" w:space="0" w:color="auto"/>
              <w:right w:val="single" w:sz="4" w:space="0" w:color="auto"/>
            </w:tcBorders>
            <w:vAlign w:val="center"/>
          </w:tcPr>
          <w:p w:rsidR="00AF729E" w:rsidRPr="00D05EFE" w:rsidRDefault="00333658" w:rsidP="00AF729E">
            <w:pPr>
              <w:spacing w:after="0"/>
              <w:jc w:val="center"/>
              <w:rPr>
                <w:rFonts w:ascii="Calibri" w:hAnsi="Calibri"/>
                <w:b/>
                <w:bCs/>
                <w:color w:val="000000"/>
                <w:sz w:val="20"/>
              </w:rPr>
            </w:pPr>
            <w:r w:rsidRPr="00D05EFE">
              <w:rPr>
                <w:rFonts w:ascii="Calibri" w:hAnsi="Calibri"/>
                <w:b/>
                <w:bCs/>
                <w:color w:val="000000"/>
                <w:sz w:val="20"/>
                <w:szCs w:val="22"/>
              </w:rPr>
              <w:t>97.3%</w:t>
            </w:r>
          </w:p>
        </w:tc>
      </w:tr>
      <w:tr w:rsidR="00AF729E" w:rsidRPr="009852B5">
        <w:trPr>
          <w:trHeight w:val="283"/>
        </w:trPr>
        <w:tc>
          <w:tcPr>
            <w:tcW w:w="1709" w:type="pct"/>
            <w:tcBorders>
              <w:top w:val="nil"/>
              <w:left w:val="single" w:sz="4" w:space="0" w:color="auto"/>
              <w:bottom w:val="single" w:sz="4" w:space="0" w:color="auto"/>
              <w:right w:val="single" w:sz="4" w:space="0" w:color="auto"/>
            </w:tcBorders>
            <w:shd w:val="clear" w:color="auto" w:fill="auto"/>
          </w:tcPr>
          <w:p w:rsidR="00AF729E" w:rsidRPr="00D05EFE" w:rsidRDefault="00333658" w:rsidP="00AF729E">
            <w:pPr>
              <w:spacing w:after="0"/>
              <w:rPr>
                <w:rFonts w:ascii="Calibri" w:hAnsi="Calibri"/>
                <w:b/>
                <w:bCs/>
                <w:color w:val="000000"/>
                <w:sz w:val="20"/>
              </w:rPr>
            </w:pPr>
            <w:r w:rsidRPr="00D05EFE">
              <w:rPr>
                <w:rFonts w:ascii="Calibri" w:hAnsi="Calibri"/>
                <w:b/>
                <w:bCs/>
                <w:color w:val="000000"/>
                <w:sz w:val="20"/>
                <w:szCs w:val="22"/>
              </w:rPr>
              <w:t>Total</w:t>
            </w:r>
          </w:p>
        </w:tc>
        <w:tc>
          <w:tcPr>
            <w:tcW w:w="2280" w:type="pct"/>
            <w:tcBorders>
              <w:top w:val="nil"/>
              <w:left w:val="nil"/>
              <w:bottom w:val="single" w:sz="4" w:space="0" w:color="auto"/>
              <w:right w:val="single" w:sz="4" w:space="0" w:color="auto"/>
            </w:tcBorders>
            <w:shd w:val="clear" w:color="auto" w:fill="auto"/>
            <w:noWrap/>
          </w:tcPr>
          <w:p w:rsidR="00AF729E" w:rsidRPr="00D05EFE" w:rsidRDefault="00AF729E" w:rsidP="00AF729E">
            <w:pPr>
              <w:spacing w:after="0"/>
              <w:rPr>
                <w:rFonts w:ascii="Calibri" w:hAnsi="Calibri"/>
                <w:b/>
                <w:bCs/>
                <w:color w:val="000000"/>
                <w:sz w:val="20"/>
              </w:rPr>
            </w:pPr>
          </w:p>
        </w:tc>
        <w:tc>
          <w:tcPr>
            <w:tcW w:w="506" w:type="pct"/>
            <w:tcBorders>
              <w:top w:val="nil"/>
              <w:left w:val="nil"/>
              <w:bottom w:val="single" w:sz="4" w:space="0" w:color="auto"/>
              <w:right w:val="single" w:sz="4" w:space="0" w:color="auto"/>
            </w:tcBorders>
            <w:shd w:val="clear" w:color="auto" w:fill="auto"/>
            <w:noWrap/>
            <w:vAlign w:val="center"/>
          </w:tcPr>
          <w:p w:rsidR="00AF729E" w:rsidRPr="00D05EFE" w:rsidRDefault="00333658" w:rsidP="00AF729E">
            <w:pPr>
              <w:spacing w:after="0"/>
              <w:jc w:val="center"/>
              <w:rPr>
                <w:rFonts w:ascii="Calibri" w:hAnsi="Calibri"/>
                <w:b/>
                <w:bCs/>
                <w:color w:val="000000"/>
                <w:sz w:val="20"/>
              </w:rPr>
            </w:pPr>
            <w:r w:rsidRPr="00D05EFE">
              <w:rPr>
                <w:rFonts w:ascii="Calibri" w:hAnsi="Calibri"/>
                <w:b/>
                <w:bCs/>
                <w:color w:val="000000"/>
                <w:sz w:val="20"/>
                <w:szCs w:val="22"/>
              </w:rPr>
              <w:t>5,220</w:t>
            </w:r>
          </w:p>
        </w:tc>
        <w:tc>
          <w:tcPr>
            <w:tcW w:w="506" w:type="pct"/>
            <w:tcBorders>
              <w:top w:val="nil"/>
              <w:left w:val="nil"/>
              <w:bottom w:val="single" w:sz="4" w:space="0" w:color="auto"/>
              <w:right w:val="single" w:sz="4" w:space="0" w:color="auto"/>
            </w:tcBorders>
            <w:vAlign w:val="center"/>
          </w:tcPr>
          <w:p w:rsidR="00AF729E" w:rsidRPr="00D05EFE" w:rsidRDefault="00333658" w:rsidP="00AF729E">
            <w:pPr>
              <w:spacing w:after="0"/>
              <w:jc w:val="center"/>
              <w:rPr>
                <w:rFonts w:ascii="Calibri" w:hAnsi="Calibri"/>
                <w:b/>
                <w:bCs/>
                <w:color w:val="000000"/>
                <w:sz w:val="20"/>
              </w:rPr>
            </w:pPr>
            <w:r w:rsidRPr="00D05EFE">
              <w:rPr>
                <w:rFonts w:ascii="Calibri" w:hAnsi="Calibri"/>
                <w:b/>
                <w:bCs/>
                <w:color w:val="000000"/>
                <w:sz w:val="20"/>
                <w:szCs w:val="22"/>
              </w:rPr>
              <w:t>100.0%</w:t>
            </w:r>
          </w:p>
        </w:tc>
      </w:tr>
    </w:tbl>
    <w:p w:rsidR="00AF729E" w:rsidRDefault="00AF729E" w:rsidP="00AF729E">
      <w:pPr>
        <w:spacing w:after="0"/>
        <w:rPr>
          <w:rFonts w:ascii="Calibri" w:eastAsia="MS Mincho" w:hAnsi="Calibri" w:cs="Times New Roman"/>
          <w:szCs w:val="28"/>
        </w:rPr>
      </w:pPr>
    </w:p>
    <w:p w:rsidR="00AF729E" w:rsidRDefault="00333658" w:rsidP="00AF729E">
      <w:pPr>
        <w:widowControl w:val="0"/>
        <w:spacing w:after="0"/>
        <w:rPr>
          <w:rFonts w:ascii="Calibri" w:eastAsia="Times New Roman" w:hAnsi="Calibri" w:cs="Times New Roman"/>
          <w:iCs/>
          <w:snapToGrid w:val="0"/>
          <w:lang w:eastAsia="en-US"/>
        </w:rPr>
      </w:pPr>
      <w:r>
        <w:rPr>
          <w:rFonts w:ascii="Calibri" w:eastAsia="Times New Roman" w:hAnsi="Calibri" w:cs="Times New Roman"/>
          <w:iCs/>
          <w:snapToGrid w:val="0"/>
          <w:lang w:eastAsia="en-US"/>
        </w:rPr>
        <w:t>The total number of patients in the previous analyses (sections 1 &amp; 2), which only had regard to MDS indicated prescriptions (both originals and repeats), was 220. This means that 220 – 141 = 79 patients that were included in the previous analysis were possibly misclassified as MDS. For the purpose of analysis of utilisation</w:t>
      </w:r>
      <w:r w:rsidR="00A613AD">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 xml:space="preserve"> these patients did not have a complete prescription history for </w:t>
      </w:r>
      <w:proofErr w:type="spellStart"/>
      <w:r>
        <w:rPr>
          <w:rFonts w:ascii="Calibri" w:eastAsia="Times New Roman" w:hAnsi="Calibri" w:cs="Times New Roman"/>
          <w:iCs/>
          <w:snapToGrid w:val="0"/>
          <w:lang w:eastAsia="en-US"/>
        </w:rPr>
        <w:t>lenalidomide</w:t>
      </w:r>
      <w:proofErr w:type="spellEnd"/>
      <w:r>
        <w:rPr>
          <w:rFonts w:ascii="Calibri" w:eastAsia="Times New Roman" w:hAnsi="Calibri" w:cs="Times New Roman"/>
          <w:iCs/>
          <w:snapToGrid w:val="0"/>
          <w:lang w:eastAsia="en-US"/>
        </w:rPr>
        <w:t xml:space="preserve"> as all MM item number prescription supplies were not included for these 79 patients. </w:t>
      </w:r>
    </w:p>
    <w:p w:rsidR="00AF729E" w:rsidRDefault="00AF729E" w:rsidP="00AF729E">
      <w:pPr>
        <w:widowControl w:val="0"/>
        <w:spacing w:after="0"/>
        <w:rPr>
          <w:rFonts w:ascii="Calibri" w:eastAsia="Times New Roman" w:hAnsi="Calibri" w:cs="Times New Roman"/>
          <w:iCs/>
          <w:snapToGrid w:val="0"/>
          <w:lang w:eastAsia="en-US"/>
        </w:rPr>
      </w:pPr>
    </w:p>
    <w:p w:rsidR="00AF729E" w:rsidRDefault="00333658" w:rsidP="00AF729E">
      <w:pPr>
        <w:widowControl w:val="0"/>
        <w:spacing w:after="0"/>
        <w:rPr>
          <w:rFonts w:ascii="Calibri" w:eastAsia="Times New Roman" w:hAnsi="Calibri" w:cs="Times New Roman"/>
          <w:iCs/>
          <w:snapToGrid w:val="0"/>
          <w:lang w:eastAsia="en-US"/>
        </w:rPr>
      </w:pPr>
      <w:r>
        <w:rPr>
          <w:rFonts w:ascii="Calibri" w:eastAsia="Times New Roman" w:hAnsi="Calibri" w:cs="Times New Roman"/>
          <w:iCs/>
          <w:snapToGrid w:val="0"/>
          <w:lang w:eastAsia="en-US"/>
        </w:rPr>
        <w:t>The subsequent analyses in this report were designed to compare parameters assumed in the submissions with an estimate of the parameters observed in practice (e</w:t>
      </w:r>
      <w:r w:rsidR="00A613AD">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 xml:space="preserve">g. length of treatment, average dose, time to resupply, number prescriptions per patient). This parameter estimation is most accurate if based on a cohort of patients in which there was a high degree of confidence that they were MDS patients and that they had their full </w:t>
      </w:r>
      <w:proofErr w:type="spellStart"/>
      <w:r>
        <w:rPr>
          <w:rFonts w:ascii="Calibri" w:eastAsia="Times New Roman" w:hAnsi="Calibri" w:cs="Times New Roman"/>
          <w:iCs/>
          <w:snapToGrid w:val="0"/>
          <w:lang w:eastAsia="en-US"/>
        </w:rPr>
        <w:t>lenalidomide</w:t>
      </w:r>
      <w:proofErr w:type="spellEnd"/>
      <w:r>
        <w:rPr>
          <w:rFonts w:ascii="Calibri" w:eastAsia="Times New Roman" w:hAnsi="Calibri" w:cs="Times New Roman"/>
          <w:iCs/>
          <w:snapToGrid w:val="0"/>
          <w:lang w:eastAsia="en-US"/>
        </w:rPr>
        <w:t xml:space="preserve"> prescription history; even if some prescriptions were misclassified as being for an MM patient (4 patients).</w:t>
      </w:r>
    </w:p>
    <w:p w:rsidR="00AF729E" w:rsidRDefault="00AF729E" w:rsidP="00AF729E">
      <w:pPr>
        <w:widowControl w:val="0"/>
        <w:spacing w:after="0"/>
        <w:rPr>
          <w:rFonts w:ascii="Calibri" w:eastAsia="Times New Roman" w:hAnsi="Calibri" w:cs="Times New Roman"/>
          <w:iCs/>
          <w:snapToGrid w:val="0"/>
          <w:lang w:eastAsia="en-US"/>
        </w:rPr>
      </w:pPr>
    </w:p>
    <w:p w:rsidR="00AF729E" w:rsidRPr="00A16281" w:rsidRDefault="00333658" w:rsidP="00AF729E">
      <w:pPr>
        <w:rPr>
          <w:rFonts w:ascii="Calibri" w:eastAsia="MS Mincho" w:hAnsi="Calibri" w:cs="Times New Roman"/>
          <w:sz w:val="28"/>
          <w:szCs w:val="28"/>
        </w:rPr>
      </w:pPr>
      <w:r>
        <w:rPr>
          <w:rFonts w:ascii="Calibri" w:eastAsia="MS Mincho" w:hAnsi="Calibri" w:cs="Times New Roman"/>
          <w:szCs w:val="28"/>
        </w:rPr>
        <w:t>Note that the number of patients in the category “</w:t>
      </w:r>
      <w:r w:rsidRPr="004142DA">
        <w:rPr>
          <w:rFonts w:ascii="Calibri" w:eastAsia="MS Mincho" w:hAnsi="Calibri" w:cs="Times New Roman"/>
          <w:szCs w:val="28"/>
        </w:rPr>
        <w:t xml:space="preserve">First original prescription post 1 October 2013 was indicated for MDS, but patient also had at least one </w:t>
      </w:r>
      <w:r>
        <w:rPr>
          <w:rFonts w:ascii="Calibri" w:eastAsia="MS Mincho" w:hAnsi="Calibri" w:cs="Times New Roman"/>
          <w:szCs w:val="28"/>
        </w:rPr>
        <w:t>MM</w:t>
      </w:r>
      <w:r w:rsidRPr="004142DA">
        <w:rPr>
          <w:rFonts w:ascii="Calibri" w:eastAsia="MS Mincho" w:hAnsi="Calibri" w:cs="Times New Roman"/>
          <w:szCs w:val="28"/>
        </w:rPr>
        <w:t xml:space="preserve"> original prior to 1</w:t>
      </w:r>
      <w:r w:rsidR="00AC731E">
        <w:rPr>
          <w:rFonts w:ascii="Calibri" w:eastAsia="MS Mincho" w:hAnsi="Calibri" w:cs="Times New Roman"/>
          <w:szCs w:val="28"/>
        </w:rPr>
        <w:t> </w:t>
      </w:r>
      <w:r w:rsidRPr="004142DA">
        <w:rPr>
          <w:rFonts w:ascii="Calibri" w:eastAsia="MS Mincho" w:hAnsi="Calibri" w:cs="Times New Roman"/>
          <w:szCs w:val="28"/>
        </w:rPr>
        <w:t>October 2013</w:t>
      </w:r>
      <w:r>
        <w:rPr>
          <w:rFonts w:ascii="Calibri" w:eastAsia="MS Mincho" w:hAnsi="Calibri" w:cs="Times New Roman"/>
          <w:szCs w:val="28"/>
        </w:rPr>
        <w:t xml:space="preserve">” would be an underestimate as public hospital HSD data was incomplete prior to July 2013  in the patient level DHS prescription database used for this analysis. This limitation does not impact the PBS item codes indicated for MDS, as these were listed in October 2013, but it </w:t>
      </w:r>
      <w:r w:rsidR="00AC731E">
        <w:rPr>
          <w:rFonts w:ascii="Calibri" w:eastAsia="MS Mincho" w:hAnsi="Calibri" w:cs="Times New Roman"/>
          <w:szCs w:val="28"/>
        </w:rPr>
        <w:t xml:space="preserve">does </w:t>
      </w:r>
      <w:r>
        <w:rPr>
          <w:rFonts w:ascii="Calibri" w:eastAsia="MS Mincho" w:hAnsi="Calibri" w:cs="Times New Roman"/>
          <w:szCs w:val="28"/>
        </w:rPr>
        <w:t xml:space="preserve">impact the MM item codes. See Appendix B for </w:t>
      </w:r>
      <w:r w:rsidR="00072468">
        <w:rPr>
          <w:rFonts w:ascii="Calibri" w:eastAsia="MS Mincho" w:hAnsi="Calibri" w:cs="Times New Roman"/>
          <w:szCs w:val="28"/>
        </w:rPr>
        <w:t>more details</w:t>
      </w:r>
      <w:r>
        <w:rPr>
          <w:rFonts w:ascii="Calibri" w:eastAsia="MS Mincho" w:hAnsi="Calibri" w:cs="Times New Roman"/>
          <w:szCs w:val="28"/>
        </w:rPr>
        <w:t xml:space="preserve"> of </w:t>
      </w:r>
      <w:r>
        <w:rPr>
          <w:rFonts w:ascii="Calibri" w:eastAsia="MS Mincho" w:hAnsi="Calibri" w:cs="Times New Roman"/>
          <w:szCs w:val="28"/>
        </w:rPr>
        <w:lastRenderedPageBreak/>
        <w:t>this issue. It</w:t>
      </w:r>
      <w:r w:rsidRPr="00C73E4E">
        <w:rPr>
          <w:rFonts w:ascii="Calibri" w:eastAsia="MS Mincho" w:hAnsi="Calibri" w:cs="Times New Roman"/>
          <w:szCs w:val="28"/>
        </w:rPr>
        <w:t xml:space="preserve"> means that some of the 141 patients classified as MDS patients in </w:t>
      </w:r>
      <w:r>
        <w:rPr>
          <w:rFonts w:ascii="Calibri" w:eastAsia="MS Mincho" w:hAnsi="Calibri" w:cs="Times New Roman"/>
          <w:szCs w:val="28"/>
        </w:rPr>
        <w:t>Table 5</w:t>
      </w:r>
      <w:r w:rsidRPr="00C73E4E">
        <w:rPr>
          <w:rFonts w:ascii="Calibri" w:eastAsia="MS Mincho" w:hAnsi="Calibri" w:cs="Times New Roman"/>
          <w:szCs w:val="28"/>
        </w:rPr>
        <w:t xml:space="preserve"> may have been classified as multiple myeloma patients if the patient level data was </w:t>
      </w:r>
      <w:r w:rsidRPr="00A16281">
        <w:rPr>
          <w:rFonts w:ascii="Calibri" w:eastAsia="MS Mincho" w:hAnsi="Calibri" w:cs="Times New Roman"/>
          <w:szCs w:val="28"/>
        </w:rPr>
        <w:t>complete. However, this was considered relatively unlikely as the patient level data was complete from July 2013.</w:t>
      </w:r>
    </w:p>
    <w:p w:rsidR="00AF729E" w:rsidRPr="00DD079D" w:rsidRDefault="00333658" w:rsidP="00AF729E">
      <w:pPr>
        <w:spacing w:line="276" w:lineRule="auto"/>
        <w:rPr>
          <w:rFonts w:ascii="Calibri" w:eastAsia="Times New Roman" w:hAnsi="Calibri" w:cs="Times New Roman"/>
          <w:b/>
          <w:i/>
          <w:iCs/>
          <w:snapToGrid w:val="0"/>
          <w:lang w:eastAsia="en-US"/>
        </w:rPr>
      </w:pPr>
      <w:r w:rsidRPr="00DD079D">
        <w:rPr>
          <w:rFonts w:ascii="Calibri" w:eastAsia="Times New Roman" w:hAnsi="Calibri" w:cs="Times New Roman"/>
          <w:b/>
          <w:i/>
          <w:iCs/>
          <w:snapToGrid w:val="0"/>
          <w:lang w:eastAsia="en-US"/>
        </w:rPr>
        <w:t>3.1 Time to resupply and length of treatment for Cohort MDS patients</w:t>
      </w:r>
    </w:p>
    <w:p w:rsidR="00AF729E" w:rsidRDefault="00333658" w:rsidP="00AF729E">
      <w:pPr>
        <w:rPr>
          <w:rFonts w:ascii="Calibri" w:eastAsia="MS Mincho" w:hAnsi="Calibri" w:cs="Times New Roman"/>
        </w:rPr>
      </w:pPr>
      <w:r>
        <w:rPr>
          <w:noProof/>
        </w:rPr>
        <w:drawing>
          <wp:inline distT="0" distB="0" distL="0" distR="0" wp14:anchorId="34227D7A" wp14:editId="2A3472BC">
            <wp:extent cx="5687695" cy="3712801"/>
            <wp:effectExtent l="0" t="0" r="27305" b="21590"/>
            <wp:docPr id="19" name="Chart 19" title="Figure 4: Number of days to prescription re-supply for Cohort MDS pat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Calibri" w:eastAsia="MS Mincho" w:hAnsi="Calibri" w:cs="Times New Roman"/>
          <w:b/>
        </w:rPr>
        <w:t>Figure 4</w:t>
      </w:r>
      <w:r w:rsidRPr="00B87CD5">
        <w:rPr>
          <w:rFonts w:ascii="Calibri" w:eastAsia="MS Mincho" w:hAnsi="Calibri" w:cs="Times New Roman"/>
          <w:b/>
        </w:rPr>
        <w:t xml:space="preserve">: </w:t>
      </w:r>
      <w:r>
        <w:rPr>
          <w:rFonts w:ascii="Calibri" w:eastAsia="MS Mincho" w:hAnsi="Calibri" w:cs="Times New Roman"/>
          <w:b/>
        </w:rPr>
        <w:t xml:space="preserve">Number of days to prescription </w:t>
      </w:r>
      <w:proofErr w:type="gramStart"/>
      <w:r>
        <w:rPr>
          <w:rFonts w:ascii="Calibri" w:eastAsia="MS Mincho" w:hAnsi="Calibri" w:cs="Times New Roman"/>
          <w:b/>
        </w:rPr>
        <w:t>re-supply</w:t>
      </w:r>
      <w:proofErr w:type="gramEnd"/>
      <w:r>
        <w:rPr>
          <w:rFonts w:ascii="Calibri" w:eastAsia="MS Mincho" w:hAnsi="Calibri" w:cs="Times New Roman"/>
          <w:b/>
        </w:rPr>
        <w:t xml:space="preserve"> for Cohort MDS patients.</w:t>
      </w:r>
      <w:r>
        <w:rPr>
          <w:rFonts w:ascii="Calibri" w:eastAsia="MS Mincho" w:hAnsi="Calibri" w:cs="Times New Roman"/>
          <w:b/>
        </w:rPr>
        <w:br/>
      </w:r>
      <w:r w:rsidRPr="000F2BAD">
        <w:rPr>
          <w:rFonts w:ascii="Calibri" w:eastAsia="MS Mincho" w:hAnsi="Calibri" w:cs="Times New Roman"/>
          <w:sz w:val="20"/>
        </w:rPr>
        <w:t>Note: does not include prescriptions with no re-supply and re-supply &gt; 90 days.</w:t>
      </w:r>
    </w:p>
    <w:p w:rsidR="00AF729E" w:rsidRPr="009954A3" w:rsidRDefault="00333658" w:rsidP="00AF729E">
      <w:pPr>
        <w:rPr>
          <w:rFonts w:ascii="Calibri" w:eastAsia="MS Mincho" w:hAnsi="Calibri" w:cs="Times New Roman"/>
        </w:rPr>
      </w:pPr>
      <w:r>
        <w:rPr>
          <w:rFonts w:ascii="Calibri" w:eastAsia="MS Mincho" w:hAnsi="Calibri" w:cs="Times New Roman"/>
        </w:rPr>
        <w:t>Figure 4 shows that the most common (mode) time for resupply was 28 days (which was also the median time for resupply). Next most common was 21 days. This bimodal distribution is likely due to there being 21 capsules in each pack which is designed for 21 days of treatment in a 28 days cycle (i</w:t>
      </w:r>
      <w:r w:rsidR="00AC731E">
        <w:rPr>
          <w:rFonts w:ascii="Calibri" w:eastAsia="MS Mincho" w:hAnsi="Calibri" w:cs="Times New Roman"/>
        </w:rPr>
        <w:t>.</w:t>
      </w:r>
      <w:r>
        <w:rPr>
          <w:rFonts w:ascii="Calibri" w:eastAsia="MS Mincho" w:hAnsi="Calibri" w:cs="Times New Roman"/>
        </w:rPr>
        <w:t xml:space="preserve">e. 7 days without treatment). </w:t>
      </w:r>
      <w:proofErr w:type="spellStart"/>
      <w:r>
        <w:rPr>
          <w:rFonts w:ascii="Calibri" w:eastAsia="MS Mincho" w:hAnsi="Calibri" w:cs="Times New Roman"/>
        </w:rPr>
        <w:t>Lenalidomide</w:t>
      </w:r>
      <w:proofErr w:type="spellEnd"/>
      <w:r>
        <w:rPr>
          <w:rFonts w:ascii="Calibri" w:eastAsia="MS Mincho" w:hAnsi="Calibri" w:cs="Times New Roman"/>
        </w:rPr>
        <w:t xml:space="preserve"> is </w:t>
      </w:r>
      <w:proofErr w:type="gramStart"/>
      <w:r>
        <w:rPr>
          <w:rFonts w:ascii="Calibri" w:eastAsia="MS Mincho" w:hAnsi="Calibri" w:cs="Times New Roman"/>
        </w:rPr>
        <w:t>a</w:t>
      </w:r>
      <w:proofErr w:type="gramEnd"/>
      <w:r>
        <w:rPr>
          <w:rFonts w:ascii="Calibri" w:eastAsia="MS Mincho" w:hAnsi="Calibri" w:cs="Times New Roman"/>
        </w:rPr>
        <w:t xml:space="preserve"> s100 HSD and supplied by the hospital rather than a local pharmacy. The reason for 21 days could be related to convenience for patients who were attending a clinic at the hospital.</w:t>
      </w:r>
    </w:p>
    <w:p w:rsidR="00AF729E" w:rsidRDefault="0077278C" w:rsidP="00AF729E">
      <w:pPr>
        <w:spacing w:line="276" w:lineRule="auto"/>
        <w:rPr>
          <w:rFonts w:ascii="Calibri" w:eastAsia="MS Mincho" w:hAnsi="Calibri" w:cs="Times New Roman"/>
          <w:b/>
        </w:rPr>
      </w:pPr>
      <w:r>
        <w:rPr>
          <w:noProof/>
        </w:rPr>
        <w:lastRenderedPageBreak/>
        <w:drawing>
          <wp:inline distT="0" distB="0" distL="0" distR="0" wp14:anchorId="39225FBA" wp14:editId="76BF3CB5">
            <wp:extent cx="5687695" cy="4262755"/>
            <wp:effectExtent l="0" t="0" r="8255" b="4445"/>
            <wp:docPr id="3" name="Picture 3" title="Figure 5: Length of treatment (days) with lenalidomide for Cohort MDS patients (n=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g0.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87695" cy="4262755"/>
                    </a:xfrm>
                    <a:prstGeom prst="rect">
                      <a:avLst/>
                    </a:prstGeom>
                    <a:noFill/>
                    <a:ln>
                      <a:noFill/>
                    </a:ln>
                  </pic:spPr>
                </pic:pic>
              </a:graphicData>
            </a:graphic>
          </wp:inline>
        </w:drawing>
      </w:r>
      <w:r w:rsidR="00333658">
        <w:rPr>
          <w:rFonts w:ascii="Calibri" w:eastAsia="MS Mincho" w:hAnsi="Calibri" w:cs="Times New Roman"/>
          <w:b/>
        </w:rPr>
        <w:t>Figure 5</w:t>
      </w:r>
      <w:r w:rsidR="00333658" w:rsidRPr="00B87CD5">
        <w:rPr>
          <w:rFonts w:ascii="Calibri" w:eastAsia="MS Mincho" w:hAnsi="Calibri" w:cs="Times New Roman"/>
          <w:b/>
        </w:rPr>
        <w:t xml:space="preserve">: </w:t>
      </w:r>
      <w:r w:rsidR="00333658">
        <w:rPr>
          <w:rFonts w:ascii="Calibri" w:eastAsia="MS Mincho" w:hAnsi="Calibri" w:cs="Times New Roman"/>
          <w:b/>
        </w:rPr>
        <w:t xml:space="preserve">Length of treatment (days) with </w:t>
      </w:r>
      <w:proofErr w:type="spellStart"/>
      <w:r w:rsidR="00333658">
        <w:rPr>
          <w:rFonts w:ascii="Calibri" w:eastAsia="MS Mincho" w:hAnsi="Calibri" w:cs="Times New Roman"/>
          <w:b/>
        </w:rPr>
        <w:t>lenalidomide</w:t>
      </w:r>
      <w:proofErr w:type="spellEnd"/>
      <w:r w:rsidR="00333658">
        <w:rPr>
          <w:rFonts w:ascii="Calibri" w:eastAsia="MS Mincho" w:hAnsi="Calibri" w:cs="Times New Roman"/>
          <w:b/>
        </w:rPr>
        <w:t xml:space="preserve"> for Cohort MDS patients (n=141)</w:t>
      </w:r>
    </w:p>
    <w:p w:rsidR="00AF729E" w:rsidRDefault="00333658" w:rsidP="00AF729E">
      <w:pPr>
        <w:rPr>
          <w:rFonts w:ascii="Calibri" w:eastAsia="MS Mincho" w:hAnsi="Calibri" w:cs="Times New Roman"/>
        </w:rPr>
      </w:pPr>
      <w:r>
        <w:rPr>
          <w:rFonts w:ascii="Calibri" w:eastAsia="MS Mincho" w:hAnsi="Calibri" w:cs="Times New Roman"/>
        </w:rPr>
        <w:t xml:space="preserve">Figure 5 shows the Kaplan Meier estimates of length of treatment using two measures. </w:t>
      </w:r>
    </w:p>
    <w:p w:rsidR="00AF729E" w:rsidRDefault="00333658" w:rsidP="00AF729E">
      <w:pPr>
        <w:rPr>
          <w:rFonts w:ascii="Calibri" w:eastAsia="MS Mincho" w:hAnsi="Calibri" w:cs="Times New Roman"/>
        </w:rPr>
      </w:pPr>
      <w:r>
        <w:rPr>
          <w:rFonts w:ascii="Calibri" w:eastAsia="MS Mincho" w:hAnsi="Calibri" w:cs="Times New Roman"/>
        </w:rPr>
        <w:t>Total length of treatment (excluding breaks) is the time that patients received supplies of medicine not counting the time that patients did not have medicine supplied (i</w:t>
      </w:r>
      <w:r w:rsidR="00AC731E">
        <w:rPr>
          <w:rFonts w:ascii="Calibri" w:eastAsia="MS Mincho" w:hAnsi="Calibri" w:cs="Times New Roman"/>
        </w:rPr>
        <w:t>.</w:t>
      </w:r>
      <w:r>
        <w:rPr>
          <w:rFonts w:ascii="Calibri" w:eastAsia="MS Mincho" w:hAnsi="Calibri" w:cs="Times New Roman"/>
        </w:rPr>
        <w:t xml:space="preserve">e. </w:t>
      </w:r>
      <w:proofErr w:type="spellStart"/>
      <w:r>
        <w:rPr>
          <w:rFonts w:ascii="Calibri" w:eastAsia="MS Mincho" w:hAnsi="Calibri" w:cs="Times New Roman"/>
        </w:rPr>
        <w:t>were</w:t>
      </w:r>
      <w:proofErr w:type="spellEnd"/>
      <w:r>
        <w:rPr>
          <w:rFonts w:ascii="Calibri" w:eastAsia="MS Mincho" w:hAnsi="Calibri" w:cs="Times New Roman"/>
        </w:rPr>
        <w:t xml:space="preserve"> having a break between episodes of treatment).</w:t>
      </w:r>
    </w:p>
    <w:p w:rsidR="00AF729E" w:rsidRDefault="00333658" w:rsidP="00AF729E">
      <w:pPr>
        <w:rPr>
          <w:rFonts w:ascii="Calibri" w:eastAsia="MS Mincho" w:hAnsi="Calibri" w:cs="Times New Roman"/>
          <w:szCs w:val="28"/>
          <w:highlight w:val="yellow"/>
        </w:rPr>
      </w:pPr>
      <w:r>
        <w:rPr>
          <w:rFonts w:ascii="Calibri" w:eastAsia="MS Mincho" w:hAnsi="Calibri" w:cs="Times New Roman"/>
        </w:rPr>
        <w:t>A break is defined as a gap of more than 3 x median time to resupply (i</w:t>
      </w:r>
      <w:r w:rsidR="00AC731E">
        <w:rPr>
          <w:rFonts w:ascii="Calibri" w:eastAsia="MS Mincho" w:hAnsi="Calibri" w:cs="Times New Roman"/>
        </w:rPr>
        <w:t>.</w:t>
      </w:r>
      <w:r>
        <w:rPr>
          <w:rFonts w:ascii="Calibri" w:eastAsia="MS Mincho" w:hAnsi="Calibri" w:cs="Times New Roman"/>
        </w:rPr>
        <w:t>e.  3 x 28 = 84 days) between supplies, which is an estimated break in treatment of at least 2 x median time to resupply (i</w:t>
      </w:r>
      <w:r w:rsidR="00AC731E">
        <w:rPr>
          <w:rFonts w:ascii="Calibri" w:eastAsia="MS Mincho" w:hAnsi="Calibri" w:cs="Times New Roman"/>
        </w:rPr>
        <w:t>.</w:t>
      </w:r>
      <w:r>
        <w:rPr>
          <w:rFonts w:ascii="Calibri" w:eastAsia="MS Mincho" w:hAnsi="Calibri" w:cs="Times New Roman"/>
        </w:rPr>
        <w:t>e. 2 x 28 days = 56 days). The product information states that patients can suspend treatment and recommence at a reduced dosed if there is severe toxicity. This analysis assumed that a break of 56 days was longer than temporary suspension to manage toxicity.</w:t>
      </w:r>
      <w:bookmarkStart w:id="1" w:name="_GoBack"/>
      <w:bookmarkEnd w:id="1"/>
    </w:p>
    <w:p w:rsidR="00AF729E" w:rsidRDefault="00333658" w:rsidP="00AF729E">
      <w:pPr>
        <w:rPr>
          <w:rFonts w:ascii="Calibri" w:eastAsia="MS Mincho" w:hAnsi="Calibri" w:cs="Times New Roman"/>
        </w:rPr>
      </w:pPr>
      <w:r>
        <w:rPr>
          <w:rFonts w:ascii="Calibri" w:eastAsia="MS Mincho" w:hAnsi="Calibri" w:cs="Times New Roman"/>
        </w:rPr>
        <w:t>Total length of treatment (including breaks) is the time that patients received supplies of medicine and counts the additional time that patients were not receiving supply of medicine between episodes of treatment.</w:t>
      </w:r>
    </w:p>
    <w:p w:rsidR="00AF729E" w:rsidRDefault="00333658" w:rsidP="00AF729E">
      <w:pPr>
        <w:rPr>
          <w:rFonts w:ascii="Calibri" w:eastAsia="MS Mincho" w:hAnsi="Calibri" w:cs="Times New Roman"/>
        </w:rPr>
      </w:pPr>
      <w:r>
        <w:rPr>
          <w:rFonts w:ascii="Calibri" w:eastAsia="MS Mincho" w:hAnsi="Calibri" w:cs="Times New Roman"/>
        </w:rPr>
        <w:t>These analyses both allow patients to stop treatment (</w:t>
      </w:r>
      <w:r w:rsidR="00095A9E">
        <w:rPr>
          <w:rFonts w:ascii="Calibri" w:eastAsia="MS Mincho" w:hAnsi="Calibri" w:cs="Times New Roman"/>
        </w:rPr>
        <w:t>i.e.</w:t>
      </w:r>
      <w:r>
        <w:rPr>
          <w:rFonts w:ascii="Calibri" w:eastAsia="MS Mincho" w:hAnsi="Calibri" w:cs="Times New Roman"/>
        </w:rPr>
        <w:t xml:space="preserve"> no more supplies of medicine) or be censored (</w:t>
      </w:r>
      <w:r w:rsidR="00095A9E">
        <w:rPr>
          <w:rFonts w:ascii="Calibri" w:eastAsia="MS Mincho" w:hAnsi="Calibri" w:cs="Times New Roman"/>
        </w:rPr>
        <w:t>i.e.</w:t>
      </w:r>
      <w:r>
        <w:rPr>
          <w:rFonts w:ascii="Calibri" w:eastAsia="MS Mincho" w:hAnsi="Calibri" w:cs="Times New Roman"/>
        </w:rPr>
        <w:t xml:space="preserve"> deemed to be continuing treatment at the end of the data period). See Method section above for more details.</w:t>
      </w:r>
    </w:p>
    <w:p w:rsidR="00AF729E" w:rsidRDefault="00333658" w:rsidP="00AF729E">
      <w:pPr>
        <w:rPr>
          <w:rFonts w:ascii="Calibri" w:eastAsia="MS Mincho" w:hAnsi="Calibri" w:cs="Times New Roman"/>
          <w:szCs w:val="28"/>
          <w:highlight w:val="yellow"/>
        </w:rPr>
      </w:pPr>
      <w:r>
        <w:rPr>
          <w:rFonts w:ascii="Calibri" w:eastAsia="MS Mincho" w:hAnsi="Calibri" w:cs="Times New Roman"/>
        </w:rPr>
        <w:lastRenderedPageBreak/>
        <w:t xml:space="preserve">The median </w:t>
      </w:r>
      <w:proofErr w:type="gramStart"/>
      <w:r>
        <w:rPr>
          <w:rFonts w:ascii="Calibri" w:eastAsia="MS Mincho" w:hAnsi="Calibri" w:cs="Times New Roman"/>
        </w:rPr>
        <w:t>lengths of treatment (excluding breaks) was</w:t>
      </w:r>
      <w:proofErr w:type="gramEnd"/>
      <w:r>
        <w:rPr>
          <w:rFonts w:ascii="Calibri" w:eastAsia="MS Mincho" w:hAnsi="Calibri" w:cs="Times New Roman"/>
        </w:rPr>
        <w:t xml:space="preserve"> 334 days (11.0 months). The median length of treatment (including breaks) was 395 days (13.0 months). The total observation period of the study was 42 months. </w:t>
      </w:r>
    </w:p>
    <w:p w:rsidR="00AF729E" w:rsidRDefault="00333658" w:rsidP="00AF729E">
      <w:pPr>
        <w:spacing w:line="276" w:lineRule="auto"/>
        <w:rPr>
          <w:rFonts w:ascii="Calibri" w:eastAsia="MS Mincho" w:hAnsi="Calibri" w:cs="Times New Roman"/>
        </w:rPr>
      </w:pPr>
      <w:r>
        <w:rPr>
          <w:rFonts w:ascii="Calibri" w:eastAsia="MS Mincho" w:hAnsi="Calibri" w:cs="Times New Roman"/>
        </w:rPr>
        <w:t xml:space="preserve">The submission assumed that patients would on average have </w:t>
      </w:r>
      <w:r w:rsidR="00624706">
        <w:rPr>
          <w:rFonts w:ascii="Calibri" w:eastAsia="MS Mincho" w:hAnsi="Calibri" w:cs="Times New Roman"/>
          <w:noProof/>
          <w:color w:val="000000"/>
          <w:highlight w:val="black"/>
        </w:rPr>
        <w:t>''''''''</w:t>
      </w:r>
      <w:r>
        <w:rPr>
          <w:rFonts w:ascii="Calibri" w:eastAsia="MS Mincho" w:hAnsi="Calibri" w:cs="Times New Roman"/>
        </w:rPr>
        <w:t xml:space="preserve"> cycle</w:t>
      </w:r>
      <w:r w:rsidR="003A09E8">
        <w:rPr>
          <w:rFonts w:ascii="Calibri" w:eastAsia="MS Mincho" w:hAnsi="Calibri" w:cs="Times New Roman"/>
        </w:rPr>
        <w:t>s</w:t>
      </w:r>
      <w:r>
        <w:rPr>
          <w:rFonts w:ascii="Calibri" w:eastAsia="MS Mincho" w:hAnsi="Calibri" w:cs="Times New Roman"/>
        </w:rPr>
        <w:t xml:space="preserve"> of treatment which would take </w:t>
      </w:r>
      <w:r w:rsidR="00624706">
        <w:rPr>
          <w:rFonts w:ascii="Calibri" w:eastAsia="MS Mincho" w:hAnsi="Calibri" w:cs="Times New Roman"/>
          <w:noProof/>
          <w:color w:val="000000"/>
          <w:highlight w:val="black"/>
        </w:rPr>
        <w:t>'''</w:t>
      </w:r>
      <w:r>
        <w:rPr>
          <w:rFonts w:ascii="Calibri" w:eastAsia="MS Mincho" w:hAnsi="Calibri" w:cs="Times New Roman"/>
        </w:rPr>
        <w:t xml:space="preserve"> supplies of medication and last approximately </w:t>
      </w:r>
      <w:r w:rsidR="00624706">
        <w:rPr>
          <w:rFonts w:ascii="Calibri" w:eastAsia="MS Mincho" w:hAnsi="Calibri" w:cs="Times New Roman"/>
          <w:noProof/>
          <w:color w:val="000000"/>
          <w:highlight w:val="black"/>
        </w:rPr>
        <w:t>'''</w:t>
      </w:r>
      <w:r>
        <w:rPr>
          <w:rFonts w:ascii="Calibri" w:eastAsia="MS Mincho" w:hAnsi="Calibri" w:cs="Times New Roman"/>
        </w:rPr>
        <w:t xml:space="preserve"> months (if there were no breaks in treatment). The actual length of treatment figures are a little longer than this, 11.0 months of treatment if breaks are excluded and 13 months of treatment in they are included.</w:t>
      </w:r>
    </w:p>
    <w:p w:rsidR="00AF729E" w:rsidRPr="007612C8" w:rsidRDefault="00333658" w:rsidP="00AF729E">
      <w:pPr>
        <w:spacing w:line="276" w:lineRule="auto"/>
        <w:rPr>
          <w:rFonts w:ascii="Calibri" w:eastAsia="Times New Roman" w:hAnsi="Calibri" w:cs="Times New Roman"/>
          <w:b/>
          <w:i/>
          <w:iCs/>
          <w:snapToGrid w:val="0"/>
          <w:lang w:eastAsia="en-US"/>
        </w:rPr>
      </w:pPr>
      <w:r w:rsidRPr="007612C8">
        <w:rPr>
          <w:rFonts w:ascii="Calibri" w:eastAsia="Times New Roman" w:hAnsi="Calibri" w:cs="Times New Roman"/>
          <w:b/>
          <w:i/>
          <w:iCs/>
          <w:snapToGrid w:val="0"/>
          <w:lang w:eastAsia="en-US"/>
        </w:rPr>
        <w:t>3.2 Estimated Dose for Cohort MDS patients</w:t>
      </w:r>
    </w:p>
    <w:p w:rsidR="00AF729E" w:rsidRPr="00E02031" w:rsidRDefault="0077278C" w:rsidP="00AF729E">
      <w:pPr>
        <w:spacing w:line="276" w:lineRule="auto"/>
        <w:rPr>
          <w:rFonts w:ascii="Calibri" w:eastAsia="MS Mincho" w:hAnsi="Calibri" w:cs="Times New Roman"/>
          <w:b/>
        </w:rPr>
      </w:pPr>
      <w:r>
        <w:rPr>
          <w:noProof/>
        </w:rPr>
        <w:drawing>
          <wp:inline distT="0" distB="0" distL="0" distR="0" wp14:anchorId="2188D94D" wp14:editId="1A0527E1">
            <wp:extent cx="5687695" cy="3716655"/>
            <wp:effectExtent l="0" t="0" r="8255" b="0"/>
            <wp:docPr id="1" name="Picture 1" descr="cid:image007.png@01D315E6.E8A9F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 4" descr="cid:image007.png@01D315E6.E8A9F4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87695" cy="3716655"/>
                    </a:xfrm>
                    <a:prstGeom prst="rect">
                      <a:avLst/>
                    </a:prstGeom>
                    <a:noFill/>
                    <a:ln>
                      <a:noFill/>
                    </a:ln>
                  </pic:spPr>
                </pic:pic>
              </a:graphicData>
            </a:graphic>
          </wp:inline>
        </w:drawing>
      </w:r>
      <w:r w:rsidR="00333658">
        <w:rPr>
          <w:rFonts w:ascii="Calibri" w:eastAsia="MS Mincho" w:hAnsi="Calibri" w:cs="Times New Roman"/>
          <w:b/>
        </w:rPr>
        <w:t>Figure 6</w:t>
      </w:r>
      <w:r w:rsidR="00333658" w:rsidRPr="00B87CD5">
        <w:rPr>
          <w:rFonts w:ascii="Calibri" w:eastAsia="MS Mincho" w:hAnsi="Calibri" w:cs="Times New Roman"/>
          <w:b/>
        </w:rPr>
        <w:t xml:space="preserve">: </w:t>
      </w:r>
      <w:r w:rsidR="00333658">
        <w:rPr>
          <w:rFonts w:ascii="Calibri" w:eastAsia="MS Mincho" w:hAnsi="Calibri" w:cs="Times New Roman"/>
          <w:b/>
        </w:rPr>
        <w:t xml:space="preserve">Estimated dose (mg/day) distribution for </w:t>
      </w:r>
      <w:proofErr w:type="spellStart"/>
      <w:r w:rsidR="00333658">
        <w:rPr>
          <w:rFonts w:ascii="Calibri" w:eastAsia="MS Mincho" w:hAnsi="Calibri" w:cs="Times New Roman"/>
          <w:b/>
        </w:rPr>
        <w:t>lenalidomide</w:t>
      </w:r>
      <w:proofErr w:type="spellEnd"/>
      <w:r w:rsidR="00333658">
        <w:rPr>
          <w:rFonts w:ascii="Calibri" w:eastAsia="MS Mincho" w:hAnsi="Calibri" w:cs="Times New Roman"/>
          <w:b/>
        </w:rPr>
        <w:t xml:space="preserve"> for Cohort MDS patients by the number of strengths used.</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estimated dose was the total mass of </w:t>
      </w:r>
      <w:proofErr w:type="spellStart"/>
      <w:r>
        <w:rPr>
          <w:rFonts w:ascii="Calibri" w:eastAsia="Times New Roman" w:hAnsi="Calibri" w:cs="Times New Roman"/>
          <w:iCs/>
          <w:snapToGrid w:val="0"/>
          <w:lang w:eastAsia="en-US"/>
        </w:rPr>
        <w:t>lenalidomide</w:t>
      </w:r>
      <w:proofErr w:type="spellEnd"/>
      <w:r>
        <w:rPr>
          <w:rFonts w:ascii="Calibri" w:eastAsia="Times New Roman" w:hAnsi="Calibri" w:cs="Times New Roman"/>
          <w:iCs/>
          <w:snapToGrid w:val="0"/>
          <w:lang w:eastAsia="en-US"/>
        </w:rPr>
        <w:t xml:space="preserve"> supplied to a patient summed across all their prescriptions, divided by their total length of treatment (excluding breaks). The length of treatment estimates relies on the analysis in the previous section 3.1.</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median and mean doses were 6.7 </w:t>
      </w:r>
      <w:r w:rsidR="00072468">
        <w:rPr>
          <w:rFonts w:ascii="Calibri" w:eastAsia="Times New Roman" w:hAnsi="Calibri" w:cs="Times New Roman"/>
          <w:iCs/>
          <w:snapToGrid w:val="0"/>
          <w:lang w:eastAsia="en-US"/>
        </w:rPr>
        <w:t>and 6.0</w:t>
      </w:r>
      <w:r>
        <w:rPr>
          <w:rFonts w:ascii="Calibri" w:eastAsia="Times New Roman" w:hAnsi="Calibri" w:cs="Times New Roman"/>
          <w:iCs/>
          <w:snapToGrid w:val="0"/>
          <w:lang w:eastAsia="en-US"/>
        </w:rPr>
        <w:t xml:space="preserve"> mg/day respectively. The most common dose (mode) was 7.5</w:t>
      </w:r>
      <w:r w:rsidR="00AC731E">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mg/day, which was consistent with the recommended starting dose of 10</w:t>
      </w:r>
      <w:r w:rsidR="00AC731E">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mg/day taken for 21 days in a 28 day cycle.</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March 2013 submission predicted the average dose would be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mg/day, which is only slightly more </w:t>
      </w:r>
      <w:r w:rsidR="00072468">
        <w:rPr>
          <w:rFonts w:ascii="Calibri" w:eastAsia="Times New Roman" w:hAnsi="Calibri" w:cs="Times New Roman"/>
          <w:iCs/>
          <w:snapToGrid w:val="0"/>
          <w:lang w:eastAsia="en-US"/>
        </w:rPr>
        <w:t>than</w:t>
      </w:r>
      <w:r>
        <w:rPr>
          <w:rFonts w:ascii="Calibri" w:eastAsia="Times New Roman" w:hAnsi="Calibri" w:cs="Times New Roman"/>
          <w:iCs/>
          <w:snapToGrid w:val="0"/>
          <w:lang w:eastAsia="en-US"/>
        </w:rPr>
        <w:t xml:space="preserve"> the actual estimated dose of 6.0 mg/</w:t>
      </w:r>
      <w:proofErr w:type="gramStart"/>
      <w:r>
        <w:rPr>
          <w:rFonts w:ascii="Calibri" w:eastAsia="Times New Roman" w:hAnsi="Calibri" w:cs="Times New Roman"/>
          <w:iCs/>
          <w:snapToGrid w:val="0"/>
          <w:lang w:eastAsia="en-US"/>
        </w:rPr>
        <w:t xml:space="preserve">day </w:t>
      </w:r>
      <w:r w:rsidR="00A613AD">
        <w:rPr>
          <w:rFonts w:ascii="Calibri" w:eastAsia="Times New Roman" w:hAnsi="Calibri" w:cs="Times New Roman"/>
          <w:iCs/>
          <w:snapToGrid w:val="0"/>
          <w:lang w:eastAsia="en-US"/>
        </w:rPr>
        <w:t>.</w:t>
      </w:r>
      <w:proofErr w:type="gramEnd"/>
    </w:p>
    <w:p w:rsidR="00AF729E" w:rsidRDefault="00333658" w:rsidP="00AF729E">
      <w:pPr>
        <w:rPr>
          <w:rFonts w:ascii="Calibri" w:eastAsia="Times New Roman" w:hAnsi="Calibri" w:cs="Times New Roman"/>
          <w:b/>
          <w:i/>
          <w:iCs/>
          <w:snapToGrid w:val="0"/>
          <w:lang w:eastAsia="en-US"/>
        </w:rPr>
      </w:pPr>
      <w:r>
        <w:rPr>
          <w:rFonts w:ascii="Calibri" w:eastAsia="Times New Roman" w:hAnsi="Calibri" w:cs="Times New Roman"/>
          <w:iCs/>
          <w:snapToGrid w:val="0"/>
          <w:lang w:eastAsia="en-US"/>
        </w:rPr>
        <w:lastRenderedPageBreak/>
        <w:t>The number of strengths used (i</w:t>
      </w:r>
      <w:r w:rsidR="00CD473F">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e. one or multiple) does not have regard to the timing of the supply. Thus if a patient was initiated on 10</w:t>
      </w:r>
      <w:r w:rsidR="00AC731E">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mg capsules and then later was down titrated to 5</w:t>
      </w:r>
      <w:r w:rsidR="00AC731E">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mg capsules then this would be classified as “Multiple strengths used</w:t>
      </w:r>
      <w:r w:rsidR="00AC731E">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 A patient who was supplied both the 5 and 10</w:t>
      </w:r>
      <w:r w:rsidR="00AC731E">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mg capsules at the same time would also have the “Multiple strengths used” classification.</w:t>
      </w:r>
    </w:p>
    <w:p w:rsidR="00AF729E" w:rsidRPr="00925A38" w:rsidRDefault="00333658" w:rsidP="00AF729E">
      <w:pPr>
        <w:spacing w:line="276" w:lineRule="auto"/>
        <w:rPr>
          <w:rFonts w:ascii="Calibri" w:eastAsia="Times New Roman" w:hAnsi="Calibri" w:cs="Times New Roman"/>
          <w:b/>
          <w:i/>
          <w:iCs/>
          <w:snapToGrid w:val="0"/>
          <w:lang w:eastAsia="en-US"/>
        </w:rPr>
      </w:pPr>
      <w:r>
        <w:rPr>
          <w:rFonts w:ascii="Calibri" w:eastAsia="Times New Roman" w:hAnsi="Calibri" w:cs="Times New Roman"/>
          <w:b/>
          <w:i/>
          <w:iCs/>
          <w:snapToGrid w:val="0"/>
          <w:lang w:eastAsia="en-US"/>
        </w:rPr>
        <w:t>3.3</w:t>
      </w:r>
      <w:r w:rsidRPr="00925A38">
        <w:rPr>
          <w:rFonts w:ascii="Calibri" w:eastAsia="Times New Roman" w:hAnsi="Calibri" w:cs="Times New Roman"/>
          <w:b/>
          <w:i/>
          <w:iCs/>
          <w:snapToGrid w:val="0"/>
          <w:lang w:eastAsia="en-US"/>
        </w:rPr>
        <w:t xml:space="preserve"> Prescriptions per patient</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The March 2013 submission contained assumptions about the number of packs per year per patient (i</w:t>
      </w:r>
      <w:r w:rsidR="00AC731E">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 xml:space="preserve">e. </w:t>
      </w:r>
      <w:r w:rsidR="00624706">
        <w:rPr>
          <w:rFonts w:ascii="Calibri" w:eastAsia="Times New Roman" w:hAnsi="Calibri" w:cs="Times New Roman"/>
          <w:iCs/>
          <w:noProof/>
          <w:snapToGrid w:val="0"/>
          <w:color w:val="000000"/>
          <w:highlight w:val="black"/>
          <w:lang w:eastAsia="en-US"/>
        </w:rPr>
        <w:t>'''''''''</w:t>
      </w:r>
      <w:r w:rsidRPr="00D624D0">
        <w:rPr>
          <w:rFonts w:ascii="Calibri" w:eastAsia="Times New Roman" w:hAnsi="Calibri" w:cs="Times New Roman"/>
          <w:iCs/>
          <w:snapToGrid w:val="0"/>
          <w:lang w:eastAsia="en-US"/>
        </w:rPr>
        <w:t xml:space="preserve">% of patients would take </w:t>
      </w:r>
      <w:r w:rsidR="00624706">
        <w:rPr>
          <w:rFonts w:ascii="Calibri" w:eastAsia="Times New Roman" w:hAnsi="Calibri" w:cs="Times New Roman"/>
          <w:iCs/>
          <w:noProof/>
          <w:snapToGrid w:val="0"/>
          <w:color w:val="000000"/>
          <w:highlight w:val="black"/>
          <w:lang w:eastAsia="en-US"/>
        </w:rPr>
        <w:t>'''''</w:t>
      </w:r>
      <w:r w:rsidRPr="00D624D0">
        <w:rPr>
          <w:rFonts w:ascii="Calibri" w:eastAsia="Times New Roman" w:hAnsi="Calibri" w:cs="Times New Roman"/>
          <w:iCs/>
          <w:snapToGrid w:val="0"/>
          <w:lang w:eastAsia="en-US"/>
        </w:rPr>
        <w:t xml:space="preserve"> packs of the 5</w:t>
      </w:r>
      <w:r w:rsidR="003B67C0">
        <w:rPr>
          <w:rFonts w:ascii="Calibri" w:eastAsia="Times New Roman" w:hAnsi="Calibri" w:cs="Times New Roman"/>
          <w:iCs/>
          <w:snapToGrid w:val="0"/>
          <w:lang w:eastAsia="en-US"/>
        </w:rPr>
        <w:t> </w:t>
      </w:r>
      <w:r w:rsidRPr="00D624D0">
        <w:rPr>
          <w:rFonts w:ascii="Calibri" w:eastAsia="Times New Roman" w:hAnsi="Calibri" w:cs="Times New Roman"/>
          <w:iCs/>
          <w:snapToGrid w:val="0"/>
          <w:lang w:eastAsia="en-US"/>
        </w:rPr>
        <w:t xml:space="preserve">mg capsule and </w:t>
      </w:r>
      <w:r w:rsidR="00624706">
        <w:rPr>
          <w:rFonts w:ascii="Calibri" w:eastAsia="Times New Roman" w:hAnsi="Calibri" w:cs="Times New Roman"/>
          <w:iCs/>
          <w:noProof/>
          <w:snapToGrid w:val="0"/>
          <w:color w:val="000000"/>
          <w:highlight w:val="black"/>
          <w:lang w:eastAsia="en-US"/>
        </w:rPr>
        <w:t>''''''''</w:t>
      </w:r>
      <w:r w:rsidRPr="00D624D0">
        <w:rPr>
          <w:rFonts w:ascii="Calibri" w:eastAsia="Times New Roman" w:hAnsi="Calibri" w:cs="Times New Roman"/>
          <w:iCs/>
          <w:snapToGrid w:val="0"/>
          <w:lang w:eastAsia="en-US"/>
        </w:rPr>
        <w:t>% of patients would take 9 packs of the 10</w:t>
      </w:r>
      <w:r w:rsidR="00AC731E">
        <w:rPr>
          <w:rFonts w:ascii="Calibri" w:eastAsia="Times New Roman" w:hAnsi="Calibri" w:cs="Times New Roman"/>
          <w:iCs/>
          <w:snapToGrid w:val="0"/>
          <w:lang w:eastAsia="en-US"/>
        </w:rPr>
        <w:t> </w:t>
      </w:r>
      <w:r w:rsidRPr="00D624D0">
        <w:rPr>
          <w:rFonts w:ascii="Calibri" w:eastAsia="Times New Roman" w:hAnsi="Calibri" w:cs="Times New Roman"/>
          <w:iCs/>
          <w:snapToGrid w:val="0"/>
          <w:lang w:eastAsia="en-US"/>
        </w:rPr>
        <w:t>mg capsule in a year</w:t>
      </w:r>
      <w:r>
        <w:rPr>
          <w:rFonts w:ascii="Calibri" w:eastAsia="Times New Roman" w:hAnsi="Calibri" w:cs="Times New Roman"/>
          <w:iCs/>
          <w:snapToGrid w:val="0"/>
          <w:lang w:eastAsia="en-US"/>
        </w:rPr>
        <w:t xml:space="preserve">. There were no explicit assumptions about patients taking both strengths). These assumptions were incorrectly applied to each prevalent patient in each year after listing, whereas they should have been applied to the year after initiation of each patient and then the patients allowed </w:t>
      </w:r>
      <w:proofErr w:type="gramStart"/>
      <w:r>
        <w:rPr>
          <w:rFonts w:ascii="Calibri" w:eastAsia="Times New Roman" w:hAnsi="Calibri" w:cs="Times New Roman"/>
          <w:iCs/>
          <w:snapToGrid w:val="0"/>
          <w:lang w:eastAsia="en-US"/>
        </w:rPr>
        <w:t>to initiate</w:t>
      </w:r>
      <w:proofErr w:type="gramEnd"/>
      <w:r>
        <w:rPr>
          <w:rFonts w:ascii="Calibri" w:eastAsia="Times New Roman" w:hAnsi="Calibri" w:cs="Times New Roman"/>
          <w:iCs/>
          <w:snapToGrid w:val="0"/>
          <w:lang w:eastAsia="en-US"/>
        </w:rPr>
        <w:t xml:space="preserve"> evenly throughout the post listing years. </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number of prescriptions per patient in the 24 months after initiation was calculated (Figure 7) for cohort MDS patients (n=141) that initiated from October 2013 to the end of March 2015 (n=74) to allow for 24 months of </w:t>
      </w:r>
      <w:r w:rsidR="00072468">
        <w:rPr>
          <w:rFonts w:ascii="Calibri" w:eastAsia="Times New Roman" w:hAnsi="Calibri" w:cs="Times New Roman"/>
          <w:iCs/>
          <w:snapToGrid w:val="0"/>
          <w:lang w:eastAsia="en-US"/>
        </w:rPr>
        <w:t>follow-up</w:t>
      </w:r>
      <w:r>
        <w:rPr>
          <w:rFonts w:ascii="Calibri" w:eastAsia="Times New Roman" w:hAnsi="Calibri" w:cs="Times New Roman"/>
          <w:iCs/>
          <w:snapToGrid w:val="0"/>
          <w:lang w:eastAsia="en-US"/>
        </w:rPr>
        <w:t xml:space="preserve"> for each patient. Figure 8 shows the distribution by strength for the same cohort.</w:t>
      </w:r>
    </w:p>
    <w:p w:rsidR="00AF729E" w:rsidRDefault="00333658" w:rsidP="00AF729E">
      <w:pPr>
        <w:rPr>
          <w:rFonts w:ascii="Calibri" w:eastAsia="MS Mincho" w:hAnsi="Calibri" w:cs="Times New Roman"/>
          <w:b/>
        </w:rPr>
      </w:pPr>
      <w:r>
        <w:rPr>
          <w:noProof/>
        </w:rPr>
        <w:drawing>
          <wp:inline distT="0" distB="0" distL="0" distR="0" wp14:anchorId="52D7B276" wp14:editId="37E63CE6">
            <wp:extent cx="5687695" cy="3715232"/>
            <wp:effectExtent l="0" t="0" r="27305" b="19050"/>
            <wp:docPr id="26" name="Chart 26" title="Figure 7: Distribution of the number of lenalidomide prescriptions per patient in 24 months post 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Calibri" w:eastAsia="MS Mincho" w:hAnsi="Calibri" w:cs="Times New Roman"/>
          <w:b/>
        </w:rPr>
        <w:t>Figure 7</w:t>
      </w:r>
      <w:r w:rsidRPr="00B87CD5">
        <w:rPr>
          <w:rFonts w:ascii="Calibri" w:eastAsia="MS Mincho" w:hAnsi="Calibri" w:cs="Times New Roman"/>
          <w:b/>
        </w:rPr>
        <w:t xml:space="preserve">: </w:t>
      </w:r>
      <w:r>
        <w:rPr>
          <w:rFonts w:ascii="Calibri" w:eastAsia="MS Mincho" w:hAnsi="Calibri" w:cs="Times New Roman"/>
          <w:b/>
        </w:rPr>
        <w:t xml:space="preserve">Distribution of the number of </w:t>
      </w:r>
      <w:proofErr w:type="spellStart"/>
      <w:r>
        <w:rPr>
          <w:rFonts w:ascii="Calibri" w:eastAsia="MS Mincho" w:hAnsi="Calibri" w:cs="Times New Roman"/>
          <w:b/>
        </w:rPr>
        <w:t>lenalidomide</w:t>
      </w:r>
      <w:proofErr w:type="spellEnd"/>
      <w:r>
        <w:rPr>
          <w:rFonts w:ascii="Calibri" w:eastAsia="MS Mincho" w:hAnsi="Calibri" w:cs="Times New Roman"/>
          <w:b/>
        </w:rPr>
        <w:t xml:space="preserve"> prescriptions per patient in 24 months post initiation.</w:t>
      </w:r>
    </w:p>
    <w:p w:rsidR="00AF729E" w:rsidRDefault="00333658" w:rsidP="00AF729E">
      <w:pPr>
        <w:rPr>
          <w:rFonts w:ascii="Calibri" w:eastAsia="MS Mincho" w:hAnsi="Calibri" w:cs="Times New Roman"/>
        </w:rPr>
      </w:pPr>
      <w:r>
        <w:rPr>
          <w:rFonts w:ascii="Calibri" w:eastAsia="MS Mincho" w:hAnsi="Calibri" w:cs="Times New Roman"/>
        </w:rPr>
        <w:t>Figure 7</w:t>
      </w:r>
      <w:r w:rsidRPr="00A912EC">
        <w:rPr>
          <w:rFonts w:ascii="Calibri" w:eastAsia="MS Mincho" w:hAnsi="Calibri" w:cs="Times New Roman"/>
        </w:rPr>
        <w:t xml:space="preserve"> </w:t>
      </w:r>
      <w:proofErr w:type="gramStart"/>
      <w:r w:rsidRPr="00A912EC">
        <w:rPr>
          <w:rFonts w:ascii="Calibri" w:eastAsia="MS Mincho" w:hAnsi="Calibri" w:cs="Times New Roman"/>
        </w:rPr>
        <w:t>shows</w:t>
      </w:r>
      <w:proofErr w:type="gramEnd"/>
      <w:r w:rsidRPr="00A912EC">
        <w:rPr>
          <w:rFonts w:ascii="Calibri" w:eastAsia="MS Mincho" w:hAnsi="Calibri" w:cs="Times New Roman"/>
        </w:rPr>
        <w:t xml:space="preserve"> that the discontinuation rate </w:t>
      </w:r>
      <w:r>
        <w:rPr>
          <w:rFonts w:ascii="Calibri" w:eastAsia="MS Mincho" w:hAnsi="Calibri" w:cs="Times New Roman"/>
        </w:rPr>
        <w:t>(</w:t>
      </w:r>
      <w:r w:rsidR="00095A9E">
        <w:rPr>
          <w:rFonts w:ascii="Calibri" w:eastAsia="MS Mincho" w:hAnsi="Calibri" w:cs="Times New Roman"/>
        </w:rPr>
        <w:t>i.e.</w:t>
      </w:r>
      <w:r w:rsidR="000A2F1A">
        <w:rPr>
          <w:rFonts w:ascii="Calibri" w:eastAsia="MS Mincho" w:hAnsi="Calibri" w:cs="Times New Roman"/>
        </w:rPr>
        <w:t xml:space="preserve"> </w:t>
      </w:r>
      <w:r>
        <w:rPr>
          <w:rFonts w:ascii="Calibri" w:eastAsia="MS Mincho" w:hAnsi="Calibri" w:cs="Times New Roman"/>
        </w:rPr>
        <w:t xml:space="preserve">rate of no further supply of </w:t>
      </w:r>
      <w:proofErr w:type="spellStart"/>
      <w:r>
        <w:rPr>
          <w:rFonts w:ascii="Calibri" w:eastAsia="MS Mincho" w:hAnsi="Calibri" w:cs="Times New Roman"/>
        </w:rPr>
        <w:t>lenalidomide</w:t>
      </w:r>
      <w:proofErr w:type="spellEnd"/>
      <w:r>
        <w:rPr>
          <w:rFonts w:ascii="Calibri" w:eastAsia="MS Mincho" w:hAnsi="Calibri" w:cs="Times New Roman"/>
        </w:rPr>
        <w:t xml:space="preserve">) </w:t>
      </w:r>
      <w:r w:rsidRPr="00A912EC">
        <w:rPr>
          <w:rFonts w:ascii="Calibri" w:eastAsia="MS Mincho" w:hAnsi="Calibri" w:cs="Times New Roman"/>
        </w:rPr>
        <w:t xml:space="preserve">after the first prescription </w:t>
      </w:r>
      <w:r>
        <w:rPr>
          <w:rFonts w:ascii="Calibri" w:eastAsia="MS Mincho" w:hAnsi="Calibri" w:cs="Times New Roman"/>
        </w:rPr>
        <w:t xml:space="preserve">supplied was </w:t>
      </w:r>
      <w:r w:rsidRPr="00A912EC">
        <w:rPr>
          <w:rFonts w:ascii="Calibri" w:eastAsia="MS Mincho" w:hAnsi="Calibri" w:cs="Times New Roman"/>
        </w:rPr>
        <w:t xml:space="preserve">13 / 74 = 17.6%. This is lower than </w:t>
      </w:r>
      <w:r w:rsidR="000A2F1A">
        <w:rPr>
          <w:rFonts w:ascii="Calibri" w:eastAsia="MS Mincho" w:hAnsi="Calibri" w:cs="Times New Roman"/>
        </w:rPr>
        <w:t xml:space="preserve">the </w:t>
      </w:r>
      <w:r w:rsidRPr="00A912EC">
        <w:rPr>
          <w:rFonts w:ascii="Calibri" w:eastAsia="MS Mincho" w:hAnsi="Calibri" w:cs="Times New Roman"/>
        </w:rPr>
        <w:t xml:space="preserve">non-responder rate of </w:t>
      </w:r>
      <w:r w:rsidR="00624706">
        <w:rPr>
          <w:rFonts w:ascii="Calibri" w:eastAsia="MS Mincho" w:hAnsi="Calibri" w:cs="Times New Roman"/>
          <w:noProof/>
          <w:color w:val="000000"/>
          <w:highlight w:val="black"/>
        </w:rPr>
        <w:t>'''''</w:t>
      </w:r>
      <w:r w:rsidRPr="00A912EC">
        <w:rPr>
          <w:rFonts w:ascii="Calibri" w:eastAsia="MS Mincho" w:hAnsi="Calibri" w:cs="Times New Roman"/>
        </w:rPr>
        <w:t>% assumed in the March 2013 submission</w:t>
      </w:r>
      <w:r>
        <w:rPr>
          <w:rFonts w:ascii="Calibri" w:eastAsia="MS Mincho" w:hAnsi="Calibri" w:cs="Times New Roman"/>
        </w:rPr>
        <w:t xml:space="preserve">, where it is assumed that </w:t>
      </w:r>
      <w:r>
        <w:rPr>
          <w:rFonts w:ascii="Calibri" w:eastAsia="MS Mincho" w:hAnsi="Calibri" w:cs="Times New Roman"/>
        </w:rPr>
        <w:lastRenderedPageBreak/>
        <w:t xml:space="preserve">non-responders will discontinue treatment.  If non-response (including patients intolerant to treatment) is defined as a patient not receiving a </w:t>
      </w:r>
      <w:r w:rsidR="000A2F1A">
        <w:rPr>
          <w:rFonts w:ascii="Calibri" w:eastAsia="MS Mincho" w:hAnsi="Calibri" w:cs="Times New Roman"/>
        </w:rPr>
        <w:t xml:space="preserve">second </w:t>
      </w:r>
      <w:r>
        <w:rPr>
          <w:rFonts w:ascii="Calibri" w:eastAsia="MS Mincho" w:hAnsi="Calibri" w:cs="Times New Roman"/>
        </w:rPr>
        <w:t xml:space="preserve">original script, then there were 25 such patients (calculated separately) in this cohort giving a rate of 33.8% non-responders who discontinued treatment. </w:t>
      </w:r>
    </w:p>
    <w:p w:rsidR="00AF729E" w:rsidRPr="00A912EC" w:rsidRDefault="00333658" w:rsidP="00AF729E">
      <w:pPr>
        <w:rPr>
          <w:rFonts w:ascii="Calibri" w:eastAsia="MS Mincho" w:hAnsi="Calibri" w:cs="Times New Roman"/>
        </w:rPr>
      </w:pPr>
      <w:r>
        <w:rPr>
          <w:rFonts w:ascii="Calibri" w:eastAsia="MS Mincho" w:hAnsi="Calibri" w:cs="Times New Roman"/>
        </w:rPr>
        <w:t xml:space="preserve">PBAC was concerned that some non-responders may not discontinue treatment. It is not possible to detect these patients using this analysis. However it can be said that the combined non-response </w:t>
      </w:r>
      <w:r w:rsidR="007F0669">
        <w:rPr>
          <w:rFonts w:ascii="Calibri" w:eastAsia="MS Mincho" w:hAnsi="Calibri" w:cs="Times New Roman"/>
        </w:rPr>
        <w:t xml:space="preserve">plus </w:t>
      </w:r>
      <w:r>
        <w:rPr>
          <w:rFonts w:ascii="Calibri" w:eastAsia="MS Mincho" w:hAnsi="Calibri" w:cs="Times New Roman"/>
        </w:rPr>
        <w:t>intolerance rate was at least 33.8% (including 17.6% who did not have more than one supply) which was greater than that non-response rate assumed in the submission (i</w:t>
      </w:r>
      <w:r w:rsidR="00AC731E">
        <w:rPr>
          <w:rFonts w:ascii="Calibri" w:eastAsia="MS Mincho" w:hAnsi="Calibri" w:cs="Times New Roman"/>
        </w:rPr>
        <w:t>.</w:t>
      </w:r>
      <w:r>
        <w:rPr>
          <w:rFonts w:ascii="Calibri" w:eastAsia="MS Mincho" w:hAnsi="Calibri" w:cs="Times New Roman"/>
        </w:rPr>
        <w:t xml:space="preserve">e. </w:t>
      </w:r>
      <w:proofErr w:type="gramStart"/>
      <w:r w:rsidR="00624706">
        <w:rPr>
          <w:rFonts w:ascii="Calibri" w:eastAsia="MS Mincho" w:hAnsi="Calibri" w:cs="Times New Roman"/>
          <w:noProof/>
          <w:color w:val="000000"/>
          <w:highlight w:val="black"/>
        </w:rPr>
        <w:t>''''''</w:t>
      </w:r>
      <w:r>
        <w:rPr>
          <w:rFonts w:ascii="Calibri" w:eastAsia="MS Mincho" w:hAnsi="Calibri" w:cs="Times New Roman"/>
        </w:rPr>
        <w:t>%</w:t>
      </w:r>
      <w:proofErr w:type="gramEnd"/>
      <w:r>
        <w:rPr>
          <w:rFonts w:ascii="Calibri" w:eastAsia="MS Mincho" w:hAnsi="Calibri" w:cs="Times New Roman"/>
        </w:rPr>
        <w:t>).</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The median and mean number of prescriptions per patient was 10 and 11.8</w:t>
      </w:r>
      <w:r w:rsidR="007F0669">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 xml:space="preserve"> respectively. Figure 7 shows this was made up of approximately 3 groups. The non-responders (including patients intolerant to treatment) who had from 1 to 4 prescriptions (the standard number of </w:t>
      </w:r>
      <w:r w:rsidR="00072468">
        <w:rPr>
          <w:rFonts w:ascii="Calibri" w:eastAsia="Times New Roman" w:hAnsi="Calibri" w:cs="Times New Roman"/>
          <w:iCs/>
          <w:snapToGrid w:val="0"/>
          <w:lang w:eastAsia="en-US"/>
        </w:rPr>
        <w:t>repeats is</w:t>
      </w:r>
      <w:r>
        <w:rPr>
          <w:rFonts w:ascii="Calibri" w:eastAsia="Times New Roman" w:hAnsi="Calibri" w:cs="Times New Roman"/>
          <w:iCs/>
          <w:snapToGrid w:val="0"/>
          <w:lang w:eastAsia="en-US"/>
        </w:rPr>
        <w:t xml:space="preserve"> 3), the patients that were still continuing after 24 months (these are probably the patients with 22 to 31 prescriptions) and the</w:t>
      </w:r>
      <w:r w:rsidR="007F0669">
        <w:rPr>
          <w:rFonts w:ascii="Calibri" w:eastAsia="Times New Roman" w:hAnsi="Calibri" w:cs="Times New Roman"/>
          <w:iCs/>
          <w:snapToGrid w:val="0"/>
          <w:lang w:eastAsia="en-US"/>
        </w:rPr>
        <w:t xml:space="preserve"> </w:t>
      </w:r>
      <w:r>
        <w:rPr>
          <w:rFonts w:ascii="Calibri" w:eastAsia="Times New Roman" w:hAnsi="Calibri" w:cs="Times New Roman"/>
          <w:iCs/>
          <w:snapToGrid w:val="0"/>
          <w:lang w:eastAsia="en-US"/>
        </w:rPr>
        <w:t>rest which had stopped after a course of treatment.</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mean number of 11.8 prescriptions per patient was more than the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treatments assumed in the submission.</w:t>
      </w:r>
    </w:p>
    <w:p w:rsidR="00AF729E" w:rsidRPr="00952BB2"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 </w:t>
      </w:r>
      <w:r>
        <w:rPr>
          <w:noProof/>
        </w:rPr>
        <w:drawing>
          <wp:inline distT="0" distB="0" distL="0" distR="0" wp14:anchorId="16BB09D7" wp14:editId="20753F1F">
            <wp:extent cx="5687695" cy="3715232"/>
            <wp:effectExtent l="0" t="0" r="27305" b="19050"/>
            <wp:docPr id="27" name="Chart 27" title="Figure 8: Distribution of the number of lenalidomide prescriptions per patient by strength in 24 months post initia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Calibri" w:eastAsia="MS Mincho" w:hAnsi="Calibri" w:cs="Times New Roman"/>
          <w:b/>
        </w:rPr>
        <w:t>Figure 8</w:t>
      </w:r>
      <w:r w:rsidRPr="00B87CD5">
        <w:rPr>
          <w:rFonts w:ascii="Calibri" w:eastAsia="MS Mincho" w:hAnsi="Calibri" w:cs="Times New Roman"/>
          <w:b/>
        </w:rPr>
        <w:t xml:space="preserve">: </w:t>
      </w:r>
      <w:r>
        <w:rPr>
          <w:rFonts w:ascii="Calibri" w:eastAsia="MS Mincho" w:hAnsi="Calibri" w:cs="Times New Roman"/>
          <w:b/>
        </w:rPr>
        <w:t xml:space="preserve">Distribution of the number of </w:t>
      </w:r>
      <w:proofErr w:type="spellStart"/>
      <w:r>
        <w:rPr>
          <w:rFonts w:ascii="Calibri" w:eastAsia="MS Mincho" w:hAnsi="Calibri" w:cs="Times New Roman"/>
          <w:b/>
        </w:rPr>
        <w:t>lenalidomide</w:t>
      </w:r>
      <w:proofErr w:type="spellEnd"/>
      <w:r>
        <w:rPr>
          <w:rFonts w:ascii="Calibri" w:eastAsia="MS Mincho" w:hAnsi="Calibri" w:cs="Times New Roman"/>
          <w:b/>
        </w:rPr>
        <w:t xml:space="preserve"> prescriptions per patient by strength in 24 months post initiation </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median and mean number of prescriptions per patient was 10 and 10.8 respectively for </w:t>
      </w:r>
      <w:r w:rsidR="00072468">
        <w:rPr>
          <w:rFonts w:ascii="Calibri" w:eastAsia="Times New Roman" w:hAnsi="Calibri" w:cs="Times New Roman"/>
          <w:iCs/>
          <w:snapToGrid w:val="0"/>
          <w:lang w:eastAsia="en-US"/>
        </w:rPr>
        <w:t>5</w:t>
      </w:r>
      <w:r w:rsidR="00AC731E">
        <w:rPr>
          <w:rFonts w:ascii="Calibri" w:eastAsia="Times New Roman" w:hAnsi="Calibri" w:cs="Times New Roman"/>
          <w:iCs/>
          <w:snapToGrid w:val="0"/>
          <w:lang w:eastAsia="en-US"/>
        </w:rPr>
        <w:t> </w:t>
      </w:r>
      <w:r w:rsidR="00072468">
        <w:rPr>
          <w:rFonts w:ascii="Calibri" w:eastAsia="Times New Roman" w:hAnsi="Calibri" w:cs="Times New Roman"/>
          <w:iCs/>
          <w:snapToGrid w:val="0"/>
          <w:lang w:eastAsia="en-US"/>
        </w:rPr>
        <w:t>mg and 4</w:t>
      </w:r>
      <w:r>
        <w:rPr>
          <w:rFonts w:ascii="Calibri" w:eastAsia="Times New Roman" w:hAnsi="Calibri" w:cs="Times New Roman"/>
          <w:iCs/>
          <w:snapToGrid w:val="0"/>
          <w:lang w:eastAsia="en-US"/>
        </w:rPr>
        <w:t xml:space="preserve"> and 9.3 respectively for </w:t>
      </w:r>
      <w:r w:rsidR="00072468">
        <w:rPr>
          <w:rFonts w:ascii="Calibri" w:eastAsia="Times New Roman" w:hAnsi="Calibri" w:cs="Times New Roman"/>
          <w:iCs/>
          <w:snapToGrid w:val="0"/>
          <w:lang w:eastAsia="en-US"/>
        </w:rPr>
        <w:t>10</w:t>
      </w:r>
      <w:r w:rsidR="00AC731E">
        <w:rPr>
          <w:rFonts w:ascii="Calibri" w:eastAsia="Times New Roman" w:hAnsi="Calibri" w:cs="Times New Roman"/>
          <w:iCs/>
          <w:snapToGrid w:val="0"/>
          <w:lang w:eastAsia="en-US"/>
        </w:rPr>
        <w:t> </w:t>
      </w:r>
      <w:r w:rsidR="00072468">
        <w:rPr>
          <w:rFonts w:ascii="Calibri" w:eastAsia="Times New Roman" w:hAnsi="Calibri" w:cs="Times New Roman"/>
          <w:iCs/>
          <w:snapToGrid w:val="0"/>
          <w:lang w:eastAsia="en-US"/>
        </w:rPr>
        <w:t xml:space="preserve">mg. </w:t>
      </w:r>
      <w:r>
        <w:rPr>
          <w:rFonts w:ascii="Calibri" w:eastAsia="Times New Roman" w:hAnsi="Calibri" w:cs="Times New Roman"/>
          <w:iCs/>
          <w:snapToGrid w:val="0"/>
          <w:lang w:eastAsia="en-US"/>
        </w:rPr>
        <w:t xml:space="preserve">There is a large difference in the median and </w:t>
      </w:r>
      <w:r>
        <w:rPr>
          <w:rFonts w:ascii="Calibri" w:eastAsia="Times New Roman" w:hAnsi="Calibri" w:cs="Times New Roman"/>
          <w:iCs/>
          <w:snapToGrid w:val="0"/>
          <w:lang w:eastAsia="en-US"/>
        </w:rPr>
        <w:lastRenderedPageBreak/>
        <w:t xml:space="preserve">mean for the 10 mg capsule because the distribution is bimodal. The submission assumed an average of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prescriptions for the 10</w:t>
      </w:r>
      <w:r w:rsidR="00AC731E">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 xml:space="preserve">mg capsule in a course of treatment and this is close the actual average of 9.3. </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For the 5 mg capsule the submission assumed an average of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prescriptions in a course of treatment. This is slightly more than actual average of 10.8 prescriptions</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Note that this “by strength” analysis does not have regard to whether or not a patient had </w:t>
      </w:r>
      <w:proofErr w:type="gramStart"/>
      <w:r>
        <w:rPr>
          <w:rFonts w:ascii="Calibri" w:eastAsia="Times New Roman" w:hAnsi="Calibri" w:cs="Times New Roman"/>
          <w:iCs/>
          <w:snapToGrid w:val="0"/>
          <w:lang w:eastAsia="en-US"/>
        </w:rPr>
        <w:t>more than one strength</w:t>
      </w:r>
      <w:proofErr w:type="gramEnd"/>
      <w:r>
        <w:rPr>
          <w:rFonts w:ascii="Calibri" w:eastAsia="Times New Roman" w:hAnsi="Calibri" w:cs="Times New Roman"/>
          <w:iCs/>
          <w:snapToGrid w:val="0"/>
          <w:lang w:eastAsia="en-US"/>
        </w:rPr>
        <w:t>, each strength is analysed independently.</w:t>
      </w:r>
    </w:p>
    <w:p w:rsidR="00AF729E" w:rsidRPr="00031E76" w:rsidRDefault="00333658" w:rsidP="00AF729E">
      <w:pPr>
        <w:spacing w:line="276" w:lineRule="auto"/>
        <w:rPr>
          <w:rFonts w:ascii="Calibri" w:eastAsia="Times New Roman" w:hAnsi="Calibri" w:cs="Times New Roman"/>
          <w:b/>
          <w:i/>
          <w:iCs/>
          <w:snapToGrid w:val="0"/>
          <w:lang w:eastAsia="en-US"/>
        </w:rPr>
      </w:pPr>
      <w:r w:rsidRPr="00031E76">
        <w:rPr>
          <w:rFonts w:ascii="Calibri" w:eastAsia="Times New Roman" w:hAnsi="Calibri" w:cs="Times New Roman"/>
          <w:b/>
          <w:i/>
          <w:iCs/>
          <w:snapToGrid w:val="0"/>
          <w:lang w:eastAsia="en-US"/>
        </w:rPr>
        <w:t xml:space="preserve">3.4 Reduction in </w:t>
      </w:r>
      <w:proofErr w:type="spellStart"/>
      <w:r w:rsidR="00072468" w:rsidRPr="00031E76">
        <w:rPr>
          <w:rFonts w:ascii="Calibri" w:eastAsia="Times New Roman" w:hAnsi="Calibri" w:cs="Times New Roman"/>
          <w:b/>
          <w:i/>
          <w:iCs/>
          <w:snapToGrid w:val="0"/>
          <w:lang w:eastAsia="en-US"/>
        </w:rPr>
        <w:t>deferasirox</w:t>
      </w:r>
      <w:proofErr w:type="spellEnd"/>
      <w:r w:rsidRPr="00031E76">
        <w:rPr>
          <w:rFonts w:ascii="Calibri" w:eastAsia="Times New Roman" w:hAnsi="Calibri" w:cs="Times New Roman"/>
          <w:b/>
          <w:i/>
          <w:iCs/>
          <w:snapToGrid w:val="0"/>
          <w:lang w:eastAsia="en-US"/>
        </w:rPr>
        <w:t xml:space="preserve"> and increase in granulocyte colony-stimulating factor (</w:t>
      </w:r>
      <w:proofErr w:type="spellStart"/>
      <w:r>
        <w:rPr>
          <w:rFonts w:ascii="Calibri" w:eastAsia="Times New Roman" w:hAnsi="Calibri" w:cs="Times New Roman"/>
          <w:b/>
          <w:i/>
          <w:iCs/>
          <w:snapToGrid w:val="0"/>
          <w:lang w:eastAsia="en-US"/>
        </w:rPr>
        <w:t>gCSF</w:t>
      </w:r>
      <w:proofErr w:type="spellEnd"/>
      <w:r w:rsidRPr="00031E76">
        <w:rPr>
          <w:rFonts w:ascii="Calibri" w:eastAsia="Times New Roman" w:hAnsi="Calibri" w:cs="Times New Roman"/>
          <w:b/>
          <w:i/>
          <w:iCs/>
          <w:snapToGrid w:val="0"/>
          <w:lang w:eastAsia="en-US"/>
        </w:rPr>
        <w:t>) medication costs</w:t>
      </w:r>
    </w:p>
    <w:p w:rsidR="00AF729E" w:rsidRPr="00501438" w:rsidRDefault="00333658" w:rsidP="00AF729E">
      <w:pPr>
        <w:rPr>
          <w:rFonts w:ascii="Calibri" w:eastAsia="Times New Roman" w:hAnsi="Calibri" w:cs="Times New Roman"/>
          <w:iCs/>
          <w:snapToGrid w:val="0"/>
          <w:lang w:eastAsia="en-US"/>
        </w:rPr>
      </w:pPr>
      <w:r w:rsidRPr="00501438">
        <w:rPr>
          <w:rFonts w:ascii="Calibri" w:eastAsia="Times New Roman" w:hAnsi="Calibri" w:cs="Times New Roman"/>
          <w:iCs/>
          <w:snapToGrid w:val="0"/>
          <w:lang w:eastAsia="en-US"/>
        </w:rPr>
        <w:t>T</w:t>
      </w:r>
      <w:r>
        <w:rPr>
          <w:rFonts w:ascii="Calibri" w:eastAsia="Times New Roman" w:hAnsi="Calibri" w:cs="Times New Roman"/>
          <w:iCs/>
          <w:snapToGrid w:val="0"/>
          <w:lang w:eastAsia="en-US"/>
        </w:rPr>
        <w:t>he March 2013 submission assumed</w:t>
      </w:r>
      <w:r w:rsidRPr="00501438">
        <w:rPr>
          <w:rFonts w:ascii="Calibri" w:eastAsia="Times New Roman" w:hAnsi="Calibri" w:cs="Times New Roman"/>
          <w:iCs/>
          <w:snapToGrid w:val="0"/>
          <w:lang w:eastAsia="en-US"/>
        </w:rPr>
        <w:t xml:space="preserve"> cost savings through reduction in </w:t>
      </w:r>
      <w:proofErr w:type="spellStart"/>
      <w:r w:rsidR="00072468" w:rsidRPr="00501438">
        <w:rPr>
          <w:rFonts w:ascii="Calibri" w:eastAsia="Times New Roman" w:hAnsi="Calibri" w:cs="Times New Roman"/>
          <w:iCs/>
          <w:snapToGrid w:val="0"/>
          <w:lang w:eastAsia="en-US"/>
        </w:rPr>
        <w:t>deferasirox</w:t>
      </w:r>
      <w:proofErr w:type="spellEnd"/>
      <w:r w:rsidRPr="00501438">
        <w:rPr>
          <w:rFonts w:ascii="Calibri" w:eastAsia="Times New Roman" w:hAnsi="Calibri" w:cs="Times New Roman"/>
          <w:iCs/>
          <w:snapToGrid w:val="0"/>
          <w:lang w:eastAsia="en-US"/>
        </w:rPr>
        <w:t xml:space="preserve"> use and additional costs due to an increase in </w:t>
      </w:r>
      <w:proofErr w:type="spellStart"/>
      <w:r>
        <w:rPr>
          <w:rFonts w:ascii="Calibri" w:eastAsia="Times New Roman" w:hAnsi="Calibri" w:cs="Times New Roman"/>
          <w:iCs/>
          <w:snapToGrid w:val="0"/>
          <w:lang w:eastAsia="en-US"/>
        </w:rPr>
        <w:t>gCSF</w:t>
      </w:r>
      <w:proofErr w:type="spellEnd"/>
      <w:r w:rsidRPr="00501438">
        <w:rPr>
          <w:rFonts w:ascii="Calibri" w:eastAsia="Times New Roman" w:hAnsi="Calibri" w:cs="Times New Roman"/>
          <w:iCs/>
          <w:snapToGrid w:val="0"/>
          <w:lang w:eastAsia="en-US"/>
        </w:rPr>
        <w:t xml:space="preserve"> use. To test this assumption</w:t>
      </w:r>
      <w:r w:rsidR="007F0669">
        <w:rPr>
          <w:rFonts w:ascii="Calibri" w:eastAsia="Times New Roman" w:hAnsi="Calibri" w:cs="Times New Roman"/>
          <w:iCs/>
          <w:snapToGrid w:val="0"/>
          <w:lang w:eastAsia="en-US"/>
        </w:rPr>
        <w:t>,</w:t>
      </w:r>
      <w:r w:rsidRPr="00501438">
        <w:rPr>
          <w:rFonts w:ascii="Calibri" w:eastAsia="Times New Roman" w:hAnsi="Calibri" w:cs="Times New Roman"/>
          <w:iCs/>
          <w:snapToGrid w:val="0"/>
          <w:lang w:eastAsia="en-US"/>
        </w:rPr>
        <w:t xml:space="preserve"> the </w:t>
      </w:r>
      <w:proofErr w:type="spellStart"/>
      <w:r w:rsidR="00072468" w:rsidRPr="00501438">
        <w:rPr>
          <w:rFonts w:ascii="Calibri" w:eastAsia="Times New Roman" w:hAnsi="Calibri" w:cs="Times New Roman"/>
          <w:iCs/>
          <w:snapToGrid w:val="0"/>
          <w:lang w:eastAsia="en-US"/>
        </w:rPr>
        <w:t>deferasirox</w:t>
      </w:r>
      <w:proofErr w:type="spellEnd"/>
      <w:r w:rsidRPr="00501438">
        <w:rPr>
          <w:rFonts w:ascii="Calibri" w:eastAsia="Times New Roman" w:hAnsi="Calibri" w:cs="Times New Roman"/>
          <w:iCs/>
          <w:snapToGrid w:val="0"/>
          <w:lang w:eastAsia="en-US"/>
        </w:rPr>
        <w:t xml:space="preserve"> and </w:t>
      </w:r>
      <w:proofErr w:type="spellStart"/>
      <w:r>
        <w:rPr>
          <w:rFonts w:ascii="Calibri" w:eastAsia="Times New Roman" w:hAnsi="Calibri" w:cs="Times New Roman"/>
          <w:iCs/>
          <w:snapToGrid w:val="0"/>
          <w:lang w:eastAsia="en-US"/>
        </w:rPr>
        <w:t>gCSF</w:t>
      </w:r>
      <w:proofErr w:type="spellEnd"/>
      <w:r w:rsidRPr="00501438">
        <w:rPr>
          <w:rFonts w:ascii="Calibri" w:eastAsia="Times New Roman" w:hAnsi="Calibri" w:cs="Times New Roman"/>
          <w:iCs/>
          <w:snapToGrid w:val="0"/>
          <w:lang w:eastAsia="en-US"/>
        </w:rPr>
        <w:t xml:space="preserve"> (ATC = L03AA; </w:t>
      </w:r>
      <w:proofErr w:type="spellStart"/>
      <w:r w:rsidRPr="00501438">
        <w:rPr>
          <w:rFonts w:ascii="Calibri" w:eastAsia="Times New Roman" w:hAnsi="Calibri" w:cs="Times New Roman"/>
          <w:iCs/>
          <w:snapToGrid w:val="0"/>
          <w:lang w:eastAsia="en-US"/>
        </w:rPr>
        <w:t>filgrastim</w:t>
      </w:r>
      <w:proofErr w:type="spellEnd"/>
      <w:r w:rsidRPr="00501438">
        <w:rPr>
          <w:rFonts w:ascii="Calibri" w:eastAsia="Times New Roman" w:hAnsi="Calibri" w:cs="Times New Roman"/>
          <w:iCs/>
          <w:snapToGrid w:val="0"/>
          <w:lang w:eastAsia="en-US"/>
        </w:rPr>
        <w:t xml:space="preserve">, </w:t>
      </w:r>
      <w:proofErr w:type="spellStart"/>
      <w:r w:rsidRPr="00501438">
        <w:rPr>
          <w:rFonts w:ascii="Calibri" w:eastAsia="Times New Roman" w:hAnsi="Calibri" w:cs="Times New Roman"/>
          <w:iCs/>
          <w:snapToGrid w:val="0"/>
          <w:lang w:eastAsia="en-US"/>
        </w:rPr>
        <w:t>lenograstim</w:t>
      </w:r>
      <w:proofErr w:type="spellEnd"/>
      <w:r w:rsidRPr="00501438">
        <w:rPr>
          <w:rFonts w:ascii="Calibri" w:eastAsia="Times New Roman" w:hAnsi="Calibri" w:cs="Times New Roman"/>
          <w:iCs/>
          <w:snapToGrid w:val="0"/>
          <w:lang w:eastAsia="en-US"/>
        </w:rPr>
        <w:t xml:space="preserve">, </w:t>
      </w:r>
      <w:proofErr w:type="spellStart"/>
      <w:r w:rsidRPr="00501438">
        <w:rPr>
          <w:rFonts w:ascii="Calibri" w:eastAsia="Times New Roman" w:hAnsi="Calibri" w:cs="Times New Roman"/>
          <w:iCs/>
          <w:snapToGrid w:val="0"/>
          <w:lang w:eastAsia="en-US"/>
        </w:rPr>
        <w:t>lipegfilgrastim</w:t>
      </w:r>
      <w:proofErr w:type="spellEnd"/>
      <w:r w:rsidRPr="00501438">
        <w:rPr>
          <w:rFonts w:ascii="Calibri" w:eastAsia="Times New Roman" w:hAnsi="Calibri" w:cs="Times New Roman"/>
          <w:iCs/>
          <w:snapToGrid w:val="0"/>
          <w:lang w:eastAsia="en-US"/>
        </w:rPr>
        <w:t xml:space="preserve">, </w:t>
      </w:r>
      <w:proofErr w:type="spellStart"/>
      <w:r w:rsidRPr="00501438">
        <w:rPr>
          <w:rFonts w:ascii="Calibri" w:eastAsia="Times New Roman" w:hAnsi="Calibri" w:cs="Times New Roman"/>
          <w:iCs/>
          <w:snapToGrid w:val="0"/>
          <w:lang w:eastAsia="en-US"/>
        </w:rPr>
        <w:t>pegfilgrastim</w:t>
      </w:r>
      <w:proofErr w:type="spellEnd"/>
      <w:r w:rsidRPr="00501438">
        <w:rPr>
          <w:rFonts w:ascii="Calibri" w:eastAsia="Times New Roman" w:hAnsi="Calibri" w:cs="Times New Roman"/>
          <w:iCs/>
          <w:snapToGrid w:val="0"/>
          <w:lang w:eastAsia="en-US"/>
        </w:rPr>
        <w:t xml:space="preserve">) use for </w:t>
      </w:r>
      <w:r>
        <w:rPr>
          <w:rFonts w:ascii="Calibri" w:eastAsia="Times New Roman" w:hAnsi="Calibri" w:cs="Times New Roman"/>
          <w:iCs/>
          <w:snapToGrid w:val="0"/>
          <w:lang w:eastAsia="en-US"/>
        </w:rPr>
        <w:t>Cohort MDS</w:t>
      </w:r>
      <w:r w:rsidRPr="00501438">
        <w:rPr>
          <w:rFonts w:ascii="Calibri" w:eastAsia="Times New Roman" w:hAnsi="Calibri" w:cs="Times New Roman"/>
          <w:iCs/>
          <w:snapToGrid w:val="0"/>
          <w:lang w:eastAsia="en-US"/>
        </w:rPr>
        <w:t xml:space="preserve"> </w:t>
      </w:r>
      <w:r>
        <w:rPr>
          <w:rFonts w:ascii="Calibri" w:eastAsia="Times New Roman" w:hAnsi="Calibri" w:cs="Times New Roman"/>
          <w:iCs/>
          <w:snapToGrid w:val="0"/>
          <w:lang w:eastAsia="en-US"/>
        </w:rPr>
        <w:t xml:space="preserve">(n=141) </w:t>
      </w:r>
      <w:r w:rsidRPr="00501438">
        <w:rPr>
          <w:rFonts w:ascii="Calibri" w:eastAsia="Times New Roman" w:hAnsi="Calibri" w:cs="Times New Roman"/>
          <w:iCs/>
          <w:snapToGrid w:val="0"/>
          <w:lang w:eastAsia="en-US"/>
        </w:rPr>
        <w:t xml:space="preserve">was extracted from the DHS </w:t>
      </w:r>
      <w:r>
        <w:rPr>
          <w:rFonts w:ascii="Calibri" w:eastAsia="Times New Roman" w:hAnsi="Calibri" w:cs="Times New Roman"/>
          <w:iCs/>
          <w:snapToGrid w:val="0"/>
          <w:lang w:eastAsia="en-US"/>
        </w:rPr>
        <w:t xml:space="preserve">pharmacy claim </w:t>
      </w:r>
      <w:r w:rsidRPr="00501438">
        <w:rPr>
          <w:rFonts w:ascii="Calibri" w:eastAsia="Times New Roman" w:hAnsi="Calibri" w:cs="Times New Roman"/>
          <w:iCs/>
          <w:snapToGrid w:val="0"/>
          <w:lang w:eastAsia="en-US"/>
        </w:rPr>
        <w:t xml:space="preserve">prescription database. </w:t>
      </w:r>
    </w:p>
    <w:p w:rsidR="00AF729E" w:rsidRDefault="00333658" w:rsidP="00AF729E">
      <w:pPr>
        <w:rPr>
          <w:rFonts w:ascii="Calibri" w:eastAsia="Times New Roman" w:hAnsi="Calibri" w:cs="Times New Roman"/>
          <w:iCs/>
          <w:snapToGrid w:val="0"/>
          <w:lang w:eastAsia="en-US"/>
        </w:rPr>
      </w:pPr>
      <w:r w:rsidRPr="00501438">
        <w:rPr>
          <w:rFonts w:ascii="Calibri" w:eastAsia="Times New Roman" w:hAnsi="Calibri" w:cs="Times New Roman"/>
          <w:iCs/>
          <w:snapToGrid w:val="0"/>
          <w:lang w:eastAsia="en-US"/>
        </w:rPr>
        <w:t xml:space="preserve">All these drugs have an HSD listing and so the previously mentioned data limitation in the patient level PBS data (see </w:t>
      </w:r>
      <w:r>
        <w:rPr>
          <w:rFonts w:ascii="Calibri" w:eastAsia="Times New Roman" w:hAnsi="Calibri" w:cs="Times New Roman"/>
          <w:iCs/>
          <w:snapToGrid w:val="0"/>
          <w:lang w:eastAsia="en-US"/>
        </w:rPr>
        <w:t>Appendix B</w:t>
      </w:r>
      <w:r w:rsidRPr="00501438">
        <w:rPr>
          <w:rFonts w:ascii="Calibri" w:eastAsia="Times New Roman" w:hAnsi="Calibri" w:cs="Times New Roman"/>
          <w:iCs/>
          <w:snapToGrid w:val="0"/>
          <w:lang w:eastAsia="en-US"/>
        </w:rPr>
        <w:t>) is again relevant to this analysis. The patient level data is complete from July 2013, so it is not possible to compare PBS expenditure on these drugs for th</w:t>
      </w:r>
      <w:r>
        <w:rPr>
          <w:rFonts w:ascii="Calibri" w:eastAsia="Times New Roman" w:hAnsi="Calibri" w:cs="Times New Roman"/>
          <w:iCs/>
          <w:snapToGrid w:val="0"/>
          <w:lang w:eastAsia="en-US"/>
        </w:rPr>
        <w:t>e</w:t>
      </w:r>
      <w:r w:rsidRPr="00501438">
        <w:rPr>
          <w:rFonts w:ascii="Calibri" w:eastAsia="Times New Roman" w:hAnsi="Calibri" w:cs="Times New Roman"/>
          <w:iCs/>
          <w:snapToGrid w:val="0"/>
          <w:lang w:eastAsia="en-US"/>
        </w:rPr>
        <w:t xml:space="preserve"> MDS patient cohort in the </w:t>
      </w:r>
      <w:r>
        <w:rPr>
          <w:rFonts w:ascii="Calibri" w:eastAsia="Times New Roman" w:hAnsi="Calibri" w:cs="Times New Roman"/>
          <w:iCs/>
          <w:snapToGrid w:val="0"/>
          <w:lang w:eastAsia="en-US"/>
        </w:rPr>
        <w:t xml:space="preserve">full </w:t>
      </w:r>
      <w:r w:rsidRPr="00501438">
        <w:rPr>
          <w:rFonts w:ascii="Calibri" w:eastAsia="Times New Roman" w:hAnsi="Calibri" w:cs="Times New Roman"/>
          <w:iCs/>
          <w:snapToGrid w:val="0"/>
          <w:lang w:eastAsia="en-US"/>
        </w:rPr>
        <w:t>year prior to listing (October 2012 to September 2013</w:t>
      </w:r>
      <w:r w:rsidR="00072468" w:rsidRPr="00501438">
        <w:rPr>
          <w:rFonts w:ascii="Calibri" w:eastAsia="Times New Roman" w:hAnsi="Calibri" w:cs="Times New Roman"/>
          <w:iCs/>
          <w:snapToGrid w:val="0"/>
          <w:lang w:eastAsia="en-US"/>
        </w:rPr>
        <w:t>) with</w:t>
      </w:r>
      <w:r w:rsidRPr="00501438">
        <w:rPr>
          <w:rFonts w:ascii="Calibri" w:eastAsia="Times New Roman" w:hAnsi="Calibri" w:cs="Times New Roman"/>
          <w:iCs/>
          <w:snapToGrid w:val="0"/>
          <w:lang w:eastAsia="en-US"/>
        </w:rPr>
        <w:t xml:space="preserve"> the years after listing, because the year prior to listing is incomplete. Thus an alternative approach was taken, where for each patient the expenditure in the 12</w:t>
      </w:r>
      <w:r w:rsidR="00AC731E">
        <w:rPr>
          <w:rFonts w:ascii="Calibri" w:eastAsia="Times New Roman" w:hAnsi="Calibri" w:cs="Times New Roman"/>
          <w:iCs/>
          <w:snapToGrid w:val="0"/>
          <w:lang w:eastAsia="en-US"/>
        </w:rPr>
        <w:t> </w:t>
      </w:r>
      <w:r w:rsidRPr="00501438">
        <w:rPr>
          <w:rFonts w:ascii="Calibri" w:eastAsia="Times New Roman" w:hAnsi="Calibri" w:cs="Times New Roman"/>
          <w:iCs/>
          <w:snapToGrid w:val="0"/>
          <w:lang w:eastAsia="en-US"/>
        </w:rPr>
        <w:t xml:space="preserve">months prior and post initiation was compared for the </w:t>
      </w:r>
      <w:r>
        <w:rPr>
          <w:rFonts w:ascii="Calibri" w:eastAsia="Times New Roman" w:hAnsi="Calibri" w:cs="Times New Roman"/>
          <w:iCs/>
          <w:snapToGrid w:val="0"/>
          <w:lang w:eastAsia="en-US"/>
        </w:rPr>
        <w:t xml:space="preserve">Cohort </w:t>
      </w:r>
      <w:r w:rsidRPr="00501438">
        <w:rPr>
          <w:rFonts w:ascii="Calibri" w:eastAsia="Times New Roman" w:hAnsi="Calibri" w:cs="Times New Roman"/>
          <w:iCs/>
          <w:snapToGrid w:val="0"/>
          <w:lang w:eastAsia="en-US"/>
        </w:rPr>
        <w:t>MDS patient</w:t>
      </w:r>
      <w:r>
        <w:rPr>
          <w:rFonts w:ascii="Calibri" w:eastAsia="Times New Roman" w:hAnsi="Calibri" w:cs="Times New Roman"/>
          <w:iCs/>
          <w:snapToGrid w:val="0"/>
          <w:lang w:eastAsia="en-US"/>
        </w:rPr>
        <w:t>s</w:t>
      </w:r>
      <w:r w:rsidRPr="00501438">
        <w:rPr>
          <w:rFonts w:ascii="Calibri" w:eastAsia="Times New Roman" w:hAnsi="Calibri" w:cs="Times New Roman"/>
          <w:iCs/>
          <w:snapToGrid w:val="0"/>
          <w:lang w:eastAsia="en-US"/>
        </w:rPr>
        <w:t xml:space="preserve"> that </w:t>
      </w:r>
      <w:r w:rsidR="00072468" w:rsidRPr="00501438">
        <w:rPr>
          <w:rFonts w:ascii="Calibri" w:eastAsia="Times New Roman" w:hAnsi="Calibri" w:cs="Times New Roman"/>
          <w:iCs/>
          <w:snapToGrid w:val="0"/>
          <w:lang w:eastAsia="en-US"/>
        </w:rPr>
        <w:t>initiated</w:t>
      </w:r>
      <w:r w:rsidRPr="00501438">
        <w:rPr>
          <w:rFonts w:ascii="Calibri" w:eastAsia="Times New Roman" w:hAnsi="Calibri" w:cs="Times New Roman"/>
          <w:iCs/>
          <w:snapToGrid w:val="0"/>
          <w:lang w:eastAsia="en-US"/>
        </w:rPr>
        <w:t xml:space="preserve"> </w:t>
      </w:r>
      <w:proofErr w:type="spellStart"/>
      <w:r w:rsidRPr="00501438">
        <w:rPr>
          <w:rFonts w:ascii="Calibri" w:eastAsia="Times New Roman" w:hAnsi="Calibri" w:cs="Times New Roman"/>
          <w:iCs/>
          <w:snapToGrid w:val="0"/>
          <w:lang w:eastAsia="en-US"/>
        </w:rPr>
        <w:t>lenalidomide</w:t>
      </w:r>
      <w:proofErr w:type="spellEnd"/>
      <w:r w:rsidRPr="00501438">
        <w:rPr>
          <w:rFonts w:ascii="Calibri" w:eastAsia="Times New Roman" w:hAnsi="Calibri" w:cs="Times New Roman"/>
          <w:iCs/>
          <w:snapToGrid w:val="0"/>
          <w:lang w:eastAsia="en-US"/>
        </w:rPr>
        <w:t xml:space="preserve"> from July 2014 to the end of March 2016 (n=74). All these patients have complete 12 month history pre and post initiation. Only 19 of these 74 patients had </w:t>
      </w:r>
      <w:r w:rsidR="00072468" w:rsidRPr="00501438">
        <w:rPr>
          <w:rFonts w:ascii="Calibri" w:eastAsia="Times New Roman" w:hAnsi="Calibri" w:cs="Times New Roman"/>
          <w:iCs/>
          <w:snapToGrid w:val="0"/>
          <w:lang w:eastAsia="en-US"/>
        </w:rPr>
        <w:t xml:space="preserve">either </w:t>
      </w:r>
      <w:proofErr w:type="spellStart"/>
      <w:r w:rsidR="00072468" w:rsidRPr="00501438">
        <w:rPr>
          <w:rFonts w:ascii="Calibri" w:eastAsia="Times New Roman" w:hAnsi="Calibri" w:cs="Times New Roman"/>
          <w:iCs/>
          <w:snapToGrid w:val="0"/>
          <w:lang w:eastAsia="en-US"/>
        </w:rPr>
        <w:t>deferasirox</w:t>
      </w:r>
      <w:proofErr w:type="spellEnd"/>
      <w:r w:rsidR="00072468" w:rsidRPr="00501438">
        <w:rPr>
          <w:rFonts w:ascii="Calibri" w:eastAsia="Times New Roman" w:hAnsi="Calibri" w:cs="Times New Roman"/>
          <w:iCs/>
          <w:snapToGrid w:val="0"/>
          <w:lang w:eastAsia="en-US"/>
        </w:rPr>
        <w:t xml:space="preserve"> or</w:t>
      </w:r>
      <w:r w:rsidRPr="00501438">
        <w:rPr>
          <w:rFonts w:ascii="Calibri" w:eastAsia="Times New Roman" w:hAnsi="Calibri" w:cs="Times New Roman"/>
          <w:iCs/>
          <w:snapToGrid w:val="0"/>
          <w:lang w:eastAsia="en-US"/>
        </w:rPr>
        <w:t xml:space="preserve"> </w:t>
      </w:r>
      <w:proofErr w:type="spellStart"/>
      <w:r>
        <w:rPr>
          <w:rFonts w:ascii="Calibri" w:eastAsia="Times New Roman" w:hAnsi="Calibri" w:cs="Times New Roman"/>
          <w:iCs/>
          <w:snapToGrid w:val="0"/>
          <w:lang w:eastAsia="en-US"/>
        </w:rPr>
        <w:t>gCSF</w:t>
      </w:r>
      <w:proofErr w:type="spellEnd"/>
      <w:r w:rsidRPr="00501438">
        <w:rPr>
          <w:rFonts w:ascii="Calibri" w:eastAsia="Times New Roman" w:hAnsi="Calibri" w:cs="Times New Roman"/>
          <w:iCs/>
          <w:snapToGrid w:val="0"/>
          <w:lang w:eastAsia="en-US"/>
        </w:rPr>
        <w:t xml:space="preserve"> suppl</w:t>
      </w:r>
      <w:r>
        <w:rPr>
          <w:rFonts w:ascii="Calibri" w:eastAsia="Times New Roman" w:hAnsi="Calibri" w:cs="Times New Roman"/>
          <w:iCs/>
          <w:snapToGrid w:val="0"/>
          <w:lang w:eastAsia="en-US"/>
        </w:rPr>
        <w:t>ied</w:t>
      </w:r>
      <w:r w:rsidRPr="00501438">
        <w:rPr>
          <w:rFonts w:ascii="Calibri" w:eastAsia="Times New Roman" w:hAnsi="Calibri" w:cs="Times New Roman"/>
          <w:iCs/>
          <w:snapToGrid w:val="0"/>
          <w:lang w:eastAsia="en-US"/>
        </w:rPr>
        <w:t xml:space="preserve"> in the 12 months pre or post initiation to </w:t>
      </w:r>
      <w:proofErr w:type="spellStart"/>
      <w:r w:rsidRPr="00501438">
        <w:rPr>
          <w:rFonts w:ascii="Calibri" w:eastAsia="Times New Roman" w:hAnsi="Calibri" w:cs="Times New Roman"/>
          <w:iCs/>
          <w:snapToGrid w:val="0"/>
          <w:lang w:eastAsia="en-US"/>
        </w:rPr>
        <w:t>lenalidomide</w:t>
      </w:r>
      <w:proofErr w:type="spellEnd"/>
      <w:r w:rsidRPr="00501438">
        <w:rPr>
          <w:rFonts w:ascii="Calibri" w:eastAsia="Times New Roman" w:hAnsi="Calibri" w:cs="Times New Roman"/>
          <w:iCs/>
          <w:snapToGrid w:val="0"/>
          <w:lang w:eastAsia="en-US"/>
        </w:rPr>
        <w:t>. These supplies are summari</w:t>
      </w:r>
      <w:r>
        <w:rPr>
          <w:rFonts w:ascii="Calibri" w:eastAsia="Times New Roman" w:hAnsi="Calibri" w:cs="Times New Roman"/>
          <w:iCs/>
          <w:snapToGrid w:val="0"/>
          <w:lang w:eastAsia="en-US"/>
        </w:rPr>
        <w:t>sed</w:t>
      </w:r>
      <w:r w:rsidRPr="00501438">
        <w:rPr>
          <w:rFonts w:ascii="Calibri" w:eastAsia="Times New Roman" w:hAnsi="Calibri" w:cs="Times New Roman"/>
          <w:iCs/>
          <w:snapToGrid w:val="0"/>
          <w:lang w:eastAsia="en-US"/>
        </w:rPr>
        <w:t xml:space="preserve"> in </w:t>
      </w:r>
      <w:r>
        <w:rPr>
          <w:rFonts w:ascii="Calibri" w:eastAsia="Times New Roman" w:hAnsi="Calibri" w:cs="Times New Roman"/>
          <w:iCs/>
          <w:snapToGrid w:val="0"/>
          <w:lang w:eastAsia="en-US"/>
        </w:rPr>
        <w:t>Table 6</w:t>
      </w:r>
      <w:r w:rsidRPr="00501438">
        <w:rPr>
          <w:rFonts w:ascii="Calibri" w:eastAsia="Times New Roman" w:hAnsi="Calibri" w:cs="Times New Roman"/>
          <w:iCs/>
          <w:snapToGrid w:val="0"/>
          <w:lang w:eastAsia="en-US"/>
        </w:rPr>
        <w:t>.</w:t>
      </w:r>
    </w:p>
    <w:p w:rsidR="00AF729E" w:rsidRPr="00B87CD5" w:rsidRDefault="00333658" w:rsidP="00AF729E">
      <w:pPr>
        <w:widowControl w:val="0"/>
        <w:spacing w:after="0"/>
        <w:rPr>
          <w:rFonts w:ascii="Calibri" w:eastAsia="Times New Roman" w:hAnsi="Calibri" w:cs="Times New Roman"/>
          <w:b/>
          <w:iCs/>
          <w:snapToGrid w:val="0"/>
          <w:lang w:eastAsia="en-US"/>
        </w:rPr>
      </w:pPr>
      <w:r>
        <w:rPr>
          <w:rFonts w:ascii="Calibri" w:eastAsia="Times New Roman" w:hAnsi="Calibri" w:cs="Times New Roman"/>
          <w:b/>
          <w:iCs/>
          <w:snapToGrid w:val="0"/>
          <w:lang w:eastAsia="en-US"/>
        </w:rPr>
        <w:t>Table 6</w:t>
      </w:r>
      <w:r w:rsidRPr="00B87CD5">
        <w:rPr>
          <w:rFonts w:ascii="Calibri" w:eastAsia="Times New Roman" w:hAnsi="Calibri" w:cs="Times New Roman"/>
          <w:b/>
          <w:iCs/>
          <w:snapToGrid w:val="0"/>
          <w:lang w:eastAsia="en-US"/>
        </w:rPr>
        <w:t xml:space="preserve">: </w:t>
      </w:r>
      <w:r>
        <w:rPr>
          <w:rFonts w:ascii="Calibri" w:eastAsia="Times New Roman" w:hAnsi="Calibri" w:cs="Times New Roman"/>
          <w:b/>
          <w:iCs/>
          <w:snapToGrid w:val="0"/>
          <w:lang w:eastAsia="en-US"/>
        </w:rPr>
        <w:t xml:space="preserve">Expenditure on </w:t>
      </w:r>
      <w:proofErr w:type="spellStart"/>
      <w:r>
        <w:rPr>
          <w:rFonts w:ascii="Calibri" w:eastAsia="Times New Roman" w:hAnsi="Calibri" w:cs="Times New Roman"/>
          <w:b/>
          <w:iCs/>
          <w:snapToGrid w:val="0"/>
          <w:lang w:eastAsia="en-US"/>
        </w:rPr>
        <w:t>deferasirox</w:t>
      </w:r>
      <w:proofErr w:type="spellEnd"/>
      <w:r>
        <w:rPr>
          <w:rFonts w:ascii="Calibri" w:eastAsia="Times New Roman" w:hAnsi="Calibri" w:cs="Times New Roman"/>
          <w:b/>
          <w:iCs/>
          <w:snapToGrid w:val="0"/>
          <w:lang w:eastAsia="en-US"/>
        </w:rPr>
        <w:t xml:space="preserve"> and </w:t>
      </w:r>
      <w:proofErr w:type="spellStart"/>
      <w:r>
        <w:rPr>
          <w:rFonts w:ascii="Calibri" w:eastAsia="Times New Roman" w:hAnsi="Calibri" w:cs="Times New Roman"/>
          <w:b/>
          <w:iCs/>
          <w:snapToGrid w:val="0"/>
          <w:lang w:eastAsia="en-US"/>
        </w:rPr>
        <w:t>gCSF</w:t>
      </w:r>
      <w:proofErr w:type="spellEnd"/>
      <w:r>
        <w:rPr>
          <w:rFonts w:ascii="Calibri" w:eastAsia="Times New Roman" w:hAnsi="Calibri" w:cs="Times New Roman"/>
          <w:b/>
          <w:iCs/>
          <w:snapToGrid w:val="0"/>
          <w:lang w:eastAsia="en-US"/>
        </w:rPr>
        <w:t xml:space="preserve"> drugs pre and post initiation to </w:t>
      </w:r>
      <w:proofErr w:type="spellStart"/>
      <w:r>
        <w:rPr>
          <w:rFonts w:ascii="Calibri" w:eastAsia="Times New Roman" w:hAnsi="Calibri" w:cs="Times New Roman"/>
          <w:b/>
          <w:iCs/>
          <w:snapToGrid w:val="0"/>
          <w:lang w:eastAsia="en-US"/>
        </w:rPr>
        <w:t>lenalidomide</w:t>
      </w:r>
      <w:proofErr w:type="spellEnd"/>
      <w:r>
        <w:rPr>
          <w:rFonts w:ascii="Calibri" w:eastAsia="Times New Roman" w:hAnsi="Calibri" w:cs="Times New Roman"/>
          <w:b/>
          <w:iCs/>
          <w:snapToGrid w:val="0"/>
          <w:lang w:eastAsia="en-US"/>
        </w:rPr>
        <w:t xml:space="preserve"> for Cohort MDS patients that initiated from July 2014 to the end of March</w:t>
      </w:r>
      <w:r w:rsidR="00AC731E">
        <w:rPr>
          <w:rFonts w:ascii="Calibri" w:eastAsia="Times New Roman" w:hAnsi="Calibri" w:cs="Times New Roman"/>
          <w:b/>
          <w:iCs/>
          <w:snapToGrid w:val="0"/>
          <w:lang w:eastAsia="en-US"/>
        </w:rPr>
        <w:t> </w:t>
      </w:r>
      <w:r>
        <w:rPr>
          <w:rFonts w:ascii="Calibri" w:eastAsia="Times New Roman" w:hAnsi="Calibri" w:cs="Times New Roman"/>
          <w:b/>
          <w:iCs/>
          <w:snapToGrid w:val="0"/>
          <w:lang w:eastAsia="en-US"/>
        </w:rPr>
        <w:t>2016</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1176"/>
        <w:gridCol w:w="1032"/>
      </w:tblGrid>
      <w:tr w:rsidR="00AF729E" w:rsidRPr="00F840D2">
        <w:trPr>
          <w:trHeight w:val="300"/>
        </w:trPr>
        <w:tc>
          <w:tcPr>
            <w:tcW w:w="0" w:type="auto"/>
            <w:shd w:val="clear" w:color="auto" w:fill="BFBFBF" w:themeFill="background1" w:themeFillShade="BF"/>
            <w:noWrap/>
            <w:vAlign w:val="bottom"/>
          </w:tcPr>
          <w:p w:rsidR="00AF729E" w:rsidRPr="00F840D2" w:rsidRDefault="00333658" w:rsidP="00AF729E">
            <w:pPr>
              <w:spacing w:after="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Drug</w:t>
            </w:r>
          </w:p>
        </w:tc>
        <w:tc>
          <w:tcPr>
            <w:tcW w:w="0" w:type="auto"/>
            <w:shd w:val="clear" w:color="auto" w:fill="BFBFBF" w:themeFill="background1" w:themeFillShade="BF"/>
            <w:noWrap/>
            <w:vAlign w:val="bottom"/>
          </w:tcPr>
          <w:p w:rsidR="00AF729E" w:rsidRPr="00F840D2" w:rsidRDefault="00333658" w:rsidP="00AF729E">
            <w:pPr>
              <w:spacing w:after="0"/>
              <w:rPr>
                <w:rFonts w:ascii="Calibri" w:eastAsia="Times New Roman" w:hAnsi="Calibri" w:cs="Times New Roman"/>
                <w:b/>
                <w:bCs/>
                <w:color w:val="000000"/>
                <w:sz w:val="20"/>
                <w:szCs w:val="20"/>
              </w:rPr>
            </w:pPr>
            <w:proofErr w:type="spellStart"/>
            <w:r>
              <w:rPr>
                <w:rFonts w:ascii="Calibri" w:eastAsia="Times New Roman" w:hAnsi="Calibri" w:cs="Times New Roman"/>
                <w:b/>
                <w:bCs/>
                <w:color w:val="000000"/>
                <w:sz w:val="20"/>
                <w:szCs w:val="20"/>
              </w:rPr>
              <w:t>D</w:t>
            </w:r>
            <w:r w:rsidRPr="00F840D2">
              <w:rPr>
                <w:rFonts w:ascii="Calibri" w:eastAsia="Times New Roman" w:hAnsi="Calibri" w:cs="Times New Roman"/>
                <w:b/>
                <w:bCs/>
                <w:color w:val="000000"/>
                <w:sz w:val="20"/>
                <w:szCs w:val="20"/>
              </w:rPr>
              <w:t>eferasirox</w:t>
            </w:r>
            <w:proofErr w:type="spellEnd"/>
          </w:p>
        </w:tc>
        <w:tc>
          <w:tcPr>
            <w:tcW w:w="0" w:type="auto"/>
            <w:shd w:val="clear" w:color="auto" w:fill="BFBFBF" w:themeFill="background1" w:themeFillShade="BF"/>
            <w:noWrap/>
            <w:vAlign w:val="bottom"/>
          </w:tcPr>
          <w:p w:rsidR="00AF729E" w:rsidRPr="00F840D2" w:rsidRDefault="00333658" w:rsidP="00AF729E">
            <w:pPr>
              <w:spacing w:after="0"/>
              <w:rPr>
                <w:rFonts w:ascii="Calibri" w:eastAsia="Times New Roman" w:hAnsi="Calibri" w:cs="Times New Roman"/>
                <w:b/>
                <w:bCs/>
                <w:color w:val="000000"/>
                <w:sz w:val="20"/>
                <w:szCs w:val="20"/>
              </w:rPr>
            </w:pPr>
            <w:proofErr w:type="spellStart"/>
            <w:r>
              <w:rPr>
                <w:rFonts w:ascii="Calibri" w:eastAsia="Times New Roman" w:hAnsi="Calibri" w:cs="Times New Roman"/>
                <w:b/>
                <w:bCs/>
                <w:color w:val="000000"/>
                <w:sz w:val="20"/>
                <w:szCs w:val="20"/>
              </w:rPr>
              <w:t>F</w:t>
            </w:r>
            <w:r w:rsidRPr="00F840D2">
              <w:rPr>
                <w:rFonts w:ascii="Calibri" w:eastAsia="Times New Roman" w:hAnsi="Calibri" w:cs="Times New Roman"/>
                <w:b/>
                <w:bCs/>
                <w:color w:val="000000"/>
                <w:sz w:val="20"/>
                <w:szCs w:val="20"/>
              </w:rPr>
              <w:t>ilgrastim</w:t>
            </w:r>
            <w:proofErr w:type="spellEnd"/>
          </w:p>
        </w:tc>
      </w:tr>
      <w:tr w:rsidR="00AF729E" w:rsidRPr="00F840D2">
        <w:trPr>
          <w:trHeight w:val="300"/>
        </w:trPr>
        <w:tc>
          <w:tcPr>
            <w:tcW w:w="0" w:type="auto"/>
            <w:shd w:val="clear" w:color="auto" w:fill="auto"/>
            <w:noWrap/>
            <w:vAlign w:val="bottom"/>
          </w:tcPr>
          <w:p w:rsidR="00AF729E" w:rsidRPr="00F840D2" w:rsidRDefault="00333658" w:rsidP="00AF729E">
            <w:pPr>
              <w:spacing w:after="0"/>
              <w:rPr>
                <w:rFonts w:ascii="Calibri" w:eastAsia="Times New Roman" w:hAnsi="Calibri" w:cs="Times New Roman"/>
                <w:sz w:val="20"/>
                <w:szCs w:val="20"/>
              </w:rPr>
            </w:pPr>
            <w:r w:rsidRPr="00F840D2">
              <w:rPr>
                <w:rFonts w:ascii="Calibri" w:eastAsia="Times New Roman" w:hAnsi="Calibri" w:cs="Times New Roman"/>
                <w:sz w:val="20"/>
                <w:szCs w:val="20"/>
              </w:rPr>
              <w:t xml:space="preserve">12 months prior to </w:t>
            </w:r>
            <w:proofErr w:type="spellStart"/>
            <w:r w:rsidRPr="00F840D2">
              <w:rPr>
                <w:rFonts w:ascii="Calibri" w:eastAsia="Times New Roman" w:hAnsi="Calibri" w:cs="Times New Roman"/>
                <w:sz w:val="20"/>
                <w:szCs w:val="20"/>
              </w:rPr>
              <w:t>lenalidomide</w:t>
            </w:r>
            <w:proofErr w:type="spellEnd"/>
            <w:r w:rsidRPr="00F840D2">
              <w:rPr>
                <w:rFonts w:ascii="Calibri" w:eastAsia="Times New Roman" w:hAnsi="Calibri" w:cs="Times New Roman"/>
                <w:sz w:val="20"/>
                <w:szCs w:val="20"/>
              </w:rPr>
              <w:t xml:space="preserve"> initiation (A)</w:t>
            </w:r>
          </w:p>
        </w:tc>
        <w:tc>
          <w:tcPr>
            <w:tcW w:w="0" w:type="auto"/>
            <w:shd w:val="clear" w:color="auto" w:fill="auto"/>
            <w:noWrap/>
            <w:vAlign w:val="bottom"/>
          </w:tcPr>
          <w:p w:rsidR="00AF729E" w:rsidRPr="00F840D2" w:rsidRDefault="00333658" w:rsidP="00AF729E">
            <w:pPr>
              <w:spacing w:after="0"/>
              <w:jc w:val="right"/>
              <w:rPr>
                <w:rFonts w:ascii="Calibri" w:eastAsia="Times New Roman" w:hAnsi="Calibri" w:cs="Times New Roman"/>
                <w:sz w:val="20"/>
                <w:szCs w:val="20"/>
              </w:rPr>
            </w:pPr>
            <w:r w:rsidRPr="00F840D2">
              <w:rPr>
                <w:rFonts w:ascii="Calibri" w:eastAsia="Times New Roman" w:hAnsi="Calibri" w:cs="Times New Roman"/>
                <w:sz w:val="20"/>
                <w:szCs w:val="20"/>
              </w:rPr>
              <w:t>$139,121</w:t>
            </w:r>
          </w:p>
        </w:tc>
        <w:tc>
          <w:tcPr>
            <w:tcW w:w="0" w:type="auto"/>
            <w:shd w:val="clear" w:color="auto" w:fill="auto"/>
            <w:noWrap/>
            <w:vAlign w:val="bottom"/>
          </w:tcPr>
          <w:p w:rsidR="00AF729E" w:rsidRPr="00F840D2" w:rsidRDefault="00333658" w:rsidP="00AF729E">
            <w:pPr>
              <w:spacing w:after="0"/>
              <w:jc w:val="right"/>
              <w:rPr>
                <w:rFonts w:ascii="Calibri" w:eastAsia="Times New Roman" w:hAnsi="Calibri" w:cs="Times New Roman"/>
                <w:sz w:val="20"/>
                <w:szCs w:val="20"/>
              </w:rPr>
            </w:pPr>
            <w:r w:rsidRPr="00F840D2">
              <w:rPr>
                <w:rFonts w:ascii="Calibri" w:eastAsia="Times New Roman" w:hAnsi="Calibri" w:cs="Times New Roman"/>
                <w:sz w:val="20"/>
                <w:szCs w:val="20"/>
              </w:rPr>
              <w:t>$29,319</w:t>
            </w:r>
          </w:p>
        </w:tc>
      </w:tr>
      <w:tr w:rsidR="00AF729E" w:rsidRPr="00F840D2">
        <w:trPr>
          <w:trHeight w:val="300"/>
        </w:trPr>
        <w:tc>
          <w:tcPr>
            <w:tcW w:w="0" w:type="auto"/>
            <w:shd w:val="clear" w:color="auto" w:fill="auto"/>
            <w:noWrap/>
            <w:vAlign w:val="bottom"/>
          </w:tcPr>
          <w:p w:rsidR="00AF729E" w:rsidRPr="00F840D2" w:rsidRDefault="00333658" w:rsidP="00AF729E">
            <w:pPr>
              <w:spacing w:after="0"/>
              <w:rPr>
                <w:rFonts w:ascii="Calibri" w:eastAsia="Times New Roman" w:hAnsi="Calibri" w:cs="Times New Roman"/>
                <w:sz w:val="20"/>
                <w:szCs w:val="20"/>
              </w:rPr>
            </w:pPr>
            <w:r w:rsidRPr="00F840D2">
              <w:rPr>
                <w:rFonts w:ascii="Calibri" w:eastAsia="Times New Roman" w:hAnsi="Calibri" w:cs="Times New Roman"/>
                <w:sz w:val="20"/>
                <w:szCs w:val="20"/>
              </w:rPr>
              <w:t xml:space="preserve">12 months post </w:t>
            </w:r>
            <w:proofErr w:type="spellStart"/>
            <w:r w:rsidRPr="00F840D2">
              <w:rPr>
                <w:rFonts w:ascii="Calibri" w:eastAsia="Times New Roman" w:hAnsi="Calibri" w:cs="Times New Roman"/>
                <w:sz w:val="20"/>
                <w:szCs w:val="20"/>
              </w:rPr>
              <w:t>lenalidomide</w:t>
            </w:r>
            <w:proofErr w:type="spellEnd"/>
            <w:r w:rsidRPr="00F840D2">
              <w:rPr>
                <w:rFonts w:ascii="Calibri" w:eastAsia="Times New Roman" w:hAnsi="Calibri" w:cs="Times New Roman"/>
                <w:sz w:val="20"/>
                <w:szCs w:val="20"/>
              </w:rPr>
              <w:t xml:space="preserve"> initiation (B)</w:t>
            </w:r>
          </w:p>
        </w:tc>
        <w:tc>
          <w:tcPr>
            <w:tcW w:w="0" w:type="auto"/>
            <w:shd w:val="clear" w:color="auto" w:fill="auto"/>
            <w:noWrap/>
            <w:vAlign w:val="bottom"/>
          </w:tcPr>
          <w:p w:rsidR="00AF729E" w:rsidRPr="00F840D2" w:rsidRDefault="00333658" w:rsidP="00AF729E">
            <w:pPr>
              <w:spacing w:after="0"/>
              <w:jc w:val="right"/>
              <w:rPr>
                <w:rFonts w:ascii="Calibri" w:eastAsia="Times New Roman" w:hAnsi="Calibri" w:cs="Times New Roman"/>
                <w:sz w:val="20"/>
                <w:szCs w:val="20"/>
              </w:rPr>
            </w:pPr>
            <w:r w:rsidRPr="00F840D2">
              <w:rPr>
                <w:rFonts w:ascii="Calibri" w:eastAsia="Times New Roman" w:hAnsi="Calibri" w:cs="Times New Roman"/>
                <w:sz w:val="20"/>
                <w:szCs w:val="20"/>
              </w:rPr>
              <w:t>$99,123</w:t>
            </w:r>
          </w:p>
        </w:tc>
        <w:tc>
          <w:tcPr>
            <w:tcW w:w="0" w:type="auto"/>
            <w:shd w:val="clear" w:color="auto" w:fill="auto"/>
            <w:noWrap/>
            <w:vAlign w:val="bottom"/>
          </w:tcPr>
          <w:p w:rsidR="00AF729E" w:rsidRPr="00F840D2" w:rsidRDefault="00333658" w:rsidP="00AF729E">
            <w:pPr>
              <w:spacing w:after="0"/>
              <w:jc w:val="right"/>
              <w:rPr>
                <w:rFonts w:ascii="Calibri" w:eastAsia="Times New Roman" w:hAnsi="Calibri" w:cs="Times New Roman"/>
                <w:sz w:val="20"/>
                <w:szCs w:val="20"/>
              </w:rPr>
            </w:pPr>
            <w:r w:rsidRPr="00F840D2">
              <w:rPr>
                <w:rFonts w:ascii="Calibri" w:eastAsia="Times New Roman" w:hAnsi="Calibri" w:cs="Times New Roman"/>
                <w:sz w:val="20"/>
                <w:szCs w:val="20"/>
              </w:rPr>
              <w:t>$42,085</w:t>
            </w:r>
          </w:p>
        </w:tc>
      </w:tr>
      <w:tr w:rsidR="00AF729E" w:rsidRPr="00F840D2">
        <w:trPr>
          <w:trHeight w:val="300"/>
        </w:trPr>
        <w:tc>
          <w:tcPr>
            <w:tcW w:w="0" w:type="auto"/>
            <w:shd w:val="clear" w:color="auto" w:fill="auto"/>
            <w:noWrap/>
            <w:vAlign w:val="bottom"/>
          </w:tcPr>
          <w:p w:rsidR="00AF729E" w:rsidRPr="00F840D2" w:rsidRDefault="00333658" w:rsidP="00AF729E">
            <w:pPr>
              <w:spacing w:after="0"/>
              <w:rPr>
                <w:rFonts w:ascii="Calibri" w:eastAsia="Times New Roman" w:hAnsi="Calibri" w:cs="Times New Roman"/>
                <w:sz w:val="20"/>
                <w:szCs w:val="20"/>
              </w:rPr>
            </w:pPr>
            <w:r w:rsidRPr="00F840D2">
              <w:rPr>
                <w:rFonts w:ascii="Calibri" w:eastAsia="Times New Roman" w:hAnsi="Calibri" w:cs="Times New Roman"/>
                <w:sz w:val="20"/>
                <w:szCs w:val="20"/>
              </w:rPr>
              <w:t>Difference (B-A)</w:t>
            </w:r>
          </w:p>
        </w:tc>
        <w:tc>
          <w:tcPr>
            <w:tcW w:w="0" w:type="auto"/>
            <w:shd w:val="clear" w:color="auto" w:fill="auto"/>
            <w:noWrap/>
            <w:vAlign w:val="bottom"/>
          </w:tcPr>
          <w:p w:rsidR="00AF729E" w:rsidRPr="00F840D2" w:rsidRDefault="00333658" w:rsidP="00AF729E">
            <w:pPr>
              <w:spacing w:after="0"/>
              <w:jc w:val="right"/>
              <w:rPr>
                <w:rFonts w:ascii="Calibri" w:eastAsia="Times New Roman" w:hAnsi="Calibri" w:cs="Times New Roman"/>
                <w:sz w:val="20"/>
                <w:szCs w:val="20"/>
              </w:rPr>
            </w:pPr>
            <w:r w:rsidRPr="00F840D2">
              <w:rPr>
                <w:rFonts w:ascii="Calibri" w:eastAsia="Times New Roman" w:hAnsi="Calibri" w:cs="Times New Roman"/>
                <w:sz w:val="20"/>
                <w:szCs w:val="20"/>
              </w:rPr>
              <w:t>-$39,998</w:t>
            </w:r>
          </w:p>
        </w:tc>
        <w:tc>
          <w:tcPr>
            <w:tcW w:w="0" w:type="auto"/>
            <w:shd w:val="clear" w:color="auto" w:fill="auto"/>
            <w:noWrap/>
            <w:vAlign w:val="bottom"/>
          </w:tcPr>
          <w:p w:rsidR="00AF729E" w:rsidRPr="00F840D2" w:rsidRDefault="00333658" w:rsidP="00AF729E">
            <w:pPr>
              <w:spacing w:after="0"/>
              <w:jc w:val="right"/>
              <w:rPr>
                <w:rFonts w:ascii="Calibri" w:eastAsia="Times New Roman" w:hAnsi="Calibri" w:cs="Times New Roman"/>
                <w:sz w:val="20"/>
                <w:szCs w:val="20"/>
              </w:rPr>
            </w:pPr>
            <w:r w:rsidRPr="00F840D2">
              <w:rPr>
                <w:rFonts w:ascii="Calibri" w:eastAsia="Times New Roman" w:hAnsi="Calibri" w:cs="Times New Roman"/>
                <w:sz w:val="20"/>
                <w:szCs w:val="20"/>
              </w:rPr>
              <w:t>$12,766</w:t>
            </w:r>
          </w:p>
        </w:tc>
      </w:tr>
      <w:tr w:rsidR="00AF729E" w:rsidRPr="00F840D2">
        <w:trPr>
          <w:trHeight w:val="300"/>
        </w:trPr>
        <w:tc>
          <w:tcPr>
            <w:tcW w:w="0" w:type="auto"/>
            <w:shd w:val="clear" w:color="auto" w:fill="auto"/>
            <w:noWrap/>
            <w:vAlign w:val="bottom"/>
          </w:tcPr>
          <w:p w:rsidR="00AF729E" w:rsidRPr="00F840D2" w:rsidRDefault="00333658" w:rsidP="00AF729E">
            <w:pPr>
              <w:spacing w:after="0"/>
              <w:rPr>
                <w:rFonts w:ascii="Calibri" w:eastAsia="Times New Roman" w:hAnsi="Calibri" w:cs="Times New Roman"/>
                <w:sz w:val="20"/>
                <w:szCs w:val="20"/>
              </w:rPr>
            </w:pPr>
            <w:r w:rsidRPr="00F840D2">
              <w:rPr>
                <w:rFonts w:ascii="Calibri" w:eastAsia="Times New Roman" w:hAnsi="Calibri" w:cs="Times New Roman"/>
                <w:sz w:val="20"/>
                <w:szCs w:val="20"/>
              </w:rPr>
              <w:t>Average difference per patient (n=74)</w:t>
            </w:r>
          </w:p>
        </w:tc>
        <w:tc>
          <w:tcPr>
            <w:tcW w:w="0" w:type="auto"/>
            <w:shd w:val="clear" w:color="auto" w:fill="auto"/>
            <w:noWrap/>
            <w:vAlign w:val="bottom"/>
          </w:tcPr>
          <w:p w:rsidR="00AF729E" w:rsidRPr="00F840D2" w:rsidRDefault="00333658" w:rsidP="00AF729E">
            <w:pPr>
              <w:spacing w:after="0"/>
              <w:jc w:val="right"/>
              <w:rPr>
                <w:rFonts w:ascii="Calibri" w:eastAsia="Times New Roman" w:hAnsi="Calibri" w:cs="Times New Roman"/>
                <w:sz w:val="20"/>
                <w:szCs w:val="20"/>
              </w:rPr>
            </w:pPr>
            <w:r w:rsidRPr="00F840D2">
              <w:rPr>
                <w:rFonts w:ascii="Calibri" w:eastAsia="Times New Roman" w:hAnsi="Calibri" w:cs="Times New Roman"/>
                <w:sz w:val="20"/>
                <w:szCs w:val="20"/>
              </w:rPr>
              <w:t>-$541</w:t>
            </w:r>
          </w:p>
        </w:tc>
        <w:tc>
          <w:tcPr>
            <w:tcW w:w="0" w:type="auto"/>
            <w:shd w:val="clear" w:color="auto" w:fill="auto"/>
            <w:noWrap/>
            <w:vAlign w:val="bottom"/>
          </w:tcPr>
          <w:p w:rsidR="00AF729E" w:rsidRPr="00F840D2" w:rsidRDefault="00333658" w:rsidP="00AF729E">
            <w:pPr>
              <w:spacing w:after="0"/>
              <w:jc w:val="right"/>
              <w:rPr>
                <w:rFonts w:ascii="Calibri" w:eastAsia="Times New Roman" w:hAnsi="Calibri" w:cs="Times New Roman"/>
                <w:sz w:val="20"/>
                <w:szCs w:val="20"/>
              </w:rPr>
            </w:pPr>
            <w:r w:rsidRPr="00F840D2">
              <w:rPr>
                <w:rFonts w:ascii="Calibri" w:eastAsia="Times New Roman" w:hAnsi="Calibri" w:cs="Times New Roman"/>
                <w:sz w:val="20"/>
                <w:szCs w:val="20"/>
              </w:rPr>
              <w:t>$173</w:t>
            </w:r>
          </w:p>
        </w:tc>
      </w:tr>
    </w:tbl>
    <w:p w:rsidR="00AF729E" w:rsidRPr="00501438" w:rsidRDefault="00AF729E" w:rsidP="00AF729E">
      <w:pPr>
        <w:spacing w:after="0" w:line="276" w:lineRule="auto"/>
        <w:rPr>
          <w:rFonts w:ascii="Calibri" w:eastAsia="Times New Roman" w:hAnsi="Calibri" w:cs="Times New Roman"/>
          <w:iCs/>
          <w:snapToGrid w:val="0"/>
          <w:lang w:eastAsia="en-US"/>
        </w:rPr>
      </w:pP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only </w:t>
      </w:r>
      <w:proofErr w:type="spellStart"/>
      <w:r>
        <w:rPr>
          <w:rFonts w:ascii="Calibri" w:eastAsia="Times New Roman" w:hAnsi="Calibri" w:cs="Times New Roman"/>
          <w:iCs/>
          <w:snapToGrid w:val="0"/>
          <w:lang w:eastAsia="en-US"/>
        </w:rPr>
        <w:t>gCSF</w:t>
      </w:r>
      <w:proofErr w:type="spellEnd"/>
      <w:r>
        <w:rPr>
          <w:rFonts w:ascii="Calibri" w:eastAsia="Times New Roman" w:hAnsi="Calibri" w:cs="Times New Roman"/>
          <w:iCs/>
          <w:snapToGrid w:val="0"/>
          <w:lang w:eastAsia="en-US"/>
        </w:rPr>
        <w:t xml:space="preserve"> drug supplied to these patients was </w:t>
      </w:r>
      <w:proofErr w:type="spellStart"/>
      <w:r>
        <w:rPr>
          <w:rFonts w:ascii="Calibri" w:eastAsia="Times New Roman" w:hAnsi="Calibri" w:cs="Times New Roman"/>
          <w:iCs/>
          <w:snapToGrid w:val="0"/>
          <w:lang w:eastAsia="en-US"/>
        </w:rPr>
        <w:t>filgrastim</w:t>
      </w:r>
      <w:proofErr w:type="spellEnd"/>
      <w:r>
        <w:rPr>
          <w:rFonts w:ascii="Calibri" w:eastAsia="Times New Roman" w:hAnsi="Calibri" w:cs="Times New Roman"/>
          <w:iCs/>
          <w:snapToGrid w:val="0"/>
          <w:lang w:eastAsia="en-US"/>
        </w:rPr>
        <w:t xml:space="preserve">. Table 6 shows the average patient saving in a year for </w:t>
      </w:r>
      <w:proofErr w:type="spellStart"/>
      <w:r w:rsidRPr="00501438">
        <w:rPr>
          <w:rFonts w:ascii="Calibri" w:eastAsia="Times New Roman" w:hAnsi="Calibri" w:cs="Times New Roman"/>
          <w:iCs/>
          <w:snapToGrid w:val="0"/>
          <w:lang w:eastAsia="en-US"/>
        </w:rPr>
        <w:t>deferasirox</w:t>
      </w:r>
      <w:proofErr w:type="spellEnd"/>
      <w:r>
        <w:rPr>
          <w:rFonts w:ascii="Calibri" w:eastAsia="Times New Roman" w:hAnsi="Calibri" w:cs="Times New Roman"/>
          <w:iCs/>
          <w:snapToGrid w:val="0"/>
          <w:lang w:eastAsia="en-US"/>
        </w:rPr>
        <w:t xml:space="preserve"> was $541 and the average additional cost for </w:t>
      </w:r>
      <w:proofErr w:type="spellStart"/>
      <w:r>
        <w:rPr>
          <w:rFonts w:ascii="Calibri" w:eastAsia="Times New Roman" w:hAnsi="Calibri" w:cs="Times New Roman"/>
          <w:iCs/>
          <w:snapToGrid w:val="0"/>
          <w:lang w:eastAsia="en-US"/>
        </w:rPr>
        <w:t>filgrastim</w:t>
      </w:r>
      <w:proofErr w:type="spellEnd"/>
      <w:r>
        <w:rPr>
          <w:rFonts w:ascii="Calibri" w:eastAsia="Times New Roman" w:hAnsi="Calibri" w:cs="Times New Roman"/>
          <w:iCs/>
          <w:snapToGrid w:val="0"/>
          <w:lang w:eastAsia="en-US"/>
        </w:rPr>
        <w:t xml:space="preserve"> was $173. Overall there was a $541 - $173 </w:t>
      </w:r>
      <w:r w:rsidR="00072468">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 xml:space="preserve">368 savings per patient in the first year after listing for these two drugs. </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March 2013 submission predicted (Table 1) that in Year 1 there would be </w:t>
      </w:r>
      <w:r w:rsidR="00072468">
        <w:rPr>
          <w:rFonts w:ascii="Calibri" w:eastAsia="Times New Roman" w:hAnsi="Calibri" w:cs="Times New Roman"/>
          <w:iCs/>
          <w:snapToGrid w:val="0"/>
          <w:lang w:eastAsia="en-US"/>
        </w:rPr>
        <w:t>an</w:t>
      </w:r>
      <w:r>
        <w:rPr>
          <w:rFonts w:ascii="Calibri" w:eastAsia="Times New Roman" w:hAnsi="Calibri" w:cs="Times New Roman"/>
          <w:iCs/>
          <w:snapToGrid w:val="0"/>
          <w:lang w:eastAsia="en-US"/>
        </w:rPr>
        <w:t xml:space="preserve"> expenditure saving of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for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treated patients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per patient) for </w:t>
      </w:r>
      <w:proofErr w:type="spellStart"/>
      <w:r w:rsidRPr="00501438">
        <w:rPr>
          <w:rFonts w:ascii="Calibri" w:eastAsia="Times New Roman" w:hAnsi="Calibri" w:cs="Times New Roman"/>
          <w:iCs/>
          <w:snapToGrid w:val="0"/>
          <w:lang w:eastAsia="en-US"/>
        </w:rPr>
        <w:t>deferasirox</w:t>
      </w:r>
      <w:proofErr w:type="spellEnd"/>
      <w:r>
        <w:rPr>
          <w:rFonts w:ascii="Calibri" w:eastAsia="Times New Roman" w:hAnsi="Calibri" w:cs="Times New Roman"/>
          <w:iCs/>
          <w:snapToGrid w:val="0"/>
          <w:lang w:eastAsia="en-US"/>
        </w:rPr>
        <w:t xml:space="preserve"> and</w:t>
      </w:r>
      <w:r w:rsidR="007F0669">
        <w:rPr>
          <w:rFonts w:ascii="Calibri" w:eastAsia="Times New Roman" w:hAnsi="Calibri" w:cs="Times New Roman"/>
          <w:iCs/>
          <w:snapToGrid w:val="0"/>
          <w:lang w:eastAsia="en-US"/>
        </w:rPr>
        <w:t xml:space="preserve"> an</w:t>
      </w:r>
      <w:r>
        <w:rPr>
          <w:rFonts w:ascii="Calibri" w:eastAsia="Times New Roman" w:hAnsi="Calibri" w:cs="Times New Roman"/>
          <w:iCs/>
          <w:snapToGrid w:val="0"/>
          <w:lang w:eastAsia="en-US"/>
        </w:rPr>
        <w:t xml:space="preserve"> additional expenditure of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per patient) for </w:t>
      </w:r>
      <w:proofErr w:type="spellStart"/>
      <w:r>
        <w:rPr>
          <w:rFonts w:ascii="Calibri" w:eastAsia="Times New Roman" w:hAnsi="Calibri" w:cs="Times New Roman"/>
          <w:iCs/>
          <w:snapToGrid w:val="0"/>
          <w:lang w:eastAsia="en-US"/>
        </w:rPr>
        <w:t>gCSF</w:t>
      </w:r>
      <w:proofErr w:type="spellEnd"/>
      <w:r>
        <w:rPr>
          <w:rFonts w:ascii="Calibri" w:eastAsia="Times New Roman" w:hAnsi="Calibri" w:cs="Times New Roman"/>
          <w:iCs/>
          <w:snapToGrid w:val="0"/>
          <w:lang w:eastAsia="en-US"/>
        </w:rPr>
        <w:t xml:space="preserve"> drugs . </w:t>
      </w:r>
      <w:r>
        <w:rPr>
          <w:rFonts w:ascii="Calibri" w:eastAsia="Times New Roman" w:hAnsi="Calibri" w:cs="Times New Roman"/>
          <w:iCs/>
          <w:snapToGrid w:val="0"/>
          <w:lang w:eastAsia="en-US"/>
        </w:rPr>
        <w:lastRenderedPageBreak/>
        <w:t>Overall there was predicted to be $</w:t>
      </w:r>
      <w:r w:rsidR="00624706">
        <w:rPr>
          <w:rFonts w:ascii="Calibri" w:eastAsia="Times New Roman" w:hAnsi="Calibri" w:cs="Times New Roman"/>
          <w:iCs/>
          <w:noProof/>
          <w:snapToGrid w:val="0"/>
          <w:color w:val="000000"/>
          <w:highlight w:val="black"/>
          <w:lang w:eastAsia="en-US"/>
        </w:rPr>
        <w:t>''''''''''</w:t>
      </w:r>
      <w:r>
        <w:rPr>
          <w:rFonts w:ascii="Calibri" w:eastAsia="Times New Roman" w:hAnsi="Calibri" w:cs="Times New Roman"/>
          <w:iCs/>
          <w:snapToGrid w:val="0"/>
          <w:lang w:eastAsia="en-US"/>
        </w:rPr>
        <w:t xml:space="preserve"> </w:t>
      </w:r>
      <w:r w:rsidR="007F0669">
        <w:rPr>
          <w:rFonts w:ascii="Calibri" w:eastAsia="Times New Roman" w:hAnsi="Calibri" w:cs="Times New Roman"/>
          <w:iCs/>
          <w:snapToGrid w:val="0"/>
          <w:lang w:eastAsia="en-US"/>
        </w:rPr>
        <w:t xml:space="preserve">in </w:t>
      </w:r>
      <w:r>
        <w:rPr>
          <w:rFonts w:ascii="Calibri" w:eastAsia="Times New Roman" w:hAnsi="Calibri" w:cs="Times New Roman"/>
          <w:iCs/>
          <w:snapToGrid w:val="0"/>
          <w:lang w:eastAsia="en-US"/>
        </w:rPr>
        <w:t>savings per patient. These predictions are much larger than the actual expenditure per patient and so the expected savings were not realised.</w:t>
      </w:r>
    </w:p>
    <w:p w:rsidR="00AF729E" w:rsidRDefault="00333658" w:rsidP="00AF729E">
      <w:pPr>
        <w:keepNext/>
        <w:keepLines/>
        <w:spacing w:before="480" w:after="240"/>
        <w:outlineLvl w:val="0"/>
        <w:rPr>
          <w:rFonts w:ascii="Calibri" w:eastAsia="MS Gothic" w:hAnsi="Calibri" w:cs="Times New Roman"/>
          <w:b/>
          <w:bCs/>
          <w:sz w:val="32"/>
          <w:szCs w:val="32"/>
        </w:rPr>
      </w:pPr>
      <w:r>
        <w:rPr>
          <w:rFonts w:ascii="Calibri" w:eastAsia="MS Gothic" w:hAnsi="Calibri" w:cs="Times New Roman"/>
          <w:b/>
          <w:bCs/>
          <w:sz w:val="32"/>
          <w:szCs w:val="32"/>
        </w:rPr>
        <w:t>Risk Sharing Arrangement</w:t>
      </w:r>
    </w:p>
    <w:p w:rsidR="00AF729E" w:rsidRPr="00C45652" w:rsidRDefault="00072468" w:rsidP="00C45652">
      <w:pPr>
        <w:spacing w:line="276" w:lineRule="auto"/>
        <w:ind w:hanging="22"/>
        <w:rPr>
          <w:rFonts w:ascii="Calibri" w:eastAsia="Times New Roman" w:hAnsi="Calibri" w:cs="Times New Roman"/>
          <w:b/>
          <w:iCs/>
          <w:snapToGrid w:val="0"/>
          <w:u w:val="single"/>
          <w:lang w:eastAsia="en-US"/>
        </w:rPr>
      </w:pPr>
      <w:r w:rsidRPr="00C45652">
        <w:rPr>
          <w:rFonts w:ascii="Calibri" w:eastAsia="Times New Roman" w:hAnsi="Calibri" w:cs="Times New Roman"/>
          <w:b/>
          <w:iCs/>
          <w:snapToGrid w:val="0"/>
          <w:u w:val="single"/>
          <w:lang w:eastAsia="en-US"/>
        </w:rPr>
        <w:t>Commercial</w:t>
      </w:r>
      <w:r w:rsidR="00333658" w:rsidRPr="00C45652">
        <w:rPr>
          <w:rFonts w:ascii="Calibri" w:eastAsia="Times New Roman" w:hAnsi="Calibri" w:cs="Times New Roman"/>
          <w:b/>
          <w:iCs/>
          <w:snapToGrid w:val="0"/>
          <w:u w:val="single"/>
          <w:lang w:eastAsia="en-US"/>
        </w:rPr>
        <w:t>-in-</w:t>
      </w:r>
      <w:r w:rsidR="00C45652" w:rsidRPr="00C45652">
        <w:rPr>
          <w:rFonts w:ascii="Calibri" w:eastAsia="Times New Roman" w:hAnsi="Calibri" w:cs="Times New Roman"/>
          <w:b/>
          <w:iCs/>
          <w:snapToGrid w:val="0"/>
          <w:u w:val="single"/>
          <w:lang w:eastAsia="en-US"/>
        </w:rPr>
        <w:t>Confidence</w:t>
      </w:r>
    </w:p>
    <w:p w:rsidR="00AF729E" w:rsidRPr="00624706" w:rsidRDefault="00624706" w:rsidP="00AF729E">
      <w:pPr>
        <w:rPr>
          <w:rFonts w:ascii="Calibri" w:eastAsia="Times New Roman" w:hAnsi="Calibri" w:cs="Times New Roman"/>
          <w:iCs/>
          <w:snapToGrid w:val="0"/>
          <w:highlight w:val="black"/>
          <w:lang w:eastAsia="en-US"/>
        </w:rPr>
      </w:pPr>
      <w:r>
        <w:rPr>
          <w:rFonts w:ascii="Calibri" w:eastAsia="Times New Roman" w:hAnsi="Calibri" w:cs="Times New Roman"/>
          <w:iCs/>
          <w:noProof/>
          <w:snapToGrid w:val="0"/>
          <w:color w:val="000000"/>
          <w:highlight w:val="black"/>
          <w:lang w:eastAsia="en-US"/>
        </w:rPr>
        <w:t>'''''' ''''''''''''''' '''''''''''''''''''''' '''' ''''''' ''''''''''''''''' ''''''''''''''''''''' ''' ''''''' ''''''''''''' '''''''''''''''''''' ''''''' ''''''''''''' '''''' '''''''''''''''''''''''' ''''''''''''''''' ''''''' ''''''''''''''''''''' '''' ''''''''''''' ''''''''' '''''''''''' '''''''''''' '''' ''''''''' '''''''''''' '''''''''''''''' ''' '''''''''''''''''''' ''''''''''''''''''''''' ''''''''''' ''''''' '''''''''''''''''''''' ''''' ''''''''' '''''''' '''''''''''' ''''''''''' '''''''' '''''''''' ''''''' ''''''''''''''''''' ''''' ''''''''''''''''''''''''''''''' '''''''' '''''''''''''''''' '''''''''''''''' ''' '''''''' ''''''' '''''' '''''''' '''''''''''''''''''' ''''''' '''''''''''''''' ''' ''''''' '''''''''' '''' ''''''''''''''''''''''''  '''''''''''''' ''''''' '''''' ''''''''''' '''''''''''''''''''' ''''' ''''''''' ''''''' '''''''''' ''''''' ''''''''''' '''' ''''''' ''''''' ''''' '''''''''''''''''''''' ''''''''' ''''''' '''''' '''''''''''''''''''' '''''' '''''''''''''' '''' ''''''''''''''''''''''' ''''' ''''''' ''''''''''''''''''''' ''''' ''''''''''''''</w:t>
      </w:r>
    </w:p>
    <w:p w:rsidR="00AF729E" w:rsidRPr="00624706" w:rsidRDefault="00624706" w:rsidP="00AF729E">
      <w:pPr>
        <w:rPr>
          <w:rFonts w:ascii="Calibri" w:eastAsia="Times New Roman" w:hAnsi="Calibri" w:cs="Times New Roman"/>
          <w:iCs/>
          <w:snapToGrid w:val="0"/>
          <w:highlight w:val="black"/>
          <w:lang w:eastAsia="en-US"/>
        </w:rPr>
      </w:pPr>
      <w:r>
        <w:rPr>
          <w:rFonts w:ascii="Calibri" w:eastAsia="Times New Roman" w:hAnsi="Calibri" w:cs="Times New Roman"/>
          <w:iCs/>
          <w:noProof/>
          <w:snapToGrid w:val="0"/>
          <w:color w:val="000000"/>
          <w:highlight w:val="black"/>
          <w:lang w:eastAsia="en-US"/>
        </w:rPr>
        <w:t>''' ''''''''''''''''' '''''' ''' '''''''''''''' '''''''''''''' '''''''''''''''''''''''''' '''''' '''''''''''''''''''''''''''' '''''''''''''''''' ''''''''''' ''''''' ''' '''''''''''' '''''''''''''''''' ''''''''' ''' ''''''' ''''''' ''''''''''''''''' '''''''' '''''''''''''''' '''' ''''''' ''''''''''''''''''''' '''''''' ''''''''''''''''''' ''''' '''''' ''''''''''''''''''''''''' ''''''''' '''''''''' ''''''''''''''''''''''''''''''''''' ''''' '''''' '''''''' '''''''''' ''''''' ''''''''''''' '''''''''''''''' ''''''''' ''' ''''''''''''''' ''''''' '''''''''''''' ''''''''''''' ''''''''''''''''''''''' ''''''''''''''' '''' '''''' ''''''''''''''''''''''' ''''''' '''''''''''''''''''''''</w:t>
      </w:r>
    </w:p>
    <w:p w:rsidR="00AF729E" w:rsidRPr="00C45652" w:rsidRDefault="00333658" w:rsidP="00C45652">
      <w:pPr>
        <w:spacing w:line="276" w:lineRule="auto"/>
        <w:rPr>
          <w:rFonts w:ascii="Calibri" w:eastAsia="Times New Roman" w:hAnsi="Calibri" w:cs="Times New Roman"/>
          <w:b/>
          <w:iCs/>
          <w:snapToGrid w:val="0"/>
          <w:u w:val="single"/>
          <w:lang w:eastAsia="en-US"/>
        </w:rPr>
      </w:pPr>
      <w:r w:rsidRPr="00C45652">
        <w:rPr>
          <w:rFonts w:ascii="Calibri" w:eastAsia="Times New Roman" w:hAnsi="Calibri" w:cs="Times New Roman"/>
          <w:b/>
          <w:iCs/>
          <w:snapToGrid w:val="0"/>
          <w:u w:val="single"/>
          <w:lang w:eastAsia="en-US"/>
        </w:rPr>
        <w:t xml:space="preserve">End of </w:t>
      </w:r>
      <w:r w:rsidR="00072468" w:rsidRPr="00C45652">
        <w:rPr>
          <w:rFonts w:ascii="Calibri" w:eastAsia="Times New Roman" w:hAnsi="Calibri" w:cs="Times New Roman"/>
          <w:b/>
          <w:iCs/>
          <w:snapToGrid w:val="0"/>
          <w:u w:val="single"/>
          <w:lang w:eastAsia="en-US"/>
        </w:rPr>
        <w:t>Commercial</w:t>
      </w:r>
      <w:r w:rsidRPr="00C45652">
        <w:rPr>
          <w:rFonts w:ascii="Calibri" w:eastAsia="Times New Roman" w:hAnsi="Calibri" w:cs="Times New Roman"/>
          <w:b/>
          <w:iCs/>
          <w:snapToGrid w:val="0"/>
          <w:u w:val="single"/>
          <w:lang w:eastAsia="en-US"/>
        </w:rPr>
        <w:t>-in-</w:t>
      </w:r>
      <w:r w:rsidR="00072468" w:rsidRPr="00C45652">
        <w:rPr>
          <w:rFonts w:ascii="Calibri" w:eastAsia="Times New Roman" w:hAnsi="Calibri" w:cs="Times New Roman"/>
          <w:b/>
          <w:iCs/>
          <w:snapToGrid w:val="0"/>
          <w:u w:val="single"/>
          <w:lang w:eastAsia="en-US"/>
        </w:rPr>
        <w:t xml:space="preserve">Confidence </w:t>
      </w:r>
    </w:p>
    <w:p w:rsidR="00AF729E" w:rsidRDefault="00333658" w:rsidP="00AF729E">
      <w:pPr>
        <w:keepNext/>
        <w:keepLines/>
        <w:spacing w:before="480" w:after="240"/>
        <w:outlineLvl w:val="0"/>
        <w:rPr>
          <w:rFonts w:ascii="Calibri" w:eastAsia="MS Gothic" w:hAnsi="Calibri" w:cs="Times New Roman"/>
          <w:b/>
          <w:bCs/>
          <w:sz w:val="32"/>
          <w:szCs w:val="32"/>
        </w:rPr>
      </w:pPr>
      <w:r>
        <w:rPr>
          <w:rFonts w:ascii="Calibri" w:eastAsia="MS Gothic" w:hAnsi="Calibri" w:cs="Times New Roman"/>
          <w:b/>
          <w:bCs/>
          <w:sz w:val="32"/>
          <w:szCs w:val="32"/>
        </w:rPr>
        <w:t>Discussion</w:t>
      </w:r>
    </w:p>
    <w:p w:rsidR="00AF729E" w:rsidRDefault="00333658" w:rsidP="00AF729E">
      <w:pPr>
        <w:rPr>
          <w:rFonts w:ascii="Calibri" w:eastAsia="MS Mincho" w:hAnsi="Calibri" w:cs="Times New Roman"/>
        </w:rPr>
      </w:pPr>
      <w:r>
        <w:rPr>
          <w:rFonts w:ascii="Calibri" w:eastAsia="MS Mincho" w:hAnsi="Calibri" w:cs="Times New Roman"/>
        </w:rPr>
        <w:t>The actual prescription utilisation was much less than predicted due to both the number of patients treated and prescriptions per patient being less than predicted.</w:t>
      </w:r>
    </w:p>
    <w:p w:rsidR="00AF729E" w:rsidRDefault="00333658" w:rsidP="00AF729E">
      <w:pPr>
        <w:rPr>
          <w:rFonts w:ascii="Calibri" w:eastAsia="MS Mincho" w:hAnsi="Calibri" w:cs="Times New Roman"/>
          <w:b/>
          <w:i/>
        </w:rPr>
      </w:pPr>
      <w:r w:rsidRPr="00B1404B">
        <w:rPr>
          <w:rFonts w:ascii="Calibri" w:eastAsia="MS Mincho" w:hAnsi="Calibri" w:cs="Times New Roman"/>
          <w:b/>
          <w:i/>
        </w:rPr>
        <w:t>Number of treated patients</w:t>
      </w:r>
    </w:p>
    <w:p w:rsidR="00AF729E" w:rsidRDefault="00333658" w:rsidP="00AF729E">
      <w:pPr>
        <w:rPr>
          <w:rFonts w:ascii="Calibri" w:eastAsia="MS Mincho" w:hAnsi="Calibri" w:cs="Times New Roman"/>
        </w:rPr>
      </w:pPr>
      <w:r>
        <w:rPr>
          <w:rFonts w:ascii="Calibri" w:eastAsia="MS Mincho" w:hAnsi="Calibri" w:cs="Times New Roman"/>
        </w:rPr>
        <w:t>It is not possible to determine a specific reason for the number of treated patients being much less than predicted. T</w:t>
      </w:r>
      <w:r w:rsidRPr="00E444FB">
        <w:rPr>
          <w:rFonts w:ascii="Calibri" w:eastAsia="MS Mincho" w:hAnsi="Calibri" w:cs="Times New Roman"/>
        </w:rPr>
        <w:t>he number of predicted incident MDS patients in Year 1 (Oct</w:t>
      </w:r>
      <w:r w:rsidR="00AC731E">
        <w:rPr>
          <w:rFonts w:ascii="Calibri" w:eastAsia="MS Mincho" w:hAnsi="Calibri" w:cs="Times New Roman"/>
        </w:rPr>
        <w:t> </w:t>
      </w:r>
      <w:r w:rsidRPr="00E444FB">
        <w:rPr>
          <w:rFonts w:ascii="Calibri" w:eastAsia="MS Mincho" w:hAnsi="Calibri" w:cs="Times New Roman"/>
        </w:rPr>
        <w:t xml:space="preserve">2013 to Sept 2014) was 1,161 patients based on AIHW incident rate data from 2006. This was reasonably accurate as the most recent data from the AIHW </w:t>
      </w:r>
      <w:r>
        <w:rPr>
          <w:rFonts w:ascii="Calibri" w:eastAsia="MS Mincho" w:hAnsi="Calibri" w:cs="Times New Roman"/>
        </w:rPr>
        <w:t xml:space="preserve">indicates </w:t>
      </w:r>
      <w:r w:rsidRPr="00E444FB">
        <w:rPr>
          <w:rFonts w:ascii="Calibri" w:eastAsia="MS Mincho" w:hAnsi="Calibri" w:cs="Times New Roman"/>
        </w:rPr>
        <w:t>that there were 1,307 MDS patients diagnosed in 2013</w:t>
      </w:r>
      <w:r w:rsidR="00AC731E">
        <w:rPr>
          <w:rFonts w:ascii="Calibri" w:eastAsia="MS Mincho" w:hAnsi="Calibri" w:cs="Times New Roman"/>
        </w:rPr>
        <w:t>.</w:t>
      </w:r>
      <w:r>
        <w:rPr>
          <w:rStyle w:val="FootnoteReference"/>
          <w:rFonts w:ascii="Calibri" w:eastAsia="MS Mincho" w:hAnsi="Calibri" w:cs="Times New Roman"/>
        </w:rPr>
        <w:footnoteReference w:id="1"/>
      </w:r>
    </w:p>
    <w:p w:rsidR="00AF729E" w:rsidRDefault="00333658" w:rsidP="00AF729E">
      <w:pPr>
        <w:rPr>
          <w:rFonts w:ascii="Calibri" w:eastAsia="MS Mincho" w:hAnsi="Calibri" w:cs="Times New Roman"/>
        </w:rPr>
      </w:pPr>
      <w:r w:rsidRPr="00E444FB">
        <w:rPr>
          <w:rFonts w:ascii="Calibri" w:eastAsia="MS Mincho" w:hAnsi="Calibri" w:cs="Times New Roman"/>
        </w:rPr>
        <w:t xml:space="preserve">The submission estimated that </w:t>
      </w:r>
      <w:r w:rsidR="00624706">
        <w:rPr>
          <w:rFonts w:ascii="Calibri" w:eastAsia="MS Mincho" w:hAnsi="Calibri" w:cs="Times New Roman"/>
          <w:noProof/>
          <w:color w:val="000000"/>
          <w:highlight w:val="black"/>
        </w:rPr>
        <w:t>''''''''' ''' ''''''''''''' ''' ''''''''''''</w:t>
      </w:r>
      <w:r w:rsidRPr="00E444FB">
        <w:rPr>
          <w:rFonts w:ascii="Calibri" w:eastAsia="MS Mincho" w:hAnsi="Calibri" w:cs="Times New Roman"/>
        </w:rPr>
        <w:t xml:space="preserve"> of incident MDS patients would be low risk or </w:t>
      </w:r>
      <w:r w:rsidR="00785847">
        <w:rPr>
          <w:rFonts w:ascii="Calibri" w:eastAsia="MS Mincho" w:hAnsi="Calibri" w:cs="Times New Roman"/>
        </w:rPr>
        <w:t>INT-</w:t>
      </w:r>
      <w:r w:rsidRPr="00E444FB">
        <w:rPr>
          <w:rFonts w:ascii="Calibri" w:eastAsia="MS Mincho" w:hAnsi="Calibri" w:cs="Times New Roman"/>
        </w:rPr>
        <w:t>1 risk (based on Hui et al (2008)</w:t>
      </w:r>
      <w:r>
        <w:rPr>
          <w:rStyle w:val="FootnoteReference"/>
          <w:rFonts w:ascii="Calibri" w:eastAsia="MS Mincho" w:hAnsi="Calibri" w:cs="Times New Roman"/>
        </w:rPr>
        <w:footnoteReference w:id="2"/>
      </w:r>
      <w:r w:rsidRPr="00E444FB">
        <w:rPr>
          <w:rFonts w:ascii="Calibri" w:eastAsia="MS Mincho" w:hAnsi="Calibri" w:cs="Times New Roman"/>
        </w:rPr>
        <w:t xml:space="preserve">  which reported South Australian data for MDS) and so eligible under the PBS restriction. It is possible that this percentage was an overestimate for the population of MDS patients in Australia.</w:t>
      </w:r>
    </w:p>
    <w:p w:rsidR="00AF729E" w:rsidRDefault="00333658" w:rsidP="00AF729E">
      <w:pPr>
        <w:rPr>
          <w:rFonts w:ascii="Calibri" w:eastAsia="MS Mincho" w:hAnsi="Calibri" w:cs="Times New Roman"/>
        </w:rPr>
      </w:pPr>
      <w:r w:rsidRPr="00E444FB">
        <w:rPr>
          <w:rFonts w:ascii="Calibri" w:eastAsia="MS Mincho" w:hAnsi="Calibri" w:cs="Times New Roman"/>
        </w:rPr>
        <w:lastRenderedPageBreak/>
        <w:t>The other possible areas of overestimat</w:t>
      </w:r>
      <w:r>
        <w:rPr>
          <w:rFonts w:ascii="Calibri" w:eastAsia="MS Mincho" w:hAnsi="Calibri" w:cs="Times New Roman"/>
        </w:rPr>
        <w:t>ion</w:t>
      </w:r>
      <w:r w:rsidRPr="00E444FB">
        <w:rPr>
          <w:rFonts w:ascii="Calibri" w:eastAsia="MS Mincho" w:hAnsi="Calibri" w:cs="Times New Roman"/>
        </w:rPr>
        <w:t xml:space="preserve"> in the </w:t>
      </w:r>
      <w:r>
        <w:rPr>
          <w:rFonts w:ascii="Calibri" w:eastAsia="MS Mincho" w:hAnsi="Calibri" w:cs="Times New Roman"/>
        </w:rPr>
        <w:t>number of treated patients were the  incorrect method of converting incident to prevalent patients, the percentage estimated to have the 5q deletion (</w:t>
      </w:r>
      <w:r w:rsidR="00624706">
        <w:rPr>
          <w:rFonts w:ascii="Calibri" w:eastAsia="MS Mincho" w:hAnsi="Calibri" w:cs="Times New Roman"/>
          <w:noProof/>
          <w:color w:val="000000"/>
          <w:highlight w:val="black"/>
        </w:rPr>
        <w:t>'''''</w:t>
      </w:r>
      <w:r>
        <w:rPr>
          <w:rFonts w:ascii="Calibri" w:eastAsia="MS Mincho" w:hAnsi="Calibri" w:cs="Times New Roman"/>
        </w:rPr>
        <w:t>%), the percentage that were transfusion dependant (</w:t>
      </w:r>
      <w:r w:rsidR="00624706">
        <w:rPr>
          <w:rFonts w:ascii="Calibri" w:eastAsia="MS Mincho" w:hAnsi="Calibri" w:cs="Times New Roman"/>
          <w:noProof/>
          <w:color w:val="000000"/>
          <w:highlight w:val="black"/>
        </w:rPr>
        <w:t>'''''</w:t>
      </w:r>
      <w:r>
        <w:rPr>
          <w:rFonts w:ascii="Calibri" w:eastAsia="MS Mincho" w:hAnsi="Calibri" w:cs="Times New Roman"/>
        </w:rPr>
        <w:t>%) and the uptake rate (</w:t>
      </w:r>
      <w:r w:rsidR="00624706">
        <w:rPr>
          <w:rFonts w:ascii="Calibri" w:eastAsia="MS Mincho" w:hAnsi="Calibri" w:cs="Times New Roman"/>
          <w:noProof/>
          <w:color w:val="000000"/>
          <w:highlight w:val="black"/>
        </w:rPr>
        <w:t>'''''</w:t>
      </w:r>
      <w:r>
        <w:rPr>
          <w:rFonts w:ascii="Calibri" w:eastAsia="MS Mincho" w:hAnsi="Calibri" w:cs="Times New Roman"/>
        </w:rPr>
        <w:t xml:space="preserve">% in Year 1 to </w:t>
      </w:r>
      <w:r w:rsidR="00624706">
        <w:rPr>
          <w:rFonts w:ascii="Calibri" w:eastAsia="MS Mincho" w:hAnsi="Calibri" w:cs="Times New Roman"/>
          <w:noProof/>
          <w:color w:val="000000"/>
          <w:highlight w:val="black"/>
        </w:rPr>
        <w:t>'''''</w:t>
      </w:r>
      <w:r>
        <w:rPr>
          <w:rFonts w:ascii="Calibri" w:eastAsia="MS Mincho" w:hAnsi="Calibri" w:cs="Times New Roman"/>
        </w:rPr>
        <w:t>% in Year 4). There is minimal evidence to indicate which of these factors contributed to the overestimate of treated patients.</w:t>
      </w:r>
    </w:p>
    <w:p w:rsidR="00AF729E" w:rsidRDefault="00333658" w:rsidP="00AF729E">
      <w:pPr>
        <w:rPr>
          <w:rFonts w:ascii="Calibri" w:eastAsia="MS Mincho" w:hAnsi="Calibri" w:cs="Times New Roman"/>
        </w:rPr>
      </w:pPr>
      <w:r>
        <w:rPr>
          <w:rFonts w:ascii="Calibri" w:eastAsia="MS Mincho" w:hAnsi="Calibri" w:cs="Times New Roman"/>
        </w:rPr>
        <w:t xml:space="preserve">Section 3.3 showed that the </w:t>
      </w:r>
      <w:r w:rsidRPr="009C5412">
        <w:rPr>
          <w:rFonts w:ascii="Calibri" w:eastAsia="MS Mincho" w:hAnsi="Calibri" w:cs="Times New Roman"/>
        </w:rPr>
        <w:t xml:space="preserve">combined non-response </w:t>
      </w:r>
      <w:r w:rsidR="00CD5A78">
        <w:rPr>
          <w:rFonts w:ascii="Calibri" w:eastAsia="MS Mincho" w:hAnsi="Calibri" w:cs="Times New Roman"/>
        </w:rPr>
        <w:t>plus</w:t>
      </w:r>
      <w:r w:rsidR="00CD5A78" w:rsidRPr="009C5412">
        <w:rPr>
          <w:rFonts w:ascii="Calibri" w:eastAsia="MS Mincho" w:hAnsi="Calibri" w:cs="Times New Roman"/>
        </w:rPr>
        <w:t xml:space="preserve"> </w:t>
      </w:r>
      <w:r w:rsidRPr="009C5412">
        <w:rPr>
          <w:rFonts w:ascii="Calibri" w:eastAsia="MS Mincho" w:hAnsi="Calibri" w:cs="Times New Roman"/>
        </w:rPr>
        <w:t xml:space="preserve">intolerance </w:t>
      </w:r>
      <w:r>
        <w:rPr>
          <w:rFonts w:ascii="Calibri" w:eastAsia="MS Mincho" w:hAnsi="Calibri" w:cs="Times New Roman"/>
        </w:rPr>
        <w:t xml:space="preserve">discontinuation </w:t>
      </w:r>
      <w:r w:rsidRPr="009C5412">
        <w:rPr>
          <w:rFonts w:ascii="Calibri" w:eastAsia="MS Mincho" w:hAnsi="Calibri" w:cs="Times New Roman"/>
        </w:rPr>
        <w:t xml:space="preserve">rate was 33.8% </w:t>
      </w:r>
      <w:r w:rsidR="00072468">
        <w:rPr>
          <w:rFonts w:ascii="Calibri" w:eastAsia="MS Mincho" w:hAnsi="Calibri" w:cs="Times New Roman"/>
        </w:rPr>
        <w:t>(based</w:t>
      </w:r>
      <w:r>
        <w:rPr>
          <w:rFonts w:ascii="Calibri" w:eastAsia="MS Mincho" w:hAnsi="Calibri" w:cs="Times New Roman"/>
        </w:rPr>
        <w:t xml:space="preserve"> on the number of patients that did not have a 2</w:t>
      </w:r>
      <w:r w:rsidRPr="006D7BD5">
        <w:rPr>
          <w:rFonts w:ascii="Calibri" w:eastAsia="MS Mincho" w:hAnsi="Calibri" w:cs="Times New Roman"/>
          <w:vertAlign w:val="superscript"/>
        </w:rPr>
        <w:t>nd</w:t>
      </w:r>
      <w:r>
        <w:rPr>
          <w:rFonts w:ascii="Calibri" w:eastAsia="MS Mincho" w:hAnsi="Calibri" w:cs="Times New Roman"/>
        </w:rPr>
        <w:t xml:space="preserve"> original prescription). PBAC was concerned that not all non-</w:t>
      </w:r>
      <w:r w:rsidR="00072468">
        <w:rPr>
          <w:rFonts w:ascii="Calibri" w:eastAsia="MS Mincho" w:hAnsi="Calibri" w:cs="Times New Roman"/>
        </w:rPr>
        <w:t>responders</w:t>
      </w:r>
      <w:r>
        <w:rPr>
          <w:rFonts w:ascii="Calibri" w:eastAsia="MS Mincho" w:hAnsi="Calibri" w:cs="Times New Roman"/>
        </w:rPr>
        <w:t xml:space="preserve"> might cease treatment. If this has occurred then the combined </w:t>
      </w:r>
      <w:r w:rsidRPr="009C5412">
        <w:rPr>
          <w:rFonts w:ascii="Calibri" w:eastAsia="MS Mincho" w:hAnsi="Calibri" w:cs="Times New Roman"/>
        </w:rPr>
        <w:t xml:space="preserve">non-response </w:t>
      </w:r>
      <w:r w:rsidR="00CD5A78">
        <w:rPr>
          <w:rFonts w:ascii="Calibri" w:eastAsia="MS Mincho" w:hAnsi="Calibri" w:cs="Times New Roman"/>
        </w:rPr>
        <w:t>plus</w:t>
      </w:r>
      <w:r w:rsidR="00CD5A78" w:rsidRPr="009C5412">
        <w:rPr>
          <w:rFonts w:ascii="Calibri" w:eastAsia="MS Mincho" w:hAnsi="Calibri" w:cs="Times New Roman"/>
        </w:rPr>
        <w:t xml:space="preserve"> </w:t>
      </w:r>
      <w:r w:rsidRPr="009C5412">
        <w:rPr>
          <w:rFonts w:ascii="Calibri" w:eastAsia="MS Mincho" w:hAnsi="Calibri" w:cs="Times New Roman"/>
        </w:rPr>
        <w:t xml:space="preserve">intolerance </w:t>
      </w:r>
      <w:r>
        <w:rPr>
          <w:rFonts w:ascii="Calibri" w:eastAsia="MS Mincho" w:hAnsi="Calibri" w:cs="Times New Roman"/>
        </w:rPr>
        <w:t xml:space="preserve">discontinuation </w:t>
      </w:r>
      <w:r w:rsidRPr="009C5412">
        <w:rPr>
          <w:rFonts w:ascii="Calibri" w:eastAsia="MS Mincho" w:hAnsi="Calibri" w:cs="Times New Roman"/>
        </w:rPr>
        <w:t>rate</w:t>
      </w:r>
      <w:r>
        <w:rPr>
          <w:rFonts w:ascii="Calibri" w:eastAsia="MS Mincho" w:hAnsi="Calibri" w:cs="Times New Roman"/>
        </w:rPr>
        <w:t xml:space="preserve"> is at least 33.8%, because some of the non-responders were not detected by this analysis. This relatively high rate of </w:t>
      </w:r>
      <w:r w:rsidRPr="009C5412">
        <w:rPr>
          <w:rFonts w:ascii="Calibri" w:eastAsia="MS Mincho" w:hAnsi="Calibri" w:cs="Times New Roman"/>
        </w:rPr>
        <w:t xml:space="preserve">non-response </w:t>
      </w:r>
      <w:r>
        <w:rPr>
          <w:rFonts w:ascii="Calibri" w:eastAsia="MS Mincho" w:hAnsi="Calibri" w:cs="Times New Roman"/>
        </w:rPr>
        <w:t xml:space="preserve">and </w:t>
      </w:r>
      <w:r w:rsidRPr="009C5412">
        <w:rPr>
          <w:rFonts w:ascii="Calibri" w:eastAsia="MS Mincho" w:hAnsi="Calibri" w:cs="Times New Roman"/>
        </w:rPr>
        <w:t>intolerance</w:t>
      </w:r>
      <w:r>
        <w:rPr>
          <w:rFonts w:ascii="Calibri" w:eastAsia="MS Mincho" w:hAnsi="Calibri" w:cs="Times New Roman"/>
        </w:rPr>
        <w:t xml:space="preserve"> may have led to lower than expected uptake of this treatment by prescribers. Prescribers may view </w:t>
      </w:r>
      <w:proofErr w:type="spellStart"/>
      <w:r>
        <w:rPr>
          <w:rFonts w:ascii="Calibri" w:eastAsia="MS Mincho" w:hAnsi="Calibri" w:cs="Times New Roman"/>
        </w:rPr>
        <w:t>lenalidomide</w:t>
      </w:r>
      <w:proofErr w:type="spellEnd"/>
      <w:r>
        <w:rPr>
          <w:rFonts w:ascii="Calibri" w:eastAsia="MS Mincho" w:hAnsi="Calibri" w:cs="Times New Roman"/>
        </w:rPr>
        <w:t xml:space="preserve"> as beneficial for a smaller group of patients with MDS than expected.</w:t>
      </w:r>
    </w:p>
    <w:p w:rsidR="00AF729E" w:rsidRDefault="00333658" w:rsidP="00AF729E">
      <w:pPr>
        <w:rPr>
          <w:rFonts w:ascii="Calibri" w:eastAsia="MS Mincho" w:hAnsi="Calibri" w:cs="Times New Roman"/>
        </w:rPr>
      </w:pPr>
      <w:r w:rsidRPr="003A2ED5">
        <w:rPr>
          <w:rFonts w:ascii="Calibri" w:eastAsia="MS Mincho" w:hAnsi="Calibri" w:cs="Times New Roman"/>
        </w:rPr>
        <w:t xml:space="preserve">The submission </w:t>
      </w:r>
      <w:r>
        <w:rPr>
          <w:rFonts w:ascii="Calibri" w:eastAsia="MS Mincho" w:hAnsi="Calibri" w:cs="Times New Roman"/>
        </w:rPr>
        <w:t xml:space="preserve">predicted that that </w:t>
      </w:r>
      <w:r w:rsidRPr="003A2ED5">
        <w:rPr>
          <w:rFonts w:ascii="Calibri" w:eastAsia="MS Mincho" w:hAnsi="Calibri" w:cs="Times New Roman"/>
        </w:rPr>
        <w:t>the percentage of 5</w:t>
      </w:r>
      <w:r w:rsidR="00AC731E">
        <w:rPr>
          <w:rFonts w:ascii="Calibri" w:eastAsia="MS Mincho" w:hAnsi="Calibri" w:cs="Times New Roman"/>
        </w:rPr>
        <w:t> </w:t>
      </w:r>
      <w:r w:rsidRPr="003A2ED5">
        <w:rPr>
          <w:rFonts w:ascii="Calibri" w:eastAsia="MS Mincho" w:hAnsi="Calibri" w:cs="Times New Roman"/>
        </w:rPr>
        <w:t>mg and 10</w:t>
      </w:r>
      <w:r w:rsidR="00AC731E">
        <w:rPr>
          <w:rFonts w:ascii="Calibri" w:eastAsia="MS Mincho" w:hAnsi="Calibri" w:cs="Times New Roman"/>
        </w:rPr>
        <w:t> </w:t>
      </w:r>
      <w:r w:rsidRPr="003A2ED5">
        <w:rPr>
          <w:rFonts w:ascii="Calibri" w:eastAsia="MS Mincho" w:hAnsi="Calibri" w:cs="Times New Roman"/>
        </w:rPr>
        <w:t>mg prescriptions supplied</w:t>
      </w:r>
      <w:r>
        <w:rPr>
          <w:rFonts w:ascii="Calibri" w:eastAsia="MS Mincho" w:hAnsi="Calibri" w:cs="Times New Roman"/>
        </w:rPr>
        <w:t xml:space="preserve"> would be </w:t>
      </w:r>
      <w:r w:rsidR="00624706">
        <w:rPr>
          <w:rFonts w:ascii="Calibri" w:eastAsia="MS Mincho" w:hAnsi="Calibri" w:cs="Times New Roman"/>
          <w:noProof/>
          <w:color w:val="000000"/>
          <w:highlight w:val="black"/>
        </w:rPr>
        <w:t>''''''''</w:t>
      </w:r>
      <w:r w:rsidRPr="003A2ED5">
        <w:rPr>
          <w:rFonts w:ascii="Calibri" w:eastAsia="MS Mincho" w:hAnsi="Calibri" w:cs="Times New Roman"/>
        </w:rPr>
        <w:t xml:space="preserve">% and </w:t>
      </w:r>
      <w:r w:rsidR="00624706">
        <w:rPr>
          <w:rFonts w:ascii="Calibri" w:eastAsia="MS Mincho" w:hAnsi="Calibri" w:cs="Times New Roman"/>
          <w:noProof/>
          <w:color w:val="000000"/>
          <w:highlight w:val="black"/>
        </w:rPr>
        <w:t>'''''''''</w:t>
      </w:r>
      <w:r w:rsidRPr="003A2ED5">
        <w:rPr>
          <w:rFonts w:ascii="Calibri" w:eastAsia="MS Mincho" w:hAnsi="Calibri" w:cs="Times New Roman"/>
        </w:rPr>
        <w:t>%</w:t>
      </w:r>
      <w:r w:rsidR="00CD5A78">
        <w:rPr>
          <w:rFonts w:ascii="Calibri" w:eastAsia="MS Mincho" w:hAnsi="Calibri" w:cs="Times New Roman"/>
        </w:rPr>
        <w:t>,</w:t>
      </w:r>
      <w:r w:rsidRPr="003A2ED5">
        <w:rPr>
          <w:rFonts w:ascii="Calibri" w:eastAsia="MS Mincho" w:hAnsi="Calibri" w:cs="Times New Roman"/>
        </w:rPr>
        <w:t xml:space="preserve"> respectively</w:t>
      </w:r>
      <w:r>
        <w:rPr>
          <w:rFonts w:ascii="Calibri" w:eastAsia="MS Mincho" w:hAnsi="Calibri" w:cs="Times New Roman"/>
        </w:rPr>
        <w:t>.</w:t>
      </w:r>
      <w:r w:rsidRPr="003A2ED5">
        <w:rPr>
          <w:rFonts w:ascii="Calibri" w:eastAsia="MS Mincho" w:hAnsi="Calibri" w:cs="Times New Roman"/>
        </w:rPr>
        <w:t xml:space="preserve"> The actual </w:t>
      </w:r>
      <w:r w:rsidR="00072468" w:rsidRPr="003A2ED5">
        <w:rPr>
          <w:rFonts w:ascii="Calibri" w:eastAsia="MS Mincho" w:hAnsi="Calibri" w:cs="Times New Roman"/>
        </w:rPr>
        <w:t>proportions</w:t>
      </w:r>
      <w:r w:rsidRPr="003A2ED5">
        <w:rPr>
          <w:rFonts w:ascii="Calibri" w:eastAsia="MS Mincho" w:hAnsi="Calibri" w:cs="Times New Roman"/>
        </w:rPr>
        <w:t xml:space="preserve"> in Year 3 were 32.7% </w:t>
      </w:r>
      <w:r w:rsidR="00072468" w:rsidRPr="003A2ED5">
        <w:rPr>
          <w:rFonts w:ascii="Calibri" w:eastAsia="MS Mincho" w:hAnsi="Calibri" w:cs="Times New Roman"/>
        </w:rPr>
        <w:t>and</w:t>
      </w:r>
      <w:r w:rsidRPr="003A2ED5">
        <w:rPr>
          <w:rFonts w:ascii="Calibri" w:eastAsia="MS Mincho" w:hAnsi="Calibri" w:cs="Times New Roman"/>
        </w:rPr>
        <w:t xml:space="preserve"> 67.2%</w:t>
      </w:r>
      <w:r w:rsidR="00CD5A78">
        <w:rPr>
          <w:rFonts w:ascii="Calibri" w:eastAsia="MS Mincho" w:hAnsi="Calibri" w:cs="Times New Roman"/>
        </w:rPr>
        <w:t>,</w:t>
      </w:r>
      <w:r w:rsidRPr="003A2ED5">
        <w:rPr>
          <w:rFonts w:ascii="Calibri" w:eastAsia="MS Mincho" w:hAnsi="Calibri" w:cs="Times New Roman"/>
        </w:rPr>
        <w:t xml:space="preserve"> respectively. Thus the proportion of 5</w:t>
      </w:r>
      <w:r w:rsidR="00AC731E">
        <w:rPr>
          <w:rFonts w:ascii="Calibri" w:eastAsia="MS Mincho" w:hAnsi="Calibri" w:cs="Times New Roman"/>
        </w:rPr>
        <w:t> </w:t>
      </w:r>
      <w:r w:rsidRPr="003A2ED5">
        <w:rPr>
          <w:rFonts w:ascii="Calibri" w:eastAsia="MS Mincho" w:hAnsi="Calibri" w:cs="Times New Roman"/>
        </w:rPr>
        <w:t>mg supply was more than predicted</w:t>
      </w:r>
      <w:r>
        <w:rPr>
          <w:rFonts w:ascii="Calibri" w:eastAsia="MS Mincho" w:hAnsi="Calibri" w:cs="Times New Roman"/>
        </w:rPr>
        <w:t>. This may be e</w:t>
      </w:r>
      <w:r w:rsidRPr="009252D4">
        <w:rPr>
          <w:rFonts w:ascii="Calibri" w:eastAsia="MS Mincho" w:hAnsi="Calibri" w:cs="Times New Roman"/>
        </w:rPr>
        <w:t xml:space="preserve">vidence that adverse events </w:t>
      </w:r>
      <w:r>
        <w:rPr>
          <w:rFonts w:ascii="Calibri" w:eastAsia="MS Mincho" w:hAnsi="Calibri" w:cs="Times New Roman"/>
        </w:rPr>
        <w:t xml:space="preserve">and subsequent dose reduction were </w:t>
      </w:r>
      <w:r w:rsidRPr="009252D4">
        <w:rPr>
          <w:rFonts w:ascii="Calibri" w:eastAsia="MS Mincho" w:hAnsi="Calibri" w:cs="Times New Roman"/>
        </w:rPr>
        <w:t>greater than expected</w:t>
      </w:r>
      <w:r>
        <w:rPr>
          <w:rFonts w:ascii="Calibri" w:eastAsia="MS Mincho" w:hAnsi="Calibri" w:cs="Times New Roman"/>
        </w:rPr>
        <w:t xml:space="preserve">. This also may have </w:t>
      </w:r>
      <w:r w:rsidR="00072468">
        <w:rPr>
          <w:rFonts w:ascii="Calibri" w:eastAsia="MS Mincho" w:hAnsi="Calibri" w:cs="Times New Roman"/>
        </w:rPr>
        <w:t>contributed</w:t>
      </w:r>
      <w:r>
        <w:rPr>
          <w:rFonts w:ascii="Calibri" w:eastAsia="MS Mincho" w:hAnsi="Calibri" w:cs="Times New Roman"/>
        </w:rPr>
        <w:t xml:space="preserve"> to a lower than expected uptake rate by prescribers. </w:t>
      </w:r>
    </w:p>
    <w:p w:rsidR="00AF729E" w:rsidRDefault="00333658" w:rsidP="00AF729E">
      <w:pPr>
        <w:rPr>
          <w:rFonts w:ascii="Calibri" w:eastAsia="MS Mincho" w:hAnsi="Calibri" w:cs="Times New Roman"/>
          <w:b/>
          <w:i/>
        </w:rPr>
      </w:pPr>
      <w:r>
        <w:rPr>
          <w:rFonts w:ascii="Calibri" w:eastAsia="MS Mincho" w:hAnsi="Calibri" w:cs="Times New Roman"/>
          <w:b/>
          <w:i/>
        </w:rPr>
        <w:t xml:space="preserve">Prescriptions per </w:t>
      </w:r>
      <w:r w:rsidRPr="00B1404B">
        <w:rPr>
          <w:rFonts w:ascii="Calibri" w:eastAsia="MS Mincho" w:hAnsi="Calibri" w:cs="Times New Roman"/>
          <w:b/>
          <w:i/>
        </w:rPr>
        <w:t>patients</w:t>
      </w:r>
    </w:p>
    <w:p w:rsidR="00AF729E" w:rsidRDefault="00333658" w:rsidP="00AF729E">
      <w:pPr>
        <w:rPr>
          <w:rFonts w:ascii="Calibri" w:eastAsia="MS Mincho" w:hAnsi="Calibri" w:cs="Times New Roman"/>
        </w:rPr>
      </w:pPr>
      <w:r w:rsidRPr="00C96762">
        <w:rPr>
          <w:rFonts w:ascii="Calibri" w:eastAsia="MS Mincho" w:hAnsi="Calibri" w:cs="Times New Roman"/>
        </w:rPr>
        <w:t xml:space="preserve">During the preparation of this report it was noted that the calculation of </w:t>
      </w:r>
      <w:r>
        <w:rPr>
          <w:rFonts w:ascii="Calibri" w:eastAsia="MS Mincho" w:hAnsi="Calibri" w:cs="Times New Roman"/>
        </w:rPr>
        <w:t xml:space="preserve">the </w:t>
      </w:r>
      <w:r w:rsidRPr="00C96762">
        <w:rPr>
          <w:rFonts w:ascii="Calibri" w:eastAsia="MS Mincho" w:hAnsi="Calibri" w:cs="Times New Roman"/>
        </w:rPr>
        <w:t xml:space="preserve">number of prescriptions per patient assumed that every patient had </w:t>
      </w:r>
      <w:r w:rsidR="00624706">
        <w:rPr>
          <w:rFonts w:ascii="Calibri" w:eastAsia="MS Mincho" w:hAnsi="Calibri" w:cs="Times New Roman"/>
          <w:noProof/>
          <w:color w:val="000000"/>
          <w:highlight w:val="black"/>
        </w:rPr>
        <w:t>'''''''</w:t>
      </w:r>
      <w:r w:rsidRPr="00C96762">
        <w:rPr>
          <w:rFonts w:ascii="Calibri" w:eastAsia="MS Mincho" w:hAnsi="Calibri" w:cs="Times New Roman"/>
        </w:rPr>
        <w:t xml:space="preserve"> prescriptions (</w:t>
      </w:r>
      <w:r w:rsidR="00624706">
        <w:rPr>
          <w:rFonts w:ascii="Calibri" w:eastAsia="MS Mincho" w:hAnsi="Calibri" w:cs="Times New Roman"/>
          <w:noProof/>
          <w:color w:val="000000"/>
          <w:highlight w:val="black"/>
        </w:rPr>
        <w:t>'''''''''</w:t>
      </w:r>
      <w:r w:rsidRPr="00C96762">
        <w:rPr>
          <w:rFonts w:ascii="Calibri" w:eastAsia="MS Mincho" w:hAnsi="Calibri" w:cs="Times New Roman"/>
        </w:rPr>
        <w:t xml:space="preserve"> cycles) of treatment </w:t>
      </w:r>
      <w:r>
        <w:rPr>
          <w:rFonts w:ascii="Calibri" w:eastAsia="MS Mincho" w:hAnsi="Calibri" w:cs="Times New Roman"/>
        </w:rPr>
        <w:t xml:space="preserve">in </w:t>
      </w:r>
      <w:r w:rsidRPr="00C96762">
        <w:rPr>
          <w:rFonts w:ascii="Calibri" w:eastAsia="MS Mincho" w:hAnsi="Calibri" w:cs="Times New Roman"/>
        </w:rPr>
        <w:t>every year</w:t>
      </w:r>
      <w:r>
        <w:rPr>
          <w:rFonts w:ascii="Calibri" w:eastAsia="MS Mincho" w:hAnsi="Calibri" w:cs="Times New Roman"/>
        </w:rPr>
        <w:t xml:space="preserve"> they were predicted to be alive</w:t>
      </w:r>
      <w:r w:rsidRPr="00C96762">
        <w:rPr>
          <w:rFonts w:ascii="Calibri" w:eastAsia="MS Mincho" w:hAnsi="Calibri" w:cs="Times New Roman"/>
        </w:rPr>
        <w:t xml:space="preserve">. This does not allow patients to commence </w:t>
      </w:r>
      <w:r>
        <w:rPr>
          <w:rFonts w:ascii="Calibri" w:eastAsia="MS Mincho" w:hAnsi="Calibri" w:cs="Times New Roman"/>
        </w:rPr>
        <w:t xml:space="preserve">or cease </w:t>
      </w:r>
      <w:r w:rsidRPr="00C96762">
        <w:rPr>
          <w:rFonts w:ascii="Calibri" w:eastAsia="MS Mincho" w:hAnsi="Calibri" w:cs="Times New Roman"/>
        </w:rPr>
        <w:t>treatment part way through the year (often referred to as a part cycle correction) and is likely to have the greatest effect in the first few years of listing i.e. until the market reaches stable equilibrium.</w:t>
      </w:r>
      <w:r>
        <w:rPr>
          <w:rFonts w:ascii="Calibri" w:eastAsia="MS Mincho" w:hAnsi="Calibri" w:cs="Times New Roman"/>
        </w:rPr>
        <w:t xml:space="preserve"> The </w:t>
      </w:r>
      <w:r w:rsidRPr="009635A3">
        <w:rPr>
          <w:rFonts w:ascii="Calibri" w:eastAsia="MS Mincho" w:hAnsi="Calibri" w:cs="Times New Roman"/>
        </w:rPr>
        <w:t xml:space="preserve">health economic model </w:t>
      </w:r>
      <w:r>
        <w:rPr>
          <w:rFonts w:ascii="Calibri" w:eastAsia="MS Mincho" w:hAnsi="Calibri" w:cs="Times New Roman"/>
        </w:rPr>
        <w:t xml:space="preserve">assumed </w:t>
      </w:r>
      <w:r w:rsidR="00624706">
        <w:rPr>
          <w:rFonts w:ascii="Calibri" w:eastAsia="MS Mincho" w:hAnsi="Calibri" w:cs="Times New Roman"/>
          <w:noProof/>
          <w:color w:val="000000"/>
          <w:highlight w:val="black"/>
        </w:rPr>
        <w:t>'''''''''</w:t>
      </w:r>
      <w:r>
        <w:rPr>
          <w:rFonts w:ascii="Calibri" w:eastAsia="MS Mincho" w:hAnsi="Calibri" w:cs="Times New Roman"/>
        </w:rPr>
        <w:t xml:space="preserve"> cycles </w:t>
      </w:r>
      <w:r w:rsidR="00072468">
        <w:rPr>
          <w:rFonts w:ascii="Calibri" w:eastAsia="MS Mincho" w:hAnsi="Calibri" w:cs="Times New Roman"/>
        </w:rPr>
        <w:t>(where</w:t>
      </w:r>
      <w:r>
        <w:rPr>
          <w:rFonts w:ascii="Calibri" w:eastAsia="MS Mincho" w:hAnsi="Calibri" w:cs="Times New Roman"/>
        </w:rPr>
        <w:t xml:space="preserve"> each cycle would require </w:t>
      </w:r>
      <w:r w:rsidR="00AC731E">
        <w:rPr>
          <w:rFonts w:ascii="Calibri" w:eastAsia="MS Mincho" w:hAnsi="Calibri" w:cs="Times New Roman"/>
        </w:rPr>
        <w:t xml:space="preserve">one </w:t>
      </w:r>
      <w:r>
        <w:rPr>
          <w:rFonts w:ascii="Calibri" w:eastAsia="MS Mincho" w:hAnsi="Calibri" w:cs="Times New Roman"/>
        </w:rPr>
        <w:t>prescription) per patient in total,</w:t>
      </w:r>
      <w:r w:rsidRPr="009635A3">
        <w:rPr>
          <w:rFonts w:ascii="Calibri" w:eastAsia="MS Mincho" w:hAnsi="Calibri" w:cs="Times New Roman"/>
        </w:rPr>
        <w:t xml:space="preserve"> not </w:t>
      </w:r>
      <w:r>
        <w:rPr>
          <w:rFonts w:ascii="Calibri" w:eastAsia="MS Mincho" w:hAnsi="Calibri" w:cs="Times New Roman"/>
        </w:rPr>
        <w:t xml:space="preserve">in </w:t>
      </w:r>
      <w:r w:rsidRPr="009635A3">
        <w:rPr>
          <w:rFonts w:ascii="Calibri" w:eastAsia="MS Mincho" w:hAnsi="Calibri" w:cs="Times New Roman"/>
        </w:rPr>
        <w:t>every year alive.</w:t>
      </w:r>
      <w:r>
        <w:rPr>
          <w:rFonts w:ascii="Calibri" w:eastAsia="MS Mincho" w:hAnsi="Calibri" w:cs="Times New Roman"/>
        </w:rPr>
        <w:t xml:space="preserve"> </w:t>
      </w:r>
    </w:p>
    <w:p w:rsidR="00AF729E" w:rsidRDefault="00333658" w:rsidP="00AF729E">
      <w:pPr>
        <w:rPr>
          <w:rFonts w:ascii="Calibri" w:eastAsia="MS Mincho" w:hAnsi="Calibri" w:cs="Times New Roman"/>
        </w:rPr>
      </w:pPr>
      <w:r>
        <w:rPr>
          <w:rFonts w:ascii="Calibri" w:eastAsia="MS Mincho" w:hAnsi="Calibri" w:cs="Times New Roman"/>
        </w:rPr>
        <w:t xml:space="preserve">The analysis in Section 3.3 of this report, which looked at the number of prescriptions per patient since initiation to </w:t>
      </w:r>
      <w:proofErr w:type="spellStart"/>
      <w:r>
        <w:rPr>
          <w:rFonts w:ascii="Calibri" w:eastAsia="MS Mincho" w:hAnsi="Calibri" w:cs="Times New Roman"/>
        </w:rPr>
        <w:t>lenalidomide</w:t>
      </w:r>
      <w:proofErr w:type="spellEnd"/>
      <w:r>
        <w:rPr>
          <w:rFonts w:ascii="Calibri" w:eastAsia="MS Mincho" w:hAnsi="Calibri" w:cs="Times New Roman"/>
        </w:rPr>
        <w:t xml:space="preserve"> (with a 24 month </w:t>
      </w:r>
      <w:r w:rsidR="00072468">
        <w:rPr>
          <w:rFonts w:ascii="Calibri" w:eastAsia="MS Mincho" w:hAnsi="Calibri" w:cs="Times New Roman"/>
        </w:rPr>
        <w:t>follow-up</w:t>
      </w:r>
      <w:r>
        <w:rPr>
          <w:rFonts w:ascii="Calibri" w:eastAsia="MS Mincho" w:hAnsi="Calibri" w:cs="Times New Roman"/>
        </w:rPr>
        <w:t xml:space="preserve"> for each patient)</w:t>
      </w:r>
      <w:r w:rsidR="00562653">
        <w:rPr>
          <w:rFonts w:ascii="Calibri" w:eastAsia="MS Mincho" w:hAnsi="Calibri" w:cs="Times New Roman"/>
        </w:rPr>
        <w:t>,</w:t>
      </w:r>
      <w:r>
        <w:rPr>
          <w:rFonts w:ascii="Calibri" w:eastAsia="MS Mincho" w:hAnsi="Calibri" w:cs="Times New Roman"/>
        </w:rPr>
        <w:t xml:space="preserve"> found that the average number of prescriptions per patient was 11.8 and so was more than that assumed in the economic model (</w:t>
      </w:r>
      <w:r w:rsidR="00624706">
        <w:rPr>
          <w:rFonts w:ascii="Calibri" w:eastAsia="MS Mincho" w:hAnsi="Calibri" w:cs="Times New Roman"/>
          <w:noProof/>
          <w:color w:val="000000"/>
          <w:highlight w:val="black"/>
        </w:rPr>
        <w:t xml:space="preserve">''''''''' </w:t>
      </w:r>
      <w:r>
        <w:rPr>
          <w:rFonts w:ascii="Calibri" w:eastAsia="MS Mincho" w:hAnsi="Calibri" w:cs="Times New Roman"/>
        </w:rPr>
        <w:t xml:space="preserve">cycles). However the average of 11.8 prescriptions took 2 years to achieve and both Figures 5 and 7 show that a reasonable proportion of patients are still on treatment after 24 months. This means that even though patients are getting more prescriptions per patient in total than assumed by the economic model, they are receiving them over a longer period than assumed in the model. This is partly due to some patients having breaks in treatment. The length of treatment analysis in Section 3.1 estimated that there was a 2 month difference </w:t>
      </w:r>
      <w:r w:rsidR="00072468">
        <w:rPr>
          <w:rFonts w:ascii="Calibri" w:eastAsia="MS Mincho" w:hAnsi="Calibri" w:cs="Times New Roman"/>
        </w:rPr>
        <w:t>between the</w:t>
      </w:r>
      <w:r>
        <w:rPr>
          <w:rFonts w:ascii="Calibri" w:eastAsia="MS Mincho" w:hAnsi="Calibri" w:cs="Times New Roman"/>
        </w:rPr>
        <w:t xml:space="preserve"> median length of treatment excluding breaks (i</w:t>
      </w:r>
      <w:r w:rsidR="00AC731E">
        <w:rPr>
          <w:rFonts w:ascii="Calibri" w:eastAsia="MS Mincho" w:hAnsi="Calibri" w:cs="Times New Roman"/>
        </w:rPr>
        <w:t>.</w:t>
      </w:r>
      <w:r>
        <w:rPr>
          <w:rFonts w:ascii="Calibri" w:eastAsia="MS Mincho" w:hAnsi="Calibri" w:cs="Times New Roman"/>
        </w:rPr>
        <w:t>e. 11.0 months) and the length of treatment excluding breaks (i</w:t>
      </w:r>
      <w:r w:rsidR="00AC731E">
        <w:rPr>
          <w:rFonts w:ascii="Calibri" w:eastAsia="MS Mincho" w:hAnsi="Calibri" w:cs="Times New Roman"/>
        </w:rPr>
        <w:t>.</w:t>
      </w:r>
      <w:r>
        <w:rPr>
          <w:rFonts w:ascii="Calibri" w:eastAsia="MS Mincho" w:hAnsi="Calibri" w:cs="Times New Roman"/>
        </w:rPr>
        <w:t>e.</w:t>
      </w:r>
      <w:r w:rsidR="00AC731E">
        <w:rPr>
          <w:rFonts w:ascii="Calibri" w:eastAsia="MS Mincho" w:hAnsi="Calibri" w:cs="Times New Roman"/>
        </w:rPr>
        <w:t> </w:t>
      </w:r>
      <w:r>
        <w:rPr>
          <w:rFonts w:ascii="Calibri" w:eastAsia="MS Mincho" w:hAnsi="Calibri" w:cs="Times New Roman"/>
        </w:rPr>
        <w:t>13</w:t>
      </w:r>
      <w:r w:rsidR="00AC731E">
        <w:rPr>
          <w:rFonts w:ascii="Calibri" w:eastAsia="MS Mincho" w:hAnsi="Calibri" w:cs="Times New Roman"/>
        </w:rPr>
        <w:t> </w:t>
      </w:r>
      <w:r>
        <w:rPr>
          <w:rFonts w:ascii="Calibri" w:eastAsia="MS Mincho" w:hAnsi="Calibri" w:cs="Times New Roman"/>
        </w:rPr>
        <w:t xml:space="preserve">months). The reason for long breaks in therapy is not clear. </w:t>
      </w:r>
    </w:p>
    <w:p w:rsidR="00AF729E" w:rsidRDefault="00333658" w:rsidP="00CD29FD">
      <w:pPr>
        <w:keepNext/>
        <w:rPr>
          <w:rFonts w:ascii="Calibri" w:eastAsia="MS Mincho" w:hAnsi="Calibri" w:cs="Times New Roman"/>
          <w:b/>
          <w:i/>
        </w:rPr>
      </w:pPr>
      <w:r>
        <w:rPr>
          <w:rFonts w:ascii="Calibri" w:eastAsia="MS Mincho" w:hAnsi="Calibri" w:cs="Times New Roman"/>
          <w:b/>
          <w:i/>
        </w:rPr>
        <w:lastRenderedPageBreak/>
        <w:t>Cost offsets</w:t>
      </w:r>
    </w:p>
    <w:p w:rsidR="00AF729E" w:rsidRDefault="00333658" w:rsidP="00AF729E">
      <w:pPr>
        <w:rPr>
          <w:rFonts w:ascii="Calibri" w:eastAsia="Times New Roman" w:hAnsi="Calibri" w:cs="Times New Roman"/>
          <w:iCs/>
          <w:snapToGrid w:val="0"/>
          <w:lang w:eastAsia="en-US"/>
        </w:rPr>
      </w:pPr>
      <w:r>
        <w:rPr>
          <w:rFonts w:ascii="Calibri" w:eastAsia="MS Mincho" w:hAnsi="Calibri" w:cs="Times New Roman"/>
        </w:rPr>
        <w:t xml:space="preserve">The submission predicted a saving of </w:t>
      </w:r>
      <w:r w:rsidRPr="00757AEA">
        <w:rPr>
          <w:rFonts w:ascii="Calibri" w:eastAsia="MS Mincho" w:hAnsi="Calibri" w:cs="Times New Roman"/>
        </w:rPr>
        <w:t>$</w:t>
      </w:r>
      <w:r w:rsidR="00624706">
        <w:rPr>
          <w:rFonts w:ascii="Calibri" w:eastAsia="MS Mincho" w:hAnsi="Calibri" w:cs="Times New Roman"/>
          <w:noProof/>
          <w:color w:val="000000"/>
          <w:highlight w:val="black"/>
        </w:rPr>
        <w:t>''''''''''</w:t>
      </w:r>
      <w:r w:rsidRPr="00757AEA">
        <w:rPr>
          <w:rFonts w:ascii="Calibri" w:eastAsia="MS Mincho" w:hAnsi="Calibri" w:cs="Times New Roman"/>
        </w:rPr>
        <w:t xml:space="preserve"> per patient</w:t>
      </w:r>
      <w:r>
        <w:rPr>
          <w:rFonts w:ascii="Calibri" w:eastAsia="MS Mincho" w:hAnsi="Calibri" w:cs="Times New Roman"/>
        </w:rPr>
        <w:t xml:space="preserve"> for reduced use of </w:t>
      </w:r>
      <w:proofErr w:type="spellStart"/>
      <w:r w:rsidRPr="00501438">
        <w:rPr>
          <w:rFonts w:ascii="Calibri" w:eastAsia="Times New Roman" w:hAnsi="Calibri" w:cs="Times New Roman"/>
          <w:iCs/>
          <w:snapToGrid w:val="0"/>
          <w:lang w:eastAsia="en-US"/>
        </w:rPr>
        <w:t>deferasirox</w:t>
      </w:r>
      <w:proofErr w:type="spellEnd"/>
      <w:r>
        <w:rPr>
          <w:rFonts w:ascii="Calibri" w:eastAsia="Times New Roman" w:hAnsi="Calibri" w:cs="Times New Roman"/>
          <w:iCs/>
          <w:snapToGrid w:val="0"/>
          <w:lang w:eastAsia="en-US"/>
        </w:rPr>
        <w:t xml:space="preserve"> and the actual saving was $541 per patient on average. Also an additional cost of </w:t>
      </w:r>
      <w:r w:rsidRPr="00757AEA">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774</w:t>
      </w:r>
      <w:r w:rsidRPr="00757AEA">
        <w:rPr>
          <w:rFonts w:ascii="Calibri" w:eastAsia="Times New Roman" w:hAnsi="Calibri" w:cs="Times New Roman"/>
          <w:iCs/>
          <w:snapToGrid w:val="0"/>
          <w:lang w:eastAsia="en-US"/>
        </w:rPr>
        <w:t xml:space="preserve"> per patient</w:t>
      </w:r>
      <w:r>
        <w:rPr>
          <w:rFonts w:ascii="Calibri" w:eastAsia="Times New Roman" w:hAnsi="Calibri" w:cs="Times New Roman"/>
          <w:iCs/>
          <w:snapToGrid w:val="0"/>
          <w:lang w:eastAsia="en-US"/>
        </w:rPr>
        <w:t xml:space="preserve"> was predicted for </w:t>
      </w:r>
      <w:proofErr w:type="spellStart"/>
      <w:r>
        <w:rPr>
          <w:rFonts w:ascii="Calibri" w:eastAsia="Times New Roman" w:hAnsi="Calibri" w:cs="Times New Roman"/>
          <w:iCs/>
          <w:snapToGrid w:val="0"/>
          <w:lang w:eastAsia="en-US"/>
        </w:rPr>
        <w:t>gCSF</w:t>
      </w:r>
      <w:proofErr w:type="spellEnd"/>
      <w:r>
        <w:rPr>
          <w:rFonts w:ascii="Calibri" w:eastAsia="Times New Roman" w:hAnsi="Calibri" w:cs="Times New Roman"/>
          <w:iCs/>
          <w:snapToGrid w:val="0"/>
          <w:lang w:eastAsia="en-US"/>
        </w:rPr>
        <w:t xml:space="preserve"> drugs and the actual additional cost was $</w:t>
      </w:r>
      <w:r w:rsidR="00624706">
        <w:rPr>
          <w:rFonts w:ascii="Calibri" w:eastAsia="MS Mincho" w:hAnsi="Calibri" w:cs="Times New Roman"/>
          <w:noProof/>
          <w:color w:val="000000"/>
          <w:highlight w:val="black"/>
        </w:rPr>
        <w:t>''''''''</w:t>
      </w:r>
      <w:r>
        <w:rPr>
          <w:rFonts w:ascii="Calibri" w:eastAsia="Times New Roman" w:hAnsi="Calibri" w:cs="Times New Roman"/>
          <w:iCs/>
          <w:snapToGrid w:val="0"/>
          <w:lang w:eastAsia="en-US"/>
        </w:rPr>
        <w:t xml:space="preserve"> per patient. One reason for these large differences is that only 19 of the 74 patients that were part of the analysis (see Section 3.4) had supplies of either </w:t>
      </w:r>
      <w:proofErr w:type="spellStart"/>
      <w:r w:rsidR="00072468" w:rsidRPr="009D1722">
        <w:rPr>
          <w:rFonts w:ascii="Calibri" w:eastAsia="Times New Roman" w:hAnsi="Calibri" w:cs="Times New Roman"/>
          <w:iCs/>
          <w:snapToGrid w:val="0"/>
          <w:lang w:eastAsia="en-US"/>
        </w:rPr>
        <w:t>deferasirox</w:t>
      </w:r>
      <w:proofErr w:type="spellEnd"/>
      <w:r w:rsidRPr="009D1722">
        <w:rPr>
          <w:rFonts w:ascii="Calibri" w:eastAsia="Times New Roman" w:hAnsi="Calibri" w:cs="Times New Roman"/>
          <w:iCs/>
          <w:snapToGrid w:val="0"/>
          <w:lang w:eastAsia="en-US"/>
        </w:rPr>
        <w:t xml:space="preserve"> </w:t>
      </w:r>
      <w:r>
        <w:rPr>
          <w:rFonts w:ascii="Calibri" w:eastAsia="Times New Roman" w:hAnsi="Calibri" w:cs="Times New Roman"/>
          <w:iCs/>
          <w:snapToGrid w:val="0"/>
          <w:lang w:eastAsia="en-US"/>
        </w:rPr>
        <w:t>or</w:t>
      </w:r>
      <w:r w:rsidRPr="009D1722">
        <w:rPr>
          <w:rFonts w:ascii="Calibri" w:eastAsia="Times New Roman" w:hAnsi="Calibri" w:cs="Times New Roman"/>
          <w:iCs/>
          <w:snapToGrid w:val="0"/>
          <w:lang w:eastAsia="en-US"/>
        </w:rPr>
        <w:t xml:space="preserve"> </w:t>
      </w:r>
      <w:proofErr w:type="spellStart"/>
      <w:r>
        <w:rPr>
          <w:rFonts w:ascii="Calibri" w:eastAsia="Times New Roman" w:hAnsi="Calibri" w:cs="Times New Roman"/>
          <w:iCs/>
          <w:snapToGrid w:val="0"/>
          <w:lang w:eastAsia="en-US"/>
        </w:rPr>
        <w:t>gCSF</w:t>
      </w:r>
      <w:proofErr w:type="spellEnd"/>
      <w:r w:rsidRPr="009D1722">
        <w:rPr>
          <w:rFonts w:ascii="Calibri" w:eastAsia="Times New Roman" w:hAnsi="Calibri" w:cs="Times New Roman"/>
          <w:iCs/>
          <w:snapToGrid w:val="0"/>
          <w:lang w:eastAsia="en-US"/>
        </w:rPr>
        <w:t xml:space="preserve"> supplied in the 12</w:t>
      </w:r>
      <w:r w:rsidR="00F90956">
        <w:rPr>
          <w:rFonts w:ascii="Calibri" w:eastAsia="Times New Roman" w:hAnsi="Calibri" w:cs="Times New Roman"/>
          <w:iCs/>
          <w:snapToGrid w:val="0"/>
          <w:lang w:eastAsia="en-US"/>
        </w:rPr>
        <w:t> </w:t>
      </w:r>
      <w:r w:rsidRPr="009D1722">
        <w:rPr>
          <w:rFonts w:ascii="Calibri" w:eastAsia="Times New Roman" w:hAnsi="Calibri" w:cs="Times New Roman"/>
          <w:iCs/>
          <w:snapToGrid w:val="0"/>
          <w:lang w:eastAsia="en-US"/>
        </w:rPr>
        <w:t>months pre or p</w:t>
      </w:r>
      <w:r>
        <w:rPr>
          <w:rFonts w:ascii="Calibri" w:eastAsia="Times New Roman" w:hAnsi="Calibri" w:cs="Times New Roman"/>
          <w:iCs/>
          <w:snapToGrid w:val="0"/>
          <w:lang w:eastAsia="en-US"/>
        </w:rPr>
        <w:t xml:space="preserve">ost initiation to </w:t>
      </w:r>
      <w:proofErr w:type="spellStart"/>
      <w:r>
        <w:rPr>
          <w:rFonts w:ascii="Calibri" w:eastAsia="Times New Roman" w:hAnsi="Calibri" w:cs="Times New Roman"/>
          <w:iCs/>
          <w:snapToGrid w:val="0"/>
          <w:lang w:eastAsia="en-US"/>
        </w:rPr>
        <w:t>lenalidomide</w:t>
      </w:r>
      <w:proofErr w:type="spellEnd"/>
      <w:r>
        <w:rPr>
          <w:rFonts w:ascii="Calibri" w:eastAsia="Times New Roman" w:hAnsi="Calibri" w:cs="Times New Roman"/>
          <w:iCs/>
          <w:snapToGrid w:val="0"/>
          <w:lang w:eastAsia="en-US"/>
        </w:rPr>
        <w:t xml:space="preserve">. Thus the large number </w:t>
      </w:r>
      <w:r w:rsidR="00072468">
        <w:rPr>
          <w:rFonts w:ascii="Calibri" w:eastAsia="Times New Roman" w:hAnsi="Calibri" w:cs="Times New Roman"/>
          <w:iCs/>
          <w:snapToGrid w:val="0"/>
          <w:lang w:eastAsia="en-US"/>
        </w:rPr>
        <w:t>of patients</w:t>
      </w:r>
      <w:r>
        <w:rPr>
          <w:rFonts w:ascii="Calibri" w:eastAsia="Times New Roman" w:hAnsi="Calibri" w:cs="Times New Roman"/>
          <w:iCs/>
          <w:snapToGrid w:val="0"/>
          <w:lang w:eastAsia="en-US"/>
        </w:rPr>
        <w:t xml:space="preserve"> with no utilisation decreased the saving or cost per patient averaged over all 74 patients.</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submission assumption was that </w:t>
      </w:r>
      <w:r w:rsidR="00624706">
        <w:rPr>
          <w:rFonts w:ascii="Calibri" w:eastAsia="MS Mincho" w:hAnsi="Calibri" w:cs="Times New Roman"/>
          <w:noProof/>
          <w:color w:val="000000"/>
          <w:highlight w:val="black"/>
        </w:rPr>
        <w:t>'''''</w:t>
      </w:r>
      <w:r>
        <w:rPr>
          <w:rFonts w:ascii="Calibri" w:eastAsia="Times New Roman" w:hAnsi="Calibri" w:cs="Times New Roman"/>
          <w:iCs/>
          <w:snapToGrid w:val="0"/>
          <w:lang w:eastAsia="en-US"/>
        </w:rPr>
        <w:t xml:space="preserve">% of </w:t>
      </w:r>
      <w:proofErr w:type="spellStart"/>
      <w:r>
        <w:rPr>
          <w:rFonts w:ascii="Calibri" w:eastAsia="Times New Roman" w:hAnsi="Calibri" w:cs="Times New Roman"/>
          <w:iCs/>
          <w:snapToGrid w:val="0"/>
          <w:lang w:eastAsia="en-US"/>
        </w:rPr>
        <w:t>lenalidomide</w:t>
      </w:r>
      <w:proofErr w:type="spellEnd"/>
      <w:r>
        <w:rPr>
          <w:rFonts w:ascii="Calibri" w:eastAsia="Times New Roman" w:hAnsi="Calibri" w:cs="Times New Roman"/>
          <w:iCs/>
          <w:snapToGrid w:val="0"/>
          <w:lang w:eastAsia="en-US"/>
        </w:rPr>
        <w:t xml:space="preserve"> treated patients would be transfusion dependant and </w:t>
      </w:r>
      <w:r w:rsidR="00624706">
        <w:rPr>
          <w:rFonts w:ascii="Calibri" w:eastAsia="MS Mincho" w:hAnsi="Calibri" w:cs="Times New Roman"/>
          <w:noProof/>
          <w:color w:val="000000"/>
          <w:highlight w:val="black"/>
        </w:rPr>
        <w:t>'''''</w:t>
      </w:r>
      <w:r>
        <w:rPr>
          <w:rFonts w:ascii="Calibri" w:eastAsia="Times New Roman" w:hAnsi="Calibri" w:cs="Times New Roman"/>
          <w:iCs/>
          <w:snapToGrid w:val="0"/>
          <w:lang w:eastAsia="en-US"/>
        </w:rPr>
        <w:t xml:space="preserve">% of these would be treated with </w:t>
      </w:r>
      <w:proofErr w:type="spellStart"/>
      <w:r>
        <w:rPr>
          <w:rFonts w:ascii="Calibri" w:eastAsia="Times New Roman" w:hAnsi="Calibri" w:cs="Times New Roman"/>
          <w:iCs/>
          <w:snapToGrid w:val="0"/>
          <w:lang w:eastAsia="en-US"/>
        </w:rPr>
        <w:t>deferasirox</w:t>
      </w:r>
      <w:proofErr w:type="spellEnd"/>
      <w:r>
        <w:rPr>
          <w:rFonts w:ascii="Calibri" w:eastAsia="Times New Roman" w:hAnsi="Calibri" w:cs="Times New Roman"/>
          <w:iCs/>
          <w:snapToGrid w:val="0"/>
          <w:lang w:eastAsia="en-US"/>
        </w:rPr>
        <w:t xml:space="preserve">. This means </w:t>
      </w:r>
      <w:r w:rsidR="00624706">
        <w:rPr>
          <w:rFonts w:ascii="Calibri" w:eastAsia="MS Mincho" w:hAnsi="Calibri" w:cs="Times New Roman"/>
          <w:noProof/>
          <w:color w:val="000000"/>
          <w:highlight w:val="black"/>
        </w:rPr>
        <w:t>'''''</w:t>
      </w:r>
      <w:r>
        <w:rPr>
          <w:rFonts w:ascii="Calibri" w:eastAsia="Times New Roman" w:hAnsi="Calibri" w:cs="Times New Roman"/>
          <w:iCs/>
          <w:snapToGrid w:val="0"/>
          <w:lang w:eastAsia="en-US"/>
        </w:rPr>
        <w:t xml:space="preserve">% of patients were expected to be treated with </w:t>
      </w:r>
      <w:proofErr w:type="spellStart"/>
      <w:r>
        <w:rPr>
          <w:rFonts w:ascii="Calibri" w:eastAsia="Times New Roman" w:hAnsi="Calibri" w:cs="Times New Roman"/>
          <w:iCs/>
          <w:snapToGrid w:val="0"/>
          <w:lang w:eastAsia="en-US"/>
        </w:rPr>
        <w:t>deferasirox</w:t>
      </w:r>
      <w:proofErr w:type="spellEnd"/>
      <w:r>
        <w:rPr>
          <w:rFonts w:ascii="Calibri" w:eastAsia="Times New Roman" w:hAnsi="Calibri" w:cs="Times New Roman"/>
          <w:iCs/>
          <w:snapToGrid w:val="0"/>
          <w:lang w:eastAsia="en-US"/>
        </w:rPr>
        <w:t xml:space="preserve"> after treatment with </w:t>
      </w:r>
      <w:proofErr w:type="spellStart"/>
      <w:r>
        <w:rPr>
          <w:rFonts w:ascii="Calibri" w:eastAsia="Times New Roman" w:hAnsi="Calibri" w:cs="Times New Roman"/>
          <w:iCs/>
          <w:snapToGrid w:val="0"/>
          <w:lang w:eastAsia="en-US"/>
        </w:rPr>
        <w:t>lenalidomide</w:t>
      </w:r>
      <w:proofErr w:type="spellEnd"/>
      <w:r>
        <w:rPr>
          <w:rFonts w:ascii="Calibri" w:eastAsia="Times New Roman" w:hAnsi="Calibri" w:cs="Times New Roman"/>
          <w:iCs/>
          <w:snapToGrid w:val="0"/>
          <w:lang w:eastAsia="en-US"/>
        </w:rPr>
        <w:t xml:space="preserve">. Of the 74 patients in the actual analysis, 9 patients had treatment with </w:t>
      </w:r>
      <w:proofErr w:type="spellStart"/>
      <w:r>
        <w:rPr>
          <w:rFonts w:ascii="Calibri" w:eastAsia="Times New Roman" w:hAnsi="Calibri" w:cs="Times New Roman"/>
          <w:iCs/>
          <w:snapToGrid w:val="0"/>
          <w:lang w:eastAsia="en-US"/>
        </w:rPr>
        <w:t>deferasirox</w:t>
      </w:r>
      <w:proofErr w:type="spellEnd"/>
      <w:r>
        <w:rPr>
          <w:rFonts w:ascii="Calibri" w:eastAsia="Times New Roman" w:hAnsi="Calibri" w:cs="Times New Roman"/>
          <w:iCs/>
          <w:snapToGrid w:val="0"/>
          <w:lang w:eastAsia="en-US"/>
        </w:rPr>
        <w:t xml:space="preserve"> in the year after initiating </w:t>
      </w:r>
      <w:proofErr w:type="spellStart"/>
      <w:r>
        <w:rPr>
          <w:rFonts w:ascii="Calibri" w:eastAsia="Times New Roman" w:hAnsi="Calibri" w:cs="Times New Roman"/>
          <w:iCs/>
          <w:snapToGrid w:val="0"/>
          <w:lang w:eastAsia="en-US"/>
        </w:rPr>
        <w:t>lenalidomide</w:t>
      </w:r>
      <w:proofErr w:type="spellEnd"/>
      <w:r>
        <w:rPr>
          <w:rFonts w:ascii="Calibri" w:eastAsia="Times New Roman" w:hAnsi="Calibri" w:cs="Times New Roman"/>
          <w:iCs/>
          <w:snapToGrid w:val="0"/>
          <w:lang w:eastAsia="en-US"/>
        </w:rPr>
        <w:t>. This is</w:t>
      </w:r>
      <w:r w:rsidR="00624706">
        <w:rPr>
          <w:rFonts w:ascii="Calibri" w:eastAsia="MS Mincho" w:hAnsi="Calibri" w:cs="Times New Roman"/>
          <w:noProof/>
          <w:color w:val="000000"/>
          <w:highlight w:val="black"/>
        </w:rPr>
        <w:t xml:space="preserve"> '''''</w:t>
      </w:r>
      <w:r>
        <w:rPr>
          <w:rFonts w:ascii="Calibri" w:eastAsia="Times New Roman" w:hAnsi="Calibri" w:cs="Times New Roman"/>
          <w:iCs/>
          <w:snapToGrid w:val="0"/>
          <w:lang w:eastAsia="en-US"/>
        </w:rPr>
        <w:t>% which is less than predicted.</w:t>
      </w:r>
    </w:p>
    <w:p w:rsidR="00AF729E" w:rsidRDefault="00333658" w:rsidP="00AF729E">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In regard to </w:t>
      </w:r>
      <w:proofErr w:type="spellStart"/>
      <w:r>
        <w:rPr>
          <w:rFonts w:ascii="Calibri" w:eastAsia="Times New Roman" w:hAnsi="Calibri" w:cs="Times New Roman"/>
          <w:iCs/>
          <w:snapToGrid w:val="0"/>
          <w:lang w:eastAsia="en-US"/>
        </w:rPr>
        <w:t>gCSF</w:t>
      </w:r>
      <w:proofErr w:type="spellEnd"/>
      <w:r>
        <w:rPr>
          <w:rFonts w:ascii="Calibri" w:eastAsia="Times New Roman" w:hAnsi="Calibri" w:cs="Times New Roman"/>
          <w:iCs/>
          <w:snapToGrid w:val="0"/>
          <w:lang w:eastAsia="en-US"/>
        </w:rPr>
        <w:t xml:space="preserve">, the submission assumed that </w:t>
      </w:r>
      <w:r w:rsidR="00624706">
        <w:rPr>
          <w:rFonts w:ascii="Calibri" w:eastAsia="MS Mincho" w:hAnsi="Calibri" w:cs="Times New Roman"/>
          <w:noProof/>
          <w:color w:val="000000"/>
          <w:highlight w:val="black"/>
        </w:rPr>
        <w:t>''''''</w:t>
      </w:r>
      <w:r w:rsidRPr="006E6E7D">
        <w:rPr>
          <w:rFonts w:ascii="Calibri" w:eastAsia="Times New Roman" w:hAnsi="Calibri" w:cs="Times New Roman"/>
          <w:iCs/>
          <w:snapToGrid w:val="0"/>
          <w:lang w:eastAsia="en-US"/>
        </w:rPr>
        <w:t xml:space="preserve">% patients </w:t>
      </w:r>
      <w:r>
        <w:rPr>
          <w:rFonts w:ascii="Calibri" w:eastAsia="Times New Roman" w:hAnsi="Calibri" w:cs="Times New Roman"/>
          <w:iCs/>
          <w:snapToGrid w:val="0"/>
          <w:lang w:eastAsia="en-US"/>
        </w:rPr>
        <w:t xml:space="preserve">would </w:t>
      </w:r>
      <w:r w:rsidRPr="006E6E7D">
        <w:rPr>
          <w:rFonts w:ascii="Calibri" w:eastAsia="Times New Roman" w:hAnsi="Calibri" w:cs="Times New Roman"/>
          <w:iCs/>
          <w:snapToGrid w:val="0"/>
          <w:lang w:eastAsia="en-US"/>
        </w:rPr>
        <w:t xml:space="preserve">have Grade 3 or 4 neutropenia requiring </w:t>
      </w:r>
      <w:proofErr w:type="spellStart"/>
      <w:r w:rsidRPr="006E6E7D">
        <w:rPr>
          <w:rFonts w:ascii="Calibri" w:eastAsia="Times New Roman" w:hAnsi="Calibri" w:cs="Times New Roman"/>
          <w:iCs/>
          <w:snapToGrid w:val="0"/>
          <w:lang w:eastAsia="en-US"/>
        </w:rPr>
        <w:t>gCSF</w:t>
      </w:r>
      <w:proofErr w:type="spellEnd"/>
      <w:r>
        <w:rPr>
          <w:rFonts w:ascii="Calibri" w:eastAsia="Times New Roman" w:hAnsi="Calibri" w:cs="Times New Roman"/>
          <w:iCs/>
          <w:snapToGrid w:val="0"/>
          <w:lang w:eastAsia="en-US"/>
        </w:rPr>
        <w:t xml:space="preserve"> </w:t>
      </w:r>
      <w:r w:rsidR="00072468">
        <w:rPr>
          <w:rFonts w:ascii="Calibri" w:eastAsia="Times New Roman" w:hAnsi="Calibri" w:cs="Times New Roman"/>
          <w:iCs/>
          <w:snapToGrid w:val="0"/>
          <w:lang w:eastAsia="en-US"/>
        </w:rPr>
        <w:t xml:space="preserve">treatment. </w:t>
      </w:r>
      <w:r>
        <w:rPr>
          <w:rFonts w:ascii="Calibri" w:eastAsia="Times New Roman" w:hAnsi="Calibri" w:cs="Times New Roman"/>
          <w:iCs/>
          <w:snapToGrid w:val="0"/>
          <w:lang w:eastAsia="en-US"/>
        </w:rPr>
        <w:t xml:space="preserve">Of the 74 patients in the actual analysis, 6 patients had treatment with a </w:t>
      </w:r>
      <w:proofErr w:type="spellStart"/>
      <w:r>
        <w:rPr>
          <w:rFonts w:ascii="Calibri" w:eastAsia="Times New Roman" w:hAnsi="Calibri" w:cs="Times New Roman"/>
          <w:iCs/>
          <w:snapToGrid w:val="0"/>
          <w:lang w:eastAsia="en-US"/>
        </w:rPr>
        <w:t>gCSF</w:t>
      </w:r>
      <w:proofErr w:type="spellEnd"/>
      <w:r>
        <w:rPr>
          <w:rFonts w:ascii="Calibri" w:eastAsia="Times New Roman" w:hAnsi="Calibri" w:cs="Times New Roman"/>
          <w:iCs/>
          <w:snapToGrid w:val="0"/>
          <w:lang w:eastAsia="en-US"/>
        </w:rPr>
        <w:t xml:space="preserve"> (</w:t>
      </w:r>
      <w:r w:rsidR="00095A9E">
        <w:rPr>
          <w:rFonts w:ascii="Calibri" w:eastAsia="Times New Roman" w:hAnsi="Calibri" w:cs="Times New Roman"/>
          <w:iCs/>
          <w:snapToGrid w:val="0"/>
          <w:lang w:eastAsia="en-US"/>
        </w:rPr>
        <w:t>i.e.</w:t>
      </w:r>
      <w:r>
        <w:rPr>
          <w:rFonts w:ascii="Calibri" w:eastAsia="Times New Roman" w:hAnsi="Calibri" w:cs="Times New Roman"/>
          <w:iCs/>
          <w:snapToGrid w:val="0"/>
          <w:lang w:eastAsia="en-US"/>
        </w:rPr>
        <w:t xml:space="preserve"> </w:t>
      </w:r>
      <w:proofErr w:type="spellStart"/>
      <w:r>
        <w:rPr>
          <w:rFonts w:ascii="Calibri" w:eastAsia="Times New Roman" w:hAnsi="Calibri" w:cs="Times New Roman"/>
          <w:iCs/>
          <w:snapToGrid w:val="0"/>
          <w:lang w:eastAsia="en-US"/>
        </w:rPr>
        <w:t>filgrastim</w:t>
      </w:r>
      <w:proofErr w:type="spellEnd"/>
      <w:r>
        <w:rPr>
          <w:rFonts w:ascii="Calibri" w:eastAsia="Times New Roman" w:hAnsi="Calibri" w:cs="Times New Roman"/>
          <w:iCs/>
          <w:snapToGrid w:val="0"/>
          <w:lang w:eastAsia="en-US"/>
        </w:rPr>
        <w:t xml:space="preserve">) in the year after initiating </w:t>
      </w:r>
      <w:proofErr w:type="spellStart"/>
      <w:r>
        <w:rPr>
          <w:rFonts w:ascii="Calibri" w:eastAsia="Times New Roman" w:hAnsi="Calibri" w:cs="Times New Roman"/>
          <w:iCs/>
          <w:snapToGrid w:val="0"/>
          <w:lang w:eastAsia="en-US"/>
        </w:rPr>
        <w:t>lenalidomide</w:t>
      </w:r>
      <w:proofErr w:type="spellEnd"/>
      <w:r>
        <w:rPr>
          <w:rFonts w:ascii="Calibri" w:eastAsia="Times New Roman" w:hAnsi="Calibri" w:cs="Times New Roman"/>
          <w:iCs/>
          <w:snapToGrid w:val="0"/>
          <w:lang w:eastAsia="en-US"/>
        </w:rPr>
        <w:t xml:space="preserve">. This is </w:t>
      </w:r>
      <w:r w:rsidR="00624706">
        <w:rPr>
          <w:rFonts w:ascii="Calibri" w:eastAsia="MS Mincho" w:hAnsi="Calibri" w:cs="Times New Roman"/>
          <w:noProof/>
          <w:color w:val="000000"/>
          <w:highlight w:val="black"/>
        </w:rPr>
        <w:t>''''''</w:t>
      </w:r>
      <w:r>
        <w:rPr>
          <w:rFonts w:ascii="Calibri" w:eastAsia="Times New Roman" w:hAnsi="Calibri" w:cs="Times New Roman"/>
          <w:iCs/>
          <w:snapToGrid w:val="0"/>
          <w:lang w:eastAsia="en-US"/>
        </w:rPr>
        <w:t>% which is less than predicted.</w:t>
      </w:r>
    </w:p>
    <w:p w:rsidR="005E58FD" w:rsidRPr="00F51D99" w:rsidRDefault="005E58FD" w:rsidP="005E58FD">
      <w:pPr>
        <w:pStyle w:val="Heading4"/>
        <w:rPr>
          <w:i w:val="0"/>
        </w:rPr>
      </w:pPr>
      <w:r w:rsidRPr="00F51D99">
        <w:rPr>
          <w:i w:val="0"/>
        </w:rPr>
        <w:t>DUSC consideration</w:t>
      </w:r>
    </w:p>
    <w:p w:rsidR="00A02E79" w:rsidRPr="00A02E79" w:rsidRDefault="00A02E79" w:rsidP="002A5890">
      <w:r w:rsidRPr="00A02E79">
        <w:t>The written requirements for the authority required restrictions were effective in targeting eligible patients and DUSC considered it was unlikely that other patients were accessing treatment.</w:t>
      </w:r>
    </w:p>
    <w:p w:rsidR="00A02E79" w:rsidRPr="00A02E79" w:rsidRDefault="00A02E79" w:rsidP="002A5890">
      <w:r w:rsidRPr="00A02E79">
        <w:t xml:space="preserve">In considering the assumptions for eligible patients DUSC noted that MDS is a disease with a large proportion of older fragile patients who frequently had other severe comorbidities and are not suitable for investigations to confirm </w:t>
      </w:r>
      <w:proofErr w:type="spellStart"/>
      <w:r w:rsidRPr="00A02E79">
        <w:t>cytogenic</w:t>
      </w:r>
      <w:proofErr w:type="spellEnd"/>
      <w:r w:rsidRPr="00A02E79">
        <w:t xml:space="preserve"> diagnosis of MDS. These factors limit the appropriateness of commencing treatment with </w:t>
      </w:r>
      <w:proofErr w:type="spellStart"/>
      <w:r w:rsidRPr="00A02E79">
        <w:t>lenalidomide</w:t>
      </w:r>
      <w:proofErr w:type="spellEnd"/>
      <w:r w:rsidRPr="00A02E79">
        <w:t xml:space="preserve"> given the toxicity of this medicine.</w:t>
      </w:r>
    </w:p>
    <w:p w:rsidR="00A02E79" w:rsidRPr="00A02E79" w:rsidRDefault="00A02E79" w:rsidP="002A5890">
      <w:r w:rsidRPr="00A02E79">
        <w:t xml:space="preserve">The assumption of </w:t>
      </w:r>
      <w:r w:rsidR="00624706">
        <w:rPr>
          <w:rFonts w:ascii="Calibri" w:eastAsia="MS Mincho" w:hAnsi="Calibri" w:cs="Times New Roman"/>
          <w:noProof/>
          <w:color w:val="000000"/>
          <w:highlight w:val="black"/>
        </w:rPr>
        <w:t>'''''</w:t>
      </w:r>
      <w:r w:rsidRPr="00A02E79">
        <w:t xml:space="preserve">% with the 5q deletion was poorly substantiated and possibly not correct. The estimates ranged from </w:t>
      </w:r>
      <w:r w:rsidR="00624706">
        <w:rPr>
          <w:rFonts w:ascii="Calibri" w:eastAsia="MS Mincho" w:hAnsi="Calibri" w:cs="Times New Roman"/>
          <w:noProof/>
          <w:color w:val="000000"/>
          <w:highlight w:val="black"/>
        </w:rPr>
        <w:t>''''''''</w:t>
      </w:r>
      <w:r w:rsidRPr="00A02E79">
        <w:t>%.</w:t>
      </w:r>
    </w:p>
    <w:p w:rsidR="00A02E79" w:rsidRPr="00A02E79" w:rsidRDefault="00A02E79" w:rsidP="002A5890">
      <w:r w:rsidRPr="00A02E79">
        <w:t>In considering the number of prescriptions per patient DUSC noted that the assumptions in the model were considerably different to those in the pivotal clinical trial. In List el al (2006)</w:t>
      </w:r>
      <w:r w:rsidRPr="00A02E79">
        <w:rPr>
          <w:rStyle w:val="FootnoteReference"/>
        </w:rPr>
        <w:footnoteReference w:id="3"/>
      </w:r>
      <w:r w:rsidRPr="00A02E79">
        <w:t xml:space="preserve"> adjustment of </w:t>
      </w:r>
      <w:proofErr w:type="spellStart"/>
      <w:r w:rsidRPr="00A02E79">
        <w:t>lenalidomide</w:t>
      </w:r>
      <w:proofErr w:type="spellEnd"/>
      <w:r w:rsidRPr="00A02E79">
        <w:t xml:space="preserve"> dose was required in 84% of patients. At week 24 of the study 32% of patients were receiving 10</w:t>
      </w:r>
      <w:r w:rsidR="00F90956">
        <w:t> </w:t>
      </w:r>
      <w:r w:rsidRPr="00A02E79">
        <w:t>mg, 44% receiving 5</w:t>
      </w:r>
      <w:r w:rsidR="003B67C0">
        <w:t> </w:t>
      </w:r>
      <w:r w:rsidRPr="00A02E79">
        <w:t>mg daily and 24% 5</w:t>
      </w:r>
      <w:r w:rsidR="00F90956">
        <w:t> </w:t>
      </w:r>
      <w:r w:rsidRPr="00A02E79">
        <w:t>mg every other day. The trial dosing results were much closer to that seen in practice in Australia.</w:t>
      </w:r>
    </w:p>
    <w:p w:rsidR="00A02E79" w:rsidRPr="00A02E79" w:rsidRDefault="00A02E79" w:rsidP="002A5890">
      <w:r w:rsidRPr="00A02E79">
        <w:lastRenderedPageBreak/>
        <w:t>Breaks in therapy are likely to be associated with toxicity and management of adverse events. Given the older age group and presence of co-morbidities occurrence of severe adverse events necessitating cessation of treatment for a period of time are highly probable.</w:t>
      </w:r>
    </w:p>
    <w:p w:rsidR="00A02E79" w:rsidRPr="00A02E79" w:rsidRDefault="00A02E79" w:rsidP="002A5890">
      <w:r w:rsidRPr="00A02E79">
        <w:t>Overall there are a smaller number of responders than anticipated in the submission.</w:t>
      </w:r>
    </w:p>
    <w:p w:rsidR="00A02E79" w:rsidRPr="00A02E79" w:rsidRDefault="00A02E79" w:rsidP="002A5890">
      <w:r w:rsidRPr="00A02E79">
        <w:t>It may take several years for the proportion of people with MDS who respond to treatment to increase to predicted levels.  Therefore peak prevalence has not been achieved. This has implications for continuing the risk sharing arrangements past the current 5 years.</w:t>
      </w:r>
    </w:p>
    <w:p w:rsidR="00A02E79" w:rsidRPr="00A02E79" w:rsidRDefault="00A02E79" w:rsidP="002A5890">
      <w:r w:rsidRPr="00A02E79">
        <w:t>DUSC noted the breaks in therapy. DUSC questioned if cost effectiveness is adversely affected in patients who require breaks in therapy. The cost effectiveness was also affected by extent of use of 5</w:t>
      </w:r>
      <w:r w:rsidR="003B67C0">
        <w:t> </w:t>
      </w:r>
      <w:r w:rsidRPr="00A02E79">
        <w:t>mg doses and this may need to be reviewed. DUSC also considered that the breaks in therapy may be a quality use of medicines issue as breaks could be associated with additional toxicity in a large number of patients.</w:t>
      </w:r>
    </w:p>
    <w:p w:rsidR="005E58FD" w:rsidRPr="00F51D99" w:rsidRDefault="005E58FD" w:rsidP="005E58FD">
      <w:pPr>
        <w:pStyle w:val="Heading4"/>
        <w:rPr>
          <w:i w:val="0"/>
        </w:rPr>
      </w:pPr>
      <w:r w:rsidRPr="00F51D99">
        <w:rPr>
          <w:i w:val="0"/>
        </w:rPr>
        <w:t>DUSC actions</w:t>
      </w:r>
    </w:p>
    <w:p w:rsidR="005E58FD" w:rsidRDefault="005E58FD" w:rsidP="002A5890">
      <w:pPr>
        <w:pStyle w:val="ListParagraph"/>
        <w:numPr>
          <w:ilvl w:val="0"/>
          <w:numId w:val="22"/>
        </w:numPr>
      </w:pPr>
      <w:r>
        <w:t>T</w:t>
      </w:r>
      <w:r w:rsidRPr="00217C75">
        <w:t>he report, Sponsor response</w:t>
      </w:r>
      <w:r>
        <w:t>,</w:t>
      </w:r>
      <w:r w:rsidRPr="00217C75">
        <w:t xml:space="preserve"> and DUSC minutes </w:t>
      </w:r>
      <w:r>
        <w:t>were referred to the PBAC noting.</w:t>
      </w:r>
    </w:p>
    <w:p w:rsidR="005E58FD" w:rsidRPr="00F51D99" w:rsidRDefault="005E58FD" w:rsidP="005E58FD">
      <w:pPr>
        <w:pStyle w:val="Heading4"/>
        <w:rPr>
          <w:i w:val="0"/>
        </w:rPr>
      </w:pPr>
      <w:r w:rsidRPr="00F51D99">
        <w:rPr>
          <w:i w:val="0"/>
        </w:rPr>
        <w:t>Context for analysis</w:t>
      </w:r>
    </w:p>
    <w:p w:rsidR="005E58FD" w:rsidRDefault="005E58FD" w:rsidP="005E58FD">
      <w:r>
        <w:t>The DUSC is a Sub Committee of the Pharmaceutical Benefits Advisory Committee (PBAC). The DUSC assesses estimates on projected usage and financial cost of medicines.</w:t>
      </w:r>
    </w:p>
    <w:p w:rsidR="005E58FD" w:rsidRDefault="005E58FD" w:rsidP="005E58FD">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5E58FD" w:rsidRDefault="005E58FD" w:rsidP="005E58FD">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5E58FD" w:rsidRDefault="005E58FD" w:rsidP="005E58FD">
      <w:r>
        <w:t>The utilisation analysis report was provided to the pharmaceutical sponsors of each drug and comments on the report were provided to DUSC prior to its consideration of the analysis.</w:t>
      </w:r>
    </w:p>
    <w:p w:rsidR="005E58FD" w:rsidRPr="00F51D99" w:rsidRDefault="005E58FD" w:rsidP="005E58FD">
      <w:pPr>
        <w:pStyle w:val="Heading4"/>
        <w:rPr>
          <w:i w:val="0"/>
        </w:rPr>
      </w:pPr>
      <w:r w:rsidRPr="00F51D99">
        <w:rPr>
          <w:i w:val="0"/>
        </w:rPr>
        <w:t>Sponsors’ comments</w:t>
      </w:r>
    </w:p>
    <w:p w:rsidR="005E58FD" w:rsidRPr="00F51D99" w:rsidRDefault="005E58FD" w:rsidP="005E58FD">
      <w:r w:rsidRPr="006B3577">
        <w:t>Celgene Pty Limited:</w:t>
      </w:r>
      <w:r w:rsidR="006B3577" w:rsidRPr="006B3577">
        <w:t xml:space="preserve"> The sponsor has no comment</w:t>
      </w:r>
      <w:r w:rsidR="006B3577">
        <w:t>.</w:t>
      </w:r>
    </w:p>
    <w:p w:rsidR="005E58FD" w:rsidRPr="00F51D99" w:rsidRDefault="005E58FD" w:rsidP="005E58FD">
      <w:pPr>
        <w:pStyle w:val="Heading4"/>
        <w:rPr>
          <w:i w:val="0"/>
        </w:rPr>
      </w:pPr>
      <w:r w:rsidRPr="00F51D99">
        <w:rPr>
          <w:i w:val="0"/>
        </w:rPr>
        <w:t>Disclaimer</w:t>
      </w:r>
    </w:p>
    <w:p w:rsidR="005E58FD" w:rsidRDefault="005E58FD" w:rsidP="005E58FD">
      <w:r>
        <w:t xml:space="preserve">The information provided in this report does not constitute medical advice and is not intended to take the place of professional medical advice or care.  It is not intended to </w:t>
      </w:r>
      <w:r>
        <w:lastRenderedPageBreak/>
        <w:t>define what constitutes reasonable, appropriate or best care for any individual for any given health issue.  The information should not be used as a substitute for the judgement and skill of a medical practitioner.</w:t>
      </w:r>
    </w:p>
    <w:p w:rsidR="005E58FD" w:rsidRDefault="005E58FD" w:rsidP="005E58FD">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5E58FD" w:rsidRDefault="005E58FD" w:rsidP="005E58FD">
      <w:r>
        <w:t xml:space="preserve">To the extent provided by law, </w:t>
      </w:r>
      <w:proofErr w:type="spellStart"/>
      <w:r>
        <w:t>DoH</w:t>
      </w:r>
      <w:proofErr w:type="spellEnd"/>
      <w:r>
        <w:t xml:space="preserve"> makes no warranties or representations as to accuracy or completeness of information contained in this report. </w:t>
      </w:r>
    </w:p>
    <w:p w:rsidR="005E58FD" w:rsidRDefault="005E58FD" w:rsidP="005E58FD">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5E58FD" w:rsidRDefault="005E58FD" w:rsidP="00AF729E">
      <w:pPr>
        <w:keepNext/>
        <w:keepLines/>
        <w:spacing w:before="480" w:after="240"/>
        <w:outlineLvl w:val="0"/>
        <w:rPr>
          <w:rFonts w:ascii="Calibri" w:eastAsia="MS Gothic" w:hAnsi="Calibri" w:cs="Times New Roman"/>
          <w:b/>
          <w:bCs/>
          <w:sz w:val="32"/>
          <w:szCs w:val="32"/>
        </w:rPr>
      </w:pPr>
    </w:p>
    <w:p w:rsidR="00AF729E" w:rsidRPr="00B87CD5" w:rsidRDefault="00333658" w:rsidP="00AF729E">
      <w:pPr>
        <w:spacing w:line="276" w:lineRule="auto"/>
        <w:rPr>
          <w:rFonts w:ascii="Calibri" w:eastAsia="MS Gothic" w:hAnsi="Calibri" w:cs="Times New Roman"/>
          <w:b/>
          <w:bCs/>
          <w:sz w:val="32"/>
          <w:szCs w:val="32"/>
        </w:rPr>
      </w:pPr>
      <w:r w:rsidRPr="00B87CD5">
        <w:rPr>
          <w:rFonts w:ascii="Calibri" w:eastAsia="MS Mincho" w:hAnsi="Calibri" w:cs="Times New Roman"/>
        </w:rPr>
        <w:br w:type="page"/>
      </w:r>
    </w:p>
    <w:p w:rsidR="00AF729E" w:rsidRDefault="00333658" w:rsidP="00AF729E">
      <w:pPr>
        <w:spacing w:line="276" w:lineRule="auto"/>
        <w:rPr>
          <w:rFonts w:ascii="Calibri" w:eastAsia="MS Gothic" w:hAnsi="Calibri" w:cs="Times New Roman"/>
          <w:b/>
          <w:bCs/>
          <w:sz w:val="32"/>
          <w:szCs w:val="32"/>
        </w:rPr>
      </w:pPr>
      <w:r>
        <w:rPr>
          <w:rFonts w:ascii="Calibri" w:eastAsia="MS Gothic" w:hAnsi="Calibri" w:cs="Times New Roman"/>
          <w:b/>
          <w:bCs/>
          <w:sz w:val="32"/>
          <w:szCs w:val="32"/>
        </w:rPr>
        <w:lastRenderedPageBreak/>
        <w:t xml:space="preserve">Appendix A: PBS Restriction   </w:t>
      </w:r>
    </w:p>
    <w:p w:rsidR="00AF729E" w:rsidRPr="007270B5" w:rsidRDefault="00333658" w:rsidP="00AF729E">
      <w:pPr>
        <w:spacing w:after="0"/>
        <w:jc w:val="center"/>
        <w:rPr>
          <w:rFonts w:eastAsia="MS Gothic" w:cs="Times New Roman"/>
          <w:b/>
          <w:bCs/>
        </w:rPr>
      </w:pPr>
      <w:proofErr w:type="spellStart"/>
      <w:r w:rsidRPr="007270B5">
        <w:rPr>
          <w:rFonts w:eastAsia="MS Gothic" w:cs="Times New Roman"/>
          <w:b/>
          <w:bCs/>
        </w:rPr>
        <w:t>Lenalidomide</w:t>
      </w:r>
      <w:proofErr w:type="spellEnd"/>
      <w:r w:rsidRPr="007270B5">
        <w:rPr>
          <w:rFonts w:eastAsia="MS Gothic" w:cs="Times New Roman"/>
          <w:b/>
          <w:bCs/>
        </w:rPr>
        <w:t xml:space="preserve"> (</w:t>
      </w:r>
      <w:proofErr w:type="spellStart"/>
      <w:r w:rsidRPr="007270B5">
        <w:rPr>
          <w:rFonts w:eastAsia="MS Gothic" w:cs="Times New Roman"/>
          <w:b/>
          <w:bCs/>
        </w:rPr>
        <w:t>Revlimid</w:t>
      </w:r>
      <w:proofErr w:type="spellEnd"/>
      <w:r w:rsidRPr="007270B5">
        <w:rPr>
          <w:rFonts w:eastAsia="MS Gothic" w:cs="Times New Roman"/>
          <w:b/>
          <w:bCs/>
        </w:rPr>
        <w:t xml:space="preserve">®) in </w:t>
      </w:r>
      <w:r w:rsidRPr="007270B5">
        <w:rPr>
          <w:rFonts w:eastAsia="Times New Roman" w:cs="Arial"/>
          <w:b/>
          <w:color w:val="222222"/>
        </w:rPr>
        <w:t>Myelodysplastic syndrome</w:t>
      </w:r>
    </w:p>
    <w:p w:rsidR="00AF729E" w:rsidRPr="007270B5" w:rsidRDefault="00AF729E" w:rsidP="00AF729E">
      <w:pPr>
        <w:spacing w:after="0"/>
        <w:jc w:val="center"/>
        <w:rPr>
          <w:rFonts w:eastAsia="Times New Roman" w:cs="Arial"/>
          <w:b/>
          <w:color w:val="222222"/>
        </w:rPr>
      </w:pPr>
    </w:p>
    <w:p w:rsidR="00AF729E" w:rsidRPr="007270B5" w:rsidRDefault="00333658" w:rsidP="00AF729E">
      <w:pPr>
        <w:spacing w:after="0"/>
        <w:jc w:val="center"/>
        <w:rPr>
          <w:rFonts w:eastAsia="Times New Roman" w:cs="Arial"/>
          <w:b/>
          <w:color w:val="222222"/>
        </w:rPr>
      </w:pPr>
      <w:r w:rsidRPr="007270B5">
        <w:rPr>
          <w:rFonts w:eastAsia="Times New Roman" w:cs="Arial"/>
          <w:b/>
          <w:color w:val="222222"/>
        </w:rPr>
        <w:t>Treatment Phase: Initial treatment</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t>Clinical criteria:</w:t>
      </w:r>
    </w:p>
    <w:p w:rsidR="00AF729E" w:rsidRPr="007270B5" w:rsidRDefault="00333658" w:rsidP="005E58FD">
      <w:pPr>
        <w:numPr>
          <w:ilvl w:val="0"/>
          <w:numId w:val="2"/>
        </w:numPr>
        <w:spacing w:after="0"/>
        <w:ind w:left="375"/>
        <w:rPr>
          <w:rFonts w:eastAsia="Times New Roman" w:cs="Arial"/>
          <w:color w:val="222222"/>
          <w:sz w:val="20"/>
          <w:szCs w:val="20"/>
        </w:rPr>
      </w:pPr>
      <w:r w:rsidRPr="007270B5">
        <w:rPr>
          <w:rFonts w:eastAsia="Times New Roman" w:cs="Arial"/>
          <w:color w:val="222222"/>
          <w:sz w:val="20"/>
          <w:szCs w:val="20"/>
        </w:rPr>
        <w:t>The treatment must be limited to a maximum duration of 16 weeks,</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t>AND</w:t>
      </w:r>
    </w:p>
    <w:p w:rsidR="00AF729E" w:rsidRPr="007270B5" w:rsidRDefault="00333658" w:rsidP="005E58FD">
      <w:pPr>
        <w:numPr>
          <w:ilvl w:val="0"/>
          <w:numId w:val="3"/>
        </w:numPr>
        <w:spacing w:after="0"/>
        <w:ind w:left="375"/>
        <w:rPr>
          <w:rFonts w:eastAsia="Times New Roman" w:cs="Arial"/>
          <w:color w:val="222222"/>
          <w:sz w:val="20"/>
          <w:szCs w:val="20"/>
        </w:rPr>
      </w:pPr>
      <w:r w:rsidRPr="007270B5">
        <w:rPr>
          <w:rFonts w:eastAsia="Times New Roman" w:cs="Arial"/>
          <w:color w:val="222222"/>
          <w:sz w:val="20"/>
          <w:szCs w:val="20"/>
        </w:rPr>
        <w:t xml:space="preserve">Patient must be classified as Low risk or Intermediate-1 according to the International Prognostic Scoring System (IPSS), </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t>AND</w:t>
      </w:r>
    </w:p>
    <w:p w:rsidR="00AF729E" w:rsidRPr="007270B5" w:rsidRDefault="00333658" w:rsidP="005E58FD">
      <w:pPr>
        <w:numPr>
          <w:ilvl w:val="0"/>
          <w:numId w:val="4"/>
        </w:numPr>
        <w:spacing w:after="0"/>
        <w:ind w:left="375"/>
        <w:rPr>
          <w:rFonts w:eastAsia="Times New Roman" w:cs="Arial"/>
          <w:color w:val="222222"/>
          <w:sz w:val="20"/>
          <w:szCs w:val="20"/>
        </w:rPr>
      </w:pPr>
      <w:r w:rsidRPr="007270B5">
        <w:rPr>
          <w:rFonts w:eastAsia="Times New Roman" w:cs="Arial"/>
          <w:color w:val="222222"/>
          <w:sz w:val="20"/>
          <w:szCs w:val="20"/>
        </w:rPr>
        <w:t xml:space="preserve">Patient must have a deletion 5q cytogenetic abnormality with or without additional cytogenetic abnormalities, </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t>AND</w:t>
      </w:r>
    </w:p>
    <w:p w:rsidR="00AF729E" w:rsidRPr="007270B5" w:rsidRDefault="00333658" w:rsidP="005E58FD">
      <w:pPr>
        <w:numPr>
          <w:ilvl w:val="0"/>
          <w:numId w:val="5"/>
        </w:numPr>
        <w:spacing w:after="0"/>
        <w:ind w:left="375"/>
        <w:rPr>
          <w:rFonts w:eastAsia="Times New Roman" w:cs="Arial"/>
          <w:color w:val="222222"/>
          <w:sz w:val="20"/>
          <w:szCs w:val="20"/>
        </w:rPr>
      </w:pPr>
      <w:r w:rsidRPr="007270B5">
        <w:rPr>
          <w:rFonts w:eastAsia="Times New Roman" w:cs="Arial"/>
          <w:color w:val="222222"/>
          <w:sz w:val="20"/>
          <w:szCs w:val="20"/>
        </w:rPr>
        <w:t>Patient must be red blood cell transfusion dependent.</w:t>
      </w:r>
    </w:p>
    <w:p w:rsidR="00AF729E" w:rsidRPr="007270B5" w:rsidRDefault="00AF729E" w:rsidP="005E58FD">
      <w:pPr>
        <w:numPr>
          <w:ilvl w:val="0"/>
          <w:numId w:val="5"/>
        </w:numPr>
        <w:spacing w:after="0"/>
        <w:ind w:left="375"/>
        <w:rPr>
          <w:rFonts w:eastAsia="Times New Roman" w:cs="Arial"/>
          <w:color w:val="222222"/>
          <w:sz w:val="20"/>
          <w:szCs w:val="20"/>
        </w:rPr>
      </w:pP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Classification of a patient as Low risk requires a score of 0 on the IPSS, achieved with the following combination: less than 5% marrow blasts with good </w:t>
      </w:r>
      <w:proofErr w:type="spellStart"/>
      <w:r w:rsidRPr="007270B5">
        <w:rPr>
          <w:rFonts w:eastAsia="Times New Roman" w:cs="Arial"/>
          <w:color w:val="222222"/>
          <w:sz w:val="20"/>
          <w:szCs w:val="20"/>
        </w:rPr>
        <w:t>karyotypic</w:t>
      </w:r>
      <w:proofErr w:type="spellEnd"/>
      <w:r w:rsidRPr="007270B5">
        <w:rPr>
          <w:rFonts w:eastAsia="Times New Roman" w:cs="Arial"/>
          <w:color w:val="222222"/>
          <w:sz w:val="20"/>
          <w:szCs w:val="20"/>
        </w:rPr>
        <w:t xml:space="preserve"> status (normal, -Y alone, -5q alone, -20q alone), and 0/1 </w:t>
      </w:r>
      <w:proofErr w:type="spellStart"/>
      <w:r w:rsidRPr="007270B5">
        <w:rPr>
          <w:rFonts w:eastAsia="Times New Roman" w:cs="Arial"/>
          <w:color w:val="222222"/>
          <w:sz w:val="20"/>
          <w:szCs w:val="20"/>
        </w:rPr>
        <w:t>cytopenias</w:t>
      </w:r>
      <w:proofErr w:type="spellEnd"/>
      <w:r w:rsidRPr="007270B5">
        <w:rPr>
          <w:rFonts w:eastAsia="Times New Roman" w:cs="Arial"/>
          <w:color w:val="222222"/>
          <w:sz w:val="20"/>
          <w:szCs w:val="20"/>
        </w:rPr>
        <w:t>.</w:t>
      </w: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 </w:t>
      </w: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Classification of a patient as Intermediate-1 requires a score of 0.5 to 1 on the IPSS, achieved with the following possible combinations: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1. 5%-10% marrow blasts with good </w:t>
      </w:r>
      <w:proofErr w:type="spellStart"/>
      <w:r w:rsidRPr="007270B5">
        <w:rPr>
          <w:rFonts w:eastAsia="Times New Roman" w:cs="Arial"/>
          <w:color w:val="222222"/>
          <w:sz w:val="20"/>
          <w:szCs w:val="20"/>
        </w:rPr>
        <w:t>karyotypic</w:t>
      </w:r>
      <w:proofErr w:type="spellEnd"/>
      <w:r w:rsidRPr="007270B5">
        <w:rPr>
          <w:rFonts w:eastAsia="Times New Roman" w:cs="Arial"/>
          <w:color w:val="222222"/>
          <w:sz w:val="20"/>
          <w:szCs w:val="20"/>
        </w:rPr>
        <w:t xml:space="preserve"> status (normal, -Y alone, -5q alone, -20q alone), and 0/1 </w:t>
      </w:r>
      <w:proofErr w:type="spellStart"/>
      <w:r w:rsidRPr="007270B5">
        <w:rPr>
          <w:rFonts w:eastAsia="Times New Roman" w:cs="Arial"/>
          <w:color w:val="222222"/>
          <w:sz w:val="20"/>
          <w:szCs w:val="20"/>
        </w:rPr>
        <w:t>cytopenias</w:t>
      </w:r>
      <w:proofErr w:type="spellEnd"/>
      <w:r w:rsidRPr="007270B5">
        <w:rPr>
          <w:rFonts w:eastAsia="Times New Roman" w:cs="Arial"/>
          <w:color w:val="222222"/>
          <w:sz w:val="20"/>
          <w:szCs w:val="20"/>
        </w:rPr>
        <w:t xml:space="preserve">; OR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2. </w:t>
      </w:r>
      <w:proofErr w:type="gramStart"/>
      <w:r w:rsidRPr="007270B5">
        <w:rPr>
          <w:rFonts w:eastAsia="Times New Roman" w:cs="Arial"/>
          <w:color w:val="222222"/>
          <w:sz w:val="20"/>
          <w:szCs w:val="20"/>
        </w:rPr>
        <w:t>less</w:t>
      </w:r>
      <w:proofErr w:type="gramEnd"/>
      <w:r w:rsidRPr="007270B5">
        <w:rPr>
          <w:rFonts w:eastAsia="Times New Roman" w:cs="Arial"/>
          <w:color w:val="222222"/>
          <w:sz w:val="20"/>
          <w:szCs w:val="20"/>
        </w:rPr>
        <w:t xml:space="preserve"> than 5% marrow blasts with intermediate </w:t>
      </w:r>
      <w:proofErr w:type="spellStart"/>
      <w:r w:rsidRPr="007270B5">
        <w:rPr>
          <w:rFonts w:eastAsia="Times New Roman" w:cs="Arial"/>
          <w:color w:val="222222"/>
          <w:sz w:val="20"/>
          <w:szCs w:val="20"/>
        </w:rPr>
        <w:t>karyotypic</w:t>
      </w:r>
      <w:proofErr w:type="spellEnd"/>
      <w:r w:rsidRPr="007270B5">
        <w:rPr>
          <w:rFonts w:eastAsia="Times New Roman" w:cs="Arial"/>
          <w:color w:val="222222"/>
          <w:sz w:val="20"/>
          <w:szCs w:val="20"/>
        </w:rPr>
        <w:t xml:space="preserve"> status (other abnormalities), and 0/1 </w:t>
      </w:r>
      <w:proofErr w:type="spellStart"/>
      <w:r w:rsidRPr="007270B5">
        <w:rPr>
          <w:rFonts w:eastAsia="Times New Roman" w:cs="Arial"/>
          <w:color w:val="222222"/>
          <w:sz w:val="20"/>
          <w:szCs w:val="20"/>
        </w:rPr>
        <w:t>cytopenias</w:t>
      </w:r>
      <w:proofErr w:type="spellEnd"/>
      <w:r w:rsidRPr="007270B5">
        <w:rPr>
          <w:rFonts w:eastAsia="Times New Roman" w:cs="Arial"/>
          <w:color w:val="222222"/>
          <w:sz w:val="20"/>
          <w:szCs w:val="20"/>
        </w:rPr>
        <w:t xml:space="preserve">; OR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3. </w:t>
      </w:r>
      <w:proofErr w:type="gramStart"/>
      <w:r w:rsidRPr="007270B5">
        <w:rPr>
          <w:rFonts w:eastAsia="Times New Roman" w:cs="Arial"/>
          <w:color w:val="222222"/>
          <w:sz w:val="20"/>
          <w:szCs w:val="20"/>
        </w:rPr>
        <w:t>less</w:t>
      </w:r>
      <w:proofErr w:type="gramEnd"/>
      <w:r w:rsidRPr="007270B5">
        <w:rPr>
          <w:rFonts w:eastAsia="Times New Roman" w:cs="Arial"/>
          <w:color w:val="222222"/>
          <w:sz w:val="20"/>
          <w:szCs w:val="20"/>
        </w:rPr>
        <w:t xml:space="preserve"> than 5% marrow blasts with good </w:t>
      </w:r>
      <w:proofErr w:type="spellStart"/>
      <w:r w:rsidRPr="007270B5">
        <w:rPr>
          <w:rFonts w:eastAsia="Times New Roman" w:cs="Arial"/>
          <w:color w:val="222222"/>
          <w:sz w:val="20"/>
          <w:szCs w:val="20"/>
        </w:rPr>
        <w:t>karyotypic</w:t>
      </w:r>
      <w:proofErr w:type="spellEnd"/>
      <w:r w:rsidRPr="007270B5">
        <w:rPr>
          <w:rFonts w:eastAsia="Times New Roman" w:cs="Arial"/>
          <w:color w:val="222222"/>
          <w:sz w:val="20"/>
          <w:szCs w:val="20"/>
        </w:rPr>
        <w:t xml:space="preserve"> status (normal, -Y alone, -5q alone, -20q alone), and 2/3 </w:t>
      </w:r>
      <w:proofErr w:type="spellStart"/>
      <w:r w:rsidRPr="007270B5">
        <w:rPr>
          <w:rFonts w:eastAsia="Times New Roman" w:cs="Arial"/>
          <w:color w:val="222222"/>
          <w:sz w:val="20"/>
          <w:szCs w:val="20"/>
        </w:rPr>
        <w:t>cytopenias</w:t>
      </w:r>
      <w:proofErr w:type="spellEnd"/>
      <w:r w:rsidRPr="007270B5">
        <w:rPr>
          <w:rFonts w:eastAsia="Times New Roman" w:cs="Arial"/>
          <w:color w:val="222222"/>
          <w:sz w:val="20"/>
          <w:szCs w:val="20"/>
        </w:rPr>
        <w:t xml:space="preserve">; OR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4. </w:t>
      </w:r>
      <w:proofErr w:type="gramStart"/>
      <w:r w:rsidRPr="007270B5">
        <w:rPr>
          <w:rFonts w:eastAsia="Times New Roman" w:cs="Arial"/>
          <w:color w:val="222222"/>
          <w:sz w:val="20"/>
          <w:szCs w:val="20"/>
        </w:rPr>
        <w:t>less</w:t>
      </w:r>
      <w:proofErr w:type="gramEnd"/>
      <w:r w:rsidRPr="007270B5">
        <w:rPr>
          <w:rFonts w:eastAsia="Times New Roman" w:cs="Arial"/>
          <w:color w:val="222222"/>
          <w:sz w:val="20"/>
          <w:szCs w:val="20"/>
        </w:rPr>
        <w:t xml:space="preserve"> than 5% marrow blasts with intermediate </w:t>
      </w:r>
      <w:proofErr w:type="spellStart"/>
      <w:r w:rsidRPr="007270B5">
        <w:rPr>
          <w:rFonts w:eastAsia="Times New Roman" w:cs="Arial"/>
          <w:color w:val="222222"/>
          <w:sz w:val="20"/>
          <w:szCs w:val="20"/>
        </w:rPr>
        <w:t>karyotypic</w:t>
      </w:r>
      <w:proofErr w:type="spellEnd"/>
      <w:r w:rsidRPr="007270B5">
        <w:rPr>
          <w:rFonts w:eastAsia="Times New Roman" w:cs="Arial"/>
          <w:color w:val="222222"/>
          <w:sz w:val="20"/>
          <w:szCs w:val="20"/>
        </w:rPr>
        <w:t xml:space="preserve"> status (other abnormalities), and 2/3 </w:t>
      </w:r>
      <w:proofErr w:type="spellStart"/>
      <w:r w:rsidRPr="007270B5">
        <w:rPr>
          <w:rFonts w:eastAsia="Times New Roman" w:cs="Arial"/>
          <w:color w:val="222222"/>
          <w:sz w:val="20"/>
          <w:szCs w:val="20"/>
        </w:rPr>
        <w:t>cytopenias</w:t>
      </w:r>
      <w:proofErr w:type="spellEnd"/>
      <w:r w:rsidRPr="007270B5">
        <w:rPr>
          <w:rFonts w:eastAsia="Times New Roman" w:cs="Arial"/>
          <w:color w:val="222222"/>
          <w:sz w:val="20"/>
          <w:szCs w:val="20"/>
        </w:rPr>
        <w:t xml:space="preserve">; OR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5. 5%-10% marrow blasts with intermediate </w:t>
      </w:r>
      <w:proofErr w:type="spellStart"/>
      <w:r w:rsidRPr="007270B5">
        <w:rPr>
          <w:rFonts w:eastAsia="Times New Roman" w:cs="Arial"/>
          <w:color w:val="222222"/>
          <w:sz w:val="20"/>
          <w:szCs w:val="20"/>
        </w:rPr>
        <w:t>karyotypic</w:t>
      </w:r>
      <w:proofErr w:type="spellEnd"/>
      <w:r w:rsidRPr="007270B5">
        <w:rPr>
          <w:rFonts w:eastAsia="Times New Roman" w:cs="Arial"/>
          <w:color w:val="222222"/>
          <w:sz w:val="20"/>
          <w:szCs w:val="20"/>
        </w:rPr>
        <w:t xml:space="preserve"> status (other abnormalities), and 0/1 </w:t>
      </w:r>
      <w:proofErr w:type="spellStart"/>
      <w:r w:rsidRPr="007270B5">
        <w:rPr>
          <w:rFonts w:eastAsia="Times New Roman" w:cs="Arial"/>
          <w:color w:val="222222"/>
          <w:sz w:val="20"/>
          <w:szCs w:val="20"/>
        </w:rPr>
        <w:t>cytopenias</w:t>
      </w:r>
      <w:proofErr w:type="spellEnd"/>
      <w:r w:rsidRPr="007270B5">
        <w:rPr>
          <w:rFonts w:eastAsia="Times New Roman" w:cs="Arial"/>
          <w:color w:val="222222"/>
          <w:sz w:val="20"/>
          <w:szCs w:val="20"/>
        </w:rPr>
        <w:t xml:space="preserve">; OR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6. 5%-10% marrow blasts with good </w:t>
      </w:r>
      <w:proofErr w:type="spellStart"/>
      <w:r w:rsidRPr="007270B5">
        <w:rPr>
          <w:rFonts w:eastAsia="Times New Roman" w:cs="Arial"/>
          <w:color w:val="222222"/>
          <w:sz w:val="20"/>
          <w:szCs w:val="20"/>
        </w:rPr>
        <w:t>karyotypic</w:t>
      </w:r>
      <w:proofErr w:type="spellEnd"/>
      <w:r w:rsidRPr="007270B5">
        <w:rPr>
          <w:rFonts w:eastAsia="Times New Roman" w:cs="Arial"/>
          <w:color w:val="222222"/>
          <w:sz w:val="20"/>
          <w:szCs w:val="20"/>
        </w:rPr>
        <w:t xml:space="preserve"> status (normal, -Y alone, -5q alone, -20q alone), and 2/3 </w:t>
      </w:r>
      <w:proofErr w:type="spellStart"/>
      <w:r w:rsidRPr="007270B5">
        <w:rPr>
          <w:rFonts w:eastAsia="Times New Roman" w:cs="Arial"/>
          <w:color w:val="222222"/>
          <w:sz w:val="20"/>
          <w:szCs w:val="20"/>
        </w:rPr>
        <w:t>cytopenias</w:t>
      </w:r>
      <w:proofErr w:type="spellEnd"/>
      <w:r w:rsidRPr="007270B5">
        <w:rPr>
          <w:rFonts w:eastAsia="Times New Roman" w:cs="Arial"/>
          <w:color w:val="222222"/>
          <w:sz w:val="20"/>
          <w:szCs w:val="20"/>
        </w:rPr>
        <w:t xml:space="preserve">; OR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7. </w:t>
      </w:r>
      <w:proofErr w:type="gramStart"/>
      <w:r w:rsidRPr="007270B5">
        <w:rPr>
          <w:rFonts w:eastAsia="Times New Roman" w:cs="Arial"/>
          <w:color w:val="222222"/>
          <w:sz w:val="20"/>
          <w:szCs w:val="20"/>
        </w:rPr>
        <w:t>less</w:t>
      </w:r>
      <w:proofErr w:type="gramEnd"/>
      <w:r w:rsidRPr="007270B5">
        <w:rPr>
          <w:rFonts w:eastAsia="Times New Roman" w:cs="Arial"/>
          <w:color w:val="222222"/>
          <w:sz w:val="20"/>
          <w:szCs w:val="20"/>
        </w:rPr>
        <w:t xml:space="preserve"> than 5% marrow blasts with poor </w:t>
      </w:r>
      <w:proofErr w:type="spellStart"/>
      <w:r w:rsidRPr="007270B5">
        <w:rPr>
          <w:rFonts w:eastAsia="Times New Roman" w:cs="Arial"/>
          <w:color w:val="222222"/>
          <w:sz w:val="20"/>
          <w:szCs w:val="20"/>
        </w:rPr>
        <w:t>karyotypic</w:t>
      </w:r>
      <w:proofErr w:type="spellEnd"/>
      <w:r w:rsidRPr="007270B5">
        <w:rPr>
          <w:rFonts w:eastAsia="Times New Roman" w:cs="Arial"/>
          <w:color w:val="222222"/>
          <w:sz w:val="20"/>
          <w:szCs w:val="20"/>
        </w:rPr>
        <w:t xml:space="preserve"> status (complex, greater than 3 abnormalities), and 0/1 </w:t>
      </w:r>
      <w:proofErr w:type="spellStart"/>
      <w:r w:rsidRPr="007270B5">
        <w:rPr>
          <w:rFonts w:eastAsia="Times New Roman" w:cs="Arial"/>
          <w:color w:val="222222"/>
          <w:sz w:val="20"/>
          <w:szCs w:val="20"/>
        </w:rPr>
        <w:t>cytopenias</w:t>
      </w:r>
      <w:proofErr w:type="spellEnd"/>
      <w:r w:rsidRPr="007270B5">
        <w:rPr>
          <w:rFonts w:eastAsia="Times New Roman" w:cs="Arial"/>
          <w:color w:val="222222"/>
          <w:sz w:val="20"/>
          <w:szCs w:val="20"/>
        </w:rPr>
        <w:t xml:space="preserve">. </w:t>
      </w:r>
    </w:p>
    <w:p w:rsidR="00AF729E" w:rsidRPr="007270B5" w:rsidRDefault="00AF729E" w:rsidP="00AF729E">
      <w:pPr>
        <w:spacing w:after="0"/>
        <w:rPr>
          <w:rFonts w:eastAsia="Times New Roman" w:cs="Arial"/>
          <w:color w:val="222222"/>
          <w:sz w:val="20"/>
          <w:szCs w:val="20"/>
        </w:rPr>
      </w:pP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Classification of a patient as red blood cell transfusion dependent requires that:</w:t>
      </w: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w:t>
      </w:r>
      <w:proofErr w:type="spellStart"/>
      <w:r w:rsidRPr="007270B5">
        <w:rPr>
          <w:rFonts w:eastAsia="Times New Roman" w:cs="Arial"/>
          <w:color w:val="222222"/>
          <w:sz w:val="20"/>
          <w:szCs w:val="20"/>
        </w:rPr>
        <w:t>i</w:t>
      </w:r>
      <w:proofErr w:type="spellEnd"/>
      <w:r w:rsidRPr="007270B5">
        <w:rPr>
          <w:rFonts w:eastAsia="Times New Roman" w:cs="Arial"/>
          <w:color w:val="222222"/>
          <w:sz w:val="20"/>
          <w:szCs w:val="20"/>
        </w:rPr>
        <w:t xml:space="preserve">) </w:t>
      </w:r>
      <w:proofErr w:type="gramStart"/>
      <w:r w:rsidRPr="007270B5">
        <w:rPr>
          <w:rFonts w:eastAsia="Times New Roman" w:cs="Arial"/>
          <w:color w:val="222222"/>
          <w:sz w:val="20"/>
          <w:szCs w:val="20"/>
        </w:rPr>
        <w:t>the</w:t>
      </w:r>
      <w:proofErr w:type="gramEnd"/>
      <w:r w:rsidRPr="007270B5">
        <w:rPr>
          <w:rFonts w:eastAsia="Times New Roman" w:cs="Arial"/>
          <w:color w:val="222222"/>
          <w:sz w:val="20"/>
          <w:szCs w:val="20"/>
        </w:rPr>
        <w:t xml:space="preserve"> patient has been transfused within the last 8 weeks; and</w:t>
      </w: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(ii) </w:t>
      </w:r>
      <w:proofErr w:type="gramStart"/>
      <w:r w:rsidRPr="007270B5">
        <w:rPr>
          <w:rFonts w:eastAsia="Times New Roman" w:cs="Arial"/>
          <w:color w:val="222222"/>
          <w:sz w:val="20"/>
          <w:szCs w:val="20"/>
        </w:rPr>
        <w:t>the</w:t>
      </w:r>
      <w:proofErr w:type="gramEnd"/>
      <w:r w:rsidRPr="007270B5">
        <w:rPr>
          <w:rFonts w:eastAsia="Times New Roman" w:cs="Arial"/>
          <w:color w:val="222222"/>
          <w:sz w:val="20"/>
          <w:szCs w:val="20"/>
        </w:rPr>
        <w:t xml:space="preserve"> patient has received at least 8 units of red blood cell in the last 6 months prior to commencing PBS-subsidised therapy with </w:t>
      </w:r>
      <w:proofErr w:type="spellStart"/>
      <w:r w:rsidRPr="007270B5">
        <w:rPr>
          <w:rFonts w:eastAsia="Times New Roman" w:cs="Arial"/>
          <w:color w:val="222222"/>
          <w:sz w:val="20"/>
          <w:szCs w:val="20"/>
        </w:rPr>
        <w:t>lenalidomide</w:t>
      </w:r>
      <w:proofErr w:type="spellEnd"/>
      <w:r w:rsidRPr="007270B5">
        <w:rPr>
          <w:rFonts w:eastAsia="Times New Roman" w:cs="Arial"/>
          <w:color w:val="222222"/>
          <w:sz w:val="20"/>
          <w:szCs w:val="20"/>
        </w:rPr>
        <w:t xml:space="preserve">; and would be expected to continue this requirement without </w:t>
      </w:r>
      <w:proofErr w:type="spellStart"/>
      <w:r w:rsidRPr="007270B5">
        <w:rPr>
          <w:rFonts w:eastAsia="Times New Roman" w:cs="Arial"/>
          <w:color w:val="222222"/>
          <w:sz w:val="20"/>
          <w:szCs w:val="20"/>
        </w:rPr>
        <w:t>lenalidomide</w:t>
      </w:r>
      <w:proofErr w:type="spellEnd"/>
      <w:r w:rsidRPr="007270B5">
        <w:rPr>
          <w:rFonts w:eastAsia="Times New Roman" w:cs="Arial"/>
          <w:color w:val="222222"/>
          <w:sz w:val="20"/>
          <w:szCs w:val="20"/>
        </w:rPr>
        <w:t xml:space="preserve"> treatment. </w:t>
      </w:r>
    </w:p>
    <w:p w:rsidR="00AF729E" w:rsidRPr="007270B5" w:rsidRDefault="00AF729E" w:rsidP="00AF729E">
      <w:pPr>
        <w:spacing w:after="0"/>
        <w:rPr>
          <w:rFonts w:eastAsia="Times New Roman" w:cs="Arial"/>
          <w:color w:val="222222"/>
          <w:sz w:val="20"/>
          <w:szCs w:val="20"/>
        </w:rPr>
      </w:pP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Patients receiving </w:t>
      </w:r>
      <w:proofErr w:type="spellStart"/>
      <w:r w:rsidRPr="007270B5">
        <w:rPr>
          <w:rFonts w:eastAsia="Times New Roman" w:cs="Arial"/>
          <w:color w:val="222222"/>
          <w:sz w:val="20"/>
          <w:szCs w:val="20"/>
        </w:rPr>
        <w:t>lenalidomide</w:t>
      </w:r>
      <w:proofErr w:type="spellEnd"/>
      <w:r w:rsidRPr="007270B5">
        <w:rPr>
          <w:rFonts w:eastAsia="Times New Roman" w:cs="Arial"/>
          <w:color w:val="222222"/>
          <w:sz w:val="20"/>
          <w:szCs w:val="20"/>
        </w:rPr>
        <w:t xml:space="preserve"> under the PBS listing must be registered in </w:t>
      </w:r>
      <w:proofErr w:type="gramStart"/>
      <w:r w:rsidRPr="007270B5">
        <w:rPr>
          <w:rFonts w:eastAsia="Times New Roman" w:cs="Arial"/>
          <w:color w:val="222222"/>
          <w:sz w:val="20"/>
          <w:szCs w:val="20"/>
        </w:rPr>
        <w:t xml:space="preserve">the </w:t>
      </w:r>
      <w:proofErr w:type="spellStart"/>
      <w:r w:rsidRPr="007270B5">
        <w:rPr>
          <w:rFonts w:eastAsia="Times New Roman" w:cs="Arial"/>
          <w:color w:val="222222"/>
          <w:sz w:val="20"/>
          <w:szCs w:val="20"/>
        </w:rPr>
        <w:t>i</w:t>
      </w:r>
      <w:proofErr w:type="spellEnd"/>
      <w:proofErr w:type="gramEnd"/>
      <w:r w:rsidRPr="007270B5">
        <w:rPr>
          <w:rFonts w:eastAsia="Times New Roman" w:cs="Arial"/>
          <w:color w:val="222222"/>
          <w:sz w:val="20"/>
          <w:szCs w:val="20"/>
        </w:rPr>
        <w:t xml:space="preserve">-access risk management program. </w:t>
      </w:r>
    </w:p>
    <w:p w:rsidR="00AF729E" w:rsidRPr="007270B5" w:rsidRDefault="00AF729E" w:rsidP="00AF729E">
      <w:pPr>
        <w:spacing w:after="0"/>
        <w:rPr>
          <w:rFonts w:eastAsia="Times New Roman" w:cs="Arial"/>
          <w:color w:val="222222"/>
          <w:sz w:val="20"/>
          <w:szCs w:val="20"/>
        </w:rPr>
      </w:pPr>
    </w:p>
    <w:p w:rsidR="00AF729E" w:rsidRPr="007270B5" w:rsidRDefault="00333658" w:rsidP="00AF729E">
      <w:pPr>
        <w:spacing w:after="0"/>
        <w:jc w:val="center"/>
        <w:rPr>
          <w:rFonts w:eastAsia="Times New Roman" w:cs="Arial"/>
          <w:b/>
          <w:color w:val="222222"/>
          <w:sz w:val="20"/>
          <w:szCs w:val="20"/>
        </w:rPr>
      </w:pPr>
      <w:r w:rsidRPr="007270B5">
        <w:rPr>
          <w:rFonts w:eastAsia="Times New Roman" w:cs="Arial"/>
          <w:b/>
          <w:color w:val="222222"/>
          <w:sz w:val="20"/>
          <w:szCs w:val="20"/>
        </w:rPr>
        <w:t>Treatment Phase: Continuing treatment</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t>Clinical criteria:</w:t>
      </w:r>
    </w:p>
    <w:p w:rsidR="00AF729E" w:rsidRPr="007270B5" w:rsidRDefault="00333658" w:rsidP="005E58FD">
      <w:pPr>
        <w:numPr>
          <w:ilvl w:val="0"/>
          <w:numId w:val="6"/>
        </w:numPr>
        <w:spacing w:after="0"/>
        <w:ind w:left="375"/>
        <w:rPr>
          <w:rFonts w:eastAsia="Times New Roman" w:cs="Arial"/>
          <w:color w:val="222222"/>
          <w:sz w:val="20"/>
          <w:szCs w:val="20"/>
        </w:rPr>
      </w:pPr>
      <w:r w:rsidRPr="007270B5">
        <w:rPr>
          <w:rFonts w:eastAsia="Times New Roman" w:cs="Arial"/>
          <w:color w:val="222222"/>
          <w:sz w:val="20"/>
          <w:szCs w:val="20"/>
        </w:rPr>
        <w:t xml:space="preserve">Patient must be classified as Low risk or Intermediate-1 according to the International Prognostic Scoring System (IPSS), </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t>AND</w:t>
      </w:r>
    </w:p>
    <w:p w:rsidR="00AF729E" w:rsidRPr="007270B5" w:rsidRDefault="00333658" w:rsidP="005E58FD">
      <w:pPr>
        <w:numPr>
          <w:ilvl w:val="0"/>
          <w:numId w:val="7"/>
        </w:numPr>
        <w:spacing w:after="0"/>
        <w:ind w:left="375"/>
        <w:rPr>
          <w:rFonts w:eastAsia="Times New Roman" w:cs="Arial"/>
          <w:color w:val="222222"/>
          <w:sz w:val="20"/>
          <w:szCs w:val="20"/>
        </w:rPr>
      </w:pPr>
      <w:r w:rsidRPr="007270B5">
        <w:rPr>
          <w:rFonts w:eastAsia="Times New Roman" w:cs="Arial"/>
          <w:color w:val="222222"/>
          <w:sz w:val="20"/>
          <w:szCs w:val="20"/>
        </w:rPr>
        <w:t xml:space="preserve">Patient must have a deletion 5q cytogenetic abnormality with or without additional cytogenetic abnormalities, </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lastRenderedPageBreak/>
        <w:t>AND</w:t>
      </w:r>
    </w:p>
    <w:p w:rsidR="00AF729E" w:rsidRPr="007270B5" w:rsidRDefault="00333658" w:rsidP="005E58FD">
      <w:pPr>
        <w:numPr>
          <w:ilvl w:val="0"/>
          <w:numId w:val="8"/>
        </w:numPr>
        <w:spacing w:after="0"/>
        <w:ind w:left="375"/>
        <w:rPr>
          <w:rFonts w:eastAsia="Times New Roman" w:cs="Arial"/>
          <w:color w:val="222222"/>
          <w:sz w:val="20"/>
          <w:szCs w:val="20"/>
        </w:rPr>
      </w:pPr>
      <w:r w:rsidRPr="007270B5">
        <w:rPr>
          <w:rFonts w:eastAsia="Times New Roman" w:cs="Arial"/>
          <w:color w:val="222222"/>
          <w:sz w:val="20"/>
          <w:szCs w:val="20"/>
        </w:rPr>
        <w:t xml:space="preserve">Patient must have received PBS-subsidised initial therapy with </w:t>
      </w:r>
      <w:proofErr w:type="spellStart"/>
      <w:r w:rsidRPr="007270B5">
        <w:rPr>
          <w:rFonts w:eastAsia="Times New Roman" w:cs="Arial"/>
          <w:color w:val="222222"/>
          <w:sz w:val="20"/>
          <w:szCs w:val="20"/>
        </w:rPr>
        <w:t>lenalidomide</w:t>
      </w:r>
      <w:proofErr w:type="spellEnd"/>
      <w:r w:rsidRPr="007270B5">
        <w:rPr>
          <w:rFonts w:eastAsia="Times New Roman" w:cs="Arial"/>
          <w:color w:val="222222"/>
          <w:sz w:val="20"/>
          <w:szCs w:val="20"/>
        </w:rPr>
        <w:t xml:space="preserve"> for myelodysplastic syndrome, </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t>AND</w:t>
      </w:r>
    </w:p>
    <w:p w:rsidR="00AF729E" w:rsidRPr="007270B5" w:rsidRDefault="00333658" w:rsidP="005E58FD">
      <w:pPr>
        <w:numPr>
          <w:ilvl w:val="0"/>
          <w:numId w:val="9"/>
        </w:numPr>
        <w:spacing w:after="0"/>
        <w:ind w:left="375"/>
        <w:rPr>
          <w:rFonts w:eastAsia="Times New Roman" w:cs="Arial"/>
          <w:color w:val="222222"/>
          <w:sz w:val="20"/>
          <w:szCs w:val="20"/>
        </w:rPr>
      </w:pPr>
      <w:r w:rsidRPr="007270B5">
        <w:rPr>
          <w:rFonts w:eastAsia="Times New Roman" w:cs="Arial"/>
          <w:color w:val="222222"/>
          <w:sz w:val="20"/>
          <w:szCs w:val="20"/>
        </w:rPr>
        <w:t xml:space="preserve">Patient must have achieved and maintained transfusion independence; or least a 50% reduction in red blood cell unit transfusion requirements compared with the four month period prior to commencing initial PBS-subsidised therapy with </w:t>
      </w:r>
      <w:proofErr w:type="spellStart"/>
      <w:r w:rsidRPr="007270B5">
        <w:rPr>
          <w:rFonts w:eastAsia="Times New Roman" w:cs="Arial"/>
          <w:color w:val="222222"/>
          <w:sz w:val="20"/>
          <w:szCs w:val="20"/>
        </w:rPr>
        <w:t>lenalidomide</w:t>
      </w:r>
      <w:proofErr w:type="spellEnd"/>
      <w:r w:rsidRPr="007270B5">
        <w:rPr>
          <w:rFonts w:eastAsia="Times New Roman" w:cs="Arial"/>
          <w:color w:val="222222"/>
          <w:sz w:val="20"/>
          <w:szCs w:val="20"/>
        </w:rPr>
        <w:t xml:space="preserve">, </w:t>
      </w:r>
    </w:p>
    <w:p w:rsidR="00AF729E" w:rsidRPr="007270B5" w:rsidRDefault="00333658" w:rsidP="00AF729E">
      <w:pPr>
        <w:spacing w:after="0"/>
        <w:rPr>
          <w:rFonts w:eastAsia="Times New Roman" w:cs="Arial"/>
          <w:color w:val="222222"/>
          <w:sz w:val="20"/>
          <w:szCs w:val="20"/>
        </w:rPr>
      </w:pPr>
      <w:r w:rsidRPr="007270B5">
        <w:rPr>
          <w:rFonts w:eastAsia="Times New Roman" w:cs="Arial"/>
          <w:b/>
          <w:bCs/>
          <w:color w:val="222222"/>
          <w:sz w:val="20"/>
          <w:szCs w:val="20"/>
        </w:rPr>
        <w:t>AND</w:t>
      </w:r>
    </w:p>
    <w:p w:rsidR="00AF729E" w:rsidRPr="007270B5" w:rsidRDefault="00333658" w:rsidP="005E58FD">
      <w:pPr>
        <w:numPr>
          <w:ilvl w:val="0"/>
          <w:numId w:val="10"/>
        </w:numPr>
        <w:spacing w:after="0"/>
        <w:ind w:left="375"/>
        <w:rPr>
          <w:rFonts w:eastAsia="Times New Roman" w:cs="Arial"/>
          <w:color w:val="222222"/>
          <w:sz w:val="20"/>
          <w:szCs w:val="20"/>
        </w:rPr>
      </w:pPr>
      <w:r w:rsidRPr="007270B5">
        <w:rPr>
          <w:rFonts w:eastAsia="Times New Roman" w:cs="Arial"/>
          <w:color w:val="222222"/>
          <w:sz w:val="20"/>
          <w:szCs w:val="20"/>
        </w:rPr>
        <w:t>Patient must not have progressive disease.</w:t>
      </w:r>
    </w:p>
    <w:p w:rsidR="00AF729E" w:rsidRPr="007270B5" w:rsidRDefault="00AF729E" w:rsidP="00AF729E">
      <w:pPr>
        <w:spacing w:after="0"/>
        <w:rPr>
          <w:rFonts w:eastAsia="Times New Roman" w:cs="Arial"/>
          <w:color w:val="222222"/>
          <w:sz w:val="20"/>
          <w:szCs w:val="20"/>
        </w:rPr>
      </w:pP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The following evidence of response must be provided at each application:</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w:t>
      </w:r>
      <w:proofErr w:type="spellStart"/>
      <w:r w:rsidRPr="007270B5">
        <w:rPr>
          <w:rFonts w:eastAsia="Times New Roman" w:cs="Arial"/>
          <w:color w:val="222222"/>
          <w:sz w:val="20"/>
          <w:szCs w:val="20"/>
        </w:rPr>
        <w:t>i</w:t>
      </w:r>
      <w:proofErr w:type="spellEnd"/>
      <w:r w:rsidRPr="007270B5">
        <w:rPr>
          <w:rFonts w:eastAsia="Times New Roman" w:cs="Arial"/>
          <w:color w:val="222222"/>
          <w:sz w:val="20"/>
          <w:szCs w:val="20"/>
        </w:rPr>
        <w:t xml:space="preserve">) </w:t>
      </w:r>
      <w:proofErr w:type="gramStart"/>
      <w:r w:rsidRPr="007270B5">
        <w:rPr>
          <w:rFonts w:eastAsia="Times New Roman" w:cs="Arial"/>
          <w:color w:val="222222"/>
          <w:sz w:val="20"/>
          <w:szCs w:val="20"/>
        </w:rPr>
        <w:t>a</w:t>
      </w:r>
      <w:proofErr w:type="gramEnd"/>
      <w:r w:rsidRPr="007270B5">
        <w:rPr>
          <w:rFonts w:eastAsia="Times New Roman" w:cs="Arial"/>
          <w:color w:val="222222"/>
          <w:sz w:val="20"/>
          <w:szCs w:val="20"/>
        </w:rPr>
        <w:t xml:space="preserve"> haemoglobin level taken within the last 4 weeks; and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(ii) </w:t>
      </w:r>
      <w:proofErr w:type="gramStart"/>
      <w:r w:rsidRPr="007270B5">
        <w:rPr>
          <w:rFonts w:eastAsia="Times New Roman" w:cs="Arial"/>
          <w:color w:val="222222"/>
          <w:sz w:val="20"/>
          <w:szCs w:val="20"/>
        </w:rPr>
        <w:t>the</w:t>
      </w:r>
      <w:proofErr w:type="gramEnd"/>
      <w:r w:rsidRPr="007270B5">
        <w:rPr>
          <w:rFonts w:eastAsia="Times New Roman" w:cs="Arial"/>
          <w:color w:val="222222"/>
          <w:sz w:val="20"/>
          <w:szCs w:val="20"/>
        </w:rPr>
        <w:t xml:space="preserve"> date of the last transfusion; and</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(iii) a statement of the number of units of red cells transfused in the 4 months immediately preceding this application; and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(iv) </w:t>
      </w:r>
      <w:proofErr w:type="gramStart"/>
      <w:r w:rsidRPr="007270B5">
        <w:rPr>
          <w:rFonts w:eastAsia="Times New Roman" w:cs="Arial"/>
          <w:color w:val="222222"/>
          <w:sz w:val="20"/>
          <w:szCs w:val="20"/>
        </w:rPr>
        <w:t>a</w:t>
      </w:r>
      <w:proofErr w:type="gramEnd"/>
      <w:r w:rsidRPr="007270B5">
        <w:rPr>
          <w:rFonts w:eastAsia="Times New Roman" w:cs="Arial"/>
          <w:color w:val="222222"/>
          <w:sz w:val="20"/>
          <w:szCs w:val="20"/>
        </w:rPr>
        <w:t xml:space="preserve"> statement confirming that the patient has not progressed to acute myeloid leukaemia</w:t>
      </w:r>
    </w:p>
    <w:p w:rsidR="00AF729E" w:rsidRPr="007270B5" w:rsidRDefault="00AF729E" w:rsidP="00AF729E">
      <w:pPr>
        <w:spacing w:after="0"/>
        <w:rPr>
          <w:rFonts w:eastAsia="Times New Roman" w:cs="Arial"/>
          <w:color w:val="222222"/>
          <w:sz w:val="20"/>
          <w:szCs w:val="20"/>
        </w:rPr>
      </w:pPr>
    </w:p>
    <w:p w:rsidR="00AF729E" w:rsidRPr="007270B5" w:rsidRDefault="00AF729E" w:rsidP="00AF729E">
      <w:pPr>
        <w:spacing w:after="0"/>
        <w:rPr>
          <w:rFonts w:eastAsia="Times New Roman" w:cs="Arial"/>
          <w:color w:val="222222"/>
          <w:sz w:val="20"/>
          <w:szCs w:val="20"/>
        </w:rPr>
      </w:pPr>
    </w:p>
    <w:p w:rsidR="00AF729E" w:rsidRPr="007270B5" w:rsidRDefault="00333658" w:rsidP="00AF729E">
      <w:pPr>
        <w:spacing w:after="0"/>
        <w:rPr>
          <w:rFonts w:eastAsia="Times New Roman" w:cs="Arial"/>
          <w:b/>
          <w:color w:val="222222"/>
          <w:sz w:val="20"/>
          <w:szCs w:val="20"/>
        </w:rPr>
      </w:pPr>
      <w:r w:rsidRPr="007270B5">
        <w:rPr>
          <w:rFonts w:eastAsia="Times New Roman" w:cs="Arial"/>
          <w:b/>
          <w:color w:val="222222"/>
          <w:sz w:val="20"/>
          <w:szCs w:val="20"/>
        </w:rPr>
        <w:t>Information to Prescribers about the operation of the restriction</w:t>
      </w:r>
    </w:p>
    <w:p w:rsidR="00AF729E" w:rsidRPr="007270B5" w:rsidRDefault="00AF729E" w:rsidP="00AF729E">
      <w:pPr>
        <w:spacing w:after="0"/>
        <w:rPr>
          <w:rFonts w:eastAsia="Times New Roman" w:cs="Arial"/>
          <w:color w:val="222222"/>
          <w:sz w:val="20"/>
          <w:szCs w:val="20"/>
        </w:rPr>
      </w:pP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The authority application must be made in writing and must include:</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(a) </w:t>
      </w:r>
      <w:proofErr w:type="gramStart"/>
      <w:r w:rsidRPr="007270B5">
        <w:rPr>
          <w:rFonts w:eastAsia="Times New Roman" w:cs="Arial"/>
          <w:color w:val="222222"/>
          <w:sz w:val="20"/>
          <w:szCs w:val="20"/>
        </w:rPr>
        <w:t>a</w:t>
      </w:r>
      <w:proofErr w:type="gramEnd"/>
      <w:r w:rsidRPr="007270B5">
        <w:rPr>
          <w:rFonts w:eastAsia="Times New Roman" w:cs="Arial"/>
          <w:color w:val="222222"/>
          <w:sz w:val="20"/>
          <w:szCs w:val="20"/>
        </w:rPr>
        <w:t xml:space="preserve"> completed authority prescription form; and</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(b) </w:t>
      </w:r>
      <w:proofErr w:type="gramStart"/>
      <w:r w:rsidRPr="007270B5">
        <w:rPr>
          <w:rFonts w:eastAsia="Times New Roman" w:cs="Arial"/>
          <w:color w:val="222222"/>
          <w:sz w:val="20"/>
          <w:szCs w:val="20"/>
        </w:rPr>
        <w:t>a</w:t>
      </w:r>
      <w:proofErr w:type="gramEnd"/>
      <w:r w:rsidRPr="007270B5">
        <w:rPr>
          <w:rFonts w:eastAsia="Times New Roman" w:cs="Arial"/>
          <w:color w:val="222222"/>
          <w:sz w:val="20"/>
          <w:szCs w:val="20"/>
        </w:rPr>
        <w:t xml:space="preserve"> completed Myelodysplastic Syndrome </w:t>
      </w:r>
      <w:proofErr w:type="spellStart"/>
      <w:r w:rsidRPr="007270B5">
        <w:rPr>
          <w:rFonts w:eastAsia="Times New Roman" w:cs="Arial"/>
          <w:color w:val="222222"/>
          <w:sz w:val="20"/>
          <w:szCs w:val="20"/>
        </w:rPr>
        <w:t>Lenalidomide</w:t>
      </w:r>
      <w:proofErr w:type="spellEnd"/>
      <w:r w:rsidRPr="007270B5">
        <w:rPr>
          <w:rFonts w:eastAsia="Times New Roman" w:cs="Arial"/>
          <w:color w:val="222222"/>
          <w:sz w:val="20"/>
          <w:szCs w:val="20"/>
        </w:rPr>
        <w:t xml:space="preserve"> Authority Application - Supporting Information Form; and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(c) </w:t>
      </w:r>
      <w:proofErr w:type="gramStart"/>
      <w:r w:rsidRPr="007270B5">
        <w:rPr>
          <w:rFonts w:eastAsia="Times New Roman" w:cs="Arial"/>
          <w:color w:val="222222"/>
          <w:sz w:val="20"/>
          <w:szCs w:val="20"/>
        </w:rPr>
        <w:t>a</w:t>
      </w:r>
      <w:proofErr w:type="gramEnd"/>
      <w:r w:rsidRPr="007270B5">
        <w:rPr>
          <w:rFonts w:eastAsia="Times New Roman" w:cs="Arial"/>
          <w:color w:val="222222"/>
          <w:sz w:val="20"/>
          <w:szCs w:val="20"/>
        </w:rPr>
        <w:t xml:space="preserve"> copy of the bone marrow biopsy report demonstrating that the patient has myelodysplastic syndrome; and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(d) </w:t>
      </w:r>
      <w:proofErr w:type="gramStart"/>
      <w:r w:rsidRPr="007270B5">
        <w:rPr>
          <w:rFonts w:eastAsia="Times New Roman" w:cs="Arial"/>
          <w:color w:val="222222"/>
          <w:sz w:val="20"/>
          <w:szCs w:val="20"/>
        </w:rPr>
        <w:t>a</w:t>
      </w:r>
      <w:proofErr w:type="gramEnd"/>
      <w:r w:rsidRPr="007270B5">
        <w:rPr>
          <w:rFonts w:eastAsia="Times New Roman" w:cs="Arial"/>
          <w:color w:val="222222"/>
          <w:sz w:val="20"/>
          <w:szCs w:val="20"/>
        </w:rPr>
        <w:t xml:space="preserve"> copy of the full blood examination report; and</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(e) </w:t>
      </w:r>
      <w:proofErr w:type="gramStart"/>
      <w:r w:rsidRPr="007270B5">
        <w:rPr>
          <w:rFonts w:eastAsia="Times New Roman" w:cs="Arial"/>
          <w:color w:val="222222"/>
          <w:sz w:val="20"/>
          <w:szCs w:val="20"/>
        </w:rPr>
        <w:t>a</w:t>
      </w:r>
      <w:proofErr w:type="gramEnd"/>
      <w:r w:rsidRPr="007270B5">
        <w:rPr>
          <w:rFonts w:eastAsia="Times New Roman" w:cs="Arial"/>
          <w:color w:val="222222"/>
          <w:sz w:val="20"/>
          <w:szCs w:val="20"/>
        </w:rPr>
        <w:t xml:space="preserve"> copy of the pathology report detailing the cytogenetics demonstrating Low risk or Intermediate-1 disease according to the IPSS (note: using Fluorescence in Situ Hybridization (FISH) to demonstrate MDS -5q is acceptable); and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(f) details of transfusion requirements including: (</w:t>
      </w:r>
      <w:proofErr w:type="spellStart"/>
      <w:r w:rsidRPr="007270B5">
        <w:rPr>
          <w:rFonts w:eastAsia="Times New Roman" w:cs="Arial"/>
          <w:color w:val="222222"/>
          <w:sz w:val="20"/>
          <w:szCs w:val="20"/>
        </w:rPr>
        <w:t>i</w:t>
      </w:r>
      <w:proofErr w:type="spellEnd"/>
      <w:r w:rsidRPr="007270B5">
        <w:rPr>
          <w:rFonts w:eastAsia="Times New Roman" w:cs="Arial"/>
          <w:color w:val="222222"/>
          <w:sz w:val="20"/>
          <w:szCs w:val="20"/>
        </w:rPr>
        <w:t xml:space="preserve">) the date of most recent transfusion and the number of red blood cell units transfused; and (ii) the total number of red cell units transfused in the 4 and 6 months preceding the date of this application; and </w:t>
      </w:r>
    </w:p>
    <w:p w:rsidR="00AF729E" w:rsidRPr="007270B5" w:rsidRDefault="00333658" w:rsidP="00AF729E">
      <w:pPr>
        <w:spacing w:after="0"/>
        <w:ind w:left="720"/>
        <w:rPr>
          <w:rFonts w:eastAsia="Times New Roman" w:cs="Arial"/>
          <w:color w:val="222222"/>
          <w:sz w:val="20"/>
          <w:szCs w:val="20"/>
        </w:rPr>
      </w:pPr>
      <w:r w:rsidRPr="007270B5">
        <w:rPr>
          <w:rFonts w:eastAsia="Times New Roman" w:cs="Arial"/>
          <w:color w:val="222222"/>
          <w:sz w:val="20"/>
          <w:szCs w:val="20"/>
        </w:rPr>
        <w:t xml:space="preserve">(g) </w:t>
      </w:r>
      <w:proofErr w:type="gramStart"/>
      <w:r w:rsidRPr="007270B5">
        <w:rPr>
          <w:rFonts w:eastAsia="Times New Roman" w:cs="Arial"/>
          <w:color w:val="222222"/>
          <w:sz w:val="20"/>
          <w:szCs w:val="20"/>
        </w:rPr>
        <w:t>a</w:t>
      </w:r>
      <w:proofErr w:type="gramEnd"/>
      <w:r w:rsidRPr="007270B5">
        <w:rPr>
          <w:rFonts w:eastAsia="Times New Roman" w:cs="Arial"/>
          <w:color w:val="222222"/>
          <w:sz w:val="20"/>
          <w:szCs w:val="20"/>
        </w:rPr>
        <w:t xml:space="preserve"> signed patient acknowledgement form.</w:t>
      </w:r>
    </w:p>
    <w:p w:rsidR="00AF729E" w:rsidRPr="007270B5" w:rsidRDefault="00AF729E" w:rsidP="00AF729E">
      <w:pPr>
        <w:spacing w:after="0"/>
        <w:rPr>
          <w:rFonts w:eastAsia="Times New Roman" w:cs="Arial"/>
          <w:b/>
          <w:bCs/>
          <w:color w:val="333333"/>
          <w:sz w:val="20"/>
          <w:szCs w:val="20"/>
          <w:u w:val="single"/>
        </w:rPr>
      </w:pP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The first authority application for continuing supply must be made in writing. Subsequent authority applications for continuing supply may be made by telephone. </w:t>
      </w:r>
    </w:p>
    <w:p w:rsidR="00AF729E" w:rsidRPr="007270B5" w:rsidRDefault="00AF729E" w:rsidP="00AF729E">
      <w:pPr>
        <w:spacing w:after="0"/>
        <w:rPr>
          <w:rFonts w:eastAsia="Times New Roman" w:cs="Arial"/>
          <w:color w:val="333333"/>
          <w:sz w:val="20"/>
          <w:szCs w:val="20"/>
        </w:rPr>
      </w:pP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Applications for authority to prescribe initial treatment with </w:t>
      </w:r>
      <w:proofErr w:type="spellStart"/>
      <w:r w:rsidRPr="007270B5">
        <w:rPr>
          <w:rFonts w:eastAsia="Times New Roman" w:cs="Arial"/>
          <w:color w:val="222222"/>
          <w:sz w:val="20"/>
          <w:szCs w:val="20"/>
        </w:rPr>
        <w:t>lenalidomide</w:t>
      </w:r>
      <w:proofErr w:type="spellEnd"/>
      <w:r w:rsidRPr="007270B5">
        <w:rPr>
          <w:rFonts w:eastAsia="Times New Roman" w:cs="Arial"/>
          <w:color w:val="222222"/>
          <w:sz w:val="20"/>
          <w:szCs w:val="20"/>
        </w:rPr>
        <w:t xml:space="preserve"> should be in writing and forwarded to: </w:t>
      </w: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Department of Human Services</w:t>
      </w: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Complex Drugs </w:t>
      </w: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Reply Paid 9826 </w:t>
      </w: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HOBART TAS 7001</w:t>
      </w:r>
    </w:p>
    <w:p w:rsidR="00AF729E" w:rsidRPr="007270B5" w:rsidRDefault="00AF729E" w:rsidP="00AF729E">
      <w:pPr>
        <w:spacing w:after="0"/>
        <w:rPr>
          <w:rFonts w:eastAsia="Times New Roman" w:cs="Arial"/>
          <w:color w:val="333333"/>
          <w:sz w:val="20"/>
          <w:szCs w:val="20"/>
        </w:rPr>
      </w:pPr>
    </w:p>
    <w:p w:rsidR="00AF729E" w:rsidRPr="007270B5" w:rsidRDefault="00333658" w:rsidP="00AF729E">
      <w:pPr>
        <w:spacing w:after="0"/>
        <w:rPr>
          <w:rFonts w:eastAsia="Times New Roman" w:cs="Arial"/>
          <w:color w:val="222222"/>
          <w:sz w:val="20"/>
          <w:szCs w:val="20"/>
        </w:rPr>
      </w:pPr>
      <w:r w:rsidRPr="007270B5">
        <w:rPr>
          <w:rFonts w:eastAsia="Times New Roman" w:cs="Arial"/>
          <w:color w:val="222222"/>
          <w:sz w:val="20"/>
          <w:szCs w:val="20"/>
        </w:rPr>
        <w:t xml:space="preserve">Subsequent authority applications for continuing treatment may be made by telephone to the Department of Human Services on 1800 700 270 (hours of operation 8 a.m. to 5 p.m. EST Monday to Friday). </w:t>
      </w:r>
    </w:p>
    <w:p w:rsidR="00AF729E" w:rsidRPr="007270B5" w:rsidRDefault="00333658" w:rsidP="00AF729E">
      <w:pPr>
        <w:spacing w:line="276" w:lineRule="auto"/>
        <w:rPr>
          <w:rFonts w:eastAsia="MS Gothic" w:cs="Times New Roman"/>
          <w:b/>
          <w:bCs/>
          <w:sz w:val="20"/>
          <w:szCs w:val="20"/>
        </w:rPr>
      </w:pPr>
      <w:r w:rsidRPr="007270B5">
        <w:rPr>
          <w:rFonts w:eastAsia="MS Gothic" w:cs="Times New Roman"/>
          <w:b/>
          <w:bCs/>
          <w:sz w:val="20"/>
          <w:szCs w:val="20"/>
        </w:rPr>
        <w:t>Note.  This restriction has been abbreviated. Some administrative information has been removed. Refer to the schedule on pbs.gov.au for additional information.</w:t>
      </w:r>
    </w:p>
    <w:p w:rsidR="00AF729E" w:rsidRPr="007270B5" w:rsidRDefault="00333658" w:rsidP="00AF729E">
      <w:pPr>
        <w:spacing w:line="276" w:lineRule="auto"/>
        <w:rPr>
          <w:rFonts w:eastAsia="MS Gothic" w:cs="Times New Roman"/>
          <w:b/>
          <w:bCs/>
          <w:sz w:val="20"/>
          <w:szCs w:val="20"/>
        </w:rPr>
      </w:pPr>
      <w:r w:rsidRPr="007270B5">
        <w:rPr>
          <w:rFonts w:eastAsia="MS Gothic" w:cs="Times New Roman"/>
          <w:b/>
          <w:bCs/>
          <w:sz w:val="20"/>
          <w:szCs w:val="20"/>
        </w:rPr>
        <w:t>Source: pbs.gov.au extracted 1 August 2017</w:t>
      </w:r>
    </w:p>
    <w:p w:rsidR="00AF729E" w:rsidRDefault="00AF729E" w:rsidP="00AF729E">
      <w:pPr>
        <w:spacing w:line="276" w:lineRule="auto"/>
        <w:rPr>
          <w:rFonts w:ascii="Calibri" w:eastAsia="MS Gothic" w:hAnsi="Calibri" w:cs="Times New Roman"/>
          <w:b/>
          <w:bCs/>
          <w:sz w:val="32"/>
          <w:szCs w:val="32"/>
        </w:rPr>
      </w:pPr>
    </w:p>
    <w:p w:rsidR="00AF729E" w:rsidRPr="00C73E4E" w:rsidRDefault="00333658" w:rsidP="00AF729E">
      <w:pPr>
        <w:spacing w:line="276" w:lineRule="auto"/>
        <w:rPr>
          <w:rFonts w:ascii="Calibri" w:eastAsia="MS Mincho" w:hAnsi="Calibri" w:cs="Times New Roman"/>
          <w:sz w:val="32"/>
          <w:szCs w:val="32"/>
        </w:rPr>
      </w:pPr>
      <w:r w:rsidRPr="00C73E4E">
        <w:rPr>
          <w:rFonts w:ascii="Calibri" w:eastAsia="MS Gothic" w:hAnsi="Calibri" w:cs="Times New Roman"/>
          <w:b/>
          <w:bCs/>
          <w:sz w:val="32"/>
          <w:szCs w:val="32"/>
        </w:rPr>
        <w:lastRenderedPageBreak/>
        <w:t xml:space="preserve">Appendix </w:t>
      </w:r>
      <w:r>
        <w:rPr>
          <w:rFonts w:ascii="Calibri" w:eastAsia="MS Gothic" w:hAnsi="Calibri" w:cs="Times New Roman"/>
          <w:b/>
          <w:bCs/>
          <w:sz w:val="32"/>
          <w:szCs w:val="32"/>
        </w:rPr>
        <w:t>B</w:t>
      </w:r>
      <w:r w:rsidRPr="00C73E4E">
        <w:rPr>
          <w:rFonts w:ascii="Calibri" w:eastAsia="MS Gothic" w:hAnsi="Calibri" w:cs="Times New Roman"/>
          <w:b/>
          <w:bCs/>
          <w:sz w:val="32"/>
          <w:szCs w:val="32"/>
        </w:rPr>
        <w:t>: Details of HSD data issue</w:t>
      </w:r>
      <w:r w:rsidRPr="00C73E4E">
        <w:rPr>
          <w:rFonts w:ascii="Calibri" w:eastAsia="MS Mincho" w:hAnsi="Calibri" w:cs="Times New Roman"/>
          <w:sz w:val="32"/>
          <w:szCs w:val="32"/>
        </w:rPr>
        <w:t xml:space="preserve">   </w:t>
      </w:r>
    </w:p>
    <w:p w:rsidR="00AF729E" w:rsidRDefault="00333658" w:rsidP="00AF729E">
      <w:pPr>
        <w:rPr>
          <w:rFonts w:ascii="Calibri" w:eastAsia="MS Mincho" w:hAnsi="Calibri" w:cs="Times New Roman"/>
          <w:szCs w:val="28"/>
        </w:rPr>
      </w:pPr>
      <w:r>
        <w:rPr>
          <w:rFonts w:ascii="Calibri" w:eastAsia="MS Mincho" w:hAnsi="Calibri" w:cs="Times New Roman"/>
          <w:szCs w:val="28"/>
        </w:rPr>
        <w:t xml:space="preserve">Figure A.1 below shows an estimate of the amount of missing patient level data in the DHS prescription database for </w:t>
      </w:r>
      <w:proofErr w:type="spellStart"/>
      <w:r>
        <w:rPr>
          <w:rFonts w:ascii="Calibri" w:eastAsia="MS Mincho" w:hAnsi="Calibri" w:cs="Times New Roman"/>
          <w:szCs w:val="28"/>
        </w:rPr>
        <w:t>lenalidomide</w:t>
      </w:r>
      <w:proofErr w:type="spellEnd"/>
    </w:p>
    <w:p w:rsidR="00AF729E" w:rsidRDefault="00333658" w:rsidP="00AF729E">
      <w:pPr>
        <w:rPr>
          <w:rFonts w:ascii="Calibri" w:eastAsia="MS Mincho" w:hAnsi="Calibri" w:cs="Times New Roman"/>
          <w:szCs w:val="28"/>
        </w:rPr>
      </w:pPr>
      <w:r>
        <w:rPr>
          <w:noProof/>
        </w:rPr>
        <w:drawing>
          <wp:inline distT="0" distB="0" distL="0" distR="0" wp14:anchorId="4D033CB6" wp14:editId="103CF1A7">
            <wp:extent cx="5687695" cy="3716447"/>
            <wp:effectExtent l="0" t="0" r="27305" b="17780"/>
            <wp:docPr id="10" name="Chart 10" title="Figure B.1: Combined HSD data, lenalidomide packs for multiple non-MDS (ie. multiple myeloma) PBS item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B87CD5">
        <w:rPr>
          <w:rFonts w:ascii="Calibri" w:eastAsia="MS Mincho" w:hAnsi="Calibri" w:cs="Times New Roman"/>
          <w:b/>
        </w:rPr>
        <w:t xml:space="preserve">Figure </w:t>
      </w:r>
      <w:r w:rsidR="00CD29FD">
        <w:rPr>
          <w:rFonts w:ascii="Calibri" w:eastAsia="MS Mincho" w:hAnsi="Calibri" w:cs="Times New Roman"/>
          <w:b/>
        </w:rPr>
        <w:t>B</w:t>
      </w:r>
      <w:r>
        <w:rPr>
          <w:rFonts w:ascii="Calibri" w:eastAsia="MS Mincho" w:hAnsi="Calibri" w:cs="Times New Roman"/>
          <w:b/>
        </w:rPr>
        <w:t>.1</w:t>
      </w:r>
      <w:r w:rsidRPr="00B87CD5">
        <w:rPr>
          <w:rFonts w:ascii="Calibri" w:eastAsia="MS Mincho" w:hAnsi="Calibri" w:cs="Times New Roman"/>
          <w:b/>
        </w:rPr>
        <w:t xml:space="preserve">: </w:t>
      </w:r>
      <w:r>
        <w:rPr>
          <w:rFonts w:ascii="Calibri" w:eastAsia="MS Mincho" w:hAnsi="Calibri" w:cs="Times New Roman"/>
          <w:b/>
        </w:rPr>
        <w:t xml:space="preserve">Combined HSD data, </w:t>
      </w:r>
      <w:proofErr w:type="spellStart"/>
      <w:r>
        <w:rPr>
          <w:rFonts w:ascii="Calibri" w:eastAsia="MS Mincho" w:hAnsi="Calibri" w:cs="Times New Roman"/>
          <w:b/>
        </w:rPr>
        <w:t>lenalidomide</w:t>
      </w:r>
      <w:proofErr w:type="spellEnd"/>
      <w:r>
        <w:rPr>
          <w:rFonts w:ascii="Calibri" w:eastAsia="MS Mincho" w:hAnsi="Calibri" w:cs="Times New Roman"/>
          <w:b/>
        </w:rPr>
        <w:t xml:space="preserve"> packs for multiple non-MDS (</w:t>
      </w:r>
      <w:proofErr w:type="spellStart"/>
      <w:r>
        <w:rPr>
          <w:rFonts w:ascii="Calibri" w:eastAsia="MS Mincho" w:hAnsi="Calibri" w:cs="Times New Roman"/>
          <w:b/>
        </w:rPr>
        <w:t>ie</w:t>
      </w:r>
      <w:proofErr w:type="spellEnd"/>
      <w:r>
        <w:rPr>
          <w:rFonts w:ascii="Calibri" w:eastAsia="MS Mincho" w:hAnsi="Calibri" w:cs="Times New Roman"/>
          <w:b/>
        </w:rPr>
        <w:t xml:space="preserve">. multiple myeloma) </w:t>
      </w:r>
      <w:r w:rsidR="00072468">
        <w:rPr>
          <w:rFonts w:ascii="Calibri" w:eastAsia="MS Mincho" w:hAnsi="Calibri" w:cs="Times New Roman"/>
          <w:b/>
        </w:rPr>
        <w:t>PBS items</w:t>
      </w:r>
      <w:r w:rsidR="00FC065C">
        <w:rPr>
          <w:rFonts w:ascii="Calibri" w:eastAsia="MS Mincho" w:hAnsi="Calibri" w:cs="Times New Roman"/>
          <w:b/>
        </w:rPr>
        <w:t>.</w:t>
      </w:r>
      <w:r>
        <w:rPr>
          <w:rFonts w:ascii="Calibri" w:eastAsia="MS Mincho" w:hAnsi="Calibri" w:cs="Times New Roman"/>
          <w:b/>
        </w:rPr>
        <w:t xml:space="preserve"> </w:t>
      </w:r>
      <w:r>
        <w:rPr>
          <w:rFonts w:ascii="Calibri" w:eastAsia="MS Mincho" w:hAnsi="Calibri" w:cs="Times New Roman"/>
          <w:sz w:val="20"/>
        </w:rPr>
        <w:t>Source:</w:t>
      </w:r>
      <w:r w:rsidRPr="00AB4293">
        <w:rPr>
          <w:rFonts w:ascii="Calibri" w:eastAsia="MS Mincho" w:hAnsi="Calibri" w:cs="Times New Roman"/>
          <w:sz w:val="20"/>
        </w:rPr>
        <w:t xml:space="preserve"> </w:t>
      </w:r>
      <w:r w:rsidRPr="00B87CD5">
        <w:rPr>
          <w:rFonts w:ascii="Calibri" w:eastAsia="MS Mincho" w:hAnsi="Calibri" w:cs="Times New Roman"/>
          <w:sz w:val="20"/>
        </w:rPr>
        <w:t>D</w:t>
      </w:r>
      <w:r>
        <w:rPr>
          <w:rFonts w:ascii="Calibri" w:eastAsia="MS Mincho" w:hAnsi="Calibri" w:cs="Times New Roman"/>
          <w:sz w:val="20"/>
        </w:rPr>
        <w:t>USC HSD database, Note: MCA = Medicare Australia (now DHS), LBL = Line by line (i</w:t>
      </w:r>
      <w:r w:rsidR="00F90956">
        <w:rPr>
          <w:rFonts w:ascii="Calibri" w:eastAsia="MS Mincho" w:hAnsi="Calibri" w:cs="Times New Roman"/>
          <w:sz w:val="20"/>
        </w:rPr>
        <w:t>.</w:t>
      </w:r>
      <w:r>
        <w:rPr>
          <w:rFonts w:ascii="Calibri" w:eastAsia="MS Mincho" w:hAnsi="Calibri" w:cs="Times New Roman"/>
          <w:sz w:val="20"/>
        </w:rPr>
        <w:t>e. patient level data), bulk = aggregated data (</w:t>
      </w:r>
      <w:proofErr w:type="spellStart"/>
      <w:r>
        <w:rPr>
          <w:rFonts w:ascii="Calibri" w:eastAsia="MS Mincho" w:hAnsi="Calibri" w:cs="Times New Roman"/>
          <w:sz w:val="20"/>
        </w:rPr>
        <w:t>ie</w:t>
      </w:r>
      <w:proofErr w:type="spellEnd"/>
      <w:r>
        <w:rPr>
          <w:rFonts w:ascii="Calibri" w:eastAsia="MS Mincho" w:hAnsi="Calibri" w:cs="Times New Roman"/>
          <w:sz w:val="20"/>
        </w:rPr>
        <w:t>. not patient level).</w:t>
      </w:r>
    </w:p>
    <w:p w:rsidR="00AF729E" w:rsidRDefault="00333658" w:rsidP="00AF729E">
      <w:pPr>
        <w:rPr>
          <w:rFonts w:ascii="Calibri" w:eastAsia="MS Mincho" w:hAnsi="Calibri" w:cs="Times New Roman"/>
          <w:szCs w:val="28"/>
        </w:rPr>
      </w:pPr>
      <w:r>
        <w:rPr>
          <w:rFonts w:ascii="Calibri" w:eastAsia="MS Mincho" w:hAnsi="Calibri" w:cs="Times New Roman"/>
          <w:szCs w:val="28"/>
        </w:rPr>
        <w:t>The “Public – bulk MCA” plot is the number of packs missing from the DHS patient level data. It is slightly less than the number of Public Hospital supplied packs in the DHS patient level data (</w:t>
      </w:r>
      <w:proofErr w:type="spellStart"/>
      <w:r>
        <w:rPr>
          <w:rFonts w:ascii="Calibri" w:eastAsia="MS Mincho" w:hAnsi="Calibri" w:cs="Times New Roman"/>
          <w:szCs w:val="28"/>
        </w:rPr>
        <w:t>ie</w:t>
      </w:r>
      <w:proofErr w:type="spellEnd"/>
      <w:r>
        <w:rPr>
          <w:rFonts w:ascii="Calibri" w:eastAsia="MS Mincho" w:hAnsi="Calibri" w:cs="Times New Roman"/>
          <w:szCs w:val="28"/>
        </w:rPr>
        <w:t xml:space="preserve">. “Public – LBL MCA). The utilisation measure in the “bulk MCA” source is packs and it is not possible to convert this to prescriptions. However it is possible to convert the prescriptions in the “LBL MCA” source to packs, so that utilisation can be combined and compared across the sources. The missing non-MDS prescriptions in the patient level data will have led to the non-MDS containing sequences in </w:t>
      </w:r>
      <w:r w:rsidR="00072468">
        <w:rPr>
          <w:rFonts w:ascii="Calibri" w:eastAsia="MS Mincho" w:hAnsi="Calibri" w:cs="Times New Roman"/>
          <w:szCs w:val="28"/>
        </w:rPr>
        <w:t>Table 5</w:t>
      </w:r>
      <w:r>
        <w:rPr>
          <w:rFonts w:ascii="Calibri" w:eastAsia="MS Mincho" w:hAnsi="Calibri" w:cs="Times New Roman"/>
          <w:szCs w:val="28"/>
        </w:rPr>
        <w:t xml:space="preserve"> being underestimated. </w:t>
      </w:r>
    </w:p>
    <w:p w:rsidR="00AF729E" w:rsidRDefault="00333658" w:rsidP="00AF729E">
      <w:pPr>
        <w:rPr>
          <w:rFonts w:ascii="Calibri" w:eastAsia="MS Mincho" w:hAnsi="Calibri" w:cs="Times New Roman"/>
          <w:szCs w:val="28"/>
        </w:rPr>
      </w:pPr>
      <w:r>
        <w:rPr>
          <w:rFonts w:ascii="Calibri" w:eastAsia="MS Mincho" w:hAnsi="Calibri" w:cs="Times New Roman"/>
          <w:szCs w:val="28"/>
        </w:rPr>
        <w:t xml:space="preserve">This means that some of the 141 patients classified as MDS patients in </w:t>
      </w:r>
      <w:r w:rsidR="00072468">
        <w:rPr>
          <w:rFonts w:ascii="Calibri" w:eastAsia="MS Mincho" w:hAnsi="Calibri" w:cs="Times New Roman"/>
          <w:szCs w:val="28"/>
        </w:rPr>
        <w:t>Table 5</w:t>
      </w:r>
      <w:r>
        <w:rPr>
          <w:rFonts w:ascii="Calibri" w:eastAsia="MS Mincho" w:hAnsi="Calibri" w:cs="Times New Roman"/>
          <w:szCs w:val="28"/>
        </w:rPr>
        <w:t xml:space="preserve"> may have been classified as multiple myeloma patients if the patient level data was complete. However, this was considered relatively unlikely as the patient level data was complete from July 2013.</w:t>
      </w:r>
    </w:p>
    <w:p w:rsidR="00AF729E" w:rsidRDefault="00AF729E" w:rsidP="00AF729E">
      <w:pPr>
        <w:spacing w:after="0"/>
      </w:pPr>
    </w:p>
    <w:sectPr w:rsidR="00AF729E" w:rsidSect="00AF729E">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06" w:rsidRDefault="00624706" w:rsidP="00821C17">
      <w:pPr>
        <w:spacing w:after="0"/>
      </w:pPr>
      <w:r>
        <w:separator/>
      </w:r>
    </w:p>
  </w:endnote>
  <w:endnote w:type="continuationSeparator" w:id="0">
    <w:p w:rsidR="00624706" w:rsidRDefault="00624706" w:rsidP="00821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06" w:rsidRDefault="00624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0444"/>
      <w:docPartObj>
        <w:docPartGallery w:val="Page Numbers (Bottom of Page)"/>
        <w:docPartUnique/>
      </w:docPartObj>
    </w:sdtPr>
    <w:sdtEndPr/>
    <w:sdtContent>
      <w:sdt>
        <w:sdtPr>
          <w:id w:val="-2070178723"/>
          <w:docPartObj>
            <w:docPartGallery w:val="Page Numbers (Top of Page)"/>
            <w:docPartUnique/>
          </w:docPartObj>
        </w:sdtPr>
        <w:sdtEndPr/>
        <w:sdtContent>
          <w:p w:rsidR="00C35183" w:rsidRPr="000E72C6" w:rsidRDefault="00C35183" w:rsidP="00AF729E">
            <w:pPr>
              <w:pStyle w:val="Footer"/>
              <w:jc w:val="center"/>
              <w:rPr>
                <w:i/>
                <w:sz w:val="20"/>
              </w:rPr>
            </w:pPr>
            <w:r>
              <w:rPr>
                <w:i/>
                <w:sz w:val="20"/>
              </w:rPr>
              <w:t>Public Release Document, September 2017 DUSC Meeting</w:t>
            </w:r>
          </w:p>
          <w:p w:rsidR="00C35183" w:rsidRPr="008F51E2" w:rsidRDefault="00C35183" w:rsidP="00AF729E">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7278C">
              <w:rPr>
                <w:bCs/>
                <w:i/>
                <w:noProof/>
                <w:sz w:val="20"/>
              </w:rPr>
              <w:t>17</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7278C">
              <w:rPr>
                <w:bCs/>
                <w:i/>
                <w:noProof/>
                <w:sz w:val="20"/>
              </w:rPr>
              <w:t>29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06" w:rsidRDefault="00624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06" w:rsidRDefault="00624706" w:rsidP="00821C17">
      <w:pPr>
        <w:spacing w:after="0"/>
      </w:pPr>
      <w:r>
        <w:separator/>
      </w:r>
    </w:p>
  </w:footnote>
  <w:footnote w:type="continuationSeparator" w:id="0">
    <w:p w:rsidR="00624706" w:rsidRDefault="00624706" w:rsidP="00821C17">
      <w:pPr>
        <w:spacing w:after="0"/>
      </w:pPr>
      <w:r>
        <w:continuationSeparator/>
      </w:r>
    </w:p>
  </w:footnote>
  <w:footnote w:id="1">
    <w:p w:rsidR="00C35183" w:rsidRDefault="00C35183">
      <w:pPr>
        <w:pStyle w:val="FootnoteText"/>
      </w:pPr>
      <w:r>
        <w:rPr>
          <w:rStyle w:val="FootnoteReference"/>
        </w:rPr>
        <w:footnoteRef/>
      </w:r>
      <w:r>
        <w:t xml:space="preserve"> </w:t>
      </w:r>
      <w:r w:rsidRPr="00C042B7">
        <w:rPr>
          <w:rFonts w:ascii="Calibri" w:eastAsia="MS Mincho" w:hAnsi="Calibri" w:cs="Times New Roman"/>
        </w:rPr>
        <w:t>2017 Australian Cancer Incidence and Mortality (ACIM) book for</w:t>
      </w:r>
      <w:r>
        <w:rPr>
          <w:rFonts w:ascii="Calibri" w:eastAsia="MS Mincho" w:hAnsi="Calibri" w:cs="Times New Roman"/>
        </w:rPr>
        <w:t xml:space="preserve"> </w:t>
      </w:r>
      <w:r w:rsidRPr="00C042B7">
        <w:rPr>
          <w:rFonts w:ascii="Calibri" w:eastAsia="MS Mincho" w:hAnsi="Calibri" w:cs="Times New Roman"/>
        </w:rPr>
        <w:t xml:space="preserve">Myelodysplastic syndromes </w:t>
      </w:r>
      <w:r>
        <w:rPr>
          <w:rFonts w:ascii="Calibri" w:eastAsia="MS Mincho" w:hAnsi="Calibri" w:cs="Times New Roman"/>
        </w:rPr>
        <w:t>(ICD-10 code D46)</w:t>
      </w:r>
    </w:p>
  </w:footnote>
  <w:footnote w:id="2">
    <w:p w:rsidR="00C35183" w:rsidRPr="00C042B7" w:rsidRDefault="00C35183" w:rsidP="00AF729E">
      <w:pPr>
        <w:spacing w:after="240"/>
        <w:ind w:left="720" w:hanging="720"/>
        <w:rPr>
          <w:noProof/>
          <w:sz w:val="18"/>
          <w:szCs w:val="18"/>
        </w:rPr>
      </w:pPr>
      <w:r w:rsidRPr="00C042B7">
        <w:rPr>
          <w:rStyle w:val="FootnoteReference"/>
          <w:sz w:val="18"/>
          <w:szCs w:val="18"/>
        </w:rPr>
        <w:footnoteRef/>
      </w:r>
      <w:r w:rsidRPr="00C042B7">
        <w:rPr>
          <w:sz w:val="18"/>
          <w:szCs w:val="18"/>
        </w:rPr>
        <w:t xml:space="preserve"> </w:t>
      </w:r>
      <w:bookmarkStart w:id="2" w:name="_ENREF_40"/>
      <w:r w:rsidRPr="00C042B7">
        <w:rPr>
          <w:noProof/>
          <w:sz w:val="18"/>
          <w:szCs w:val="18"/>
        </w:rPr>
        <w:t xml:space="preserve">Hui, C. H., N. Horvath, et al. (2008). "Outcome of patients with myelodysplastic syndromes - experience from a single institution in South Australia." </w:t>
      </w:r>
      <w:r w:rsidRPr="00C042B7">
        <w:rPr>
          <w:noProof/>
          <w:sz w:val="18"/>
          <w:szCs w:val="18"/>
          <w:u w:val="single"/>
        </w:rPr>
        <w:t>Intern Med J</w:t>
      </w:r>
      <w:r w:rsidRPr="00C042B7">
        <w:rPr>
          <w:noProof/>
          <w:sz w:val="18"/>
          <w:szCs w:val="18"/>
        </w:rPr>
        <w:t>: 1-5.</w:t>
      </w:r>
      <w:bookmarkEnd w:id="2"/>
    </w:p>
    <w:p w:rsidR="00C35183" w:rsidRDefault="00C35183">
      <w:pPr>
        <w:pStyle w:val="FootnoteText"/>
      </w:pPr>
    </w:p>
  </w:footnote>
  <w:footnote w:id="3">
    <w:p w:rsidR="00C35183" w:rsidRPr="00D9025F" w:rsidRDefault="00C35183" w:rsidP="00A02E79">
      <w:pPr>
        <w:spacing w:before="100" w:beforeAutospacing="1" w:after="100" w:afterAutospacing="1"/>
        <w:rPr>
          <w:color w:val="333333"/>
          <w:sz w:val="20"/>
          <w:szCs w:val="20"/>
        </w:rPr>
      </w:pPr>
      <w:r w:rsidRPr="00D9025F">
        <w:rPr>
          <w:rStyle w:val="FootnoteReference"/>
          <w:sz w:val="20"/>
          <w:szCs w:val="20"/>
        </w:rPr>
        <w:footnoteRef/>
      </w:r>
      <w:r w:rsidRPr="00D9025F">
        <w:rPr>
          <w:sz w:val="20"/>
          <w:szCs w:val="20"/>
        </w:rPr>
        <w:t xml:space="preserve"> List </w:t>
      </w:r>
      <w:proofErr w:type="gramStart"/>
      <w:r w:rsidRPr="00D9025F">
        <w:rPr>
          <w:sz w:val="20"/>
          <w:szCs w:val="20"/>
        </w:rPr>
        <w:t>A</w:t>
      </w:r>
      <w:proofErr w:type="gramEnd"/>
      <w:r w:rsidRPr="00D9025F">
        <w:rPr>
          <w:sz w:val="20"/>
          <w:szCs w:val="20"/>
        </w:rPr>
        <w:t xml:space="preserve">, </w:t>
      </w:r>
      <w:proofErr w:type="spellStart"/>
      <w:r w:rsidRPr="00D9025F">
        <w:rPr>
          <w:sz w:val="20"/>
          <w:szCs w:val="20"/>
        </w:rPr>
        <w:t>Dewald</w:t>
      </w:r>
      <w:proofErr w:type="spellEnd"/>
      <w:r w:rsidRPr="00D9025F">
        <w:rPr>
          <w:sz w:val="20"/>
          <w:szCs w:val="20"/>
        </w:rPr>
        <w:t xml:space="preserve"> G, Bennett J el al. New England Journal of Medicine 2006 (355, October 5)1456-1465, 2006</w:t>
      </w:r>
    </w:p>
    <w:p w:rsidR="00C35183" w:rsidRDefault="00C35183" w:rsidP="00A02E7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06" w:rsidRDefault="00624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183" w:rsidRPr="006E41D3" w:rsidRDefault="00C35183" w:rsidP="00AF729E">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06" w:rsidRDefault="00624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380"/>
    <w:multiLevelType w:val="hybridMultilevel"/>
    <w:tmpl w:val="263899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F613AA"/>
    <w:multiLevelType w:val="hybridMultilevel"/>
    <w:tmpl w:val="E5908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14058F4"/>
    <w:multiLevelType w:val="hybridMultilevel"/>
    <w:tmpl w:val="9268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B52C45"/>
    <w:multiLevelType w:val="hybridMultilevel"/>
    <w:tmpl w:val="33D26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4127132"/>
    <w:multiLevelType w:val="multilevel"/>
    <w:tmpl w:val="C6D6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00A6E"/>
    <w:multiLevelType w:val="multilevel"/>
    <w:tmpl w:val="B6AC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D0481"/>
    <w:multiLevelType w:val="hybridMultilevel"/>
    <w:tmpl w:val="EA00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EB1DDB"/>
    <w:multiLevelType w:val="multilevel"/>
    <w:tmpl w:val="1CEC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966A0"/>
    <w:multiLevelType w:val="hybridMultilevel"/>
    <w:tmpl w:val="89CE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2F3F43"/>
    <w:multiLevelType w:val="hybridMultilevel"/>
    <w:tmpl w:val="711CA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1372CCD"/>
    <w:multiLevelType w:val="multilevel"/>
    <w:tmpl w:val="D07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C1F74ED"/>
    <w:multiLevelType w:val="multilevel"/>
    <w:tmpl w:val="F25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9646A"/>
    <w:multiLevelType w:val="multilevel"/>
    <w:tmpl w:val="E51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36513"/>
    <w:multiLevelType w:val="multilevel"/>
    <w:tmpl w:val="B7C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CB1"/>
    <w:multiLevelType w:val="multilevel"/>
    <w:tmpl w:val="78A6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AC7BCF"/>
    <w:multiLevelType w:val="hybridMultilevel"/>
    <w:tmpl w:val="F9082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3C43516"/>
    <w:multiLevelType w:val="multilevel"/>
    <w:tmpl w:val="B8F2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6D2457"/>
    <w:multiLevelType w:val="hybridMultilevel"/>
    <w:tmpl w:val="8F509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FAE440C"/>
    <w:multiLevelType w:val="hybridMultilevel"/>
    <w:tmpl w:val="A642A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C0D4696"/>
    <w:multiLevelType w:val="hybridMultilevel"/>
    <w:tmpl w:val="48346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5"/>
  </w:num>
  <w:num w:numId="4">
    <w:abstractNumId w:val="18"/>
  </w:num>
  <w:num w:numId="5">
    <w:abstractNumId w:val="11"/>
  </w:num>
  <w:num w:numId="6">
    <w:abstractNumId w:val="6"/>
  </w:num>
  <w:num w:numId="7">
    <w:abstractNumId w:val="16"/>
  </w:num>
  <w:num w:numId="8">
    <w:abstractNumId w:val="15"/>
  </w:num>
  <w:num w:numId="9">
    <w:abstractNumId w:val="13"/>
  </w:num>
  <w:num w:numId="10">
    <w:abstractNumId w:val="8"/>
  </w:num>
  <w:num w:numId="11">
    <w:abstractNumId w:val="9"/>
  </w:num>
  <w:num w:numId="12">
    <w:abstractNumId w:val="7"/>
  </w:num>
  <w:num w:numId="13">
    <w:abstractNumId w:val="4"/>
  </w:num>
  <w:num w:numId="14">
    <w:abstractNumId w:val="2"/>
  </w:num>
  <w:num w:numId="15">
    <w:abstractNumId w:val="10"/>
  </w:num>
  <w:num w:numId="16">
    <w:abstractNumId w:val="0"/>
  </w:num>
  <w:num w:numId="17">
    <w:abstractNumId w:val="12"/>
  </w:num>
  <w:num w:numId="18">
    <w:abstractNumId w:val="19"/>
  </w:num>
  <w:num w:numId="19">
    <w:abstractNumId w:val="17"/>
  </w:num>
  <w:num w:numId="20">
    <w:abstractNumId w:val="1"/>
  </w:num>
  <w:num w:numId="21">
    <w:abstractNumId w:val="3"/>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17"/>
    <w:rsid w:val="00025EB8"/>
    <w:rsid w:val="0005201A"/>
    <w:rsid w:val="00072147"/>
    <w:rsid w:val="00072468"/>
    <w:rsid w:val="00095A9E"/>
    <w:rsid w:val="000A2F1A"/>
    <w:rsid w:val="000B4FFF"/>
    <w:rsid w:val="000C3900"/>
    <w:rsid w:val="000D3E34"/>
    <w:rsid w:val="000F3391"/>
    <w:rsid w:val="00201F4E"/>
    <w:rsid w:val="00206082"/>
    <w:rsid w:val="00244A92"/>
    <w:rsid w:val="00250B1F"/>
    <w:rsid w:val="002732DE"/>
    <w:rsid w:val="002A5890"/>
    <w:rsid w:val="002E7556"/>
    <w:rsid w:val="00333658"/>
    <w:rsid w:val="0036483C"/>
    <w:rsid w:val="003A09E8"/>
    <w:rsid w:val="003B67C0"/>
    <w:rsid w:val="004821DF"/>
    <w:rsid w:val="004D27A7"/>
    <w:rsid w:val="004F6D54"/>
    <w:rsid w:val="0050293F"/>
    <w:rsid w:val="0051334E"/>
    <w:rsid w:val="00534686"/>
    <w:rsid w:val="00542301"/>
    <w:rsid w:val="00562653"/>
    <w:rsid w:val="00572873"/>
    <w:rsid w:val="005850B6"/>
    <w:rsid w:val="00590152"/>
    <w:rsid w:val="005904C8"/>
    <w:rsid w:val="005A5A53"/>
    <w:rsid w:val="005E58FD"/>
    <w:rsid w:val="00624706"/>
    <w:rsid w:val="00672467"/>
    <w:rsid w:val="006A1469"/>
    <w:rsid w:val="006B3577"/>
    <w:rsid w:val="006F44D0"/>
    <w:rsid w:val="007320FE"/>
    <w:rsid w:val="00764DF5"/>
    <w:rsid w:val="0077278C"/>
    <w:rsid w:val="00785847"/>
    <w:rsid w:val="007B5DCB"/>
    <w:rsid w:val="007D3A3B"/>
    <w:rsid w:val="007D653C"/>
    <w:rsid w:val="007F0669"/>
    <w:rsid w:val="00821C17"/>
    <w:rsid w:val="00857F6A"/>
    <w:rsid w:val="00860566"/>
    <w:rsid w:val="008737C4"/>
    <w:rsid w:val="008759DA"/>
    <w:rsid w:val="008763B8"/>
    <w:rsid w:val="00882139"/>
    <w:rsid w:val="008D4C13"/>
    <w:rsid w:val="00970BC6"/>
    <w:rsid w:val="009828AD"/>
    <w:rsid w:val="009B71B4"/>
    <w:rsid w:val="009D3E82"/>
    <w:rsid w:val="00A02E79"/>
    <w:rsid w:val="00A1356F"/>
    <w:rsid w:val="00A613AD"/>
    <w:rsid w:val="00AC731E"/>
    <w:rsid w:val="00AC7933"/>
    <w:rsid w:val="00AD575B"/>
    <w:rsid w:val="00AF729E"/>
    <w:rsid w:val="00B04BEC"/>
    <w:rsid w:val="00C35183"/>
    <w:rsid w:val="00C45652"/>
    <w:rsid w:val="00C53565"/>
    <w:rsid w:val="00C549FC"/>
    <w:rsid w:val="00C93A09"/>
    <w:rsid w:val="00CD29FD"/>
    <w:rsid w:val="00CD473F"/>
    <w:rsid w:val="00CD5A78"/>
    <w:rsid w:val="00D43E3B"/>
    <w:rsid w:val="00D74C71"/>
    <w:rsid w:val="00DC50E8"/>
    <w:rsid w:val="00E14E6C"/>
    <w:rsid w:val="00E864AF"/>
    <w:rsid w:val="00E94417"/>
    <w:rsid w:val="00E96058"/>
    <w:rsid w:val="00EF0833"/>
    <w:rsid w:val="00F02E40"/>
    <w:rsid w:val="00F42AB3"/>
    <w:rsid w:val="00F47FC1"/>
    <w:rsid w:val="00F63805"/>
    <w:rsid w:val="00F74C67"/>
    <w:rsid w:val="00F90956"/>
    <w:rsid w:val="00FB617C"/>
    <w:rsid w:val="00FC065C"/>
    <w:rsid w:val="00FC572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9A"/>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unhideWhenUsed/>
    <w:rsid w:val="00821C17"/>
    <w:rPr>
      <w:sz w:val="20"/>
      <w:szCs w:val="20"/>
    </w:rPr>
  </w:style>
  <w:style w:type="character" w:customStyle="1" w:styleId="CommentTextChar">
    <w:name w:val="Comment Text Char"/>
    <w:basedOn w:val="DefaultParagraphFont"/>
    <w:link w:val="CommentText"/>
    <w:uiPriority w:val="99"/>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aliases w:val="Summary box"/>
    <w:basedOn w:val="TableNormal"/>
    <w:uiPriority w:val="59"/>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link w:val="TablewritingChar"/>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nhideWhenUsed/>
    <w:rsid w:val="00821C17"/>
    <w:pPr>
      <w:spacing w:after="0"/>
    </w:pPr>
    <w:rPr>
      <w:sz w:val="18"/>
      <w:szCs w:val="20"/>
    </w:rPr>
  </w:style>
  <w:style w:type="character" w:customStyle="1" w:styleId="FootnoteTextChar">
    <w:name w:val="Footnote Text Char"/>
    <w:basedOn w:val="DefaultParagraphFont"/>
    <w:link w:val="FootnoteText"/>
    <w:rsid w:val="00821C17"/>
    <w:rPr>
      <w:rFonts w:asciiTheme="minorHAnsi" w:eastAsiaTheme="minorEastAsia" w:hAnsiTheme="minorHAnsi"/>
      <w:sz w:val="18"/>
      <w:szCs w:val="20"/>
      <w:lang w:eastAsia="en-AU"/>
    </w:rPr>
  </w:style>
  <w:style w:type="character" w:styleId="FootnoteReference">
    <w:name w:val="footnote reference"/>
    <w:basedOn w:val="DefaultParagraphFont"/>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link w:val="TableTextChar"/>
    <w:qFormat/>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customStyle="1" w:styleId="BodyText1">
    <w:name w:val="Body Text1"/>
    <w:basedOn w:val="Normal"/>
    <w:uiPriority w:val="1"/>
    <w:qFormat/>
    <w:rsid w:val="000254BD"/>
    <w:pPr>
      <w:spacing w:after="120" w:line="276" w:lineRule="auto"/>
    </w:pPr>
    <w:rPr>
      <w:rFonts w:ascii="Cambria" w:eastAsia="Times New Roman" w:hAnsi="Cambria" w:cs="Calibri"/>
      <w:noProof/>
      <w:lang w:eastAsia="en-US"/>
    </w:rPr>
  </w:style>
  <w:style w:type="character" w:customStyle="1" w:styleId="TablewritingChar">
    <w:name w:val="Table writing Char"/>
    <w:link w:val="Tablewriting"/>
    <w:rsid w:val="000254BD"/>
    <w:rPr>
      <w:rFonts w:asciiTheme="minorHAnsi" w:eastAsiaTheme="minorEastAsia" w:hAnsiTheme="minorHAnsi" w:cs="Calibri"/>
      <w:color w:val="000000"/>
      <w:sz w:val="20"/>
      <w:szCs w:val="20"/>
      <w:lang w:eastAsia="en-AU"/>
    </w:rPr>
  </w:style>
  <w:style w:type="character" w:customStyle="1" w:styleId="TableTextChar">
    <w:name w:val="Table Text Char"/>
    <w:link w:val="TableText0"/>
    <w:rsid w:val="006D3226"/>
    <w:rPr>
      <w:rFonts w:ascii="Arial" w:eastAsia="Times New Roman" w:hAnsi="Arial" w:cs="Times New Roman"/>
      <w:sz w:val="18"/>
      <w:szCs w:val="20"/>
      <w:lang w:eastAsia="en-AU"/>
    </w:rPr>
  </w:style>
  <w:style w:type="paragraph" w:styleId="Caption">
    <w:name w:val="caption"/>
    <w:aliases w:val="Bayer Caption,IB Caption,Medical Caption,Caption Char1 Char Char,Caption Char Char Char Char,Caption Char1 Char,Caption Char Char Char Char Char,Caption Char Char,Caption Char Char Char Char1,Caption Char1 Char1,Caption Char Char Char,c"/>
    <w:basedOn w:val="Normal"/>
    <w:next w:val="Normal"/>
    <w:link w:val="CaptionChar"/>
    <w:qFormat/>
    <w:rsid w:val="00912AC3"/>
    <w:pPr>
      <w:spacing w:before="120" w:after="120" w:line="360" w:lineRule="auto"/>
      <w:jc w:val="both"/>
    </w:pPr>
    <w:rPr>
      <w:rFonts w:ascii="Times New Roman" w:eastAsia="SimSun" w:hAnsi="Times New Roman" w:cs="Times New Roman"/>
      <w:b/>
      <w:bCs/>
      <w:sz w:val="22"/>
      <w:szCs w:val="20"/>
      <w:lang w:eastAsia="zh-CN"/>
    </w:rPr>
  </w:style>
  <w:style w:type="character" w:customStyle="1" w:styleId="CaptionChar">
    <w:name w:val="Caption Char"/>
    <w:aliases w:val="Bayer Caption Char,IB Caption Char,Medical Caption Char,Caption Char1 Char Char Char,Caption Char Char Char Char Char1,Caption Char1 Char Char1,Caption Char Char Char Char Char Char,Caption Char Char Char1,Caption Char Char Char Char1 Char"/>
    <w:basedOn w:val="DefaultParagraphFont"/>
    <w:link w:val="Caption"/>
    <w:rsid w:val="00912AC3"/>
    <w:rPr>
      <w:rFonts w:eastAsia="SimSun" w:cs="Times New Roman"/>
      <w:b/>
      <w:bCs/>
      <w:sz w:val="22"/>
      <w:szCs w:val="20"/>
      <w:lang w:eastAsia="zh-CN"/>
    </w:rPr>
  </w:style>
  <w:style w:type="paragraph" w:styleId="Revision">
    <w:name w:val="Revision"/>
    <w:hidden/>
    <w:uiPriority w:val="99"/>
    <w:semiHidden/>
    <w:rsid w:val="000E0A13"/>
    <w:pPr>
      <w:spacing w:after="0" w:line="240" w:lineRule="auto"/>
    </w:pPr>
    <w:rPr>
      <w:rFonts w:asciiTheme="minorHAnsi" w:eastAsiaTheme="minorEastAsia" w:hAnsiTheme="minorHAnsi"/>
      <w:szCs w:val="24"/>
      <w:lang w:eastAsia="en-AU"/>
    </w:rPr>
  </w:style>
  <w:style w:type="numbering" w:customStyle="1" w:styleId="NoList1">
    <w:name w:val="No List1"/>
    <w:next w:val="NoList"/>
    <w:uiPriority w:val="99"/>
    <w:semiHidden/>
    <w:unhideWhenUsed/>
    <w:rsid w:val="00B87CD5"/>
  </w:style>
  <w:style w:type="table" w:customStyle="1" w:styleId="TableGrid1">
    <w:name w:val="Table Grid1"/>
    <w:basedOn w:val="TableNormal"/>
    <w:next w:val="TableGrid"/>
    <w:uiPriority w:val="59"/>
    <w:rsid w:val="00B87CD5"/>
    <w:pPr>
      <w:spacing w:after="0" w:line="240" w:lineRule="auto"/>
    </w:pPr>
    <w:rPr>
      <w:rFonts w:ascii="Calibri" w:eastAsia="MS Mincho" w:hAnsi="Calibr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Heading1"/>
    <w:link w:val="Title2Char"/>
    <w:qFormat/>
    <w:rsid w:val="00B87CD5"/>
    <w:rPr>
      <w:szCs w:val="32"/>
    </w:rPr>
  </w:style>
  <w:style w:type="paragraph" w:customStyle="1" w:styleId="Meetingdate">
    <w:name w:val="Meeting date"/>
    <w:basedOn w:val="Heading4"/>
    <w:link w:val="MeetingdateChar"/>
    <w:qFormat/>
    <w:rsid w:val="00B87CD5"/>
  </w:style>
  <w:style w:type="character" w:customStyle="1" w:styleId="Title2Char">
    <w:name w:val="Title 2 Char"/>
    <w:basedOn w:val="Heading1Char"/>
    <w:link w:val="Title2"/>
    <w:rsid w:val="00B87CD5"/>
    <w:rPr>
      <w:rFonts w:asciiTheme="minorHAnsi" w:eastAsiaTheme="majorEastAsia" w:hAnsiTheme="minorHAnsi" w:cstheme="majorBidi"/>
      <w:b/>
      <w:bCs/>
      <w:sz w:val="40"/>
      <w:szCs w:val="32"/>
      <w:lang w:eastAsia="en-AU"/>
    </w:rPr>
  </w:style>
  <w:style w:type="character" w:customStyle="1" w:styleId="MeetingdateChar">
    <w:name w:val="Meeting date Char"/>
    <w:basedOn w:val="Heading4Char"/>
    <w:link w:val="Meetingdate"/>
    <w:rsid w:val="00B87CD5"/>
    <w:rPr>
      <w:rFonts w:asciiTheme="minorHAnsi" w:eastAsiaTheme="minorEastAsia" w:hAnsiTheme="minorHAnsi"/>
      <w:b/>
      <w:i/>
      <w:sz w:val="32"/>
      <w:szCs w:val="32"/>
      <w:lang w:eastAsia="en-AU"/>
    </w:rPr>
  </w:style>
  <w:style w:type="paragraph" w:customStyle="1" w:styleId="Default">
    <w:name w:val="Default"/>
    <w:basedOn w:val="Normal"/>
    <w:rsid w:val="00B87CD5"/>
    <w:pPr>
      <w:autoSpaceDE w:val="0"/>
      <w:autoSpaceDN w:val="0"/>
      <w:spacing w:after="0"/>
    </w:pPr>
    <w:rPr>
      <w:rFonts w:ascii="Calibri" w:eastAsia="Calibri" w:hAnsi="Calibri" w:cs="Times New Roman"/>
      <w:color w:val="000000"/>
      <w:lang w:eastAsia="en-US"/>
    </w:rPr>
  </w:style>
  <w:style w:type="character" w:customStyle="1" w:styleId="prod-title">
    <w:name w:val="prod-title"/>
    <w:basedOn w:val="DefaultParagraphFont"/>
    <w:rsid w:val="00B87CD5"/>
  </w:style>
  <w:style w:type="character" w:customStyle="1" w:styleId="published-date">
    <w:name w:val="published-date"/>
    <w:basedOn w:val="DefaultParagraphFont"/>
    <w:rsid w:val="00B87CD5"/>
  </w:style>
  <w:style w:type="character" w:customStyle="1" w:styleId="item-code">
    <w:name w:val="item-code"/>
    <w:basedOn w:val="DefaultParagraphFont"/>
    <w:rsid w:val="00B87CD5"/>
  </w:style>
  <w:style w:type="character" w:customStyle="1" w:styleId="legend-item">
    <w:name w:val="legend-item"/>
    <w:basedOn w:val="DefaultParagraphFont"/>
    <w:rsid w:val="00B87CD5"/>
  </w:style>
  <w:style w:type="character" w:customStyle="1" w:styleId="drug-name">
    <w:name w:val="drug-name"/>
    <w:basedOn w:val="DefaultParagraphFont"/>
    <w:rsid w:val="00B87CD5"/>
  </w:style>
  <w:style w:type="character" w:customStyle="1" w:styleId="form-strength">
    <w:name w:val="form-strength"/>
    <w:basedOn w:val="DefaultParagraphFont"/>
    <w:rsid w:val="00B87CD5"/>
  </w:style>
  <w:style w:type="paragraph" w:customStyle="1" w:styleId="Tabletext1">
    <w:name w:val="Table text"/>
    <w:basedOn w:val="Normal"/>
    <w:link w:val="TabletextChar1"/>
    <w:qFormat/>
    <w:rsid w:val="00B87CD5"/>
    <w:pPr>
      <w:spacing w:after="0"/>
    </w:pPr>
    <w:rPr>
      <w:rFonts w:ascii="Arial" w:eastAsia="Times New Roman" w:hAnsi="Arial" w:cs="Times New Roman"/>
      <w:sz w:val="20"/>
      <w:szCs w:val="20"/>
      <w:lang w:val="x-none" w:eastAsia="en-US"/>
    </w:rPr>
  </w:style>
  <w:style w:type="paragraph" w:customStyle="1" w:styleId="Tablenotes">
    <w:name w:val="Table notes"/>
    <w:basedOn w:val="Normal"/>
    <w:link w:val="TablenotesChar"/>
    <w:qFormat/>
    <w:rsid w:val="00B87CD5"/>
    <w:pPr>
      <w:widowControl w:val="0"/>
      <w:spacing w:after="240"/>
      <w:contextualSpacing/>
      <w:jc w:val="both"/>
    </w:pPr>
    <w:rPr>
      <w:rFonts w:ascii="Arial" w:eastAsia="Times New Roman" w:hAnsi="Arial" w:cs="Times New Roman"/>
      <w:snapToGrid w:val="0"/>
      <w:sz w:val="20"/>
      <w:szCs w:val="20"/>
      <w:lang w:val="x-none" w:eastAsia="en-US"/>
    </w:rPr>
  </w:style>
  <w:style w:type="character" w:customStyle="1" w:styleId="TablenotesChar">
    <w:name w:val="Table notes Char"/>
    <w:link w:val="Tablenotes"/>
    <w:rsid w:val="00B87CD5"/>
    <w:rPr>
      <w:rFonts w:ascii="Arial" w:eastAsia="Times New Roman" w:hAnsi="Arial" w:cs="Times New Roman"/>
      <w:snapToGrid w:val="0"/>
      <w:sz w:val="20"/>
      <w:szCs w:val="20"/>
      <w:lang w:val="x-none"/>
    </w:rPr>
  </w:style>
  <w:style w:type="character" w:customStyle="1" w:styleId="TabletextChar1">
    <w:name w:val="Table text Char1"/>
    <w:link w:val="Tabletext1"/>
    <w:rsid w:val="00B87CD5"/>
    <w:rPr>
      <w:rFonts w:ascii="Arial" w:eastAsia="Times New Roman" w:hAnsi="Arial" w:cs="Times New Roman"/>
      <w:sz w:val="20"/>
      <w:szCs w:val="20"/>
      <w:lang w:val="x-none"/>
    </w:rPr>
  </w:style>
  <w:style w:type="paragraph" w:customStyle="1" w:styleId="acthead5">
    <w:name w:val="acthead5"/>
    <w:basedOn w:val="Normal"/>
    <w:rsid w:val="001D69C7"/>
    <w:pPr>
      <w:spacing w:before="100" w:beforeAutospacing="1" w:after="100" w:afterAutospacing="1"/>
    </w:pPr>
    <w:rPr>
      <w:rFonts w:ascii="Times New Roman" w:eastAsia="Times New Roman" w:hAnsi="Times New Roman" w:cs="Times New Roman"/>
    </w:rPr>
  </w:style>
  <w:style w:type="character" w:customStyle="1" w:styleId="charsectno">
    <w:name w:val="charsectno"/>
    <w:basedOn w:val="DefaultParagraphFont"/>
    <w:rsid w:val="001D69C7"/>
  </w:style>
  <w:style w:type="paragraph" w:customStyle="1" w:styleId="subsection">
    <w:name w:val="subsection"/>
    <w:basedOn w:val="Normal"/>
    <w:rsid w:val="001D69C7"/>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9A"/>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unhideWhenUsed/>
    <w:rsid w:val="00821C17"/>
    <w:rPr>
      <w:sz w:val="20"/>
      <w:szCs w:val="20"/>
    </w:rPr>
  </w:style>
  <w:style w:type="character" w:customStyle="1" w:styleId="CommentTextChar">
    <w:name w:val="Comment Text Char"/>
    <w:basedOn w:val="DefaultParagraphFont"/>
    <w:link w:val="CommentText"/>
    <w:uiPriority w:val="99"/>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aliases w:val="Summary box"/>
    <w:basedOn w:val="TableNormal"/>
    <w:uiPriority w:val="59"/>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link w:val="TablewritingChar"/>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nhideWhenUsed/>
    <w:rsid w:val="00821C17"/>
    <w:pPr>
      <w:spacing w:after="0"/>
    </w:pPr>
    <w:rPr>
      <w:sz w:val="18"/>
      <w:szCs w:val="20"/>
    </w:rPr>
  </w:style>
  <w:style w:type="character" w:customStyle="1" w:styleId="FootnoteTextChar">
    <w:name w:val="Footnote Text Char"/>
    <w:basedOn w:val="DefaultParagraphFont"/>
    <w:link w:val="FootnoteText"/>
    <w:rsid w:val="00821C17"/>
    <w:rPr>
      <w:rFonts w:asciiTheme="minorHAnsi" w:eastAsiaTheme="minorEastAsia" w:hAnsiTheme="minorHAnsi"/>
      <w:sz w:val="18"/>
      <w:szCs w:val="20"/>
      <w:lang w:eastAsia="en-AU"/>
    </w:rPr>
  </w:style>
  <w:style w:type="character" w:styleId="FootnoteReference">
    <w:name w:val="footnote reference"/>
    <w:basedOn w:val="DefaultParagraphFont"/>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link w:val="TableTextChar"/>
    <w:qFormat/>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customStyle="1" w:styleId="BodyText1">
    <w:name w:val="Body Text1"/>
    <w:basedOn w:val="Normal"/>
    <w:uiPriority w:val="1"/>
    <w:qFormat/>
    <w:rsid w:val="000254BD"/>
    <w:pPr>
      <w:spacing w:after="120" w:line="276" w:lineRule="auto"/>
    </w:pPr>
    <w:rPr>
      <w:rFonts w:ascii="Cambria" w:eastAsia="Times New Roman" w:hAnsi="Cambria" w:cs="Calibri"/>
      <w:noProof/>
      <w:lang w:eastAsia="en-US"/>
    </w:rPr>
  </w:style>
  <w:style w:type="character" w:customStyle="1" w:styleId="TablewritingChar">
    <w:name w:val="Table writing Char"/>
    <w:link w:val="Tablewriting"/>
    <w:rsid w:val="000254BD"/>
    <w:rPr>
      <w:rFonts w:asciiTheme="minorHAnsi" w:eastAsiaTheme="minorEastAsia" w:hAnsiTheme="minorHAnsi" w:cs="Calibri"/>
      <w:color w:val="000000"/>
      <w:sz w:val="20"/>
      <w:szCs w:val="20"/>
      <w:lang w:eastAsia="en-AU"/>
    </w:rPr>
  </w:style>
  <w:style w:type="character" w:customStyle="1" w:styleId="TableTextChar">
    <w:name w:val="Table Text Char"/>
    <w:link w:val="TableText0"/>
    <w:rsid w:val="006D3226"/>
    <w:rPr>
      <w:rFonts w:ascii="Arial" w:eastAsia="Times New Roman" w:hAnsi="Arial" w:cs="Times New Roman"/>
      <w:sz w:val="18"/>
      <w:szCs w:val="20"/>
      <w:lang w:eastAsia="en-AU"/>
    </w:rPr>
  </w:style>
  <w:style w:type="paragraph" w:styleId="Caption">
    <w:name w:val="caption"/>
    <w:aliases w:val="Bayer Caption,IB Caption,Medical Caption,Caption Char1 Char Char,Caption Char Char Char Char,Caption Char1 Char,Caption Char Char Char Char Char,Caption Char Char,Caption Char Char Char Char1,Caption Char1 Char1,Caption Char Char Char,c"/>
    <w:basedOn w:val="Normal"/>
    <w:next w:val="Normal"/>
    <w:link w:val="CaptionChar"/>
    <w:qFormat/>
    <w:rsid w:val="00912AC3"/>
    <w:pPr>
      <w:spacing w:before="120" w:after="120" w:line="360" w:lineRule="auto"/>
      <w:jc w:val="both"/>
    </w:pPr>
    <w:rPr>
      <w:rFonts w:ascii="Times New Roman" w:eastAsia="SimSun" w:hAnsi="Times New Roman" w:cs="Times New Roman"/>
      <w:b/>
      <w:bCs/>
      <w:sz w:val="22"/>
      <w:szCs w:val="20"/>
      <w:lang w:eastAsia="zh-CN"/>
    </w:rPr>
  </w:style>
  <w:style w:type="character" w:customStyle="1" w:styleId="CaptionChar">
    <w:name w:val="Caption Char"/>
    <w:aliases w:val="Bayer Caption Char,IB Caption Char,Medical Caption Char,Caption Char1 Char Char Char,Caption Char Char Char Char Char1,Caption Char1 Char Char1,Caption Char Char Char Char Char Char,Caption Char Char Char1,Caption Char Char Char Char1 Char"/>
    <w:basedOn w:val="DefaultParagraphFont"/>
    <w:link w:val="Caption"/>
    <w:rsid w:val="00912AC3"/>
    <w:rPr>
      <w:rFonts w:eastAsia="SimSun" w:cs="Times New Roman"/>
      <w:b/>
      <w:bCs/>
      <w:sz w:val="22"/>
      <w:szCs w:val="20"/>
      <w:lang w:eastAsia="zh-CN"/>
    </w:rPr>
  </w:style>
  <w:style w:type="paragraph" w:styleId="Revision">
    <w:name w:val="Revision"/>
    <w:hidden/>
    <w:uiPriority w:val="99"/>
    <w:semiHidden/>
    <w:rsid w:val="000E0A13"/>
    <w:pPr>
      <w:spacing w:after="0" w:line="240" w:lineRule="auto"/>
    </w:pPr>
    <w:rPr>
      <w:rFonts w:asciiTheme="minorHAnsi" w:eastAsiaTheme="minorEastAsia" w:hAnsiTheme="minorHAnsi"/>
      <w:szCs w:val="24"/>
      <w:lang w:eastAsia="en-AU"/>
    </w:rPr>
  </w:style>
  <w:style w:type="numbering" w:customStyle="1" w:styleId="NoList1">
    <w:name w:val="No List1"/>
    <w:next w:val="NoList"/>
    <w:uiPriority w:val="99"/>
    <w:semiHidden/>
    <w:unhideWhenUsed/>
    <w:rsid w:val="00B87CD5"/>
  </w:style>
  <w:style w:type="table" w:customStyle="1" w:styleId="TableGrid1">
    <w:name w:val="Table Grid1"/>
    <w:basedOn w:val="TableNormal"/>
    <w:next w:val="TableGrid"/>
    <w:uiPriority w:val="59"/>
    <w:rsid w:val="00B87CD5"/>
    <w:pPr>
      <w:spacing w:after="0" w:line="240" w:lineRule="auto"/>
    </w:pPr>
    <w:rPr>
      <w:rFonts w:ascii="Calibri" w:eastAsia="MS Mincho" w:hAnsi="Calibr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Heading1"/>
    <w:link w:val="Title2Char"/>
    <w:qFormat/>
    <w:rsid w:val="00B87CD5"/>
    <w:rPr>
      <w:szCs w:val="32"/>
    </w:rPr>
  </w:style>
  <w:style w:type="paragraph" w:customStyle="1" w:styleId="Meetingdate">
    <w:name w:val="Meeting date"/>
    <w:basedOn w:val="Heading4"/>
    <w:link w:val="MeetingdateChar"/>
    <w:qFormat/>
    <w:rsid w:val="00B87CD5"/>
  </w:style>
  <w:style w:type="character" w:customStyle="1" w:styleId="Title2Char">
    <w:name w:val="Title 2 Char"/>
    <w:basedOn w:val="Heading1Char"/>
    <w:link w:val="Title2"/>
    <w:rsid w:val="00B87CD5"/>
    <w:rPr>
      <w:rFonts w:asciiTheme="minorHAnsi" w:eastAsiaTheme="majorEastAsia" w:hAnsiTheme="minorHAnsi" w:cstheme="majorBidi"/>
      <w:b/>
      <w:bCs/>
      <w:sz w:val="40"/>
      <w:szCs w:val="32"/>
      <w:lang w:eastAsia="en-AU"/>
    </w:rPr>
  </w:style>
  <w:style w:type="character" w:customStyle="1" w:styleId="MeetingdateChar">
    <w:name w:val="Meeting date Char"/>
    <w:basedOn w:val="Heading4Char"/>
    <w:link w:val="Meetingdate"/>
    <w:rsid w:val="00B87CD5"/>
    <w:rPr>
      <w:rFonts w:asciiTheme="minorHAnsi" w:eastAsiaTheme="minorEastAsia" w:hAnsiTheme="minorHAnsi"/>
      <w:b/>
      <w:i/>
      <w:sz w:val="32"/>
      <w:szCs w:val="32"/>
      <w:lang w:eastAsia="en-AU"/>
    </w:rPr>
  </w:style>
  <w:style w:type="paragraph" w:customStyle="1" w:styleId="Default">
    <w:name w:val="Default"/>
    <w:basedOn w:val="Normal"/>
    <w:rsid w:val="00B87CD5"/>
    <w:pPr>
      <w:autoSpaceDE w:val="0"/>
      <w:autoSpaceDN w:val="0"/>
      <w:spacing w:after="0"/>
    </w:pPr>
    <w:rPr>
      <w:rFonts w:ascii="Calibri" w:eastAsia="Calibri" w:hAnsi="Calibri" w:cs="Times New Roman"/>
      <w:color w:val="000000"/>
      <w:lang w:eastAsia="en-US"/>
    </w:rPr>
  </w:style>
  <w:style w:type="character" w:customStyle="1" w:styleId="prod-title">
    <w:name w:val="prod-title"/>
    <w:basedOn w:val="DefaultParagraphFont"/>
    <w:rsid w:val="00B87CD5"/>
  </w:style>
  <w:style w:type="character" w:customStyle="1" w:styleId="published-date">
    <w:name w:val="published-date"/>
    <w:basedOn w:val="DefaultParagraphFont"/>
    <w:rsid w:val="00B87CD5"/>
  </w:style>
  <w:style w:type="character" w:customStyle="1" w:styleId="item-code">
    <w:name w:val="item-code"/>
    <w:basedOn w:val="DefaultParagraphFont"/>
    <w:rsid w:val="00B87CD5"/>
  </w:style>
  <w:style w:type="character" w:customStyle="1" w:styleId="legend-item">
    <w:name w:val="legend-item"/>
    <w:basedOn w:val="DefaultParagraphFont"/>
    <w:rsid w:val="00B87CD5"/>
  </w:style>
  <w:style w:type="character" w:customStyle="1" w:styleId="drug-name">
    <w:name w:val="drug-name"/>
    <w:basedOn w:val="DefaultParagraphFont"/>
    <w:rsid w:val="00B87CD5"/>
  </w:style>
  <w:style w:type="character" w:customStyle="1" w:styleId="form-strength">
    <w:name w:val="form-strength"/>
    <w:basedOn w:val="DefaultParagraphFont"/>
    <w:rsid w:val="00B87CD5"/>
  </w:style>
  <w:style w:type="paragraph" w:customStyle="1" w:styleId="Tabletext1">
    <w:name w:val="Table text"/>
    <w:basedOn w:val="Normal"/>
    <w:link w:val="TabletextChar1"/>
    <w:qFormat/>
    <w:rsid w:val="00B87CD5"/>
    <w:pPr>
      <w:spacing w:after="0"/>
    </w:pPr>
    <w:rPr>
      <w:rFonts w:ascii="Arial" w:eastAsia="Times New Roman" w:hAnsi="Arial" w:cs="Times New Roman"/>
      <w:sz w:val="20"/>
      <w:szCs w:val="20"/>
      <w:lang w:val="x-none" w:eastAsia="en-US"/>
    </w:rPr>
  </w:style>
  <w:style w:type="paragraph" w:customStyle="1" w:styleId="Tablenotes">
    <w:name w:val="Table notes"/>
    <w:basedOn w:val="Normal"/>
    <w:link w:val="TablenotesChar"/>
    <w:qFormat/>
    <w:rsid w:val="00B87CD5"/>
    <w:pPr>
      <w:widowControl w:val="0"/>
      <w:spacing w:after="240"/>
      <w:contextualSpacing/>
      <w:jc w:val="both"/>
    </w:pPr>
    <w:rPr>
      <w:rFonts w:ascii="Arial" w:eastAsia="Times New Roman" w:hAnsi="Arial" w:cs="Times New Roman"/>
      <w:snapToGrid w:val="0"/>
      <w:sz w:val="20"/>
      <w:szCs w:val="20"/>
      <w:lang w:val="x-none" w:eastAsia="en-US"/>
    </w:rPr>
  </w:style>
  <w:style w:type="character" w:customStyle="1" w:styleId="TablenotesChar">
    <w:name w:val="Table notes Char"/>
    <w:link w:val="Tablenotes"/>
    <w:rsid w:val="00B87CD5"/>
    <w:rPr>
      <w:rFonts w:ascii="Arial" w:eastAsia="Times New Roman" w:hAnsi="Arial" w:cs="Times New Roman"/>
      <w:snapToGrid w:val="0"/>
      <w:sz w:val="20"/>
      <w:szCs w:val="20"/>
      <w:lang w:val="x-none"/>
    </w:rPr>
  </w:style>
  <w:style w:type="character" w:customStyle="1" w:styleId="TabletextChar1">
    <w:name w:val="Table text Char1"/>
    <w:link w:val="Tabletext1"/>
    <w:rsid w:val="00B87CD5"/>
    <w:rPr>
      <w:rFonts w:ascii="Arial" w:eastAsia="Times New Roman" w:hAnsi="Arial" w:cs="Times New Roman"/>
      <w:sz w:val="20"/>
      <w:szCs w:val="20"/>
      <w:lang w:val="x-none"/>
    </w:rPr>
  </w:style>
  <w:style w:type="paragraph" w:customStyle="1" w:styleId="acthead5">
    <w:name w:val="acthead5"/>
    <w:basedOn w:val="Normal"/>
    <w:rsid w:val="001D69C7"/>
    <w:pPr>
      <w:spacing w:before="100" w:beforeAutospacing="1" w:after="100" w:afterAutospacing="1"/>
    </w:pPr>
    <w:rPr>
      <w:rFonts w:ascii="Times New Roman" w:eastAsia="Times New Roman" w:hAnsi="Times New Roman" w:cs="Times New Roman"/>
    </w:rPr>
  </w:style>
  <w:style w:type="character" w:customStyle="1" w:styleId="charsectno">
    <w:name w:val="charsectno"/>
    <w:basedOn w:val="DefaultParagraphFont"/>
    <w:rsid w:val="001D69C7"/>
  </w:style>
  <w:style w:type="paragraph" w:customStyle="1" w:styleId="subsection">
    <w:name w:val="subsection"/>
    <w:basedOn w:val="Normal"/>
    <w:rsid w:val="001D69C7"/>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877">
      <w:bodyDiv w:val="1"/>
      <w:marLeft w:val="0"/>
      <w:marRight w:val="0"/>
      <w:marTop w:val="0"/>
      <w:marBottom w:val="0"/>
      <w:divBdr>
        <w:top w:val="none" w:sz="0" w:space="0" w:color="auto"/>
        <w:left w:val="none" w:sz="0" w:space="0" w:color="auto"/>
        <w:bottom w:val="none" w:sz="0" w:space="0" w:color="auto"/>
        <w:right w:val="none" w:sz="0" w:space="0" w:color="auto"/>
      </w:divBdr>
    </w:div>
    <w:div w:id="40370622">
      <w:bodyDiv w:val="1"/>
      <w:marLeft w:val="0"/>
      <w:marRight w:val="0"/>
      <w:marTop w:val="0"/>
      <w:marBottom w:val="0"/>
      <w:divBdr>
        <w:top w:val="none" w:sz="0" w:space="0" w:color="auto"/>
        <w:left w:val="none" w:sz="0" w:space="0" w:color="auto"/>
        <w:bottom w:val="none" w:sz="0" w:space="0" w:color="auto"/>
        <w:right w:val="none" w:sz="0" w:space="0" w:color="auto"/>
      </w:divBdr>
    </w:div>
    <w:div w:id="100882748">
      <w:bodyDiv w:val="1"/>
      <w:marLeft w:val="0"/>
      <w:marRight w:val="0"/>
      <w:marTop w:val="0"/>
      <w:marBottom w:val="0"/>
      <w:divBdr>
        <w:top w:val="none" w:sz="0" w:space="0" w:color="auto"/>
        <w:left w:val="none" w:sz="0" w:space="0" w:color="auto"/>
        <w:bottom w:val="none" w:sz="0" w:space="0" w:color="auto"/>
        <w:right w:val="none" w:sz="0" w:space="0" w:color="auto"/>
      </w:divBdr>
    </w:div>
    <w:div w:id="110246618">
      <w:bodyDiv w:val="1"/>
      <w:marLeft w:val="0"/>
      <w:marRight w:val="0"/>
      <w:marTop w:val="0"/>
      <w:marBottom w:val="0"/>
      <w:divBdr>
        <w:top w:val="none" w:sz="0" w:space="0" w:color="auto"/>
        <w:left w:val="none" w:sz="0" w:space="0" w:color="auto"/>
        <w:bottom w:val="none" w:sz="0" w:space="0" w:color="auto"/>
        <w:right w:val="none" w:sz="0" w:space="0" w:color="auto"/>
      </w:divBdr>
    </w:div>
    <w:div w:id="112865301">
      <w:bodyDiv w:val="1"/>
      <w:marLeft w:val="0"/>
      <w:marRight w:val="0"/>
      <w:marTop w:val="0"/>
      <w:marBottom w:val="0"/>
      <w:divBdr>
        <w:top w:val="none" w:sz="0" w:space="0" w:color="auto"/>
        <w:left w:val="none" w:sz="0" w:space="0" w:color="auto"/>
        <w:bottom w:val="none" w:sz="0" w:space="0" w:color="auto"/>
        <w:right w:val="none" w:sz="0" w:space="0" w:color="auto"/>
      </w:divBdr>
    </w:div>
    <w:div w:id="113208616">
      <w:bodyDiv w:val="1"/>
      <w:marLeft w:val="0"/>
      <w:marRight w:val="0"/>
      <w:marTop w:val="0"/>
      <w:marBottom w:val="0"/>
      <w:divBdr>
        <w:top w:val="none" w:sz="0" w:space="0" w:color="auto"/>
        <w:left w:val="none" w:sz="0" w:space="0" w:color="auto"/>
        <w:bottom w:val="none" w:sz="0" w:space="0" w:color="auto"/>
        <w:right w:val="none" w:sz="0" w:space="0" w:color="auto"/>
      </w:divBdr>
    </w:div>
    <w:div w:id="122771577">
      <w:bodyDiv w:val="1"/>
      <w:marLeft w:val="0"/>
      <w:marRight w:val="0"/>
      <w:marTop w:val="0"/>
      <w:marBottom w:val="0"/>
      <w:divBdr>
        <w:top w:val="none" w:sz="0" w:space="0" w:color="auto"/>
        <w:left w:val="none" w:sz="0" w:space="0" w:color="auto"/>
        <w:bottom w:val="none" w:sz="0" w:space="0" w:color="auto"/>
        <w:right w:val="none" w:sz="0" w:space="0" w:color="auto"/>
      </w:divBdr>
    </w:div>
    <w:div w:id="138232259">
      <w:bodyDiv w:val="1"/>
      <w:marLeft w:val="0"/>
      <w:marRight w:val="0"/>
      <w:marTop w:val="0"/>
      <w:marBottom w:val="0"/>
      <w:divBdr>
        <w:top w:val="none" w:sz="0" w:space="0" w:color="auto"/>
        <w:left w:val="none" w:sz="0" w:space="0" w:color="auto"/>
        <w:bottom w:val="none" w:sz="0" w:space="0" w:color="auto"/>
        <w:right w:val="none" w:sz="0" w:space="0" w:color="auto"/>
      </w:divBdr>
    </w:div>
    <w:div w:id="170753780">
      <w:bodyDiv w:val="1"/>
      <w:marLeft w:val="0"/>
      <w:marRight w:val="0"/>
      <w:marTop w:val="0"/>
      <w:marBottom w:val="0"/>
      <w:divBdr>
        <w:top w:val="none" w:sz="0" w:space="0" w:color="auto"/>
        <w:left w:val="none" w:sz="0" w:space="0" w:color="auto"/>
        <w:bottom w:val="none" w:sz="0" w:space="0" w:color="auto"/>
        <w:right w:val="none" w:sz="0" w:space="0" w:color="auto"/>
      </w:divBdr>
    </w:div>
    <w:div w:id="218519426">
      <w:bodyDiv w:val="1"/>
      <w:marLeft w:val="0"/>
      <w:marRight w:val="0"/>
      <w:marTop w:val="0"/>
      <w:marBottom w:val="0"/>
      <w:divBdr>
        <w:top w:val="none" w:sz="0" w:space="0" w:color="auto"/>
        <w:left w:val="none" w:sz="0" w:space="0" w:color="auto"/>
        <w:bottom w:val="none" w:sz="0" w:space="0" w:color="auto"/>
        <w:right w:val="none" w:sz="0" w:space="0" w:color="auto"/>
      </w:divBdr>
    </w:div>
    <w:div w:id="236089023">
      <w:bodyDiv w:val="1"/>
      <w:marLeft w:val="0"/>
      <w:marRight w:val="0"/>
      <w:marTop w:val="0"/>
      <w:marBottom w:val="0"/>
      <w:divBdr>
        <w:top w:val="none" w:sz="0" w:space="0" w:color="auto"/>
        <w:left w:val="none" w:sz="0" w:space="0" w:color="auto"/>
        <w:bottom w:val="none" w:sz="0" w:space="0" w:color="auto"/>
        <w:right w:val="none" w:sz="0" w:space="0" w:color="auto"/>
      </w:divBdr>
    </w:div>
    <w:div w:id="240408527">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352195757">
      <w:bodyDiv w:val="1"/>
      <w:marLeft w:val="0"/>
      <w:marRight w:val="0"/>
      <w:marTop w:val="0"/>
      <w:marBottom w:val="0"/>
      <w:divBdr>
        <w:top w:val="none" w:sz="0" w:space="0" w:color="auto"/>
        <w:left w:val="none" w:sz="0" w:space="0" w:color="auto"/>
        <w:bottom w:val="none" w:sz="0" w:space="0" w:color="auto"/>
        <w:right w:val="none" w:sz="0" w:space="0" w:color="auto"/>
      </w:divBdr>
    </w:div>
    <w:div w:id="357858606">
      <w:bodyDiv w:val="1"/>
      <w:marLeft w:val="0"/>
      <w:marRight w:val="0"/>
      <w:marTop w:val="0"/>
      <w:marBottom w:val="0"/>
      <w:divBdr>
        <w:top w:val="none" w:sz="0" w:space="0" w:color="auto"/>
        <w:left w:val="none" w:sz="0" w:space="0" w:color="auto"/>
        <w:bottom w:val="none" w:sz="0" w:space="0" w:color="auto"/>
        <w:right w:val="none" w:sz="0" w:space="0" w:color="auto"/>
      </w:divBdr>
    </w:div>
    <w:div w:id="367989791">
      <w:bodyDiv w:val="1"/>
      <w:marLeft w:val="0"/>
      <w:marRight w:val="0"/>
      <w:marTop w:val="0"/>
      <w:marBottom w:val="0"/>
      <w:divBdr>
        <w:top w:val="none" w:sz="0" w:space="0" w:color="auto"/>
        <w:left w:val="none" w:sz="0" w:space="0" w:color="auto"/>
        <w:bottom w:val="none" w:sz="0" w:space="0" w:color="auto"/>
        <w:right w:val="none" w:sz="0" w:space="0" w:color="auto"/>
      </w:divBdr>
    </w:div>
    <w:div w:id="428544070">
      <w:bodyDiv w:val="1"/>
      <w:marLeft w:val="0"/>
      <w:marRight w:val="0"/>
      <w:marTop w:val="0"/>
      <w:marBottom w:val="0"/>
      <w:divBdr>
        <w:top w:val="none" w:sz="0" w:space="0" w:color="auto"/>
        <w:left w:val="none" w:sz="0" w:space="0" w:color="auto"/>
        <w:bottom w:val="none" w:sz="0" w:space="0" w:color="auto"/>
        <w:right w:val="none" w:sz="0" w:space="0" w:color="auto"/>
      </w:divBdr>
    </w:div>
    <w:div w:id="452016070">
      <w:bodyDiv w:val="1"/>
      <w:marLeft w:val="0"/>
      <w:marRight w:val="0"/>
      <w:marTop w:val="0"/>
      <w:marBottom w:val="0"/>
      <w:divBdr>
        <w:top w:val="none" w:sz="0" w:space="0" w:color="auto"/>
        <w:left w:val="none" w:sz="0" w:space="0" w:color="auto"/>
        <w:bottom w:val="none" w:sz="0" w:space="0" w:color="auto"/>
        <w:right w:val="none" w:sz="0" w:space="0" w:color="auto"/>
      </w:divBdr>
    </w:div>
    <w:div w:id="476722670">
      <w:bodyDiv w:val="1"/>
      <w:marLeft w:val="0"/>
      <w:marRight w:val="0"/>
      <w:marTop w:val="0"/>
      <w:marBottom w:val="0"/>
      <w:divBdr>
        <w:top w:val="none" w:sz="0" w:space="0" w:color="auto"/>
        <w:left w:val="none" w:sz="0" w:space="0" w:color="auto"/>
        <w:bottom w:val="none" w:sz="0" w:space="0" w:color="auto"/>
        <w:right w:val="none" w:sz="0" w:space="0" w:color="auto"/>
      </w:divBdr>
    </w:div>
    <w:div w:id="491874914">
      <w:bodyDiv w:val="1"/>
      <w:marLeft w:val="0"/>
      <w:marRight w:val="0"/>
      <w:marTop w:val="0"/>
      <w:marBottom w:val="0"/>
      <w:divBdr>
        <w:top w:val="none" w:sz="0" w:space="0" w:color="auto"/>
        <w:left w:val="none" w:sz="0" w:space="0" w:color="auto"/>
        <w:bottom w:val="none" w:sz="0" w:space="0" w:color="auto"/>
        <w:right w:val="none" w:sz="0" w:space="0" w:color="auto"/>
      </w:divBdr>
      <w:divsChild>
        <w:div w:id="1126044359">
          <w:marLeft w:val="0"/>
          <w:marRight w:val="0"/>
          <w:marTop w:val="0"/>
          <w:marBottom w:val="0"/>
          <w:divBdr>
            <w:top w:val="none" w:sz="0" w:space="0" w:color="auto"/>
            <w:left w:val="none" w:sz="0" w:space="0" w:color="auto"/>
            <w:bottom w:val="none" w:sz="0" w:space="0" w:color="auto"/>
            <w:right w:val="none" w:sz="0" w:space="0" w:color="auto"/>
          </w:divBdr>
          <w:divsChild>
            <w:div w:id="1004548151">
              <w:marLeft w:val="0"/>
              <w:marRight w:val="0"/>
              <w:marTop w:val="0"/>
              <w:marBottom w:val="0"/>
              <w:divBdr>
                <w:top w:val="none" w:sz="0" w:space="0" w:color="auto"/>
                <w:left w:val="none" w:sz="0" w:space="0" w:color="auto"/>
                <w:bottom w:val="none" w:sz="0" w:space="0" w:color="auto"/>
                <w:right w:val="none" w:sz="0" w:space="0" w:color="auto"/>
              </w:divBdr>
              <w:divsChild>
                <w:div w:id="760445809">
                  <w:marLeft w:val="0"/>
                  <w:marRight w:val="0"/>
                  <w:marTop w:val="0"/>
                  <w:marBottom w:val="0"/>
                  <w:divBdr>
                    <w:top w:val="none" w:sz="0" w:space="0" w:color="auto"/>
                    <w:left w:val="none" w:sz="0" w:space="0" w:color="auto"/>
                    <w:bottom w:val="none" w:sz="0" w:space="0" w:color="auto"/>
                    <w:right w:val="none" w:sz="0" w:space="0" w:color="auto"/>
                  </w:divBdr>
                  <w:divsChild>
                    <w:div w:id="766777810">
                      <w:marLeft w:val="0"/>
                      <w:marRight w:val="0"/>
                      <w:marTop w:val="0"/>
                      <w:marBottom w:val="0"/>
                      <w:divBdr>
                        <w:top w:val="none" w:sz="0" w:space="0" w:color="auto"/>
                        <w:left w:val="none" w:sz="0" w:space="0" w:color="auto"/>
                        <w:bottom w:val="none" w:sz="0" w:space="0" w:color="auto"/>
                        <w:right w:val="none" w:sz="0" w:space="0" w:color="auto"/>
                      </w:divBdr>
                      <w:divsChild>
                        <w:div w:id="1651904457">
                          <w:marLeft w:val="384"/>
                          <w:marRight w:val="384"/>
                          <w:marTop w:val="0"/>
                          <w:marBottom w:val="0"/>
                          <w:divBdr>
                            <w:top w:val="none" w:sz="0" w:space="0" w:color="auto"/>
                            <w:left w:val="none" w:sz="0" w:space="0" w:color="auto"/>
                            <w:bottom w:val="none" w:sz="0" w:space="0" w:color="auto"/>
                            <w:right w:val="none" w:sz="0" w:space="0" w:color="auto"/>
                          </w:divBdr>
                          <w:divsChild>
                            <w:div w:id="1892155994">
                              <w:marLeft w:val="0"/>
                              <w:marRight w:val="0"/>
                              <w:marTop w:val="332"/>
                              <w:marBottom w:val="332"/>
                              <w:divBdr>
                                <w:top w:val="none" w:sz="0" w:space="0" w:color="auto"/>
                                <w:left w:val="none" w:sz="0" w:space="0" w:color="auto"/>
                                <w:bottom w:val="none" w:sz="0" w:space="0" w:color="auto"/>
                                <w:right w:val="none" w:sz="0" w:space="0" w:color="auto"/>
                              </w:divBdr>
                              <w:divsChild>
                                <w:div w:id="837307767">
                                  <w:marLeft w:val="0"/>
                                  <w:marRight w:val="0"/>
                                  <w:marTop w:val="0"/>
                                  <w:marBottom w:val="0"/>
                                  <w:divBdr>
                                    <w:top w:val="none" w:sz="0" w:space="0" w:color="auto"/>
                                    <w:left w:val="none" w:sz="0" w:space="0" w:color="auto"/>
                                    <w:bottom w:val="none" w:sz="0" w:space="0" w:color="auto"/>
                                    <w:right w:val="none" w:sz="0" w:space="0" w:color="auto"/>
                                  </w:divBdr>
                                </w:div>
                              </w:divsChild>
                            </w:div>
                            <w:div w:id="1072237228">
                              <w:marLeft w:val="0"/>
                              <w:marRight w:val="0"/>
                              <w:marTop w:val="0"/>
                              <w:marBottom w:val="0"/>
                              <w:divBdr>
                                <w:top w:val="none" w:sz="0" w:space="0" w:color="auto"/>
                                <w:left w:val="none" w:sz="0" w:space="0" w:color="auto"/>
                                <w:bottom w:val="none" w:sz="0" w:space="0" w:color="auto"/>
                                <w:right w:val="none" w:sz="0" w:space="0" w:color="auto"/>
                              </w:divBdr>
                              <w:divsChild>
                                <w:div w:id="1606889106">
                                  <w:marLeft w:val="0"/>
                                  <w:marRight w:val="0"/>
                                  <w:marTop w:val="0"/>
                                  <w:marBottom w:val="0"/>
                                  <w:divBdr>
                                    <w:top w:val="none" w:sz="0" w:space="0" w:color="auto"/>
                                    <w:left w:val="none" w:sz="0" w:space="0" w:color="auto"/>
                                    <w:bottom w:val="none" w:sz="0" w:space="0" w:color="auto"/>
                                    <w:right w:val="none" w:sz="0" w:space="0" w:color="auto"/>
                                  </w:divBdr>
                                  <w:divsChild>
                                    <w:div w:id="565724985">
                                      <w:marLeft w:val="0"/>
                                      <w:marRight w:val="0"/>
                                      <w:marTop w:val="166"/>
                                      <w:marBottom w:val="166"/>
                                      <w:divBdr>
                                        <w:top w:val="none" w:sz="0" w:space="0" w:color="auto"/>
                                        <w:left w:val="none" w:sz="0" w:space="0" w:color="auto"/>
                                        <w:bottom w:val="none" w:sz="0" w:space="0" w:color="auto"/>
                                        <w:right w:val="none" w:sz="0" w:space="0" w:color="auto"/>
                                      </w:divBdr>
                                      <w:divsChild>
                                        <w:div w:id="404375881">
                                          <w:marLeft w:val="0"/>
                                          <w:marRight w:val="0"/>
                                          <w:marTop w:val="0"/>
                                          <w:marBottom w:val="0"/>
                                          <w:divBdr>
                                            <w:top w:val="none" w:sz="0" w:space="0" w:color="auto"/>
                                            <w:left w:val="none" w:sz="0" w:space="0" w:color="auto"/>
                                            <w:bottom w:val="none" w:sz="0" w:space="0" w:color="auto"/>
                                            <w:right w:val="none" w:sz="0" w:space="0" w:color="auto"/>
                                          </w:divBdr>
                                          <w:divsChild>
                                            <w:div w:id="1215970064">
                                              <w:marLeft w:val="0"/>
                                              <w:marRight w:val="0"/>
                                              <w:marTop w:val="0"/>
                                              <w:marBottom w:val="0"/>
                                              <w:divBdr>
                                                <w:top w:val="none" w:sz="0" w:space="0" w:color="auto"/>
                                                <w:left w:val="none" w:sz="0" w:space="0" w:color="auto"/>
                                                <w:bottom w:val="none" w:sz="0" w:space="0" w:color="auto"/>
                                                <w:right w:val="none" w:sz="0" w:space="0" w:color="auto"/>
                                              </w:divBdr>
                                            </w:div>
                                            <w:div w:id="654189741">
                                              <w:marLeft w:val="240"/>
                                              <w:marRight w:val="0"/>
                                              <w:marTop w:val="0"/>
                                              <w:marBottom w:val="0"/>
                                              <w:divBdr>
                                                <w:top w:val="none" w:sz="0" w:space="0" w:color="auto"/>
                                                <w:left w:val="none" w:sz="0" w:space="0" w:color="auto"/>
                                                <w:bottom w:val="none" w:sz="0" w:space="0" w:color="auto"/>
                                                <w:right w:val="none" w:sz="0" w:space="0" w:color="auto"/>
                                              </w:divBdr>
                                              <w:divsChild>
                                                <w:div w:id="17184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1589">
                                      <w:marLeft w:val="0"/>
                                      <w:marRight w:val="0"/>
                                      <w:marTop w:val="332"/>
                                      <w:marBottom w:val="332"/>
                                      <w:divBdr>
                                        <w:top w:val="none" w:sz="0" w:space="0" w:color="auto"/>
                                        <w:left w:val="none" w:sz="0" w:space="0" w:color="auto"/>
                                        <w:bottom w:val="none" w:sz="0" w:space="0" w:color="auto"/>
                                        <w:right w:val="none" w:sz="0" w:space="0" w:color="auto"/>
                                      </w:divBdr>
                                      <w:divsChild>
                                        <w:div w:id="2103060282">
                                          <w:marLeft w:val="0"/>
                                          <w:marRight w:val="0"/>
                                          <w:marTop w:val="0"/>
                                          <w:marBottom w:val="0"/>
                                          <w:divBdr>
                                            <w:top w:val="none" w:sz="0" w:space="0" w:color="auto"/>
                                            <w:left w:val="none" w:sz="0" w:space="0" w:color="auto"/>
                                            <w:bottom w:val="none" w:sz="0" w:space="0" w:color="auto"/>
                                            <w:right w:val="none" w:sz="0" w:space="0" w:color="auto"/>
                                          </w:divBdr>
                                        </w:div>
                                        <w:div w:id="1229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648255">
      <w:bodyDiv w:val="1"/>
      <w:marLeft w:val="0"/>
      <w:marRight w:val="0"/>
      <w:marTop w:val="0"/>
      <w:marBottom w:val="0"/>
      <w:divBdr>
        <w:top w:val="none" w:sz="0" w:space="0" w:color="auto"/>
        <w:left w:val="none" w:sz="0" w:space="0" w:color="auto"/>
        <w:bottom w:val="none" w:sz="0" w:space="0" w:color="auto"/>
        <w:right w:val="none" w:sz="0" w:space="0" w:color="auto"/>
      </w:divBdr>
    </w:div>
    <w:div w:id="566034725">
      <w:bodyDiv w:val="1"/>
      <w:marLeft w:val="0"/>
      <w:marRight w:val="0"/>
      <w:marTop w:val="0"/>
      <w:marBottom w:val="0"/>
      <w:divBdr>
        <w:top w:val="none" w:sz="0" w:space="0" w:color="auto"/>
        <w:left w:val="none" w:sz="0" w:space="0" w:color="auto"/>
        <w:bottom w:val="none" w:sz="0" w:space="0" w:color="auto"/>
        <w:right w:val="none" w:sz="0" w:space="0" w:color="auto"/>
      </w:divBdr>
      <w:divsChild>
        <w:div w:id="718628807">
          <w:marLeft w:val="0"/>
          <w:marRight w:val="0"/>
          <w:marTop w:val="0"/>
          <w:marBottom w:val="0"/>
          <w:divBdr>
            <w:top w:val="none" w:sz="0" w:space="0" w:color="auto"/>
            <w:left w:val="none" w:sz="0" w:space="0" w:color="auto"/>
            <w:bottom w:val="none" w:sz="0" w:space="0" w:color="auto"/>
            <w:right w:val="none" w:sz="0" w:space="0" w:color="auto"/>
          </w:divBdr>
          <w:divsChild>
            <w:div w:id="1260257635">
              <w:marLeft w:val="120"/>
              <w:marRight w:val="120"/>
              <w:marTop w:val="120"/>
              <w:marBottom w:val="120"/>
              <w:divBdr>
                <w:top w:val="none" w:sz="0" w:space="0" w:color="auto"/>
                <w:left w:val="none" w:sz="0" w:space="0" w:color="auto"/>
                <w:bottom w:val="none" w:sz="0" w:space="0" w:color="auto"/>
                <w:right w:val="none" w:sz="0" w:space="0" w:color="auto"/>
              </w:divBdr>
              <w:divsChild>
                <w:div w:id="1987005664">
                  <w:marLeft w:val="0"/>
                  <w:marRight w:val="0"/>
                  <w:marTop w:val="0"/>
                  <w:marBottom w:val="0"/>
                  <w:divBdr>
                    <w:top w:val="none" w:sz="0" w:space="0" w:color="auto"/>
                    <w:left w:val="none" w:sz="0" w:space="0" w:color="auto"/>
                    <w:bottom w:val="none" w:sz="0" w:space="0" w:color="auto"/>
                    <w:right w:val="none" w:sz="0" w:space="0" w:color="auto"/>
                  </w:divBdr>
                  <w:divsChild>
                    <w:div w:id="1413819972">
                      <w:marLeft w:val="0"/>
                      <w:marRight w:val="0"/>
                      <w:marTop w:val="0"/>
                      <w:marBottom w:val="0"/>
                      <w:divBdr>
                        <w:top w:val="none" w:sz="0" w:space="0" w:color="auto"/>
                        <w:left w:val="none" w:sz="0" w:space="0" w:color="auto"/>
                        <w:bottom w:val="none" w:sz="0" w:space="0" w:color="auto"/>
                        <w:right w:val="none" w:sz="0" w:space="0" w:color="auto"/>
                      </w:divBdr>
                      <w:divsChild>
                        <w:div w:id="1636444553">
                          <w:marLeft w:val="0"/>
                          <w:marRight w:val="0"/>
                          <w:marTop w:val="0"/>
                          <w:marBottom w:val="0"/>
                          <w:divBdr>
                            <w:top w:val="none" w:sz="0" w:space="0" w:color="auto"/>
                            <w:left w:val="none" w:sz="0" w:space="0" w:color="auto"/>
                            <w:bottom w:val="none" w:sz="0" w:space="0" w:color="auto"/>
                            <w:right w:val="none" w:sz="0" w:space="0" w:color="auto"/>
                          </w:divBdr>
                        </w:div>
                        <w:div w:id="10657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5218">
          <w:marLeft w:val="0"/>
          <w:marRight w:val="0"/>
          <w:marTop w:val="0"/>
          <w:marBottom w:val="0"/>
          <w:divBdr>
            <w:top w:val="none" w:sz="0" w:space="0" w:color="auto"/>
            <w:left w:val="single" w:sz="48" w:space="0" w:color="auto"/>
            <w:bottom w:val="none" w:sz="0" w:space="0" w:color="auto"/>
            <w:right w:val="single" w:sz="48" w:space="0" w:color="auto"/>
          </w:divBdr>
          <w:divsChild>
            <w:div w:id="1675650284">
              <w:marLeft w:val="0"/>
              <w:marRight w:val="0"/>
              <w:marTop w:val="100"/>
              <w:marBottom w:val="100"/>
              <w:divBdr>
                <w:top w:val="none" w:sz="0" w:space="0" w:color="auto"/>
                <w:left w:val="none" w:sz="0" w:space="0" w:color="auto"/>
                <w:bottom w:val="none" w:sz="0" w:space="0" w:color="auto"/>
                <w:right w:val="none" w:sz="0" w:space="0" w:color="auto"/>
              </w:divBdr>
              <w:divsChild>
                <w:div w:id="1798914308">
                  <w:marLeft w:val="0"/>
                  <w:marRight w:val="0"/>
                  <w:marTop w:val="0"/>
                  <w:marBottom w:val="0"/>
                  <w:divBdr>
                    <w:top w:val="none" w:sz="0" w:space="0" w:color="auto"/>
                    <w:left w:val="none" w:sz="0" w:space="0" w:color="auto"/>
                    <w:bottom w:val="none" w:sz="0" w:space="0" w:color="auto"/>
                    <w:right w:val="none" w:sz="0" w:space="0" w:color="auto"/>
                  </w:divBdr>
                </w:div>
              </w:divsChild>
            </w:div>
            <w:div w:id="902567828">
              <w:marLeft w:val="0"/>
              <w:marRight w:val="0"/>
              <w:marTop w:val="0"/>
              <w:marBottom w:val="0"/>
              <w:divBdr>
                <w:top w:val="none" w:sz="0" w:space="0" w:color="auto"/>
                <w:left w:val="none" w:sz="0" w:space="0" w:color="auto"/>
                <w:bottom w:val="none" w:sz="0" w:space="0" w:color="auto"/>
                <w:right w:val="none" w:sz="0" w:space="0" w:color="auto"/>
              </w:divBdr>
              <w:divsChild>
                <w:div w:id="1648634160">
                  <w:marLeft w:val="0"/>
                  <w:marRight w:val="0"/>
                  <w:marTop w:val="0"/>
                  <w:marBottom w:val="0"/>
                  <w:divBdr>
                    <w:top w:val="none" w:sz="0" w:space="0" w:color="auto"/>
                    <w:left w:val="none" w:sz="0" w:space="0" w:color="auto"/>
                    <w:bottom w:val="none" w:sz="0" w:space="0" w:color="auto"/>
                    <w:right w:val="none" w:sz="0" w:space="0" w:color="auto"/>
                  </w:divBdr>
                </w:div>
                <w:div w:id="399596678">
                  <w:marLeft w:val="0"/>
                  <w:marRight w:val="0"/>
                  <w:marTop w:val="0"/>
                  <w:marBottom w:val="0"/>
                  <w:divBdr>
                    <w:top w:val="none" w:sz="0" w:space="0" w:color="auto"/>
                    <w:left w:val="none" w:sz="0" w:space="0" w:color="auto"/>
                    <w:bottom w:val="none" w:sz="0" w:space="0" w:color="auto"/>
                    <w:right w:val="none" w:sz="0" w:space="0" w:color="auto"/>
                  </w:divBdr>
                </w:div>
              </w:divsChild>
            </w:div>
            <w:div w:id="396707165">
              <w:marLeft w:val="0"/>
              <w:marRight w:val="0"/>
              <w:marTop w:val="0"/>
              <w:marBottom w:val="0"/>
              <w:divBdr>
                <w:top w:val="none" w:sz="0" w:space="0" w:color="auto"/>
                <w:left w:val="none" w:sz="0" w:space="0" w:color="auto"/>
                <w:bottom w:val="none" w:sz="0" w:space="0" w:color="auto"/>
                <w:right w:val="none" w:sz="0" w:space="0" w:color="auto"/>
              </w:divBdr>
            </w:div>
            <w:div w:id="1195383065">
              <w:marLeft w:val="0"/>
              <w:marRight w:val="0"/>
              <w:marTop w:val="0"/>
              <w:marBottom w:val="0"/>
              <w:divBdr>
                <w:top w:val="none" w:sz="0" w:space="0" w:color="auto"/>
                <w:left w:val="none" w:sz="0" w:space="0" w:color="auto"/>
                <w:bottom w:val="none" w:sz="0" w:space="0" w:color="auto"/>
                <w:right w:val="none" w:sz="0" w:space="0" w:color="auto"/>
              </w:divBdr>
              <w:divsChild>
                <w:div w:id="601108731">
                  <w:marLeft w:val="0"/>
                  <w:marRight w:val="0"/>
                  <w:marTop w:val="0"/>
                  <w:marBottom w:val="0"/>
                  <w:divBdr>
                    <w:top w:val="none" w:sz="0" w:space="0" w:color="auto"/>
                    <w:left w:val="none" w:sz="0" w:space="0" w:color="auto"/>
                    <w:bottom w:val="none" w:sz="0" w:space="0" w:color="auto"/>
                    <w:right w:val="none" w:sz="0" w:space="0" w:color="auto"/>
                  </w:divBdr>
                  <w:divsChild>
                    <w:div w:id="98497057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6859188">
                          <w:marLeft w:val="0"/>
                          <w:marRight w:val="0"/>
                          <w:marTop w:val="0"/>
                          <w:marBottom w:val="0"/>
                          <w:divBdr>
                            <w:top w:val="none" w:sz="0" w:space="0" w:color="auto"/>
                            <w:left w:val="none" w:sz="0" w:space="0" w:color="auto"/>
                            <w:bottom w:val="none" w:sz="0" w:space="0" w:color="auto"/>
                            <w:right w:val="none" w:sz="0" w:space="0" w:color="auto"/>
                          </w:divBdr>
                          <w:divsChild>
                            <w:div w:id="533151567">
                              <w:marLeft w:val="0"/>
                              <w:marRight w:val="0"/>
                              <w:marTop w:val="0"/>
                              <w:marBottom w:val="0"/>
                              <w:divBdr>
                                <w:top w:val="none" w:sz="0" w:space="0" w:color="auto"/>
                                <w:left w:val="none" w:sz="0" w:space="0" w:color="auto"/>
                                <w:bottom w:val="none" w:sz="0" w:space="0" w:color="auto"/>
                                <w:right w:val="none" w:sz="0" w:space="0" w:color="auto"/>
                              </w:divBdr>
                            </w:div>
                            <w:div w:id="16858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70382">
                  <w:marLeft w:val="0"/>
                  <w:marRight w:val="0"/>
                  <w:marTop w:val="0"/>
                  <w:marBottom w:val="0"/>
                  <w:divBdr>
                    <w:top w:val="none" w:sz="0" w:space="0" w:color="auto"/>
                    <w:left w:val="none" w:sz="0" w:space="0" w:color="auto"/>
                    <w:bottom w:val="none" w:sz="0" w:space="0" w:color="auto"/>
                    <w:right w:val="none" w:sz="0" w:space="0" w:color="auto"/>
                  </w:divBdr>
                </w:div>
              </w:divsChild>
            </w:div>
            <w:div w:id="1459254031">
              <w:marLeft w:val="0"/>
              <w:marRight w:val="0"/>
              <w:marTop w:val="0"/>
              <w:marBottom w:val="0"/>
              <w:divBdr>
                <w:top w:val="none" w:sz="0" w:space="0" w:color="auto"/>
                <w:left w:val="none" w:sz="0" w:space="0" w:color="auto"/>
                <w:bottom w:val="none" w:sz="0" w:space="0" w:color="auto"/>
                <w:right w:val="none" w:sz="0" w:space="0" w:color="auto"/>
              </w:divBdr>
              <w:divsChild>
                <w:div w:id="167451220">
                  <w:marLeft w:val="0"/>
                  <w:marRight w:val="0"/>
                  <w:marTop w:val="0"/>
                  <w:marBottom w:val="0"/>
                  <w:divBdr>
                    <w:top w:val="none" w:sz="0" w:space="0" w:color="auto"/>
                    <w:left w:val="none" w:sz="0" w:space="0" w:color="auto"/>
                    <w:bottom w:val="none" w:sz="0" w:space="0" w:color="auto"/>
                    <w:right w:val="none" w:sz="0" w:space="0" w:color="auto"/>
                  </w:divBdr>
                  <w:divsChild>
                    <w:div w:id="100940391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25001879">
                          <w:marLeft w:val="0"/>
                          <w:marRight w:val="0"/>
                          <w:marTop w:val="0"/>
                          <w:marBottom w:val="0"/>
                          <w:divBdr>
                            <w:top w:val="none" w:sz="0" w:space="0" w:color="auto"/>
                            <w:left w:val="none" w:sz="0" w:space="0" w:color="auto"/>
                            <w:bottom w:val="none" w:sz="0" w:space="0" w:color="auto"/>
                            <w:right w:val="none" w:sz="0" w:space="0" w:color="auto"/>
                          </w:divBdr>
                          <w:divsChild>
                            <w:div w:id="1585341792">
                              <w:marLeft w:val="0"/>
                              <w:marRight w:val="0"/>
                              <w:marTop w:val="0"/>
                              <w:marBottom w:val="0"/>
                              <w:divBdr>
                                <w:top w:val="none" w:sz="0" w:space="0" w:color="auto"/>
                                <w:left w:val="none" w:sz="0" w:space="0" w:color="auto"/>
                                <w:bottom w:val="none" w:sz="0" w:space="0" w:color="auto"/>
                                <w:right w:val="none" w:sz="0" w:space="0" w:color="auto"/>
                              </w:divBdr>
                            </w:div>
                            <w:div w:id="10985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6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6722455">
                          <w:marLeft w:val="0"/>
                          <w:marRight w:val="0"/>
                          <w:marTop w:val="0"/>
                          <w:marBottom w:val="0"/>
                          <w:divBdr>
                            <w:top w:val="none" w:sz="0" w:space="0" w:color="auto"/>
                            <w:left w:val="none" w:sz="0" w:space="0" w:color="auto"/>
                            <w:bottom w:val="none" w:sz="0" w:space="0" w:color="auto"/>
                            <w:right w:val="none" w:sz="0" w:space="0" w:color="auto"/>
                          </w:divBdr>
                          <w:divsChild>
                            <w:div w:id="2013950129">
                              <w:marLeft w:val="0"/>
                              <w:marRight w:val="0"/>
                              <w:marTop w:val="0"/>
                              <w:marBottom w:val="0"/>
                              <w:divBdr>
                                <w:top w:val="none" w:sz="0" w:space="0" w:color="auto"/>
                                <w:left w:val="none" w:sz="0" w:space="0" w:color="auto"/>
                                <w:bottom w:val="none" w:sz="0" w:space="0" w:color="auto"/>
                                <w:right w:val="none" w:sz="0" w:space="0" w:color="auto"/>
                              </w:divBdr>
                            </w:div>
                            <w:div w:id="1389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3220">
                  <w:marLeft w:val="0"/>
                  <w:marRight w:val="0"/>
                  <w:marTop w:val="0"/>
                  <w:marBottom w:val="0"/>
                  <w:divBdr>
                    <w:top w:val="none" w:sz="0" w:space="0" w:color="auto"/>
                    <w:left w:val="none" w:sz="0" w:space="0" w:color="auto"/>
                    <w:bottom w:val="none" w:sz="0" w:space="0" w:color="auto"/>
                    <w:right w:val="none" w:sz="0" w:space="0" w:color="auto"/>
                  </w:divBdr>
                </w:div>
                <w:div w:id="126318412">
                  <w:marLeft w:val="0"/>
                  <w:marRight w:val="0"/>
                  <w:marTop w:val="0"/>
                  <w:marBottom w:val="0"/>
                  <w:divBdr>
                    <w:top w:val="none" w:sz="0" w:space="0" w:color="auto"/>
                    <w:left w:val="none" w:sz="0" w:space="0" w:color="auto"/>
                    <w:bottom w:val="none" w:sz="0" w:space="0" w:color="auto"/>
                    <w:right w:val="none" w:sz="0" w:space="0" w:color="auto"/>
                  </w:divBdr>
                  <w:divsChild>
                    <w:div w:id="1132750949">
                      <w:marLeft w:val="0"/>
                      <w:marRight w:val="0"/>
                      <w:marTop w:val="0"/>
                      <w:marBottom w:val="0"/>
                      <w:divBdr>
                        <w:top w:val="none" w:sz="0" w:space="0" w:color="auto"/>
                        <w:left w:val="none" w:sz="0" w:space="0" w:color="auto"/>
                        <w:bottom w:val="none" w:sz="0" w:space="0" w:color="auto"/>
                        <w:right w:val="none" w:sz="0" w:space="0" w:color="auto"/>
                      </w:divBdr>
                    </w:div>
                    <w:div w:id="714819422">
                      <w:marLeft w:val="0"/>
                      <w:marRight w:val="0"/>
                      <w:marTop w:val="0"/>
                      <w:marBottom w:val="0"/>
                      <w:divBdr>
                        <w:top w:val="none" w:sz="0" w:space="0" w:color="auto"/>
                        <w:left w:val="none" w:sz="0" w:space="0" w:color="auto"/>
                        <w:bottom w:val="none" w:sz="0" w:space="0" w:color="auto"/>
                        <w:right w:val="none" w:sz="0" w:space="0" w:color="auto"/>
                      </w:divBdr>
                      <w:divsChild>
                        <w:div w:id="54337016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317466144">
                              <w:marLeft w:val="0"/>
                              <w:marRight w:val="0"/>
                              <w:marTop w:val="0"/>
                              <w:marBottom w:val="0"/>
                              <w:divBdr>
                                <w:top w:val="none" w:sz="0" w:space="0" w:color="auto"/>
                                <w:left w:val="none" w:sz="0" w:space="0" w:color="auto"/>
                                <w:bottom w:val="none" w:sz="0" w:space="0" w:color="auto"/>
                                <w:right w:val="none" w:sz="0" w:space="0" w:color="auto"/>
                              </w:divBdr>
                              <w:divsChild>
                                <w:div w:id="94984742">
                                  <w:marLeft w:val="0"/>
                                  <w:marRight w:val="0"/>
                                  <w:marTop w:val="0"/>
                                  <w:marBottom w:val="0"/>
                                  <w:divBdr>
                                    <w:top w:val="none" w:sz="0" w:space="0" w:color="auto"/>
                                    <w:left w:val="none" w:sz="0" w:space="0" w:color="auto"/>
                                    <w:bottom w:val="none" w:sz="0" w:space="0" w:color="auto"/>
                                    <w:right w:val="none" w:sz="0" w:space="0" w:color="auto"/>
                                  </w:divBdr>
                                </w:div>
                                <w:div w:id="1624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973">
                      <w:marLeft w:val="0"/>
                      <w:marRight w:val="0"/>
                      <w:marTop w:val="0"/>
                      <w:marBottom w:val="0"/>
                      <w:divBdr>
                        <w:top w:val="none" w:sz="0" w:space="0" w:color="auto"/>
                        <w:left w:val="none" w:sz="0" w:space="0" w:color="auto"/>
                        <w:bottom w:val="none" w:sz="0" w:space="0" w:color="auto"/>
                        <w:right w:val="none" w:sz="0" w:space="0" w:color="auto"/>
                      </w:divBdr>
                    </w:div>
                  </w:divsChild>
                </w:div>
                <w:div w:id="1037005564">
                  <w:marLeft w:val="0"/>
                  <w:marRight w:val="0"/>
                  <w:marTop w:val="0"/>
                  <w:marBottom w:val="0"/>
                  <w:divBdr>
                    <w:top w:val="none" w:sz="0" w:space="0" w:color="auto"/>
                    <w:left w:val="none" w:sz="0" w:space="0" w:color="auto"/>
                    <w:bottom w:val="none" w:sz="0" w:space="0" w:color="auto"/>
                    <w:right w:val="none" w:sz="0" w:space="0" w:color="auto"/>
                  </w:divBdr>
                  <w:divsChild>
                    <w:div w:id="1907568427">
                      <w:marLeft w:val="0"/>
                      <w:marRight w:val="0"/>
                      <w:marTop w:val="0"/>
                      <w:marBottom w:val="0"/>
                      <w:divBdr>
                        <w:top w:val="none" w:sz="0" w:space="0" w:color="auto"/>
                        <w:left w:val="none" w:sz="0" w:space="0" w:color="auto"/>
                        <w:bottom w:val="none" w:sz="0" w:space="0" w:color="auto"/>
                        <w:right w:val="none" w:sz="0" w:space="0" w:color="auto"/>
                      </w:divBdr>
                      <w:divsChild>
                        <w:div w:id="94307317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32415781">
                              <w:marLeft w:val="0"/>
                              <w:marRight w:val="0"/>
                              <w:marTop w:val="0"/>
                              <w:marBottom w:val="0"/>
                              <w:divBdr>
                                <w:top w:val="none" w:sz="0" w:space="0" w:color="auto"/>
                                <w:left w:val="none" w:sz="0" w:space="0" w:color="auto"/>
                                <w:bottom w:val="none" w:sz="0" w:space="0" w:color="auto"/>
                                <w:right w:val="none" w:sz="0" w:space="0" w:color="auto"/>
                              </w:divBdr>
                              <w:divsChild>
                                <w:div w:id="1003901876">
                                  <w:marLeft w:val="0"/>
                                  <w:marRight w:val="0"/>
                                  <w:marTop w:val="0"/>
                                  <w:marBottom w:val="0"/>
                                  <w:divBdr>
                                    <w:top w:val="none" w:sz="0" w:space="0" w:color="auto"/>
                                    <w:left w:val="none" w:sz="0" w:space="0" w:color="auto"/>
                                    <w:bottom w:val="none" w:sz="0" w:space="0" w:color="auto"/>
                                    <w:right w:val="none" w:sz="0" w:space="0" w:color="auto"/>
                                  </w:divBdr>
                                </w:div>
                                <w:div w:id="8962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375">
                      <w:marLeft w:val="0"/>
                      <w:marRight w:val="0"/>
                      <w:marTop w:val="0"/>
                      <w:marBottom w:val="0"/>
                      <w:divBdr>
                        <w:top w:val="none" w:sz="0" w:space="0" w:color="auto"/>
                        <w:left w:val="none" w:sz="0" w:space="0" w:color="auto"/>
                        <w:bottom w:val="none" w:sz="0" w:space="0" w:color="auto"/>
                        <w:right w:val="none" w:sz="0" w:space="0" w:color="auto"/>
                      </w:divBdr>
                    </w:div>
                  </w:divsChild>
                </w:div>
                <w:div w:id="1728020419">
                  <w:marLeft w:val="0"/>
                  <w:marRight w:val="0"/>
                  <w:marTop w:val="0"/>
                  <w:marBottom w:val="0"/>
                  <w:divBdr>
                    <w:top w:val="none" w:sz="0" w:space="0" w:color="auto"/>
                    <w:left w:val="none" w:sz="0" w:space="0" w:color="auto"/>
                    <w:bottom w:val="none" w:sz="0" w:space="0" w:color="auto"/>
                    <w:right w:val="none" w:sz="0" w:space="0" w:color="auto"/>
                  </w:divBdr>
                </w:div>
                <w:div w:id="313417031">
                  <w:marLeft w:val="0"/>
                  <w:marRight w:val="0"/>
                  <w:marTop w:val="0"/>
                  <w:marBottom w:val="0"/>
                  <w:divBdr>
                    <w:top w:val="none" w:sz="0" w:space="0" w:color="auto"/>
                    <w:left w:val="none" w:sz="0" w:space="0" w:color="auto"/>
                    <w:bottom w:val="none" w:sz="0" w:space="0" w:color="auto"/>
                    <w:right w:val="none" w:sz="0" w:space="0" w:color="auto"/>
                  </w:divBdr>
                </w:div>
                <w:div w:id="512453383">
                  <w:marLeft w:val="0"/>
                  <w:marRight w:val="0"/>
                  <w:marTop w:val="0"/>
                  <w:marBottom w:val="0"/>
                  <w:divBdr>
                    <w:top w:val="none" w:sz="0" w:space="0" w:color="auto"/>
                    <w:left w:val="none" w:sz="0" w:space="0" w:color="auto"/>
                    <w:bottom w:val="none" w:sz="0" w:space="0" w:color="auto"/>
                    <w:right w:val="none" w:sz="0" w:space="0" w:color="auto"/>
                  </w:divBdr>
                </w:div>
                <w:div w:id="250626380">
                  <w:marLeft w:val="0"/>
                  <w:marRight w:val="0"/>
                  <w:marTop w:val="0"/>
                  <w:marBottom w:val="0"/>
                  <w:divBdr>
                    <w:top w:val="none" w:sz="0" w:space="0" w:color="auto"/>
                    <w:left w:val="none" w:sz="0" w:space="0" w:color="auto"/>
                    <w:bottom w:val="none" w:sz="0" w:space="0" w:color="auto"/>
                    <w:right w:val="none" w:sz="0" w:space="0" w:color="auto"/>
                  </w:divBdr>
                  <w:divsChild>
                    <w:div w:id="832381858">
                      <w:marLeft w:val="0"/>
                      <w:marRight w:val="0"/>
                      <w:marTop w:val="0"/>
                      <w:marBottom w:val="0"/>
                      <w:divBdr>
                        <w:top w:val="none" w:sz="0" w:space="0" w:color="auto"/>
                        <w:left w:val="none" w:sz="0" w:space="0" w:color="auto"/>
                        <w:bottom w:val="none" w:sz="0" w:space="0" w:color="auto"/>
                        <w:right w:val="none" w:sz="0" w:space="0" w:color="auto"/>
                      </w:divBdr>
                      <w:divsChild>
                        <w:div w:id="25652605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0390381">
                              <w:marLeft w:val="0"/>
                              <w:marRight w:val="0"/>
                              <w:marTop w:val="0"/>
                              <w:marBottom w:val="0"/>
                              <w:divBdr>
                                <w:top w:val="none" w:sz="0" w:space="0" w:color="auto"/>
                                <w:left w:val="none" w:sz="0" w:space="0" w:color="auto"/>
                                <w:bottom w:val="none" w:sz="0" w:space="0" w:color="auto"/>
                                <w:right w:val="none" w:sz="0" w:space="0" w:color="auto"/>
                              </w:divBdr>
                              <w:divsChild>
                                <w:div w:id="118766606">
                                  <w:marLeft w:val="0"/>
                                  <w:marRight w:val="0"/>
                                  <w:marTop w:val="0"/>
                                  <w:marBottom w:val="0"/>
                                  <w:divBdr>
                                    <w:top w:val="none" w:sz="0" w:space="0" w:color="auto"/>
                                    <w:left w:val="none" w:sz="0" w:space="0" w:color="auto"/>
                                    <w:bottom w:val="none" w:sz="0" w:space="0" w:color="auto"/>
                                    <w:right w:val="none" w:sz="0" w:space="0" w:color="auto"/>
                                  </w:divBdr>
                                </w:div>
                                <w:div w:id="2863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6508">
                      <w:marLeft w:val="0"/>
                      <w:marRight w:val="0"/>
                      <w:marTop w:val="0"/>
                      <w:marBottom w:val="0"/>
                      <w:divBdr>
                        <w:top w:val="none" w:sz="0" w:space="0" w:color="auto"/>
                        <w:left w:val="none" w:sz="0" w:space="0" w:color="auto"/>
                        <w:bottom w:val="none" w:sz="0" w:space="0" w:color="auto"/>
                        <w:right w:val="none" w:sz="0" w:space="0" w:color="auto"/>
                      </w:divBdr>
                      <w:divsChild>
                        <w:div w:id="163028014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94973860">
                              <w:marLeft w:val="0"/>
                              <w:marRight w:val="0"/>
                              <w:marTop w:val="0"/>
                              <w:marBottom w:val="0"/>
                              <w:divBdr>
                                <w:top w:val="none" w:sz="0" w:space="0" w:color="auto"/>
                                <w:left w:val="none" w:sz="0" w:space="0" w:color="auto"/>
                                <w:bottom w:val="none" w:sz="0" w:space="0" w:color="auto"/>
                                <w:right w:val="none" w:sz="0" w:space="0" w:color="auto"/>
                              </w:divBdr>
                              <w:divsChild>
                                <w:div w:id="13655532">
                                  <w:marLeft w:val="0"/>
                                  <w:marRight w:val="0"/>
                                  <w:marTop w:val="0"/>
                                  <w:marBottom w:val="0"/>
                                  <w:divBdr>
                                    <w:top w:val="none" w:sz="0" w:space="0" w:color="auto"/>
                                    <w:left w:val="none" w:sz="0" w:space="0" w:color="auto"/>
                                    <w:bottom w:val="none" w:sz="0" w:space="0" w:color="auto"/>
                                    <w:right w:val="none" w:sz="0" w:space="0" w:color="auto"/>
                                  </w:divBdr>
                                </w:div>
                                <w:div w:id="1362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2539">
                  <w:marLeft w:val="0"/>
                  <w:marRight w:val="0"/>
                  <w:marTop w:val="0"/>
                  <w:marBottom w:val="0"/>
                  <w:divBdr>
                    <w:top w:val="none" w:sz="0" w:space="0" w:color="auto"/>
                    <w:left w:val="none" w:sz="0" w:space="0" w:color="auto"/>
                    <w:bottom w:val="none" w:sz="0" w:space="0" w:color="auto"/>
                    <w:right w:val="none" w:sz="0" w:space="0" w:color="auto"/>
                  </w:divBdr>
                </w:div>
                <w:div w:id="439224241">
                  <w:marLeft w:val="0"/>
                  <w:marRight w:val="0"/>
                  <w:marTop w:val="0"/>
                  <w:marBottom w:val="0"/>
                  <w:divBdr>
                    <w:top w:val="none" w:sz="0" w:space="0" w:color="auto"/>
                    <w:left w:val="none" w:sz="0" w:space="0" w:color="auto"/>
                    <w:bottom w:val="none" w:sz="0" w:space="0" w:color="auto"/>
                    <w:right w:val="none" w:sz="0" w:space="0" w:color="auto"/>
                  </w:divBdr>
                  <w:divsChild>
                    <w:div w:id="1299458270">
                      <w:marLeft w:val="0"/>
                      <w:marRight w:val="0"/>
                      <w:marTop w:val="0"/>
                      <w:marBottom w:val="0"/>
                      <w:divBdr>
                        <w:top w:val="none" w:sz="0" w:space="0" w:color="auto"/>
                        <w:left w:val="none" w:sz="0" w:space="0" w:color="auto"/>
                        <w:bottom w:val="none" w:sz="0" w:space="0" w:color="auto"/>
                        <w:right w:val="none" w:sz="0" w:space="0" w:color="auto"/>
                      </w:divBdr>
                      <w:divsChild>
                        <w:div w:id="93593980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42827609">
                              <w:marLeft w:val="0"/>
                              <w:marRight w:val="0"/>
                              <w:marTop w:val="0"/>
                              <w:marBottom w:val="0"/>
                              <w:divBdr>
                                <w:top w:val="none" w:sz="0" w:space="0" w:color="auto"/>
                                <w:left w:val="none" w:sz="0" w:space="0" w:color="auto"/>
                                <w:bottom w:val="none" w:sz="0" w:space="0" w:color="auto"/>
                                <w:right w:val="none" w:sz="0" w:space="0" w:color="auto"/>
                              </w:divBdr>
                              <w:divsChild>
                                <w:div w:id="1803225891">
                                  <w:marLeft w:val="0"/>
                                  <w:marRight w:val="0"/>
                                  <w:marTop w:val="0"/>
                                  <w:marBottom w:val="0"/>
                                  <w:divBdr>
                                    <w:top w:val="none" w:sz="0" w:space="0" w:color="auto"/>
                                    <w:left w:val="none" w:sz="0" w:space="0" w:color="auto"/>
                                    <w:bottom w:val="none" w:sz="0" w:space="0" w:color="auto"/>
                                    <w:right w:val="none" w:sz="0" w:space="0" w:color="auto"/>
                                  </w:divBdr>
                                </w:div>
                                <w:div w:id="111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1466">
                      <w:marLeft w:val="0"/>
                      <w:marRight w:val="0"/>
                      <w:marTop w:val="0"/>
                      <w:marBottom w:val="0"/>
                      <w:divBdr>
                        <w:top w:val="none" w:sz="0" w:space="0" w:color="auto"/>
                        <w:left w:val="none" w:sz="0" w:space="0" w:color="auto"/>
                        <w:bottom w:val="none" w:sz="0" w:space="0" w:color="auto"/>
                        <w:right w:val="none" w:sz="0" w:space="0" w:color="auto"/>
                      </w:divBdr>
                    </w:div>
                  </w:divsChild>
                </w:div>
                <w:div w:id="1292057600">
                  <w:marLeft w:val="0"/>
                  <w:marRight w:val="0"/>
                  <w:marTop w:val="0"/>
                  <w:marBottom w:val="0"/>
                  <w:divBdr>
                    <w:top w:val="none" w:sz="0" w:space="0" w:color="auto"/>
                    <w:left w:val="none" w:sz="0" w:space="0" w:color="auto"/>
                    <w:bottom w:val="none" w:sz="0" w:space="0" w:color="auto"/>
                    <w:right w:val="none" w:sz="0" w:space="0" w:color="auto"/>
                  </w:divBdr>
                  <w:divsChild>
                    <w:div w:id="299044186">
                      <w:marLeft w:val="0"/>
                      <w:marRight w:val="0"/>
                      <w:marTop w:val="0"/>
                      <w:marBottom w:val="0"/>
                      <w:divBdr>
                        <w:top w:val="none" w:sz="0" w:space="0" w:color="auto"/>
                        <w:left w:val="none" w:sz="0" w:space="0" w:color="auto"/>
                        <w:bottom w:val="none" w:sz="0" w:space="0" w:color="auto"/>
                        <w:right w:val="none" w:sz="0" w:space="0" w:color="auto"/>
                      </w:divBdr>
                      <w:divsChild>
                        <w:div w:id="87839499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629096060">
                              <w:marLeft w:val="0"/>
                              <w:marRight w:val="0"/>
                              <w:marTop w:val="0"/>
                              <w:marBottom w:val="0"/>
                              <w:divBdr>
                                <w:top w:val="none" w:sz="0" w:space="0" w:color="auto"/>
                                <w:left w:val="none" w:sz="0" w:space="0" w:color="auto"/>
                                <w:bottom w:val="none" w:sz="0" w:space="0" w:color="auto"/>
                                <w:right w:val="none" w:sz="0" w:space="0" w:color="auto"/>
                              </w:divBdr>
                              <w:divsChild>
                                <w:div w:id="458501206">
                                  <w:marLeft w:val="0"/>
                                  <w:marRight w:val="0"/>
                                  <w:marTop w:val="0"/>
                                  <w:marBottom w:val="0"/>
                                  <w:divBdr>
                                    <w:top w:val="none" w:sz="0" w:space="0" w:color="auto"/>
                                    <w:left w:val="none" w:sz="0" w:space="0" w:color="auto"/>
                                    <w:bottom w:val="none" w:sz="0" w:space="0" w:color="auto"/>
                                    <w:right w:val="none" w:sz="0" w:space="0" w:color="auto"/>
                                  </w:divBdr>
                                </w:div>
                                <w:div w:id="1830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1883">
                      <w:marLeft w:val="0"/>
                      <w:marRight w:val="0"/>
                      <w:marTop w:val="0"/>
                      <w:marBottom w:val="0"/>
                      <w:divBdr>
                        <w:top w:val="none" w:sz="0" w:space="0" w:color="auto"/>
                        <w:left w:val="none" w:sz="0" w:space="0" w:color="auto"/>
                        <w:bottom w:val="none" w:sz="0" w:space="0" w:color="auto"/>
                        <w:right w:val="none" w:sz="0" w:space="0" w:color="auto"/>
                      </w:divBdr>
                    </w:div>
                    <w:div w:id="7184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8646">
              <w:marLeft w:val="0"/>
              <w:marRight w:val="0"/>
              <w:marTop w:val="0"/>
              <w:marBottom w:val="0"/>
              <w:divBdr>
                <w:top w:val="none" w:sz="0" w:space="0" w:color="auto"/>
                <w:left w:val="none" w:sz="0" w:space="0" w:color="auto"/>
                <w:bottom w:val="none" w:sz="0" w:space="0" w:color="auto"/>
                <w:right w:val="none" w:sz="0" w:space="0" w:color="auto"/>
              </w:divBdr>
            </w:div>
            <w:div w:id="2113042748">
              <w:marLeft w:val="0"/>
              <w:marRight w:val="0"/>
              <w:marTop w:val="0"/>
              <w:marBottom w:val="0"/>
              <w:divBdr>
                <w:top w:val="none" w:sz="0" w:space="0" w:color="auto"/>
                <w:left w:val="none" w:sz="0" w:space="0" w:color="auto"/>
                <w:bottom w:val="none" w:sz="0" w:space="0" w:color="auto"/>
                <w:right w:val="none" w:sz="0" w:space="0" w:color="auto"/>
              </w:divBdr>
              <w:divsChild>
                <w:div w:id="54478069">
                  <w:marLeft w:val="0"/>
                  <w:marRight w:val="0"/>
                  <w:marTop w:val="0"/>
                  <w:marBottom w:val="0"/>
                  <w:divBdr>
                    <w:top w:val="none" w:sz="0" w:space="0" w:color="auto"/>
                    <w:left w:val="none" w:sz="0" w:space="0" w:color="auto"/>
                    <w:bottom w:val="none" w:sz="0" w:space="0" w:color="auto"/>
                    <w:right w:val="none" w:sz="0" w:space="0" w:color="auto"/>
                  </w:divBdr>
                </w:div>
              </w:divsChild>
            </w:div>
            <w:div w:id="410811505">
              <w:marLeft w:val="0"/>
              <w:marRight w:val="0"/>
              <w:marTop w:val="0"/>
              <w:marBottom w:val="0"/>
              <w:divBdr>
                <w:top w:val="none" w:sz="0" w:space="0" w:color="auto"/>
                <w:left w:val="none" w:sz="0" w:space="0" w:color="auto"/>
                <w:bottom w:val="none" w:sz="0" w:space="0" w:color="auto"/>
                <w:right w:val="none" w:sz="0" w:space="0" w:color="auto"/>
              </w:divBdr>
            </w:div>
            <w:div w:id="451365605">
              <w:marLeft w:val="0"/>
              <w:marRight w:val="0"/>
              <w:marTop w:val="0"/>
              <w:marBottom w:val="0"/>
              <w:divBdr>
                <w:top w:val="none" w:sz="0" w:space="0" w:color="auto"/>
                <w:left w:val="none" w:sz="0" w:space="0" w:color="auto"/>
                <w:bottom w:val="none" w:sz="0" w:space="0" w:color="auto"/>
                <w:right w:val="none" w:sz="0" w:space="0" w:color="auto"/>
              </w:divBdr>
              <w:divsChild>
                <w:div w:id="343824421">
                  <w:marLeft w:val="0"/>
                  <w:marRight w:val="0"/>
                  <w:marTop w:val="0"/>
                  <w:marBottom w:val="0"/>
                  <w:divBdr>
                    <w:top w:val="none" w:sz="0" w:space="0" w:color="auto"/>
                    <w:left w:val="none" w:sz="0" w:space="0" w:color="auto"/>
                    <w:bottom w:val="none" w:sz="0" w:space="0" w:color="auto"/>
                    <w:right w:val="none" w:sz="0" w:space="0" w:color="auto"/>
                  </w:divBdr>
                  <w:divsChild>
                    <w:div w:id="89793985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7431770">
                          <w:marLeft w:val="0"/>
                          <w:marRight w:val="0"/>
                          <w:marTop w:val="0"/>
                          <w:marBottom w:val="0"/>
                          <w:divBdr>
                            <w:top w:val="none" w:sz="0" w:space="0" w:color="auto"/>
                            <w:left w:val="none" w:sz="0" w:space="0" w:color="auto"/>
                            <w:bottom w:val="none" w:sz="0" w:space="0" w:color="auto"/>
                            <w:right w:val="none" w:sz="0" w:space="0" w:color="auto"/>
                          </w:divBdr>
                          <w:divsChild>
                            <w:div w:id="571937079">
                              <w:marLeft w:val="0"/>
                              <w:marRight w:val="0"/>
                              <w:marTop w:val="0"/>
                              <w:marBottom w:val="0"/>
                              <w:divBdr>
                                <w:top w:val="none" w:sz="0" w:space="0" w:color="auto"/>
                                <w:left w:val="none" w:sz="0" w:space="0" w:color="auto"/>
                                <w:bottom w:val="none" w:sz="0" w:space="0" w:color="auto"/>
                                <w:right w:val="none" w:sz="0" w:space="0" w:color="auto"/>
                              </w:divBdr>
                            </w:div>
                            <w:div w:id="1783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4039">
                      <w:marLeft w:val="0"/>
                      <w:marRight w:val="0"/>
                      <w:marTop w:val="0"/>
                      <w:marBottom w:val="0"/>
                      <w:divBdr>
                        <w:top w:val="none" w:sz="0" w:space="0" w:color="auto"/>
                        <w:left w:val="none" w:sz="0" w:space="0" w:color="auto"/>
                        <w:bottom w:val="none" w:sz="0" w:space="0" w:color="auto"/>
                        <w:right w:val="none" w:sz="0" w:space="0" w:color="auto"/>
                      </w:divBdr>
                      <w:divsChild>
                        <w:div w:id="48967246">
                          <w:marLeft w:val="0"/>
                          <w:marRight w:val="0"/>
                          <w:marTop w:val="0"/>
                          <w:marBottom w:val="0"/>
                          <w:divBdr>
                            <w:top w:val="none" w:sz="0" w:space="0" w:color="auto"/>
                            <w:left w:val="none" w:sz="0" w:space="0" w:color="auto"/>
                            <w:bottom w:val="none" w:sz="0" w:space="0" w:color="auto"/>
                            <w:right w:val="none" w:sz="0" w:space="0" w:color="auto"/>
                          </w:divBdr>
                        </w:div>
                        <w:div w:id="1680162474">
                          <w:marLeft w:val="0"/>
                          <w:marRight w:val="0"/>
                          <w:marTop w:val="0"/>
                          <w:marBottom w:val="0"/>
                          <w:divBdr>
                            <w:top w:val="none" w:sz="0" w:space="0" w:color="auto"/>
                            <w:left w:val="none" w:sz="0" w:space="0" w:color="auto"/>
                            <w:bottom w:val="none" w:sz="0" w:space="0" w:color="auto"/>
                            <w:right w:val="none" w:sz="0" w:space="0" w:color="auto"/>
                          </w:divBdr>
                        </w:div>
                        <w:div w:id="584147238">
                          <w:marLeft w:val="0"/>
                          <w:marRight w:val="0"/>
                          <w:marTop w:val="0"/>
                          <w:marBottom w:val="0"/>
                          <w:divBdr>
                            <w:top w:val="none" w:sz="0" w:space="0" w:color="auto"/>
                            <w:left w:val="none" w:sz="0" w:space="0" w:color="auto"/>
                            <w:bottom w:val="none" w:sz="0" w:space="0" w:color="auto"/>
                            <w:right w:val="none" w:sz="0" w:space="0" w:color="auto"/>
                          </w:divBdr>
                        </w:div>
                        <w:div w:id="339115885">
                          <w:marLeft w:val="0"/>
                          <w:marRight w:val="0"/>
                          <w:marTop w:val="0"/>
                          <w:marBottom w:val="0"/>
                          <w:divBdr>
                            <w:top w:val="none" w:sz="0" w:space="0" w:color="auto"/>
                            <w:left w:val="none" w:sz="0" w:space="0" w:color="auto"/>
                            <w:bottom w:val="none" w:sz="0" w:space="0" w:color="auto"/>
                            <w:right w:val="none" w:sz="0" w:space="0" w:color="auto"/>
                          </w:divBdr>
                        </w:div>
                        <w:div w:id="638656391">
                          <w:marLeft w:val="0"/>
                          <w:marRight w:val="0"/>
                          <w:marTop w:val="0"/>
                          <w:marBottom w:val="0"/>
                          <w:divBdr>
                            <w:top w:val="none" w:sz="0" w:space="0" w:color="auto"/>
                            <w:left w:val="none" w:sz="0" w:space="0" w:color="auto"/>
                            <w:bottom w:val="none" w:sz="0" w:space="0" w:color="auto"/>
                            <w:right w:val="none" w:sz="0" w:space="0" w:color="auto"/>
                          </w:divBdr>
                        </w:div>
                        <w:div w:id="20965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0906">
              <w:marLeft w:val="0"/>
              <w:marRight w:val="0"/>
              <w:marTop w:val="0"/>
              <w:marBottom w:val="0"/>
              <w:divBdr>
                <w:top w:val="none" w:sz="0" w:space="0" w:color="auto"/>
                <w:left w:val="none" w:sz="0" w:space="0" w:color="auto"/>
                <w:bottom w:val="none" w:sz="0" w:space="0" w:color="auto"/>
                <w:right w:val="none" w:sz="0" w:space="0" w:color="auto"/>
              </w:divBdr>
              <w:divsChild>
                <w:div w:id="1467822146">
                  <w:marLeft w:val="0"/>
                  <w:marRight w:val="0"/>
                  <w:marTop w:val="0"/>
                  <w:marBottom w:val="0"/>
                  <w:divBdr>
                    <w:top w:val="none" w:sz="0" w:space="0" w:color="auto"/>
                    <w:left w:val="none" w:sz="0" w:space="0" w:color="auto"/>
                    <w:bottom w:val="none" w:sz="0" w:space="0" w:color="auto"/>
                    <w:right w:val="none" w:sz="0" w:space="0" w:color="auto"/>
                  </w:divBdr>
                </w:div>
              </w:divsChild>
            </w:div>
            <w:div w:id="522548878">
              <w:marLeft w:val="0"/>
              <w:marRight w:val="0"/>
              <w:marTop w:val="0"/>
              <w:marBottom w:val="0"/>
              <w:divBdr>
                <w:top w:val="none" w:sz="0" w:space="0" w:color="auto"/>
                <w:left w:val="none" w:sz="0" w:space="0" w:color="auto"/>
                <w:bottom w:val="none" w:sz="0" w:space="0" w:color="auto"/>
                <w:right w:val="none" w:sz="0" w:space="0" w:color="auto"/>
              </w:divBdr>
            </w:div>
            <w:div w:id="74979127">
              <w:marLeft w:val="0"/>
              <w:marRight w:val="0"/>
              <w:marTop w:val="0"/>
              <w:marBottom w:val="0"/>
              <w:divBdr>
                <w:top w:val="none" w:sz="0" w:space="0" w:color="auto"/>
                <w:left w:val="none" w:sz="0" w:space="0" w:color="auto"/>
                <w:bottom w:val="none" w:sz="0" w:space="0" w:color="auto"/>
                <w:right w:val="none" w:sz="0" w:space="0" w:color="auto"/>
              </w:divBdr>
              <w:divsChild>
                <w:div w:id="2035302214">
                  <w:marLeft w:val="0"/>
                  <w:marRight w:val="0"/>
                  <w:marTop w:val="0"/>
                  <w:marBottom w:val="0"/>
                  <w:divBdr>
                    <w:top w:val="none" w:sz="0" w:space="0" w:color="auto"/>
                    <w:left w:val="none" w:sz="0" w:space="0" w:color="auto"/>
                    <w:bottom w:val="none" w:sz="0" w:space="0" w:color="auto"/>
                    <w:right w:val="none" w:sz="0" w:space="0" w:color="auto"/>
                  </w:divBdr>
                  <w:divsChild>
                    <w:div w:id="48461451">
                      <w:marLeft w:val="0"/>
                      <w:marRight w:val="0"/>
                      <w:marTop w:val="256"/>
                      <w:marBottom w:val="256"/>
                      <w:divBdr>
                        <w:top w:val="none" w:sz="0" w:space="0" w:color="auto"/>
                        <w:left w:val="none" w:sz="0" w:space="0" w:color="auto"/>
                        <w:bottom w:val="none" w:sz="0" w:space="0" w:color="auto"/>
                        <w:right w:val="none" w:sz="0" w:space="0" w:color="auto"/>
                      </w:divBdr>
                      <w:divsChild>
                        <w:div w:id="1799303405">
                          <w:marLeft w:val="0"/>
                          <w:marRight w:val="0"/>
                          <w:marTop w:val="0"/>
                          <w:marBottom w:val="0"/>
                          <w:divBdr>
                            <w:top w:val="none" w:sz="0" w:space="0" w:color="auto"/>
                            <w:left w:val="none" w:sz="0" w:space="0" w:color="auto"/>
                            <w:bottom w:val="none" w:sz="0" w:space="0" w:color="auto"/>
                            <w:right w:val="none" w:sz="0" w:space="0" w:color="auto"/>
                          </w:divBdr>
                          <w:divsChild>
                            <w:div w:id="866135495">
                              <w:marLeft w:val="0"/>
                              <w:marRight w:val="0"/>
                              <w:marTop w:val="0"/>
                              <w:marBottom w:val="0"/>
                              <w:divBdr>
                                <w:top w:val="none" w:sz="0" w:space="0" w:color="auto"/>
                                <w:left w:val="none" w:sz="0" w:space="0" w:color="auto"/>
                                <w:bottom w:val="none" w:sz="0" w:space="0" w:color="auto"/>
                                <w:right w:val="none" w:sz="0" w:space="0" w:color="auto"/>
                              </w:divBdr>
                              <w:divsChild>
                                <w:div w:id="1397505884">
                                  <w:marLeft w:val="0"/>
                                  <w:marRight w:val="0"/>
                                  <w:marTop w:val="0"/>
                                  <w:marBottom w:val="0"/>
                                  <w:divBdr>
                                    <w:top w:val="none" w:sz="0" w:space="0" w:color="auto"/>
                                    <w:left w:val="none" w:sz="0" w:space="0" w:color="auto"/>
                                    <w:bottom w:val="none" w:sz="0" w:space="0" w:color="auto"/>
                                    <w:right w:val="none" w:sz="0" w:space="0" w:color="auto"/>
                                  </w:divBdr>
                                </w:div>
                                <w:div w:id="1280992866">
                                  <w:marLeft w:val="0"/>
                                  <w:marRight w:val="0"/>
                                  <w:marTop w:val="0"/>
                                  <w:marBottom w:val="0"/>
                                  <w:divBdr>
                                    <w:top w:val="none" w:sz="0" w:space="0" w:color="auto"/>
                                    <w:left w:val="none" w:sz="0" w:space="0" w:color="auto"/>
                                    <w:bottom w:val="none" w:sz="0" w:space="0" w:color="auto"/>
                                    <w:right w:val="none" w:sz="0" w:space="0" w:color="auto"/>
                                  </w:divBdr>
                                </w:div>
                                <w:div w:id="314456753">
                                  <w:marLeft w:val="240"/>
                                  <w:marRight w:val="0"/>
                                  <w:marTop w:val="0"/>
                                  <w:marBottom w:val="0"/>
                                  <w:divBdr>
                                    <w:top w:val="none" w:sz="0" w:space="0" w:color="auto"/>
                                    <w:left w:val="none" w:sz="0" w:space="0" w:color="auto"/>
                                    <w:bottom w:val="none" w:sz="0" w:space="0" w:color="auto"/>
                                    <w:right w:val="none" w:sz="0" w:space="0" w:color="auto"/>
                                  </w:divBdr>
                                  <w:divsChild>
                                    <w:div w:id="17713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5946">
                              <w:marLeft w:val="0"/>
                              <w:marRight w:val="0"/>
                              <w:marTop w:val="0"/>
                              <w:marBottom w:val="0"/>
                              <w:divBdr>
                                <w:top w:val="none" w:sz="0" w:space="0" w:color="auto"/>
                                <w:left w:val="none" w:sz="0" w:space="0" w:color="auto"/>
                                <w:bottom w:val="none" w:sz="0" w:space="0" w:color="auto"/>
                                <w:right w:val="none" w:sz="0" w:space="0" w:color="auto"/>
                              </w:divBdr>
                              <w:divsChild>
                                <w:div w:id="1261377378">
                                  <w:marLeft w:val="0"/>
                                  <w:marRight w:val="0"/>
                                  <w:marTop w:val="0"/>
                                  <w:marBottom w:val="0"/>
                                  <w:divBdr>
                                    <w:top w:val="none" w:sz="0" w:space="0" w:color="auto"/>
                                    <w:left w:val="none" w:sz="0" w:space="0" w:color="auto"/>
                                    <w:bottom w:val="none" w:sz="0" w:space="0" w:color="auto"/>
                                    <w:right w:val="none" w:sz="0" w:space="0" w:color="auto"/>
                                  </w:divBdr>
                                </w:div>
                                <w:div w:id="4505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7086">
                      <w:marLeft w:val="0"/>
                      <w:marRight w:val="0"/>
                      <w:marTop w:val="0"/>
                      <w:marBottom w:val="0"/>
                      <w:divBdr>
                        <w:top w:val="none" w:sz="0" w:space="0" w:color="auto"/>
                        <w:left w:val="none" w:sz="0" w:space="0" w:color="auto"/>
                        <w:bottom w:val="none" w:sz="0" w:space="0" w:color="auto"/>
                        <w:right w:val="none" w:sz="0" w:space="0" w:color="auto"/>
                      </w:divBdr>
                      <w:divsChild>
                        <w:div w:id="1272784403">
                          <w:marLeft w:val="0"/>
                          <w:marRight w:val="0"/>
                          <w:marTop w:val="256"/>
                          <w:marBottom w:val="256"/>
                          <w:divBdr>
                            <w:top w:val="none" w:sz="0" w:space="0" w:color="auto"/>
                            <w:left w:val="none" w:sz="0" w:space="0" w:color="auto"/>
                            <w:bottom w:val="none" w:sz="0" w:space="0" w:color="auto"/>
                            <w:right w:val="none" w:sz="0" w:space="0" w:color="auto"/>
                          </w:divBdr>
                        </w:div>
                      </w:divsChild>
                    </w:div>
                    <w:div w:id="919948037">
                      <w:marLeft w:val="0"/>
                      <w:marRight w:val="0"/>
                      <w:marTop w:val="256"/>
                      <w:marBottom w:val="256"/>
                      <w:divBdr>
                        <w:top w:val="none" w:sz="0" w:space="0" w:color="auto"/>
                        <w:left w:val="none" w:sz="0" w:space="0" w:color="auto"/>
                        <w:bottom w:val="none" w:sz="0" w:space="0" w:color="auto"/>
                        <w:right w:val="none" w:sz="0" w:space="0" w:color="auto"/>
                      </w:divBdr>
                      <w:divsChild>
                        <w:div w:id="1100878821">
                          <w:marLeft w:val="0"/>
                          <w:marRight w:val="0"/>
                          <w:marTop w:val="256"/>
                          <w:marBottom w:val="256"/>
                          <w:divBdr>
                            <w:top w:val="none" w:sz="0" w:space="0" w:color="auto"/>
                            <w:left w:val="none" w:sz="0" w:space="0" w:color="auto"/>
                            <w:bottom w:val="none" w:sz="0" w:space="0" w:color="auto"/>
                            <w:right w:val="none" w:sz="0" w:space="0" w:color="auto"/>
                          </w:divBdr>
                          <w:divsChild>
                            <w:div w:id="476265488">
                              <w:marLeft w:val="0"/>
                              <w:marRight w:val="0"/>
                              <w:marTop w:val="0"/>
                              <w:marBottom w:val="0"/>
                              <w:divBdr>
                                <w:top w:val="none" w:sz="0" w:space="0" w:color="auto"/>
                                <w:left w:val="none" w:sz="0" w:space="0" w:color="auto"/>
                                <w:bottom w:val="none" w:sz="0" w:space="0" w:color="auto"/>
                                <w:right w:val="none" w:sz="0" w:space="0" w:color="auto"/>
                              </w:divBdr>
                            </w:div>
                            <w:div w:id="961955750">
                              <w:marLeft w:val="0"/>
                              <w:marRight w:val="0"/>
                              <w:marTop w:val="0"/>
                              <w:marBottom w:val="0"/>
                              <w:divBdr>
                                <w:top w:val="none" w:sz="0" w:space="0" w:color="auto"/>
                                <w:left w:val="none" w:sz="0" w:space="0" w:color="auto"/>
                                <w:bottom w:val="none" w:sz="0" w:space="0" w:color="auto"/>
                                <w:right w:val="none" w:sz="0" w:space="0" w:color="auto"/>
                              </w:divBdr>
                            </w:div>
                            <w:div w:id="1066220628">
                              <w:marLeft w:val="0"/>
                              <w:marRight w:val="0"/>
                              <w:marTop w:val="0"/>
                              <w:marBottom w:val="0"/>
                              <w:divBdr>
                                <w:top w:val="none" w:sz="0" w:space="0" w:color="auto"/>
                                <w:left w:val="none" w:sz="0" w:space="0" w:color="auto"/>
                                <w:bottom w:val="none" w:sz="0" w:space="0" w:color="auto"/>
                                <w:right w:val="none" w:sz="0" w:space="0" w:color="auto"/>
                              </w:divBdr>
                            </w:div>
                            <w:div w:id="1858538645">
                              <w:marLeft w:val="0"/>
                              <w:marRight w:val="0"/>
                              <w:marTop w:val="0"/>
                              <w:marBottom w:val="0"/>
                              <w:divBdr>
                                <w:top w:val="none" w:sz="0" w:space="0" w:color="auto"/>
                                <w:left w:val="none" w:sz="0" w:space="0" w:color="auto"/>
                                <w:bottom w:val="none" w:sz="0" w:space="0" w:color="auto"/>
                                <w:right w:val="none" w:sz="0" w:space="0" w:color="auto"/>
                              </w:divBdr>
                            </w:div>
                          </w:divsChild>
                        </w:div>
                        <w:div w:id="2040008826">
                          <w:marLeft w:val="0"/>
                          <w:marRight w:val="0"/>
                          <w:marTop w:val="256"/>
                          <w:marBottom w:val="256"/>
                          <w:divBdr>
                            <w:top w:val="none" w:sz="0" w:space="0" w:color="auto"/>
                            <w:left w:val="none" w:sz="0" w:space="0" w:color="auto"/>
                            <w:bottom w:val="none" w:sz="0" w:space="0" w:color="auto"/>
                            <w:right w:val="none" w:sz="0" w:space="0" w:color="auto"/>
                          </w:divBdr>
                          <w:divsChild>
                            <w:div w:id="1241915235">
                              <w:marLeft w:val="0"/>
                              <w:marRight w:val="0"/>
                              <w:marTop w:val="0"/>
                              <w:marBottom w:val="0"/>
                              <w:divBdr>
                                <w:top w:val="none" w:sz="0" w:space="0" w:color="auto"/>
                                <w:left w:val="none" w:sz="0" w:space="0" w:color="auto"/>
                                <w:bottom w:val="none" w:sz="0" w:space="0" w:color="auto"/>
                                <w:right w:val="none" w:sz="0" w:space="0" w:color="auto"/>
                              </w:divBdr>
                            </w:div>
                            <w:div w:id="8761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4085">
                      <w:marLeft w:val="0"/>
                      <w:marRight w:val="0"/>
                      <w:marTop w:val="256"/>
                      <w:marBottom w:val="256"/>
                      <w:divBdr>
                        <w:top w:val="none" w:sz="0" w:space="0" w:color="auto"/>
                        <w:left w:val="none" w:sz="0" w:space="0" w:color="auto"/>
                        <w:bottom w:val="none" w:sz="0" w:space="0" w:color="auto"/>
                        <w:right w:val="none" w:sz="0" w:space="0" w:color="auto"/>
                      </w:divBdr>
                      <w:divsChild>
                        <w:div w:id="873351422">
                          <w:marLeft w:val="0"/>
                          <w:marRight w:val="0"/>
                          <w:marTop w:val="0"/>
                          <w:marBottom w:val="0"/>
                          <w:divBdr>
                            <w:top w:val="none" w:sz="0" w:space="0" w:color="auto"/>
                            <w:left w:val="none" w:sz="0" w:space="0" w:color="auto"/>
                            <w:bottom w:val="none" w:sz="0" w:space="0" w:color="auto"/>
                            <w:right w:val="none" w:sz="0" w:space="0" w:color="auto"/>
                          </w:divBdr>
                          <w:divsChild>
                            <w:div w:id="366296314">
                              <w:marLeft w:val="0"/>
                              <w:marRight w:val="0"/>
                              <w:marTop w:val="0"/>
                              <w:marBottom w:val="0"/>
                              <w:divBdr>
                                <w:top w:val="none" w:sz="0" w:space="0" w:color="auto"/>
                                <w:left w:val="none" w:sz="0" w:space="0" w:color="auto"/>
                                <w:bottom w:val="none" w:sz="0" w:space="0" w:color="auto"/>
                                <w:right w:val="none" w:sz="0" w:space="0" w:color="auto"/>
                              </w:divBdr>
                            </w:div>
                            <w:div w:id="1315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98059">
              <w:marLeft w:val="0"/>
              <w:marRight w:val="0"/>
              <w:marTop w:val="0"/>
              <w:marBottom w:val="0"/>
              <w:divBdr>
                <w:top w:val="none" w:sz="0" w:space="0" w:color="auto"/>
                <w:left w:val="none" w:sz="0" w:space="0" w:color="auto"/>
                <w:bottom w:val="none" w:sz="0" w:space="0" w:color="auto"/>
                <w:right w:val="none" w:sz="0" w:space="0" w:color="auto"/>
              </w:divBdr>
              <w:divsChild>
                <w:div w:id="338847487">
                  <w:marLeft w:val="0"/>
                  <w:marRight w:val="0"/>
                  <w:marTop w:val="256"/>
                  <w:marBottom w:val="256"/>
                  <w:divBdr>
                    <w:top w:val="none" w:sz="0" w:space="0" w:color="auto"/>
                    <w:left w:val="none" w:sz="0" w:space="0" w:color="auto"/>
                    <w:bottom w:val="none" w:sz="0" w:space="0" w:color="auto"/>
                    <w:right w:val="none" w:sz="0" w:space="0" w:color="auto"/>
                  </w:divBdr>
                  <w:divsChild>
                    <w:div w:id="410933806">
                      <w:marLeft w:val="0"/>
                      <w:marRight w:val="0"/>
                      <w:marTop w:val="256"/>
                      <w:marBottom w:val="256"/>
                      <w:divBdr>
                        <w:top w:val="none" w:sz="0" w:space="0" w:color="auto"/>
                        <w:left w:val="none" w:sz="0" w:space="0" w:color="auto"/>
                        <w:bottom w:val="none" w:sz="0" w:space="0" w:color="auto"/>
                        <w:right w:val="none" w:sz="0" w:space="0" w:color="auto"/>
                      </w:divBdr>
                    </w:div>
                    <w:div w:id="1284769016">
                      <w:marLeft w:val="0"/>
                      <w:marRight w:val="0"/>
                      <w:marTop w:val="256"/>
                      <w:marBottom w:val="256"/>
                      <w:divBdr>
                        <w:top w:val="none" w:sz="0" w:space="0" w:color="auto"/>
                        <w:left w:val="none" w:sz="0" w:space="0" w:color="auto"/>
                        <w:bottom w:val="none" w:sz="0" w:space="0" w:color="auto"/>
                        <w:right w:val="none" w:sz="0" w:space="0" w:color="auto"/>
                      </w:divBdr>
                    </w:div>
                    <w:div w:id="610207879">
                      <w:marLeft w:val="0"/>
                      <w:marRight w:val="0"/>
                      <w:marTop w:val="256"/>
                      <w:marBottom w:val="256"/>
                      <w:divBdr>
                        <w:top w:val="none" w:sz="0" w:space="0" w:color="auto"/>
                        <w:left w:val="none" w:sz="0" w:space="0" w:color="auto"/>
                        <w:bottom w:val="none" w:sz="0" w:space="0" w:color="auto"/>
                        <w:right w:val="none" w:sz="0" w:space="0" w:color="auto"/>
                      </w:divBdr>
                    </w:div>
                    <w:div w:id="496575152">
                      <w:marLeft w:val="0"/>
                      <w:marRight w:val="0"/>
                      <w:marTop w:val="256"/>
                      <w:marBottom w:val="256"/>
                      <w:divBdr>
                        <w:top w:val="none" w:sz="0" w:space="0" w:color="auto"/>
                        <w:left w:val="none" w:sz="0" w:space="0" w:color="auto"/>
                        <w:bottom w:val="none" w:sz="0" w:space="0" w:color="auto"/>
                        <w:right w:val="none" w:sz="0" w:space="0" w:color="auto"/>
                      </w:divBdr>
                    </w:div>
                    <w:div w:id="1522740607">
                      <w:marLeft w:val="0"/>
                      <w:marRight w:val="0"/>
                      <w:marTop w:val="256"/>
                      <w:marBottom w:val="256"/>
                      <w:divBdr>
                        <w:top w:val="none" w:sz="0" w:space="0" w:color="auto"/>
                        <w:left w:val="none" w:sz="0" w:space="0" w:color="auto"/>
                        <w:bottom w:val="none" w:sz="0" w:space="0" w:color="auto"/>
                        <w:right w:val="none" w:sz="0" w:space="0" w:color="auto"/>
                      </w:divBdr>
                    </w:div>
                    <w:div w:id="135489757">
                      <w:marLeft w:val="0"/>
                      <w:marRight w:val="0"/>
                      <w:marTop w:val="256"/>
                      <w:marBottom w:val="256"/>
                      <w:divBdr>
                        <w:top w:val="none" w:sz="0" w:space="0" w:color="auto"/>
                        <w:left w:val="none" w:sz="0" w:space="0" w:color="auto"/>
                        <w:bottom w:val="none" w:sz="0" w:space="0" w:color="auto"/>
                        <w:right w:val="none" w:sz="0" w:space="0" w:color="auto"/>
                      </w:divBdr>
                    </w:div>
                    <w:div w:id="72750666">
                      <w:marLeft w:val="0"/>
                      <w:marRight w:val="0"/>
                      <w:marTop w:val="256"/>
                      <w:marBottom w:val="256"/>
                      <w:divBdr>
                        <w:top w:val="none" w:sz="0" w:space="0" w:color="auto"/>
                        <w:left w:val="none" w:sz="0" w:space="0" w:color="auto"/>
                        <w:bottom w:val="none" w:sz="0" w:space="0" w:color="auto"/>
                        <w:right w:val="none" w:sz="0" w:space="0" w:color="auto"/>
                      </w:divBdr>
                    </w:div>
                    <w:div w:id="436684474">
                      <w:marLeft w:val="0"/>
                      <w:marRight w:val="0"/>
                      <w:marTop w:val="256"/>
                      <w:marBottom w:val="256"/>
                      <w:divBdr>
                        <w:top w:val="none" w:sz="0" w:space="0" w:color="auto"/>
                        <w:left w:val="none" w:sz="0" w:space="0" w:color="auto"/>
                        <w:bottom w:val="none" w:sz="0" w:space="0" w:color="auto"/>
                        <w:right w:val="none" w:sz="0" w:space="0" w:color="auto"/>
                      </w:divBdr>
                    </w:div>
                    <w:div w:id="1571190639">
                      <w:marLeft w:val="0"/>
                      <w:marRight w:val="0"/>
                      <w:marTop w:val="256"/>
                      <w:marBottom w:val="256"/>
                      <w:divBdr>
                        <w:top w:val="none" w:sz="0" w:space="0" w:color="auto"/>
                        <w:left w:val="none" w:sz="0" w:space="0" w:color="auto"/>
                        <w:bottom w:val="none" w:sz="0" w:space="0" w:color="auto"/>
                        <w:right w:val="none" w:sz="0" w:space="0" w:color="auto"/>
                      </w:divBdr>
                    </w:div>
                    <w:div w:id="2106802365">
                      <w:marLeft w:val="0"/>
                      <w:marRight w:val="0"/>
                      <w:marTop w:val="256"/>
                      <w:marBottom w:val="256"/>
                      <w:divBdr>
                        <w:top w:val="none" w:sz="0" w:space="0" w:color="auto"/>
                        <w:left w:val="none" w:sz="0" w:space="0" w:color="auto"/>
                        <w:bottom w:val="none" w:sz="0" w:space="0" w:color="auto"/>
                        <w:right w:val="none" w:sz="0" w:space="0" w:color="auto"/>
                      </w:divBdr>
                    </w:div>
                    <w:div w:id="873733127">
                      <w:marLeft w:val="0"/>
                      <w:marRight w:val="0"/>
                      <w:marTop w:val="256"/>
                      <w:marBottom w:val="256"/>
                      <w:divBdr>
                        <w:top w:val="none" w:sz="0" w:space="0" w:color="auto"/>
                        <w:left w:val="none" w:sz="0" w:space="0" w:color="auto"/>
                        <w:bottom w:val="none" w:sz="0" w:space="0" w:color="auto"/>
                        <w:right w:val="none" w:sz="0" w:space="0" w:color="auto"/>
                      </w:divBdr>
                    </w:div>
                    <w:div w:id="1501388138">
                      <w:marLeft w:val="0"/>
                      <w:marRight w:val="0"/>
                      <w:marTop w:val="256"/>
                      <w:marBottom w:val="256"/>
                      <w:divBdr>
                        <w:top w:val="none" w:sz="0" w:space="0" w:color="auto"/>
                        <w:left w:val="none" w:sz="0" w:space="0" w:color="auto"/>
                        <w:bottom w:val="none" w:sz="0" w:space="0" w:color="auto"/>
                        <w:right w:val="none" w:sz="0" w:space="0" w:color="auto"/>
                      </w:divBdr>
                    </w:div>
                    <w:div w:id="1079795091">
                      <w:marLeft w:val="0"/>
                      <w:marRight w:val="0"/>
                      <w:marTop w:val="256"/>
                      <w:marBottom w:val="256"/>
                      <w:divBdr>
                        <w:top w:val="none" w:sz="0" w:space="0" w:color="auto"/>
                        <w:left w:val="none" w:sz="0" w:space="0" w:color="auto"/>
                        <w:bottom w:val="none" w:sz="0" w:space="0" w:color="auto"/>
                        <w:right w:val="none" w:sz="0" w:space="0" w:color="auto"/>
                      </w:divBdr>
                    </w:div>
                    <w:div w:id="1769501778">
                      <w:marLeft w:val="0"/>
                      <w:marRight w:val="0"/>
                      <w:marTop w:val="256"/>
                      <w:marBottom w:val="256"/>
                      <w:divBdr>
                        <w:top w:val="none" w:sz="0" w:space="0" w:color="auto"/>
                        <w:left w:val="none" w:sz="0" w:space="0" w:color="auto"/>
                        <w:bottom w:val="none" w:sz="0" w:space="0" w:color="auto"/>
                        <w:right w:val="none" w:sz="0" w:space="0" w:color="auto"/>
                      </w:divBdr>
                    </w:div>
                    <w:div w:id="385493059">
                      <w:marLeft w:val="0"/>
                      <w:marRight w:val="0"/>
                      <w:marTop w:val="256"/>
                      <w:marBottom w:val="256"/>
                      <w:divBdr>
                        <w:top w:val="none" w:sz="0" w:space="0" w:color="auto"/>
                        <w:left w:val="none" w:sz="0" w:space="0" w:color="auto"/>
                        <w:bottom w:val="none" w:sz="0" w:space="0" w:color="auto"/>
                        <w:right w:val="none" w:sz="0" w:space="0" w:color="auto"/>
                      </w:divBdr>
                    </w:div>
                    <w:div w:id="368184214">
                      <w:marLeft w:val="0"/>
                      <w:marRight w:val="0"/>
                      <w:marTop w:val="256"/>
                      <w:marBottom w:val="256"/>
                      <w:divBdr>
                        <w:top w:val="none" w:sz="0" w:space="0" w:color="auto"/>
                        <w:left w:val="none" w:sz="0" w:space="0" w:color="auto"/>
                        <w:bottom w:val="none" w:sz="0" w:space="0" w:color="auto"/>
                        <w:right w:val="none" w:sz="0" w:space="0" w:color="auto"/>
                      </w:divBdr>
                    </w:div>
                    <w:div w:id="273172270">
                      <w:marLeft w:val="0"/>
                      <w:marRight w:val="0"/>
                      <w:marTop w:val="256"/>
                      <w:marBottom w:val="256"/>
                      <w:divBdr>
                        <w:top w:val="none" w:sz="0" w:space="0" w:color="auto"/>
                        <w:left w:val="none" w:sz="0" w:space="0" w:color="auto"/>
                        <w:bottom w:val="none" w:sz="0" w:space="0" w:color="auto"/>
                        <w:right w:val="none" w:sz="0" w:space="0" w:color="auto"/>
                      </w:divBdr>
                    </w:div>
                    <w:div w:id="1247888058">
                      <w:marLeft w:val="0"/>
                      <w:marRight w:val="0"/>
                      <w:marTop w:val="256"/>
                      <w:marBottom w:val="256"/>
                      <w:divBdr>
                        <w:top w:val="none" w:sz="0" w:space="0" w:color="auto"/>
                        <w:left w:val="none" w:sz="0" w:space="0" w:color="auto"/>
                        <w:bottom w:val="none" w:sz="0" w:space="0" w:color="auto"/>
                        <w:right w:val="none" w:sz="0" w:space="0" w:color="auto"/>
                      </w:divBdr>
                    </w:div>
                    <w:div w:id="1902668351">
                      <w:marLeft w:val="0"/>
                      <w:marRight w:val="0"/>
                      <w:marTop w:val="256"/>
                      <w:marBottom w:val="256"/>
                      <w:divBdr>
                        <w:top w:val="none" w:sz="0" w:space="0" w:color="auto"/>
                        <w:left w:val="none" w:sz="0" w:space="0" w:color="auto"/>
                        <w:bottom w:val="none" w:sz="0" w:space="0" w:color="auto"/>
                        <w:right w:val="none" w:sz="0" w:space="0" w:color="auto"/>
                      </w:divBdr>
                    </w:div>
                    <w:div w:id="706025220">
                      <w:marLeft w:val="0"/>
                      <w:marRight w:val="0"/>
                      <w:marTop w:val="256"/>
                      <w:marBottom w:val="256"/>
                      <w:divBdr>
                        <w:top w:val="none" w:sz="0" w:space="0" w:color="auto"/>
                        <w:left w:val="none" w:sz="0" w:space="0" w:color="auto"/>
                        <w:bottom w:val="none" w:sz="0" w:space="0" w:color="auto"/>
                        <w:right w:val="none" w:sz="0" w:space="0" w:color="auto"/>
                      </w:divBdr>
                    </w:div>
                    <w:div w:id="357703804">
                      <w:marLeft w:val="0"/>
                      <w:marRight w:val="0"/>
                      <w:marTop w:val="256"/>
                      <w:marBottom w:val="256"/>
                      <w:divBdr>
                        <w:top w:val="none" w:sz="0" w:space="0" w:color="auto"/>
                        <w:left w:val="none" w:sz="0" w:space="0" w:color="auto"/>
                        <w:bottom w:val="none" w:sz="0" w:space="0" w:color="auto"/>
                        <w:right w:val="none" w:sz="0" w:space="0" w:color="auto"/>
                      </w:divBdr>
                    </w:div>
                    <w:div w:id="962231445">
                      <w:marLeft w:val="0"/>
                      <w:marRight w:val="0"/>
                      <w:marTop w:val="256"/>
                      <w:marBottom w:val="256"/>
                      <w:divBdr>
                        <w:top w:val="none" w:sz="0" w:space="0" w:color="auto"/>
                        <w:left w:val="none" w:sz="0" w:space="0" w:color="auto"/>
                        <w:bottom w:val="none" w:sz="0" w:space="0" w:color="auto"/>
                        <w:right w:val="none" w:sz="0" w:space="0" w:color="auto"/>
                      </w:divBdr>
                    </w:div>
                    <w:div w:id="357657078">
                      <w:marLeft w:val="0"/>
                      <w:marRight w:val="0"/>
                      <w:marTop w:val="256"/>
                      <w:marBottom w:val="256"/>
                      <w:divBdr>
                        <w:top w:val="none" w:sz="0" w:space="0" w:color="auto"/>
                        <w:left w:val="none" w:sz="0" w:space="0" w:color="auto"/>
                        <w:bottom w:val="none" w:sz="0" w:space="0" w:color="auto"/>
                        <w:right w:val="none" w:sz="0" w:space="0" w:color="auto"/>
                      </w:divBdr>
                    </w:div>
                    <w:div w:id="497891431">
                      <w:marLeft w:val="0"/>
                      <w:marRight w:val="0"/>
                      <w:marTop w:val="256"/>
                      <w:marBottom w:val="256"/>
                      <w:divBdr>
                        <w:top w:val="none" w:sz="0" w:space="0" w:color="auto"/>
                        <w:left w:val="none" w:sz="0" w:space="0" w:color="auto"/>
                        <w:bottom w:val="none" w:sz="0" w:space="0" w:color="auto"/>
                        <w:right w:val="none" w:sz="0" w:space="0" w:color="auto"/>
                      </w:divBdr>
                    </w:div>
                    <w:div w:id="1359085873">
                      <w:marLeft w:val="0"/>
                      <w:marRight w:val="0"/>
                      <w:marTop w:val="256"/>
                      <w:marBottom w:val="256"/>
                      <w:divBdr>
                        <w:top w:val="none" w:sz="0" w:space="0" w:color="auto"/>
                        <w:left w:val="none" w:sz="0" w:space="0" w:color="auto"/>
                        <w:bottom w:val="none" w:sz="0" w:space="0" w:color="auto"/>
                        <w:right w:val="none" w:sz="0" w:space="0" w:color="auto"/>
                      </w:divBdr>
                    </w:div>
                    <w:div w:id="817575240">
                      <w:marLeft w:val="0"/>
                      <w:marRight w:val="0"/>
                      <w:marTop w:val="256"/>
                      <w:marBottom w:val="256"/>
                      <w:divBdr>
                        <w:top w:val="none" w:sz="0" w:space="0" w:color="auto"/>
                        <w:left w:val="none" w:sz="0" w:space="0" w:color="auto"/>
                        <w:bottom w:val="none" w:sz="0" w:space="0" w:color="auto"/>
                        <w:right w:val="none" w:sz="0" w:space="0" w:color="auto"/>
                      </w:divBdr>
                    </w:div>
                    <w:div w:id="711463010">
                      <w:marLeft w:val="0"/>
                      <w:marRight w:val="0"/>
                      <w:marTop w:val="256"/>
                      <w:marBottom w:val="256"/>
                      <w:divBdr>
                        <w:top w:val="none" w:sz="0" w:space="0" w:color="auto"/>
                        <w:left w:val="none" w:sz="0" w:space="0" w:color="auto"/>
                        <w:bottom w:val="none" w:sz="0" w:space="0" w:color="auto"/>
                        <w:right w:val="none" w:sz="0" w:space="0" w:color="auto"/>
                      </w:divBdr>
                    </w:div>
                    <w:div w:id="463812162">
                      <w:marLeft w:val="0"/>
                      <w:marRight w:val="0"/>
                      <w:marTop w:val="256"/>
                      <w:marBottom w:val="256"/>
                      <w:divBdr>
                        <w:top w:val="none" w:sz="0" w:space="0" w:color="auto"/>
                        <w:left w:val="none" w:sz="0" w:space="0" w:color="auto"/>
                        <w:bottom w:val="none" w:sz="0" w:space="0" w:color="auto"/>
                        <w:right w:val="none" w:sz="0" w:space="0" w:color="auto"/>
                      </w:divBdr>
                    </w:div>
                    <w:div w:id="374889247">
                      <w:marLeft w:val="0"/>
                      <w:marRight w:val="0"/>
                      <w:marTop w:val="256"/>
                      <w:marBottom w:val="256"/>
                      <w:divBdr>
                        <w:top w:val="none" w:sz="0" w:space="0" w:color="auto"/>
                        <w:left w:val="none" w:sz="0" w:space="0" w:color="auto"/>
                        <w:bottom w:val="none" w:sz="0" w:space="0" w:color="auto"/>
                        <w:right w:val="none" w:sz="0" w:space="0" w:color="auto"/>
                      </w:divBdr>
                    </w:div>
                    <w:div w:id="1757940203">
                      <w:marLeft w:val="0"/>
                      <w:marRight w:val="0"/>
                      <w:marTop w:val="256"/>
                      <w:marBottom w:val="256"/>
                      <w:divBdr>
                        <w:top w:val="none" w:sz="0" w:space="0" w:color="auto"/>
                        <w:left w:val="none" w:sz="0" w:space="0" w:color="auto"/>
                        <w:bottom w:val="none" w:sz="0" w:space="0" w:color="auto"/>
                        <w:right w:val="none" w:sz="0" w:space="0" w:color="auto"/>
                      </w:divBdr>
                    </w:div>
                    <w:div w:id="180166502">
                      <w:marLeft w:val="0"/>
                      <w:marRight w:val="0"/>
                      <w:marTop w:val="256"/>
                      <w:marBottom w:val="256"/>
                      <w:divBdr>
                        <w:top w:val="none" w:sz="0" w:space="0" w:color="auto"/>
                        <w:left w:val="none" w:sz="0" w:space="0" w:color="auto"/>
                        <w:bottom w:val="none" w:sz="0" w:space="0" w:color="auto"/>
                        <w:right w:val="none" w:sz="0" w:space="0" w:color="auto"/>
                      </w:divBdr>
                    </w:div>
                    <w:div w:id="391537134">
                      <w:marLeft w:val="0"/>
                      <w:marRight w:val="0"/>
                      <w:marTop w:val="256"/>
                      <w:marBottom w:val="256"/>
                      <w:divBdr>
                        <w:top w:val="none" w:sz="0" w:space="0" w:color="auto"/>
                        <w:left w:val="none" w:sz="0" w:space="0" w:color="auto"/>
                        <w:bottom w:val="none" w:sz="0" w:space="0" w:color="auto"/>
                        <w:right w:val="none" w:sz="0" w:space="0" w:color="auto"/>
                      </w:divBdr>
                    </w:div>
                    <w:div w:id="165943426">
                      <w:marLeft w:val="0"/>
                      <w:marRight w:val="0"/>
                      <w:marTop w:val="256"/>
                      <w:marBottom w:val="256"/>
                      <w:divBdr>
                        <w:top w:val="none" w:sz="0" w:space="0" w:color="auto"/>
                        <w:left w:val="none" w:sz="0" w:space="0" w:color="auto"/>
                        <w:bottom w:val="none" w:sz="0" w:space="0" w:color="auto"/>
                        <w:right w:val="none" w:sz="0" w:space="0" w:color="auto"/>
                      </w:divBdr>
                    </w:div>
                    <w:div w:id="971902686">
                      <w:marLeft w:val="0"/>
                      <w:marRight w:val="0"/>
                      <w:marTop w:val="256"/>
                      <w:marBottom w:val="256"/>
                      <w:divBdr>
                        <w:top w:val="none" w:sz="0" w:space="0" w:color="auto"/>
                        <w:left w:val="none" w:sz="0" w:space="0" w:color="auto"/>
                        <w:bottom w:val="none" w:sz="0" w:space="0" w:color="auto"/>
                        <w:right w:val="none" w:sz="0" w:space="0" w:color="auto"/>
                      </w:divBdr>
                    </w:div>
                    <w:div w:id="1994985391">
                      <w:marLeft w:val="0"/>
                      <w:marRight w:val="0"/>
                      <w:marTop w:val="256"/>
                      <w:marBottom w:val="256"/>
                      <w:divBdr>
                        <w:top w:val="none" w:sz="0" w:space="0" w:color="auto"/>
                        <w:left w:val="none" w:sz="0" w:space="0" w:color="auto"/>
                        <w:bottom w:val="none" w:sz="0" w:space="0" w:color="auto"/>
                        <w:right w:val="none" w:sz="0" w:space="0" w:color="auto"/>
                      </w:divBdr>
                    </w:div>
                    <w:div w:id="1169634792">
                      <w:marLeft w:val="0"/>
                      <w:marRight w:val="0"/>
                      <w:marTop w:val="256"/>
                      <w:marBottom w:val="256"/>
                      <w:divBdr>
                        <w:top w:val="none" w:sz="0" w:space="0" w:color="auto"/>
                        <w:left w:val="none" w:sz="0" w:space="0" w:color="auto"/>
                        <w:bottom w:val="none" w:sz="0" w:space="0" w:color="auto"/>
                        <w:right w:val="none" w:sz="0" w:space="0" w:color="auto"/>
                      </w:divBdr>
                    </w:div>
                    <w:div w:id="737366918">
                      <w:marLeft w:val="0"/>
                      <w:marRight w:val="0"/>
                      <w:marTop w:val="256"/>
                      <w:marBottom w:val="256"/>
                      <w:divBdr>
                        <w:top w:val="none" w:sz="0" w:space="0" w:color="auto"/>
                        <w:left w:val="none" w:sz="0" w:space="0" w:color="auto"/>
                        <w:bottom w:val="none" w:sz="0" w:space="0" w:color="auto"/>
                        <w:right w:val="none" w:sz="0" w:space="0" w:color="auto"/>
                      </w:divBdr>
                    </w:div>
                    <w:div w:id="1538351566">
                      <w:marLeft w:val="0"/>
                      <w:marRight w:val="0"/>
                      <w:marTop w:val="256"/>
                      <w:marBottom w:val="256"/>
                      <w:divBdr>
                        <w:top w:val="none" w:sz="0" w:space="0" w:color="auto"/>
                        <w:left w:val="none" w:sz="0" w:space="0" w:color="auto"/>
                        <w:bottom w:val="none" w:sz="0" w:space="0" w:color="auto"/>
                        <w:right w:val="none" w:sz="0" w:space="0" w:color="auto"/>
                      </w:divBdr>
                    </w:div>
                    <w:div w:id="839660084">
                      <w:marLeft w:val="0"/>
                      <w:marRight w:val="0"/>
                      <w:marTop w:val="256"/>
                      <w:marBottom w:val="256"/>
                      <w:divBdr>
                        <w:top w:val="none" w:sz="0" w:space="0" w:color="auto"/>
                        <w:left w:val="none" w:sz="0" w:space="0" w:color="auto"/>
                        <w:bottom w:val="none" w:sz="0" w:space="0" w:color="auto"/>
                        <w:right w:val="none" w:sz="0" w:space="0" w:color="auto"/>
                      </w:divBdr>
                    </w:div>
                    <w:div w:id="200291633">
                      <w:marLeft w:val="0"/>
                      <w:marRight w:val="0"/>
                      <w:marTop w:val="256"/>
                      <w:marBottom w:val="256"/>
                      <w:divBdr>
                        <w:top w:val="none" w:sz="0" w:space="0" w:color="auto"/>
                        <w:left w:val="none" w:sz="0" w:space="0" w:color="auto"/>
                        <w:bottom w:val="none" w:sz="0" w:space="0" w:color="auto"/>
                        <w:right w:val="none" w:sz="0" w:space="0" w:color="auto"/>
                      </w:divBdr>
                    </w:div>
                    <w:div w:id="960305168">
                      <w:marLeft w:val="0"/>
                      <w:marRight w:val="0"/>
                      <w:marTop w:val="256"/>
                      <w:marBottom w:val="256"/>
                      <w:divBdr>
                        <w:top w:val="none" w:sz="0" w:space="0" w:color="auto"/>
                        <w:left w:val="none" w:sz="0" w:space="0" w:color="auto"/>
                        <w:bottom w:val="none" w:sz="0" w:space="0" w:color="auto"/>
                        <w:right w:val="none" w:sz="0" w:space="0" w:color="auto"/>
                      </w:divBdr>
                    </w:div>
                    <w:div w:id="698119036">
                      <w:marLeft w:val="0"/>
                      <w:marRight w:val="0"/>
                      <w:marTop w:val="256"/>
                      <w:marBottom w:val="256"/>
                      <w:divBdr>
                        <w:top w:val="none" w:sz="0" w:space="0" w:color="auto"/>
                        <w:left w:val="none" w:sz="0" w:space="0" w:color="auto"/>
                        <w:bottom w:val="none" w:sz="0" w:space="0" w:color="auto"/>
                        <w:right w:val="none" w:sz="0" w:space="0" w:color="auto"/>
                      </w:divBdr>
                    </w:div>
                    <w:div w:id="31151374">
                      <w:marLeft w:val="0"/>
                      <w:marRight w:val="0"/>
                      <w:marTop w:val="256"/>
                      <w:marBottom w:val="256"/>
                      <w:divBdr>
                        <w:top w:val="none" w:sz="0" w:space="0" w:color="auto"/>
                        <w:left w:val="none" w:sz="0" w:space="0" w:color="auto"/>
                        <w:bottom w:val="none" w:sz="0" w:space="0" w:color="auto"/>
                        <w:right w:val="none" w:sz="0" w:space="0" w:color="auto"/>
                      </w:divBdr>
                    </w:div>
                    <w:div w:id="327052852">
                      <w:marLeft w:val="0"/>
                      <w:marRight w:val="0"/>
                      <w:marTop w:val="256"/>
                      <w:marBottom w:val="256"/>
                      <w:divBdr>
                        <w:top w:val="none" w:sz="0" w:space="0" w:color="auto"/>
                        <w:left w:val="none" w:sz="0" w:space="0" w:color="auto"/>
                        <w:bottom w:val="none" w:sz="0" w:space="0" w:color="auto"/>
                        <w:right w:val="none" w:sz="0" w:space="0" w:color="auto"/>
                      </w:divBdr>
                    </w:div>
                    <w:div w:id="1706444067">
                      <w:marLeft w:val="0"/>
                      <w:marRight w:val="0"/>
                      <w:marTop w:val="256"/>
                      <w:marBottom w:val="256"/>
                      <w:divBdr>
                        <w:top w:val="none" w:sz="0" w:space="0" w:color="auto"/>
                        <w:left w:val="none" w:sz="0" w:space="0" w:color="auto"/>
                        <w:bottom w:val="none" w:sz="0" w:space="0" w:color="auto"/>
                        <w:right w:val="none" w:sz="0" w:space="0" w:color="auto"/>
                      </w:divBdr>
                    </w:div>
                    <w:div w:id="1698382625">
                      <w:marLeft w:val="0"/>
                      <w:marRight w:val="0"/>
                      <w:marTop w:val="256"/>
                      <w:marBottom w:val="256"/>
                      <w:divBdr>
                        <w:top w:val="none" w:sz="0" w:space="0" w:color="auto"/>
                        <w:left w:val="none" w:sz="0" w:space="0" w:color="auto"/>
                        <w:bottom w:val="none" w:sz="0" w:space="0" w:color="auto"/>
                        <w:right w:val="none" w:sz="0" w:space="0" w:color="auto"/>
                      </w:divBdr>
                    </w:div>
                    <w:div w:id="1871066344">
                      <w:marLeft w:val="0"/>
                      <w:marRight w:val="0"/>
                      <w:marTop w:val="256"/>
                      <w:marBottom w:val="256"/>
                      <w:divBdr>
                        <w:top w:val="none" w:sz="0" w:space="0" w:color="auto"/>
                        <w:left w:val="none" w:sz="0" w:space="0" w:color="auto"/>
                        <w:bottom w:val="none" w:sz="0" w:space="0" w:color="auto"/>
                        <w:right w:val="none" w:sz="0" w:space="0" w:color="auto"/>
                      </w:divBdr>
                    </w:div>
                    <w:div w:id="1164473855">
                      <w:marLeft w:val="0"/>
                      <w:marRight w:val="0"/>
                      <w:marTop w:val="256"/>
                      <w:marBottom w:val="256"/>
                      <w:divBdr>
                        <w:top w:val="none" w:sz="0" w:space="0" w:color="auto"/>
                        <w:left w:val="none" w:sz="0" w:space="0" w:color="auto"/>
                        <w:bottom w:val="none" w:sz="0" w:space="0" w:color="auto"/>
                        <w:right w:val="none" w:sz="0" w:space="0" w:color="auto"/>
                      </w:divBdr>
                    </w:div>
                    <w:div w:id="1717002044">
                      <w:marLeft w:val="0"/>
                      <w:marRight w:val="0"/>
                      <w:marTop w:val="256"/>
                      <w:marBottom w:val="256"/>
                      <w:divBdr>
                        <w:top w:val="none" w:sz="0" w:space="0" w:color="auto"/>
                        <w:left w:val="none" w:sz="0" w:space="0" w:color="auto"/>
                        <w:bottom w:val="none" w:sz="0" w:space="0" w:color="auto"/>
                        <w:right w:val="none" w:sz="0" w:space="0" w:color="auto"/>
                      </w:divBdr>
                    </w:div>
                    <w:div w:id="869487346">
                      <w:marLeft w:val="0"/>
                      <w:marRight w:val="0"/>
                      <w:marTop w:val="256"/>
                      <w:marBottom w:val="256"/>
                      <w:divBdr>
                        <w:top w:val="none" w:sz="0" w:space="0" w:color="auto"/>
                        <w:left w:val="none" w:sz="0" w:space="0" w:color="auto"/>
                        <w:bottom w:val="none" w:sz="0" w:space="0" w:color="auto"/>
                        <w:right w:val="none" w:sz="0" w:space="0" w:color="auto"/>
                      </w:divBdr>
                    </w:div>
                    <w:div w:id="853224076">
                      <w:marLeft w:val="0"/>
                      <w:marRight w:val="0"/>
                      <w:marTop w:val="256"/>
                      <w:marBottom w:val="256"/>
                      <w:divBdr>
                        <w:top w:val="none" w:sz="0" w:space="0" w:color="auto"/>
                        <w:left w:val="none" w:sz="0" w:space="0" w:color="auto"/>
                        <w:bottom w:val="none" w:sz="0" w:space="0" w:color="auto"/>
                        <w:right w:val="none" w:sz="0" w:space="0" w:color="auto"/>
                      </w:divBdr>
                    </w:div>
                    <w:div w:id="1391685673">
                      <w:marLeft w:val="0"/>
                      <w:marRight w:val="0"/>
                      <w:marTop w:val="256"/>
                      <w:marBottom w:val="256"/>
                      <w:divBdr>
                        <w:top w:val="none" w:sz="0" w:space="0" w:color="auto"/>
                        <w:left w:val="none" w:sz="0" w:space="0" w:color="auto"/>
                        <w:bottom w:val="none" w:sz="0" w:space="0" w:color="auto"/>
                        <w:right w:val="none" w:sz="0" w:space="0" w:color="auto"/>
                      </w:divBdr>
                    </w:div>
                    <w:div w:id="2054885726">
                      <w:marLeft w:val="0"/>
                      <w:marRight w:val="0"/>
                      <w:marTop w:val="256"/>
                      <w:marBottom w:val="256"/>
                      <w:divBdr>
                        <w:top w:val="none" w:sz="0" w:space="0" w:color="auto"/>
                        <w:left w:val="none" w:sz="0" w:space="0" w:color="auto"/>
                        <w:bottom w:val="none" w:sz="0" w:space="0" w:color="auto"/>
                        <w:right w:val="none" w:sz="0" w:space="0" w:color="auto"/>
                      </w:divBdr>
                    </w:div>
                    <w:div w:id="1622497174">
                      <w:marLeft w:val="0"/>
                      <w:marRight w:val="0"/>
                      <w:marTop w:val="256"/>
                      <w:marBottom w:val="256"/>
                      <w:divBdr>
                        <w:top w:val="none" w:sz="0" w:space="0" w:color="auto"/>
                        <w:left w:val="none" w:sz="0" w:space="0" w:color="auto"/>
                        <w:bottom w:val="none" w:sz="0" w:space="0" w:color="auto"/>
                        <w:right w:val="none" w:sz="0" w:space="0" w:color="auto"/>
                      </w:divBdr>
                    </w:div>
                    <w:div w:id="1000543257">
                      <w:marLeft w:val="0"/>
                      <w:marRight w:val="0"/>
                      <w:marTop w:val="256"/>
                      <w:marBottom w:val="256"/>
                      <w:divBdr>
                        <w:top w:val="none" w:sz="0" w:space="0" w:color="auto"/>
                        <w:left w:val="none" w:sz="0" w:space="0" w:color="auto"/>
                        <w:bottom w:val="none" w:sz="0" w:space="0" w:color="auto"/>
                        <w:right w:val="none" w:sz="0" w:space="0" w:color="auto"/>
                      </w:divBdr>
                    </w:div>
                    <w:div w:id="337580643">
                      <w:marLeft w:val="0"/>
                      <w:marRight w:val="0"/>
                      <w:marTop w:val="256"/>
                      <w:marBottom w:val="256"/>
                      <w:divBdr>
                        <w:top w:val="none" w:sz="0" w:space="0" w:color="auto"/>
                        <w:left w:val="none" w:sz="0" w:space="0" w:color="auto"/>
                        <w:bottom w:val="none" w:sz="0" w:space="0" w:color="auto"/>
                        <w:right w:val="none" w:sz="0" w:space="0" w:color="auto"/>
                      </w:divBdr>
                    </w:div>
                    <w:div w:id="1874414856">
                      <w:marLeft w:val="0"/>
                      <w:marRight w:val="0"/>
                      <w:marTop w:val="256"/>
                      <w:marBottom w:val="256"/>
                      <w:divBdr>
                        <w:top w:val="none" w:sz="0" w:space="0" w:color="auto"/>
                        <w:left w:val="none" w:sz="0" w:space="0" w:color="auto"/>
                        <w:bottom w:val="none" w:sz="0" w:space="0" w:color="auto"/>
                        <w:right w:val="none" w:sz="0" w:space="0" w:color="auto"/>
                      </w:divBdr>
                    </w:div>
                    <w:div w:id="1522426318">
                      <w:marLeft w:val="0"/>
                      <w:marRight w:val="0"/>
                      <w:marTop w:val="256"/>
                      <w:marBottom w:val="256"/>
                      <w:divBdr>
                        <w:top w:val="none" w:sz="0" w:space="0" w:color="auto"/>
                        <w:left w:val="none" w:sz="0" w:space="0" w:color="auto"/>
                        <w:bottom w:val="none" w:sz="0" w:space="0" w:color="auto"/>
                        <w:right w:val="none" w:sz="0" w:space="0" w:color="auto"/>
                      </w:divBdr>
                    </w:div>
                    <w:div w:id="1370640184">
                      <w:marLeft w:val="0"/>
                      <w:marRight w:val="0"/>
                      <w:marTop w:val="256"/>
                      <w:marBottom w:val="256"/>
                      <w:divBdr>
                        <w:top w:val="none" w:sz="0" w:space="0" w:color="auto"/>
                        <w:left w:val="none" w:sz="0" w:space="0" w:color="auto"/>
                        <w:bottom w:val="none" w:sz="0" w:space="0" w:color="auto"/>
                        <w:right w:val="none" w:sz="0" w:space="0" w:color="auto"/>
                      </w:divBdr>
                    </w:div>
                    <w:div w:id="951328588">
                      <w:marLeft w:val="0"/>
                      <w:marRight w:val="0"/>
                      <w:marTop w:val="256"/>
                      <w:marBottom w:val="256"/>
                      <w:divBdr>
                        <w:top w:val="none" w:sz="0" w:space="0" w:color="auto"/>
                        <w:left w:val="none" w:sz="0" w:space="0" w:color="auto"/>
                        <w:bottom w:val="none" w:sz="0" w:space="0" w:color="auto"/>
                        <w:right w:val="none" w:sz="0" w:space="0" w:color="auto"/>
                      </w:divBdr>
                    </w:div>
                    <w:div w:id="1000156899">
                      <w:marLeft w:val="0"/>
                      <w:marRight w:val="0"/>
                      <w:marTop w:val="256"/>
                      <w:marBottom w:val="256"/>
                      <w:divBdr>
                        <w:top w:val="none" w:sz="0" w:space="0" w:color="auto"/>
                        <w:left w:val="none" w:sz="0" w:space="0" w:color="auto"/>
                        <w:bottom w:val="none" w:sz="0" w:space="0" w:color="auto"/>
                        <w:right w:val="none" w:sz="0" w:space="0" w:color="auto"/>
                      </w:divBdr>
                    </w:div>
                    <w:div w:id="1346404331">
                      <w:marLeft w:val="0"/>
                      <w:marRight w:val="0"/>
                      <w:marTop w:val="256"/>
                      <w:marBottom w:val="256"/>
                      <w:divBdr>
                        <w:top w:val="none" w:sz="0" w:space="0" w:color="auto"/>
                        <w:left w:val="none" w:sz="0" w:space="0" w:color="auto"/>
                        <w:bottom w:val="none" w:sz="0" w:space="0" w:color="auto"/>
                        <w:right w:val="none" w:sz="0" w:space="0" w:color="auto"/>
                      </w:divBdr>
                    </w:div>
                    <w:div w:id="454645473">
                      <w:marLeft w:val="0"/>
                      <w:marRight w:val="0"/>
                      <w:marTop w:val="256"/>
                      <w:marBottom w:val="256"/>
                      <w:divBdr>
                        <w:top w:val="none" w:sz="0" w:space="0" w:color="auto"/>
                        <w:left w:val="none" w:sz="0" w:space="0" w:color="auto"/>
                        <w:bottom w:val="none" w:sz="0" w:space="0" w:color="auto"/>
                        <w:right w:val="none" w:sz="0" w:space="0" w:color="auto"/>
                      </w:divBdr>
                    </w:div>
                    <w:div w:id="654996707">
                      <w:marLeft w:val="0"/>
                      <w:marRight w:val="0"/>
                      <w:marTop w:val="256"/>
                      <w:marBottom w:val="256"/>
                      <w:divBdr>
                        <w:top w:val="none" w:sz="0" w:space="0" w:color="auto"/>
                        <w:left w:val="none" w:sz="0" w:space="0" w:color="auto"/>
                        <w:bottom w:val="none" w:sz="0" w:space="0" w:color="auto"/>
                        <w:right w:val="none" w:sz="0" w:space="0" w:color="auto"/>
                      </w:divBdr>
                    </w:div>
                    <w:div w:id="1515458567">
                      <w:marLeft w:val="0"/>
                      <w:marRight w:val="0"/>
                      <w:marTop w:val="256"/>
                      <w:marBottom w:val="256"/>
                      <w:divBdr>
                        <w:top w:val="none" w:sz="0" w:space="0" w:color="auto"/>
                        <w:left w:val="none" w:sz="0" w:space="0" w:color="auto"/>
                        <w:bottom w:val="none" w:sz="0" w:space="0" w:color="auto"/>
                        <w:right w:val="none" w:sz="0" w:space="0" w:color="auto"/>
                      </w:divBdr>
                    </w:div>
                    <w:div w:id="1958027405">
                      <w:marLeft w:val="0"/>
                      <w:marRight w:val="0"/>
                      <w:marTop w:val="256"/>
                      <w:marBottom w:val="256"/>
                      <w:divBdr>
                        <w:top w:val="none" w:sz="0" w:space="0" w:color="auto"/>
                        <w:left w:val="none" w:sz="0" w:space="0" w:color="auto"/>
                        <w:bottom w:val="none" w:sz="0" w:space="0" w:color="auto"/>
                        <w:right w:val="none" w:sz="0" w:space="0" w:color="auto"/>
                      </w:divBdr>
                    </w:div>
                    <w:div w:id="1574047446">
                      <w:marLeft w:val="0"/>
                      <w:marRight w:val="0"/>
                      <w:marTop w:val="256"/>
                      <w:marBottom w:val="256"/>
                      <w:divBdr>
                        <w:top w:val="none" w:sz="0" w:space="0" w:color="auto"/>
                        <w:left w:val="none" w:sz="0" w:space="0" w:color="auto"/>
                        <w:bottom w:val="none" w:sz="0" w:space="0" w:color="auto"/>
                        <w:right w:val="none" w:sz="0" w:space="0" w:color="auto"/>
                      </w:divBdr>
                    </w:div>
                    <w:div w:id="700282403">
                      <w:marLeft w:val="0"/>
                      <w:marRight w:val="0"/>
                      <w:marTop w:val="256"/>
                      <w:marBottom w:val="256"/>
                      <w:divBdr>
                        <w:top w:val="none" w:sz="0" w:space="0" w:color="auto"/>
                        <w:left w:val="none" w:sz="0" w:space="0" w:color="auto"/>
                        <w:bottom w:val="none" w:sz="0" w:space="0" w:color="auto"/>
                        <w:right w:val="none" w:sz="0" w:space="0" w:color="auto"/>
                      </w:divBdr>
                    </w:div>
                    <w:div w:id="1452283307">
                      <w:marLeft w:val="0"/>
                      <w:marRight w:val="0"/>
                      <w:marTop w:val="256"/>
                      <w:marBottom w:val="256"/>
                      <w:divBdr>
                        <w:top w:val="none" w:sz="0" w:space="0" w:color="auto"/>
                        <w:left w:val="none" w:sz="0" w:space="0" w:color="auto"/>
                        <w:bottom w:val="none" w:sz="0" w:space="0" w:color="auto"/>
                        <w:right w:val="none" w:sz="0" w:space="0" w:color="auto"/>
                      </w:divBdr>
                    </w:div>
                    <w:div w:id="1580287736">
                      <w:marLeft w:val="0"/>
                      <w:marRight w:val="0"/>
                      <w:marTop w:val="256"/>
                      <w:marBottom w:val="256"/>
                      <w:divBdr>
                        <w:top w:val="none" w:sz="0" w:space="0" w:color="auto"/>
                        <w:left w:val="none" w:sz="0" w:space="0" w:color="auto"/>
                        <w:bottom w:val="none" w:sz="0" w:space="0" w:color="auto"/>
                        <w:right w:val="none" w:sz="0" w:space="0" w:color="auto"/>
                      </w:divBdr>
                    </w:div>
                    <w:div w:id="1066149658">
                      <w:marLeft w:val="0"/>
                      <w:marRight w:val="0"/>
                      <w:marTop w:val="256"/>
                      <w:marBottom w:val="256"/>
                      <w:divBdr>
                        <w:top w:val="none" w:sz="0" w:space="0" w:color="auto"/>
                        <w:left w:val="none" w:sz="0" w:space="0" w:color="auto"/>
                        <w:bottom w:val="none" w:sz="0" w:space="0" w:color="auto"/>
                        <w:right w:val="none" w:sz="0" w:space="0" w:color="auto"/>
                      </w:divBdr>
                    </w:div>
                    <w:div w:id="327251331">
                      <w:marLeft w:val="0"/>
                      <w:marRight w:val="0"/>
                      <w:marTop w:val="256"/>
                      <w:marBottom w:val="256"/>
                      <w:divBdr>
                        <w:top w:val="none" w:sz="0" w:space="0" w:color="auto"/>
                        <w:left w:val="none" w:sz="0" w:space="0" w:color="auto"/>
                        <w:bottom w:val="none" w:sz="0" w:space="0" w:color="auto"/>
                        <w:right w:val="none" w:sz="0" w:space="0" w:color="auto"/>
                      </w:divBdr>
                    </w:div>
                    <w:div w:id="985547695">
                      <w:marLeft w:val="0"/>
                      <w:marRight w:val="0"/>
                      <w:marTop w:val="256"/>
                      <w:marBottom w:val="256"/>
                      <w:divBdr>
                        <w:top w:val="none" w:sz="0" w:space="0" w:color="auto"/>
                        <w:left w:val="none" w:sz="0" w:space="0" w:color="auto"/>
                        <w:bottom w:val="none" w:sz="0" w:space="0" w:color="auto"/>
                        <w:right w:val="none" w:sz="0" w:space="0" w:color="auto"/>
                      </w:divBdr>
                    </w:div>
                    <w:div w:id="953436739">
                      <w:marLeft w:val="0"/>
                      <w:marRight w:val="0"/>
                      <w:marTop w:val="256"/>
                      <w:marBottom w:val="256"/>
                      <w:divBdr>
                        <w:top w:val="none" w:sz="0" w:space="0" w:color="auto"/>
                        <w:left w:val="none" w:sz="0" w:space="0" w:color="auto"/>
                        <w:bottom w:val="none" w:sz="0" w:space="0" w:color="auto"/>
                        <w:right w:val="none" w:sz="0" w:space="0" w:color="auto"/>
                      </w:divBdr>
                    </w:div>
                    <w:div w:id="159463436">
                      <w:marLeft w:val="0"/>
                      <w:marRight w:val="0"/>
                      <w:marTop w:val="256"/>
                      <w:marBottom w:val="256"/>
                      <w:divBdr>
                        <w:top w:val="none" w:sz="0" w:space="0" w:color="auto"/>
                        <w:left w:val="none" w:sz="0" w:space="0" w:color="auto"/>
                        <w:bottom w:val="none" w:sz="0" w:space="0" w:color="auto"/>
                        <w:right w:val="none" w:sz="0" w:space="0" w:color="auto"/>
                      </w:divBdr>
                    </w:div>
                    <w:div w:id="795759507">
                      <w:marLeft w:val="0"/>
                      <w:marRight w:val="0"/>
                      <w:marTop w:val="256"/>
                      <w:marBottom w:val="256"/>
                      <w:divBdr>
                        <w:top w:val="none" w:sz="0" w:space="0" w:color="auto"/>
                        <w:left w:val="none" w:sz="0" w:space="0" w:color="auto"/>
                        <w:bottom w:val="none" w:sz="0" w:space="0" w:color="auto"/>
                        <w:right w:val="none" w:sz="0" w:space="0" w:color="auto"/>
                      </w:divBdr>
                    </w:div>
                    <w:div w:id="1499226629">
                      <w:marLeft w:val="0"/>
                      <w:marRight w:val="0"/>
                      <w:marTop w:val="256"/>
                      <w:marBottom w:val="256"/>
                      <w:divBdr>
                        <w:top w:val="none" w:sz="0" w:space="0" w:color="auto"/>
                        <w:left w:val="none" w:sz="0" w:space="0" w:color="auto"/>
                        <w:bottom w:val="none" w:sz="0" w:space="0" w:color="auto"/>
                        <w:right w:val="none" w:sz="0" w:space="0" w:color="auto"/>
                      </w:divBdr>
                    </w:div>
                    <w:div w:id="1903175632">
                      <w:marLeft w:val="0"/>
                      <w:marRight w:val="0"/>
                      <w:marTop w:val="256"/>
                      <w:marBottom w:val="256"/>
                      <w:divBdr>
                        <w:top w:val="none" w:sz="0" w:space="0" w:color="auto"/>
                        <w:left w:val="none" w:sz="0" w:space="0" w:color="auto"/>
                        <w:bottom w:val="none" w:sz="0" w:space="0" w:color="auto"/>
                        <w:right w:val="none" w:sz="0" w:space="0" w:color="auto"/>
                      </w:divBdr>
                    </w:div>
                    <w:div w:id="1702633089">
                      <w:marLeft w:val="0"/>
                      <w:marRight w:val="0"/>
                      <w:marTop w:val="256"/>
                      <w:marBottom w:val="256"/>
                      <w:divBdr>
                        <w:top w:val="none" w:sz="0" w:space="0" w:color="auto"/>
                        <w:left w:val="none" w:sz="0" w:space="0" w:color="auto"/>
                        <w:bottom w:val="none" w:sz="0" w:space="0" w:color="auto"/>
                        <w:right w:val="none" w:sz="0" w:space="0" w:color="auto"/>
                      </w:divBdr>
                    </w:div>
                    <w:div w:id="1322730103">
                      <w:marLeft w:val="0"/>
                      <w:marRight w:val="0"/>
                      <w:marTop w:val="256"/>
                      <w:marBottom w:val="256"/>
                      <w:divBdr>
                        <w:top w:val="none" w:sz="0" w:space="0" w:color="auto"/>
                        <w:left w:val="none" w:sz="0" w:space="0" w:color="auto"/>
                        <w:bottom w:val="none" w:sz="0" w:space="0" w:color="auto"/>
                        <w:right w:val="none" w:sz="0" w:space="0" w:color="auto"/>
                      </w:divBdr>
                    </w:div>
                    <w:div w:id="1623268994">
                      <w:marLeft w:val="0"/>
                      <w:marRight w:val="0"/>
                      <w:marTop w:val="256"/>
                      <w:marBottom w:val="256"/>
                      <w:divBdr>
                        <w:top w:val="none" w:sz="0" w:space="0" w:color="auto"/>
                        <w:left w:val="none" w:sz="0" w:space="0" w:color="auto"/>
                        <w:bottom w:val="none" w:sz="0" w:space="0" w:color="auto"/>
                        <w:right w:val="none" w:sz="0" w:space="0" w:color="auto"/>
                      </w:divBdr>
                    </w:div>
                    <w:div w:id="2133550983">
                      <w:marLeft w:val="0"/>
                      <w:marRight w:val="0"/>
                      <w:marTop w:val="256"/>
                      <w:marBottom w:val="256"/>
                      <w:divBdr>
                        <w:top w:val="none" w:sz="0" w:space="0" w:color="auto"/>
                        <w:left w:val="none" w:sz="0" w:space="0" w:color="auto"/>
                        <w:bottom w:val="none" w:sz="0" w:space="0" w:color="auto"/>
                        <w:right w:val="none" w:sz="0" w:space="0" w:color="auto"/>
                      </w:divBdr>
                    </w:div>
                    <w:div w:id="1004095270">
                      <w:marLeft w:val="0"/>
                      <w:marRight w:val="0"/>
                      <w:marTop w:val="256"/>
                      <w:marBottom w:val="256"/>
                      <w:divBdr>
                        <w:top w:val="none" w:sz="0" w:space="0" w:color="auto"/>
                        <w:left w:val="none" w:sz="0" w:space="0" w:color="auto"/>
                        <w:bottom w:val="none" w:sz="0" w:space="0" w:color="auto"/>
                        <w:right w:val="none" w:sz="0" w:space="0" w:color="auto"/>
                      </w:divBdr>
                    </w:div>
                    <w:div w:id="299237633">
                      <w:marLeft w:val="0"/>
                      <w:marRight w:val="0"/>
                      <w:marTop w:val="256"/>
                      <w:marBottom w:val="256"/>
                      <w:divBdr>
                        <w:top w:val="none" w:sz="0" w:space="0" w:color="auto"/>
                        <w:left w:val="none" w:sz="0" w:space="0" w:color="auto"/>
                        <w:bottom w:val="none" w:sz="0" w:space="0" w:color="auto"/>
                        <w:right w:val="none" w:sz="0" w:space="0" w:color="auto"/>
                      </w:divBdr>
                    </w:div>
                    <w:div w:id="2083334153">
                      <w:marLeft w:val="0"/>
                      <w:marRight w:val="0"/>
                      <w:marTop w:val="256"/>
                      <w:marBottom w:val="256"/>
                      <w:divBdr>
                        <w:top w:val="none" w:sz="0" w:space="0" w:color="auto"/>
                        <w:left w:val="none" w:sz="0" w:space="0" w:color="auto"/>
                        <w:bottom w:val="none" w:sz="0" w:space="0" w:color="auto"/>
                        <w:right w:val="none" w:sz="0" w:space="0" w:color="auto"/>
                      </w:divBdr>
                    </w:div>
                    <w:div w:id="75828504">
                      <w:marLeft w:val="0"/>
                      <w:marRight w:val="0"/>
                      <w:marTop w:val="256"/>
                      <w:marBottom w:val="256"/>
                      <w:divBdr>
                        <w:top w:val="none" w:sz="0" w:space="0" w:color="auto"/>
                        <w:left w:val="none" w:sz="0" w:space="0" w:color="auto"/>
                        <w:bottom w:val="none" w:sz="0" w:space="0" w:color="auto"/>
                        <w:right w:val="none" w:sz="0" w:space="0" w:color="auto"/>
                      </w:divBdr>
                    </w:div>
                    <w:div w:id="1690375263">
                      <w:marLeft w:val="0"/>
                      <w:marRight w:val="0"/>
                      <w:marTop w:val="256"/>
                      <w:marBottom w:val="256"/>
                      <w:divBdr>
                        <w:top w:val="none" w:sz="0" w:space="0" w:color="auto"/>
                        <w:left w:val="none" w:sz="0" w:space="0" w:color="auto"/>
                        <w:bottom w:val="none" w:sz="0" w:space="0" w:color="auto"/>
                        <w:right w:val="none" w:sz="0" w:space="0" w:color="auto"/>
                      </w:divBdr>
                    </w:div>
                    <w:div w:id="14550">
                      <w:marLeft w:val="0"/>
                      <w:marRight w:val="0"/>
                      <w:marTop w:val="256"/>
                      <w:marBottom w:val="256"/>
                      <w:divBdr>
                        <w:top w:val="none" w:sz="0" w:space="0" w:color="auto"/>
                        <w:left w:val="none" w:sz="0" w:space="0" w:color="auto"/>
                        <w:bottom w:val="none" w:sz="0" w:space="0" w:color="auto"/>
                        <w:right w:val="none" w:sz="0" w:space="0" w:color="auto"/>
                      </w:divBdr>
                    </w:div>
                    <w:div w:id="174194862">
                      <w:marLeft w:val="0"/>
                      <w:marRight w:val="0"/>
                      <w:marTop w:val="256"/>
                      <w:marBottom w:val="256"/>
                      <w:divBdr>
                        <w:top w:val="none" w:sz="0" w:space="0" w:color="auto"/>
                        <w:left w:val="none" w:sz="0" w:space="0" w:color="auto"/>
                        <w:bottom w:val="none" w:sz="0" w:space="0" w:color="auto"/>
                        <w:right w:val="none" w:sz="0" w:space="0" w:color="auto"/>
                      </w:divBdr>
                    </w:div>
                    <w:div w:id="690113000">
                      <w:marLeft w:val="0"/>
                      <w:marRight w:val="0"/>
                      <w:marTop w:val="256"/>
                      <w:marBottom w:val="256"/>
                      <w:divBdr>
                        <w:top w:val="none" w:sz="0" w:space="0" w:color="auto"/>
                        <w:left w:val="none" w:sz="0" w:space="0" w:color="auto"/>
                        <w:bottom w:val="none" w:sz="0" w:space="0" w:color="auto"/>
                        <w:right w:val="none" w:sz="0" w:space="0" w:color="auto"/>
                      </w:divBdr>
                    </w:div>
                    <w:div w:id="1919712163">
                      <w:marLeft w:val="0"/>
                      <w:marRight w:val="0"/>
                      <w:marTop w:val="256"/>
                      <w:marBottom w:val="256"/>
                      <w:divBdr>
                        <w:top w:val="none" w:sz="0" w:space="0" w:color="auto"/>
                        <w:left w:val="none" w:sz="0" w:space="0" w:color="auto"/>
                        <w:bottom w:val="none" w:sz="0" w:space="0" w:color="auto"/>
                        <w:right w:val="none" w:sz="0" w:space="0" w:color="auto"/>
                      </w:divBdr>
                    </w:div>
                    <w:div w:id="1281260916">
                      <w:marLeft w:val="0"/>
                      <w:marRight w:val="0"/>
                      <w:marTop w:val="256"/>
                      <w:marBottom w:val="256"/>
                      <w:divBdr>
                        <w:top w:val="none" w:sz="0" w:space="0" w:color="auto"/>
                        <w:left w:val="none" w:sz="0" w:space="0" w:color="auto"/>
                        <w:bottom w:val="none" w:sz="0" w:space="0" w:color="auto"/>
                        <w:right w:val="none" w:sz="0" w:space="0" w:color="auto"/>
                      </w:divBdr>
                    </w:div>
                    <w:div w:id="1949652769">
                      <w:marLeft w:val="0"/>
                      <w:marRight w:val="0"/>
                      <w:marTop w:val="256"/>
                      <w:marBottom w:val="256"/>
                      <w:divBdr>
                        <w:top w:val="none" w:sz="0" w:space="0" w:color="auto"/>
                        <w:left w:val="none" w:sz="0" w:space="0" w:color="auto"/>
                        <w:bottom w:val="none" w:sz="0" w:space="0" w:color="auto"/>
                        <w:right w:val="none" w:sz="0" w:space="0" w:color="auto"/>
                      </w:divBdr>
                    </w:div>
                    <w:div w:id="588008269">
                      <w:marLeft w:val="0"/>
                      <w:marRight w:val="0"/>
                      <w:marTop w:val="256"/>
                      <w:marBottom w:val="256"/>
                      <w:divBdr>
                        <w:top w:val="none" w:sz="0" w:space="0" w:color="auto"/>
                        <w:left w:val="none" w:sz="0" w:space="0" w:color="auto"/>
                        <w:bottom w:val="none" w:sz="0" w:space="0" w:color="auto"/>
                        <w:right w:val="none" w:sz="0" w:space="0" w:color="auto"/>
                      </w:divBdr>
                    </w:div>
                    <w:div w:id="1623465277">
                      <w:marLeft w:val="0"/>
                      <w:marRight w:val="0"/>
                      <w:marTop w:val="256"/>
                      <w:marBottom w:val="256"/>
                      <w:divBdr>
                        <w:top w:val="none" w:sz="0" w:space="0" w:color="auto"/>
                        <w:left w:val="none" w:sz="0" w:space="0" w:color="auto"/>
                        <w:bottom w:val="none" w:sz="0" w:space="0" w:color="auto"/>
                        <w:right w:val="none" w:sz="0" w:space="0" w:color="auto"/>
                      </w:divBdr>
                    </w:div>
                    <w:div w:id="779841727">
                      <w:marLeft w:val="0"/>
                      <w:marRight w:val="0"/>
                      <w:marTop w:val="256"/>
                      <w:marBottom w:val="256"/>
                      <w:divBdr>
                        <w:top w:val="none" w:sz="0" w:space="0" w:color="auto"/>
                        <w:left w:val="none" w:sz="0" w:space="0" w:color="auto"/>
                        <w:bottom w:val="none" w:sz="0" w:space="0" w:color="auto"/>
                        <w:right w:val="none" w:sz="0" w:space="0" w:color="auto"/>
                      </w:divBdr>
                    </w:div>
                    <w:div w:id="2132507035">
                      <w:marLeft w:val="0"/>
                      <w:marRight w:val="0"/>
                      <w:marTop w:val="256"/>
                      <w:marBottom w:val="256"/>
                      <w:divBdr>
                        <w:top w:val="none" w:sz="0" w:space="0" w:color="auto"/>
                        <w:left w:val="none" w:sz="0" w:space="0" w:color="auto"/>
                        <w:bottom w:val="none" w:sz="0" w:space="0" w:color="auto"/>
                        <w:right w:val="none" w:sz="0" w:space="0" w:color="auto"/>
                      </w:divBdr>
                    </w:div>
                    <w:div w:id="1230652852">
                      <w:marLeft w:val="0"/>
                      <w:marRight w:val="0"/>
                      <w:marTop w:val="256"/>
                      <w:marBottom w:val="256"/>
                      <w:divBdr>
                        <w:top w:val="none" w:sz="0" w:space="0" w:color="auto"/>
                        <w:left w:val="none" w:sz="0" w:space="0" w:color="auto"/>
                        <w:bottom w:val="none" w:sz="0" w:space="0" w:color="auto"/>
                        <w:right w:val="none" w:sz="0" w:space="0" w:color="auto"/>
                      </w:divBdr>
                    </w:div>
                    <w:div w:id="516970192">
                      <w:marLeft w:val="0"/>
                      <w:marRight w:val="0"/>
                      <w:marTop w:val="256"/>
                      <w:marBottom w:val="256"/>
                      <w:divBdr>
                        <w:top w:val="none" w:sz="0" w:space="0" w:color="auto"/>
                        <w:left w:val="none" w:sz="0" w:space="0" w:color="auto"/>
                        <w:bottom w:val="none" w:sz="0" w:space="0" w:color="auto"/>
                        <w:right w:val="none" w:sz="0" w:space="0" w:color="auto"/>
                      </w:divBdr>
                    </w:div>
                    <w:div w:id="465661665">
                      <w:marLeft w:val="0"/>
                      <w:marRight w:val="0"/>
                      <w:marTop w:val="256"/>
                      <w:marBottom w:val="256"/>
                      <w:divBdr>
                        <w:top w:val="none" w:sz="0" w:space="0" w:color="auto"/>
                        <w:left w:val="none" w:sz="0" w:space="0" w:color="auto"/>
                        <w:bottom w:val="none" w:sz="0" w:space="0" w:color="auto"/>
                        <w:right w:val="none" w:sz="0" w:space="0" w:color="auto"/>
                      </w:divBdr>
                    </w:div>
                    <w:div w:id="1433284236">
                      <w:marLeft w:val="0"/>
                      <w:marRight w:val="0"/>
                      <w:marTop w:val="256"/>
                      <w:marBottom w:val="256"/>
                      <w:divBdr>
                        <w:top w:val="none" w:sz="0" w:space="0" w:color="auto"/>
                        <w:left w:val="none" w:sz="0" w:space="0" w:color="auto"/>
                        <w:bottom w:val="none" w:sz="0" w:space="0" w:color="auto"/>
                        <w:right w:val="none" w:sz="0" w:space="0" w:color="auto"/>
                      </w:divBdr>
                    </w:div>
                    <w:div w:id="1410884323">
                      <w:marLeft w:val="0"/>
                      <w:marRight w:val="0"/>
                      <w:marTop w:val="256"/>
                      <w:marBottom w:val="256"/>
                      <w:divBdr>
                        <w:top w:val="none" w:sz="0" w:space="0" w:color="auto"/>
                        <w:left w:val="none" w:sz="0" w:space="0" w:color="auto"/>
                        <w:bottom w:val="none" w:sz="0" w:space="0" w:color="auto"/>
                        <w:right w:val="none" w:sz="0" w:space="0" w:color="auto"/>
                      </w:divBdr>
                    </w:div>
                    <w:div w:id="860583568">
                      <w:marLeft w:val="0"/>
                      <w:marRight w:val="0"/>
                      <w:marTop w:val="256"/>
                      <w:marBottom w:val="256"/>
                      <w:divBdr>
                        <w:top w:val="none" w:sz="0" w:space="0" w:color="auto"/>
                        <w:left w:val="none" w:sz="0" w:space="0" w:color="auto"/>
                        <w:bottom w:val="none" w:sz="0" w:space="0" w:color="auto"/>
                        <w:right w:val="none" w:sz="0" w:space="0" w:color="auto"/>
                      </w:divBdr>
                    </w:div>
                    <w:div w:id="193081065">
                      <w:marLeft w:val="0"/>
                      <w:marRight w:val="0"/>
                      <w:marTop w:val="256"/>
                      <w:marBottom w:val="256"/>
                      <w:divBdr>
                        <w:top w:val="none" w:sz="0" w:space="0" w:color="auto"/>
                        <w:left w:val="none" w:sz="0" w:space="0" w:color="auto"/>
                        <w:bottom w:val="none" w:sz="0" w:space="0" w:color="auto"/>
                        <w:right w:val="none" w:sz="0" w:space="0" w:color="auto"/>
                      </w:divBdr>
                    </w:div>
                    <w:div w:id="958023836">
                      <w:marLeft w:val="0"/>
                      <w:marRight w:val="0"/>
                      <w:marTop w:val="256"/>
                      <w:marBottom w:val="256"/>
                      <w:divBdr>
                        <w:top w:val="none" w:sz="0" w:space="0" w:color="auto"/>
                        <w:left w:val="none" w:sz="0" w:space="0" w:color="auto"/>
                        <w:bottom w:val="none" w:sz="0" w:space="0" w:color="auto"/>
                        <w:right w:val="none" w:sz="0" w:space="0" w:color="auto"/>
                      </w:divBdr>
                    </w:div>
                    <w:div w:id="720860070">
                      <w:marLeft w:val="0"/>
                      <w:marRight w:val="0"/>
                      <w:marTop w:val="256"/>
                      <w:marBottom w:val="256"/>
                      <w:divBdr>
                        <w:top w:val="none" w:sz="0" w:space="0" w:color="auto"/>
                        <w:left w:val="none" w:sz="0" w:space="0" w:color="auto"/>
                        <w:bottom w:val="none" w:sz="0" w:space="0" w:color="auto"/>
                        <w:right w:val="none" w:sz="0" w:space="0" w:color="auto"/>
                      </w:divBdr>
                    </w:div>
                    <w:div w:id="1688294190">
                      <w:marLeft w:val="0"/>
                      <w:marRight w:val="0"/>
                      <w:marTop w:val="256"/>
                      <w:marBottom w:val="256"/>
                      <w:divBdr>
                        <w:top w:val="none" w:sz="0" w:space="0" w:color="auto"/>
                        <w:left w:val="none" w:sz="0" w:space="0" w:color="auto"/>
                        <w:bottom w:val="none" w:sz="0" w:space="0" w:color="auto"/>
                        <w:right w:val="none" w:sz="0" w:space="0" w:color="auto"/>
                      </w:divBdr>
                    </w:div>
                    <w:div w:id="1011763606">
                      <w:marLeft w:val="0"/>
                      <w:marRight w:val="0"/>
                      <w:marTop w:val="256"/>
                      <w:marBottom w:val="256"/>
                      <w:divBdr>
                        <w:top w:val="none" w:sz="0" w:space="0" w:color="auto"/>
                        <w:left w:val="none" w:sz="0" w:space="0" w:color="auto"/>
                        <w:bottom w:val="none" w:sz="0" w:space="0" w:color="auto"/>
                        <w:right w:val="none" w:sz="0" w:space="0" w:color="auto"/>
                      </w:divBdr>
                    </w:div>
                    <w:div w:id="519466418">
                      <w:marLeft w:val="0"/>
                      <w:marRight w:val="0"/>
                      <w:marTop w:val="256"/>
                      <w:marBottom w:val="256"/>
                      <w:divBdr>
                        <w:top w:val="none" w:sz="0" w:space="0" w:color="auto"/>
                        <w:left w:val="none" w:sz="0" w:space="0" w:color="auto"/>
                        <w:bottom w:val="none" w:sz="0" w:space="0" w:color="auto"/>
                        <w:right w:val="none" w:sz="0" w:space="0" w:color="auto"/>
                      </w:divBdr>
                    </w:div>
                    <w:div w:id="1751153573">
                      <w:marLeft w:val="0"/>
                      <w:marRight w:val="0"/>
                      <w:marTop w:val="256"/>
                      <w:marBottom w:val="256"/>
                      <w:divBdr>
                        <w:top w:val="none" w:sz="0" w:space="0" w:color="auto"/>
                        <w:left w:val="none" w:sz="0" w:space="0" w:color="auto"/>
                        <w:bottom w:val="none" w:sz="0" w:space="0" w:color="auto"/>
                        <w:right w:val="none" w:sz="0" w:space="0" w:color="auto"/>
                      </w:divBdr>
                    </w:div>
                    <w:div w:id="481508149">
                      <w:marLeft w:val="0"/>
                      <w:marRight w:val="0"/>
                      <w:marTop w:val="256"/>
                      <w:marBottom w:val="256"/>
                      <w:divBdr>
                        <w:top w:val="none" w:sz="0" w:space="0" w:color="auto"/>
                        <w:left w:val="none" w:sz="0" w:space="0" w:color="auto"/>
                        <w:bottom w:val="none" w:sz="0" w:space="0" w:color="auto"/>
                        <w:right w:val="none" w:sz="0" w:space="0" w:color="auto"/>
                      </w:divBdr>
                    </w:div>
                    <w:div w:id="2118209808">
                      <w:marLeft w:val="0"/>
                      <w:marRight w:val="0"/>
                      <w:marTop w:val="256"/>
                      <w:marBottom w:val="256"/>
                      <w:divBdr>
                        <w:top w:val="none" w:sz="0" w:space="0" w:color="auto"/>
                        <w:left w:val="none" w:sz="0" w:space="0" w:color="auto"/>
                        <w:bottom w:val="none" w:sz="0" w:space="0" w:color="auto"/>
                        <w:right w:val="none" w:sz="0" w:space="0" w:color="auto"/>
                      </w:divBdr>
                    </w:div>
                    <w:div w:id="1742747567">
                      <w:marLeft w:val="0"/>
                      <w:marRight w:val="0"/>
                      <w:marTop w:val="256"/>
                      <w:marBottom w:val="256"/>
                      <w:divBdr>
                        <w:top w:val="none" w:sz="0" w:space="0" w:color="auto"/>
                        <w:left w:val="none" w:sz="0" w:space="0" w:color="auto"/>
                        <w:bottom w:val="none" w:sz="0" w:space="0" w:color="auto"/>
                        <w:right w:val="none" w:sz="0" w:space="0" w:color="auto"/>
                      </w:divBdr>
                    </w:div>
                    <w:div w:id="1569001341">
                      <w:marLeft w:val="0"/>
                      <w:marRight w:val="0"/>
                      <w:marTop w:val="256"/>
                      <w:marBottom w:val="256"/>
                      <w:divBdr>
                        <w:top w:val="none" w:sz="0" w:space="0" w:color="auto"/>
                        <w:left w:val="none" w:sz="0" w:space="0" w:color="auto"/>
                        <w:bottom w:val="none" w:sz="0" w:space="0" w:color="auto"/>
                        <w:right w:val="none" w:sz="0" w:space="0" w:color="auto"/>
                      </w:divBdr>
                    </w:div>
                    <w:div w:id="909189721">
                      <w:marLeft w:val="0"/>
                      <w:marRight w:val="0"/>
                      <w:marTop w:val="256"/>
                      <w:marBottom w:val="256"/>
                      <w:divBdr>
                        <w:top w:val="none" w:sz="0" w:space="0" w:color="auto"/>
                        <w:left w:val="none" w:sz="0" w:space="0" w:color="auto"/>
                        <w:bottom w:val="none" w:sz="0" w:space="0" w:color="auto"/>
                        <w:right w:val="none" w:sz="0" w:space="0" w:color="auto"/>
                      </w:divBdr>
                    </w:div>
                    <w:div w:id="1207109219">
                      <w:marLeft w:val="0"/>
                      <w:marRight w:val="0"/>
                      <w:marTop w:val="256"/>
                      <w:marBottom w:val="256"/>
                      <w:divBdr>
                        <w:top w:val="none" w:sz="0" w:space="0" w:color="auto"/>
                        <w:left w:val="none" w:sz="0" w:space="0" w:color="auto"/>
                        <w:bottom w:val="none" w:sz="0" w:space="0" w:color="auto"/>
                        <w:right w:val="none" w:sz="0" w:space="0" w:color="auto"/>
                      </w:divBdr>
                    </w:div>
                    <w:div w:id="411320483">
                      <w:marLeft w:val="0"/>
                      <w:marRight w:val="0"/>
                      <w:marTop w:val="256"/>
                      <w:marBottom w:val="256"/>
                      <w:divBdr>
                        <w:top w:val="none" w:sz="0" w:space="0" w:color="auto"/>
                        <w:left w:val="none" w:sz="0" w:space="0" w:color="auto"/>
                        <w:bottom w:val="none" w:sz="0" w:space="0" w:color="auto"/>
                        <w:right w:val="none" w:sz="0" w:space="0" w:color="auto"/>
                      </w:divBdr>
                    </w:div>
                    <w:div w:id="1357805175">
                      <w:marLeft w:val="0"/>
                      <w:marRight w:val="0"/>
                      <w:marTop w:val="256"/>
                      <w:marBottom w:val="256"/>
                      <w:divBdr>
                        <w:top w:val="none" w:sz="0" w:space="0" w:color="auto"/>
                        <w:left w:val="none" w:sz="0" w:space="0" w:color="auto"/>
                        <w:bottom w:val="none" w:sz="0" w:space="0" w:color="auto"/>
                        <w:right w:val="none" w:sz="0" w:space="0" w:color="auto"/>
                      </w:divBdr>
                    </w:div>
                    <w:div w:id="1874879282">
                      <w:marLeft w:val="0"/>
                      <w:marRight w:val="0"/>
                      <w:marTop w:val="256"/>
                      <w:marBottom w:val="256"/>
                      <w:divBdr>
                        <w:top w:val="none" w:sz="0" w:space="0" w:color="auto"/>
                        <w:left w:val="none" w:sz="0" w:space="0" w:color="auto"/>
                        <w:bottom w:val="none" w:sz="0" w:space="0" w:color="auto"/>
                        <w:right w:val="none" w:sz="0" w:space="0" w:color="auto"/>
                      </w:divBdr>
                    </w:div>
                    <w:div w:id="209612066">
                      <w:marLeft w:val="0"/>
                      <w:marRight w:val="0"/>
                      <w:marTop w:val="256"/>
                      <w:marBottom w:val="256"/>
                      <w:divBdr>
                        <w:top w:val="none" w:sz="0" w:space="0" w:color="auto"/>
                        <w:left w:val="none" w:sz="0" w:space="0" w:color="auto"/>
                        <w:bottom w:val="none" w:sz="0" w:space="0" w:color="auto"/>
                        <w:right w:val="none" w:sz="0" w:space="0" w:color="auto"/>
                      </w:divBdr>
                    </w:div>
                    <w:div w:id="1489439486">
                      <w:marLeft w:val="0"/>
                      <w:marRight w:val="0"/>
                      <w:marTop w:val="256"/>
                      <w:marBottom w:val="256"/>
                      <w:divBdr>
                        <w:top w:val="none" w:sz="0" w:space="0" w:color="auto"/>
                        <w:left w:val="none" w:sz="0" w:space="0" w:color="auto"/>
                        <w:bottom w:val="none" w:sz="0" w:space="0" w:color="auto"/>
                        <w:right w:val="none" w:sz="0" w:space="0" w:color="auto"/>
                      </w:divBdr>
                    </w:div>
                    <w:div w:id="953681637">
                      <w:marLeft w:val="0"/>
                      <w:marRight w:val="0"/>
                      <w:marTop w:val="256"/>
                      <w:marBottom w:val="256"/>
                      <w:divBdr>
                        <w:top w:val="none" w:sz="0" w:space="0" w:color="auto"/>
                        <w:left w:val="none" w:sz="0" w:space="0" w:color="auto"/>
                        <w:bottom w:val="none" w:sz="0" w:space="0" w:color="auto"/>
                        <w:right w:val="none" w:sz="0" w:space="0" w:color="auto"/>
                      </w:divBdr>
                    </w:div>
                    <w:div w:id="2092120827">
                      <w:marLeft w:val="0"/>
                      <w:marRight w:val="0"/>
                      <w:marTop w:val="256"/>
                      <w:marBottom w:val="256"/>
                      <w:divBdr>
                        <w:top w:val="none" w:sz="0" w:space="0" w:color="auto"/>
                        <w:left w:val="none" w:sz="0" w:space="0" w:color="auto"/>
                        <w:bottom w:val="none" w:sz="0" w:space="0" w:color="auto"/>
                        <w:right w:val="none" w:sz="0" w:space="0" w:color="auto"/>
                      </w:divBdr>
                    </w:div>
                    <w:div w:id="1097676733">
                      <w:marLeft w:val="0"/>
                      <w:marRight w:val="0"/>
                      <w:marTop w:val="256"/>
                      <w:marBottom w:val="256"/>
                      <w:divBdr>
                        <w:top w:val="none" w:sz="0" w:space="0" w:color="auto"/>
                        <w:left w:val="none" w:sz="0" w:space="0" w:color="auto"/>
                        <w:bottom w:val="none" w:sz="0" w:space="0" w:color="auto"/>
                        <w:right w:val="none" w:sz="0" w:space="0" w:color="auto"/>
                      </w:divBdr>
                    </w:div>
                    <w:div w:id="1652901513">
                      <w:marLeft w:val="0"/>
                      <w:marRight w:val="0"/>
                      <w:marTop w:val="256"/>
                      <w:marBottom w:val="256"/>
                      <w:divBdr>
                        <w:top w:val="none" w:sz="0" w:space="0" w:color="auto"/>
                        <w:left w:val="none" w:sz="0" w:space="0" w:color="auto"/>
                        <w:bottom w:val="none" w:sz="0" w:space="0" w:color="auto"/>
                        <w:right w:val="none" w:sz="0" w:space="0" w:color="auto"/>
                      </w:divBdr>
                    </w:div>
                    <w:div w:id="593130958">
                      <w:marLeft w:val="0"/>
                      <w:marRight w:val="0"/>
                      <w:marTop w:val="256"/>
                      <w:marBottom w:val="256"/>
                      <w:divBdr>
                        <w:top w:val="none" w:sz="0" w:space="0" w:color="auto"/>
                        <w:left w:val="none" w:sz="0" w:space="0" w:color="auto"/>
                        <w:bottom w:val="none" w:sz="0" w:space="0" w:color="auto"/>
                        <w:right w:val="none" w:sz="0" w:space="0" w:color="auto"/>
                      </w:divBdr>
                    </w:div>
                    <w:div w:id="64686009">
                      <w:marLeft w:val="0"/>
                      <w:marRight w:val="0"/>
                      <w:marTop w:val="256"/>
                      <w:marBottom w:val="256"/>
                      <w:divBdr>
                        <w:top w:val="none" w:sz="0" w:space="0" w:color="auto"/>
                        <w:left w:val="none" w:sz="0" w:space="0" w:color="auto"/>
                        <w:bottom w:val="none" w:sz="0" w:space="0" w:color="auto"/>
                        <w:right w:val="none" w:sz="0" w:space="0" w:color="auto"/>
                      </w:divBdr>
                    </w:div>
                    <w:div w:id="1464810649">
                      <w:marLeft w:val="0"/>
                      <w:marRight w:val="0"/>
                      <w:marTop w:val="256"/>
                      <w:marBottom w:val="256"/>
                      <w:divBdr>
                        <w:top w:val="none" w:sz="0" w:space="0" w:color="auto"/>
                        <w:left w:val="none" w:sz="0" w:space="0" w:color="auto"/>
                        <w:bottom w:val="none" w:sz="0" w:space="0" w:color="auto"/>
                        <w:right w:val="none" w:sz="0" w:space="0" w:color="auto"/>
                      </w:divBdr>
                    </w:div>
                    <w:div w:id="1571498531">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sChild>
        </w:div>
      </w:divsChild>
    </w:div>
    <w:div w:id="593051658">
      <w:bodyDiv w:val="1"/>
      <w:marLeft w:val="0"/>
      <w:marRight w:val="0"/>
      <w:marTop w:val="0"/>
      <w:marBottom w:val="0"/>
      <w:divBdr>
        <w:top w:val="none" w:sz="0" w:space="0" w:color="auto"/>
        <w:left w:val="none" w:sz="0" w:space="0" w:color="auto"/>
        <w:bottom w:val="none" w:sz="0" w:space="0" w:color="auto"/>
        <w:right w:val="none" w:sz="0" w:space="0" w:color="auto"/>
      </w:divBdr>
    </w:div>
    <w:div w:id="637494939">
      <w:bodyDiv w:val="1"/>
      <w:marLeft w:val="0"/>
      <w:marRight w:val="0"/>
      <w:marTop w:val="0"/>
      <w:marBottom w:val="0"/>
      <w:divBdr>
        <w:top w:val="none" w:sz="0" w:space="0" w:color="auto"/>
        <w:left w:val="none" w:sz="0" w:space="0" w:color="auto"/>
        <w:bottom w:val="none" w:sz="0" w:space="0" w:color="auto"/>
        <w:right w:val="none" w:sz="0" w:space="0" w:color="auto"/>
      </w:divBdr>
    </w:div>
    <w:div w:id="655377048">
      <w:bodyDiv w:val="1"/>
      <w:marLeft w:val="0"/>
      <w:marRight w:val="0"/>
      <w:marTop w:val="0"/>
      <w:marBottom w:val="0"/>
      <w:divBdr>
        <w:top w:val="none" w:sz="0" w:space="0" w:color="auto"/>
        <w:left w:val="none" w:sz="0" w:space="0" w:color="auto"/>
        <w:bottom w:val="none" w:sz="0" w:space="0" w:color="auto"/>
        <w:right w:val="none" w:sz="0" w:space="0" w:color="auto"/>
      </w:divBdr>
    </w:div>
    <w:div w:id="660542953">
      <w:bodyDiv w:val="1"/>
      <w:marLeft w:val="0"/>
      <w:marRight w:val="0"/>
      <w:marTop w:val="0"/>
      <w:marBottom w:val="0"/>
      <w:divBdr>
        <w:top w:val="none" w:sz="0" w:space="0" w:color="auto"/>
        <w:left w:val="none" w:sz="0" w:space="0" w:color="auto"/>
        <w:bottom w:val="none" w:sz="0" w:space="0" w:color="auto"/>
        <w:right w:val="none" w:sz="0" w:space="0" w:color="auto"/>
      </w:divBdr>
      <w:divsChild>
        <w:div w:id="1853181576">
          <w:marLeft w:val="0"/>
          <w:marRight w:val="0"/>
          <w:marTop w:val="0"/>
          <w:marBottom w:val="0"/>
          <w:divBdr>
            <w:top w:val="none" w:sz="0" w:space="0" w:color="auto"/>
            <w:left w:val="none" w:sz="0" w:space="0" w:color="auto"/>
            <w:bottom w:val="none" w:sz="0" w:space="0" w:color="auto"/>
            <w:right w:val="none" w:sz="0" w:space="0" w:color="auto"/>
          </w:divBdr>
        </w:div>
        <w:div w:id="1385448073">
          <w:marLeft w:val="0"/>
          <w:marRight w:val="0"/>
          <w:marTop w:val="0"/>
          <w:marBottom w:val="0"/>
          <w:divBdr>
            <w:top w:val="none" w:sz="0" w:space="0" w:color="auto"/>
            <w:left w:val="none" w:sz="0" w:space="0" w:color="auto"/>
            <w:bottom w:val="none" w:sz="0" w:space="0" w:color="auto"/>
            <w:right w:val="none" w:sz="0" w:space="0" w:color="auto"/>
          </w:divBdr>
        </w:div>
      </w:divsChild>
    </w:div>
    <w:div w:id="675306575">
      <w:bodyDiv w:val="1"/>
      <w:marLeft w:val="0"/>
      <w:marRight w:val="0"/>
      <w:marTop w:val="0"/>
      <w:marBottom w:val="0"/>
      <w:divBdr>
        <w:top w:val="none" w:sz="0" w:space="0" w:color="auto"/>
        <w:left w:val="none" w:sz="0" w:space="0" w:color="auto"/>
        <w:bottom w:val="none" w:sz="0" w:space="0" w:color="auto"/>
        <w:right w:val="none" w:sz="0" w:space="0" w:color="auto"/>
      </w:divBdr>
    </w:div>
    <w:div w:id="702369674">
      <w:bodyDiv w:val="1"/>
      <w:marLeft w:val="0"/>
      <w:marRight w:val="0"/>
      <w:marTop w:val="0"/>
      <w:marBottom w:val="0"/>
      <w:divBdr>
        <w:top w:val="none" w:sz="0" w:space="0" w:color="auto"/>
        <w:left w:val="none" w:sz="0" w:space="0" w:color="auto"/>
        <w:bottom w:val="none" w:sz="0" w:space="0" w:color="auto"/>
        <w:right w:val="none" w:sz="0" w:space="0" w:color="auto"/>
      </w:divBdr>
    </w:div>
    <w:div w:id="725756931">
      <w:bodyDiv w:val="1"/>
      <w:marLeft w:val="0"/>
      <w:marRight w:val="0"/>
      <w:marTop w:val="0"/>
      <w:marBottom w:val="0"/>
      <w:divBdr>
        <w:top w:val="none" w:sz="0" w:space="0" w:color="auto"/>
        <w:left w:val="none" w:sz="0" w:space="0" w:color="auto"/>
        <w:bottom w:val="none" w:sz="0" w:space="0" w:color="auto"/>
        <w:right w:val="none" w:sz="0" w:space="0" w:color="auto"/>
      </w:divBdr>
    </w:div>
    <w:div w:id="750007560">
      <w:bodyDiv w:val="1"/>
      <w:marLeft w:val="0"/>
      <w:marRight w:val="0"/>
      <w:marTop w:val="0"/>
      <w:marBottom w:val="0"/>
      <w:divBdr>
        <w:top w:val="none" w:sz="0" w:space="0" w:color="auto"/>
        <w:left w:val="none" w:sz="0" w:space="0" w:color="auto"/>
        <w:bottom w:val="none" w:sz="0" w:space="0" w:color="auto"/>
        <w:right w:val="none" w:sz="0" w:space="0" w:color="auto"/>
      </w:divBdr>
    </w:div>
    <w:div w:id="791942807">
      <w:bodyDiv w:val="1"/>
      <w:marLeft w:val="0"/>
      <w:marRight w:val="0"/>
      <w:marTop w:val="0"/>
      <w:marBottom w:val="0"/>
      <w:divBdr>
        <w:top w:val="none" w:sz="0" w:space="0" w:color="auto"/>
        <w:left w:val="none" w:sz="0" w:space="0" w:color="auto"/>
        <w:bottom w:val="none" w:sz="0" w:space="0" w:color="auto"/>
        <w:right w:val="none" w:sz="0" w:space="0" w:color="auto"/>
      </w:divBdr>
    </w:div>
    <w:div w:id="844712009">
      <w:bodyDiv w:val="1"/>
      <w:marLeft w:val="0"/>
      <w:marRight w:val="0"/>
      <w:marTop w:val="0"/>
      <w:marBottom w:val="0"/>
      <w:divBdr>
        <w:top w:val="none" w:sz="0" w:space="0" w:color="auto"/>
        <w:left w:val="none" w:sz="0" w:space="0" w:color="auto"/>
        <w:bottom w:val="none" w:sz="0" w:space="0" w:color="auto"/>
        <w:right w:val="none" w:sz="0" w:space="0" w:color="auto"/>
      </w:divBdr>
    </w:div>
    <w:div w:id="881328321">
      <w:bodyDiv w:val="1"/>
      <w:marLeft w:val="0"/>
      <w:marRight w:val="0"/>
      <w:marTop w:val="0"/>
      <w:marBottom w:val="0"/>
      <w:divBdr>
        <w:top w:val="none" w:sz="0" w:space="0" w:color="auto"/>
        <w:left w:val="none" w:sz="0" w:space="0" w:color="auto"/>
        <w:bottom w:val="none" w:sz="0" w:space="0" w:color="auto"/>
        <w:right w:val="none" w:sz="0" w:space="0" w:color="auto"/>
      </w:divBdr>
    </w:div>
    <w:div w:id="921455380">
      <w:bodyDiv w:val="1"/>
      <w:marLeft w:val="0"/>
      <w:marRight w:val="0"/>
      <w:marTop w:val="0"/>
      <w:marBottom w:val="0"/>
      <w:divBdr>
        <w:top w:val="none" w:sz="0" w:space="0" w:color="auto"/>
        <w:left w:val="none" w:sz="0" w:space="0" w:color="auto"/>
        <w:bottom w:val="none" w:sz="0" w:space="0" w:color="auto"/>
        <w:right w:val="none" w:sz="0" w:space="0" w:color="auto"/>
      </w:divBdr>
    </w:div>
    <w:div w:id="934292284">
      <w:bodyDiv w:val="1"/>
      <w:marLeft w:val="0"/>
      <w:marRight w:val="0"/>
      <w:marTop w:val="0"/>
      <w:marBottom w:val="0"/>
      <w:divBdr>
        <w:top w:val="none" w:sz="0" w:space="0" w:color="auto"/>
        <w:left w:val="none" w:sz="0" w:space="0" w:color="auto"/>
        <w:bottom w:val="none" w:sz="0" w:space="0" w:color="auto"/>
        <w:right w:val="none" w:sz="0" w:space="0" w:color="auto"/>
      </w:divBdr>
    </w:div>
    <w:div w:id="948659885">
      <w:bodyDiv w:val="1"/>
      <w:marLeft w:val="0"/>
      <w:marRight w:val="0"/>
      <w:marTop w:val="0"/>
      <w:marBottom w:val="0"/>
      <w:divBdr>
        <w:top w:val="none" w:sz="0" w:space="0" w:color="auto"/>
        <w:left w:val="none" w:sz="0" w:space="0" w:color="auto"/>
        <w:bottom w:val="none" w:sz="0" w:space="0" w:color="auto"/>
        <w:right w:val="none" w:sz="0" w:space="0" w:color="auto"/>
      </w:divBdr>
    </w:div>
    <w:div w:id="952633014">
      <w:bodyDiv w:val="1"/>
      <w:marLeft w:val="0"/>
      <w:marRight w:val="0"/>
      <w:marTop w:val="0"/>
      <w:marBottom w:val="0"/>
      <w:divBdr>
        <w:top w:val="none" w:sz="0" w:space="0" w:color="auto"/>
        <w:left w:val="none" w:sz="0" w:space="0" w:color="auto"/>
        <w:bottom w:val="none" w:sz="0" w:space="0" w:color="auto"/>
        <w:right w:val="none" w:sz="0" w:space="0" w:color="auto"/>
      </w:divBdr>
    </w:div>
    <w:div w:id="999620958">
      <w:bodyDiv w:val="1"/>
      <w:marLeft w:val="0"/>
      <w:marRight w:val="0"/>
      <w:marTop w:val="0"/>
      <w:marBottom w:val="0"/>
      <w:divBdr>
        <w:top w:val="none" w:sz="0" w:space="0" w:color="auto"/>
        <w:left w:val="none" w:sz="0" w:space="0" w:color="auto"/>
        <w:bottom w:val="none" w:sz="0" w:space="0" w:color="auto"/>
        <w:right w:val="none" w:sz="0" w:space="0" w:color="auto"/>
      </w:divBdr>
    </w:div>
    <w:div w:id="1005859119">
      <w:bodyDiv w:val="1"/>
      <w:marLeft w:val="0"/>
      <w:marRight w:val="0"/>
      <w:marTop w:val="0"/>
      <w:marBottom w:val="0"/>
      <w:divBdr>
        <w:top w:val="none" w:sz="0" w:space="0" w:color="auto"/>
        <w:left w:val="none" w:sz="0" w:space="0" w:color="auto"/>
        <w:bottom w:val="none" w:sz="0" w:space="0" w:color="auto"/>
        <w:right w:val="none" w:sz="0" w:space="0" w:color="auto"/>
      </w:divBdr>
    </w:div>
    <w:div w:id="1015108637">
      <w:bodyDiv w:val="1"/>
      <w:marLeft w:val="0"/>
      <w:marRight w:val="0"/>
      <w:marTop w:val="0"/>
      <w:marBottom w:val="0"/>
      <w:divBdr>
        <w:top w:val="none" w:sz="0" w:space="0" w:color="auto"/>
        <w:left w:val="none" w:sz="0" w:space="0" w:color="auto"/>
        <w:bottom w:val="none" w:sz="0" w:space="0" w:color="auto"/>
        <w:right w:val="none" w:sz="0" w:space="0" w:color="auto"/>
      </w:divBdr>
    </w:div>
    <w:div w:id="1018117525">
      <w:bodyDiv w:val="1"/>
      <w:marLeft w:val="0"/>
      <w:marRight w:val="0"/>
      <w:marTop w:val="0"/>
      <w:marBottom w:val="0"/>
      <w:divBdr>
        <w:top w:val="none" w:sz="0" w:space="0" w:color="auto"/>
        <w:left w:val="none" w:sz="0" w:space="0" w:color="auto"/>
        <w:bottom w:val="none" w:sz="0" w:space="0" w:color="auto"/>
        <w:right w:val="none" w:sz="0" w:space="0" w:color="auto"/>
      </w:divBdr>
    </w:div>
    <w:div w:id="1059940924">
      <w:bodyDiv w:val="1"/>
      <w:marLeft w:val="0"/>
      <w:marRight w:val="0"/>
      <w:marTop w:val="0"/>
      <w:marBottom w:val="0"/>
      <w:divBdr>
        <w:top w:val="none" w:sz="0" w:space="0" w:color="auto"/>
        <w:left w:val="none" w:sz="0" w:space="0" w:color="auto"/>
        <w:bottom w:val="none" w:sz="0" w:space="0" w:color="auto"/>
        <w:right w:val="none" w:sz="0" w:space="0" w:color="auto"/>
      </w:divBdr>
      <w:divsChild>
        <w:div w:id="1789809069">
          <w:marLeft w:val="0"/>
          <w:marRight w:val="0"/>
          <w:marTop w:val="0"/>
          <w:marBottom w:val="0"/>
          <w:divBdr>
            <w:top w:val="none" w:sz="0" w:space="0" w:color="auto"/>
            <w:left w:val="none" w:sz="0" w:space="0" w:color="auto"/>
            <w:bottom w:val="none" w:sz="0" w:space="0" w:color="auto"/>
            <w:right w:val="none" w:sz="0" w:space="0" w:color="auto"/>
          </w:divBdr>
        </w:div>
        <w:div w:id="1762943148">
          <w:marLeft w:val="0"/>
          <w:marRight w:val="0"/>
          <w:marTop w:val="0"/>
          <w:marBottom w:val="0"/>
          <w:divBdr>
            <w:top w:val="none" w:sz="0" w:space="0" w:color="auto"/>
            <w:left w:val="none" w:sz="0" w:space="0" w:color="auto"/>
            <w:bottom w:val="none" w:sz="0" w:space="0" w:color="auto"/>
            <w:right w:val="none" w:sz="0" w:space="0" w:color="auto"/>
          </w:divBdr>
        </w:div>
      </w:divsChild>
    </w:div>
    <w:div w:id="1093428552">
      <w:bodyDiv w:val="1"/>
      <w:marLeft w:val="0"/>
      <w:marRight w:val="0"/>
      <w:marTop w:val="0"/>
      <w:marBottom w:val="0"/>
      <w:divBdr>
        <w:top w:val="none" w:sz="0" w:space="0" w:color="auto"/>
        <w:left w:val="none" w:sz="0" w:space="0" w:color="auto"/>
        <w:bottom w:val="none" w:sz="0" w:space="0" w:color="auto"/>
        <w:right w:val="none" w:sz="0" w:space="0" w:color="auto"/>
      </w:divBdr>
    </w:div>
    <w:div w:id="1148088871">
      <w:bodyDiv w:val="1"/>
      <w:marLeft w:val="0"/>
      <w:marRight w:val="0"/>
      <w:marTop w:val="0"/>
      <w:marBottom w:val="0"/>
      <w:divBdr>
        <w:top w:val="none" w:sz="0" w:space="0" w:color="auto"/>
        <w:left w:val="none" w:sz="0" w:space="0" w:color="auto"/>
        <w:bottom w:val="none" w:sz="0" w:space="0" w:color="auto"/>
        <w:right w:val="none" w:sz="0" w:space="0" w:color="auto"/>
      </w:divBdr>
    </w:div>
    <w:div w:id="1180461574">
      <w:bodyDiv w:val="1"/>
      <w:marLeft w:val="0"/>
      <w:marRight w:val="0"/>
      <w:marTop w:val="0"/>
      <w:marBottom w:val="0"/>
      <w:divBdr>
        <w:top w:val="none" w:sz="0" w:space="0" w:color="auto"/>
        <w:left w:val="none" w:sz="0" w:space="0" w:color="auto"/>
        <w:bottom w:val="none" w:sz="0" w:space="0" w:color="auto"/>
        <w:right w:val="none" w:sz="0" w:space="0" w:color="auto"/>
      </w:divBdr>
    </w:div>
    <w:div w:id="1192185733">
      <w:bodyDiv w:val="1"/>
      <w:marLeft w:val="0"/>
      <w:marRight w:val="0"/>
      <w:marTop w:val="0"/>
      <w:marBottom w:val="0"/>
      <w:divBdr>
        <w:top w:val="none" w:sz="0" w:space="0" w:color="auto"/>
        <w:left w:val="none" w:sz="0" w:space="0" w:color="auto"/>
        <w:bottom w:val="none" w:sz="0" w:space="0" w:color="auto"/>
        <w:right w:val="none" w:sz="0" w:space="0" w:color="auto"/>
      </w:divBdr>
    </w:div>
    <w:div w:id="1195457723">
      <w:bodyDiv w:val="1"/>
      <w:marLeft w:val="0"/>
      <w:marRight w:val="0"/>
      <w:marTop w:val="0"/>
      <w:marBottom w:val="0"/>
      <w:divBdr>
        <w:top w:val="none" w:sz="0" w:space="0" w:color="auto"/>
        <w:left w:val="none" w:sz="0" w:space="0" w:color="auto"/>
        <w:bottom w:val="none" w:sz="0" w:space="0" w:color="auto"/>
        <w:right w:val="none" w:sz="0" w:space="0" w:color="auto"/>
      </w:divBdr>
    </w:div>
    <w:div w:id="1197698932">
      <w:bodyDiv w:val="1"/>
      <w:marLeft w:val="0"/>
      <w:marRight w:val="0"/>
      <w:marTop w:val="0"/>
      <w:marBottom w:val="0"/>
      <w:divBdr>
        <w:top w:val="none" w:sz="0" w:space="0" w:color="auto"/>
        <w:left w:val="none" w:sz="0" w:space="0" w:color="auto"/>
        <w:bottom w:val="none" w:sz="0" w:space="0" w:color="auto"/>
        <w:right w:val="none" w:sz="0" w:space="0" w:color="auto"/>
      </w:divBdr>
    </w:div>
    <w:div w:id="1240015692">
      <w:bodyDiv w:val="1"/>
      <w:marLeft w:val="0"/>
      <w:marRight w:val="0"/>
      <w:marTop w:val="0"/>
      <w:marBottom w:val="0"/>
      <w:divBdr>
        <w:top w:val="none" w:sz="0" w:space="0" w:color="auto"/>
        <w:left w:val="none" w:sz="0" w:space="0" w:color="auto"/>
        <w:bottom w:val="none" w:sz="0" w:space="0" w:color="auto"/>
        <w:right w:val="none" w:sz="0" w:space="0" w:color="auto"/>
      </w:divBdr>
    </w:div>
    <w:div w:id="1243217988">
      <w:bodyDiv w:val="1"/>
      <w:marLeft w:val="0"/>
      <w:marRight w:val="0"/>
      <w:marTop w:val="0"/>
      <w:marBottom w:val="0"/>
      <w:divBdr>
        <w:top w:val="none" w:sz="0" w:space="0" w:color="auto"/>
        <w:left w:val="none" w:sz="0" w:space="0" w:color="auto"/>
        <w:bottom w:val="none" w:sz="0" w:space="0" w:color="auto"/>
        <w:right w:val="none" w:sz="0" w:space="0" w:color="auto"/>
      </w:divBdr>
    </w:div>
    <w:div w:id="1244022387">
      <w:bodyDiv w:val="1"/>
      <w:marLeft w:val="0"/>
      <w:marRight w:val="0"/>
      <w:marTop w:val="0"/>
      <w:marBottom w:val="0"/>
      <w:divBdr>
        <w:top w:val="none" w:sz="0" w:space="0" w:color="auto"/>
        <w:left w:val="none" w:sz="0" w:space="0" w:color="auto"/>
        <w:bottom w:val="none" w:sz="0" w:space="0" w:color="auto"/>
        <w:right w:val="none" w:sz="0" w:space="0" w:color="auto"/>
      </w:divBdr>
    </w:div>
    <w:div w:id="1263684456">
      <w:bodyDiv w:val="1"/>
      <w:marLeft w:val="0"/>
      <w:marRight w:val="0"/>
      <w:marTop w:val="0"/>
      <w:marBottom w:val="0"/>
      <w:divBdr>
        <w:top w:val="none" w:sz="0" w:space="0" w:color="auto"/>
        <w:left w:val="none" w:sz="0" w:space="0" w:color="auto"/>
        <w:bottom w:val="none" w:sz="0" w:space="0" w:color="auto"/>
        <w:right w:val="none" w:sz="0" w:space="0" w:color="auto"/>
      </w:divBdr>
    </w:div>
    <w:div w:id="1288050323">
      <w:bodyDiv w:val="1"/>
      <w:marLeft w:val="0"/>
      <w:marRight w:val="0"/>
      <w:marTop w:val="0"/>
      <w:marBottom w:val="0"/>
      <w:divBdr>
        <w:top w:val="none" w:sz="0" w:space="0" w:color="auto"/>
        <w:left w:val="none" w:sz="0" w:space="0" w:color="auto"/>
        <w:bottom w:val="none" w:sz="0" w:space="0" w:color="auto"/>
        <w:right w:val="none" w:sz="0" w:space="0" w:color="auto"/>
      </w:divBdr>
    </w:div>
    <w:div w:id="1315795257">
      <w:bodyDiv w:val="1"/>
      <w:marLeft w:val="0"/>
      <w:marRight w:val="0"/>
      <w:marTop w:val="0"/>
      <w:marBottom w:val="0"/>
      <w:divBdr>
        <w:top w:val="none" w:sz="0" w:space="0" w:color="auto"/>
        <w:left w:val="none" w:sz="0" w:space="0" w:color="auto"/>
        <w:bottom w:val="none" w:sz="0" w:space="0" w:color="auto"/>
        <w:right w:val="none" w:sz="0" w:space="0" w:color="auto"/>
      </w:divBdr>
    </w:div>
    <w:div w:id="1320770132">
      <w:bodyDiv w:val="1"/>
      <w:marLeft w:val="0"/>
      <w:marRight w:val="0"/>
      <w:marTop w:val="0"/>
      <w:marBottom w:val="0"/>
      <w:divBdr>
        <w:top w:val="none" w:sz="0" w:space="0" w:color="auto"/>
        <w:left w:val="none" w:sz="0" w:space="0" w:color="auto"/>
        <w:bottom w:val="none" w:sz="0" w:space="0" w:color="auto"/>
        <w:right w:val="none" w:sz="0" w:space="0" w:color="auto"/>
      </w:divBdr>
    </w:div>
    <w:div w:id="1327710828">
      <w:bodyDiv w:val="1"/>
      <w:marLeft w:val="0"/>
      <w:marRight w:val="0"/>
      <w:marTop w:val="0"/>
      <w:marBottom w:val="0"/>
      <w:divBdr>
        <w:top w:val="none" w:sz="0" w:space="0" w:color="auto"/>
        <w:left w:val="none" w:sz="0" w:space="0" w:color="auto"/>
        <w:bottom w:val="none" w:sz="0" w:space="0" w:color="auto"/>
        <w:right w:val="none" w:sz="0" w:space="0" w:color="auto"/>
      </w:divBdr>
    </w:div>
    <w:div w:id="1359429001">
      <w:bodyDiv w:val="1"/>
      <w:marLeft w:val="0"/>
      <w:marRight w:val="0"/>
      <w:marTop w:val="0"/>
      <w:marBottom w:val="0"/>
      <w:divBdr>
        <w:top w:val="none" w:sz="0" w:space="0" w:color="auto"/>
        <w:left w:val="none" w:sz="0" w:space="0" w:color="auto"/>
        <w:bottom w:val="none" w:sz="0" w:space="0" w:color="auto"/>
        <w:right w:val="none" w:sz="0" w:space="0" w:color="auto"/>
      </w:divBdr>
      <w:divsChild>
        <w:div w:id="975918115">
          <w:marLeft w:val="0"/>
          <w:marRight w:val="0"/>
          <w:marTop w:val="0"/>
          <w:marBottom w:val="0"/>
          <w:divBdr>
            <w:top w:val="none" w:sz="0" w:space="0" w:color="auto"/>
            <w:left w:val="none" w:sz="0" w:space="0" w:color="auto"/>
            <w:bottom w:val="none" w:sz="0" w:space="0" w:color="auto"/>
            <w:right w:val="none" w:sz="0" w:space="0" w:color="auto"/>
          </w:divBdr>
          <w:divsChild>
            <w:div w:id="1719431598">
              <w:marLeft w:val="120"/>
              <w:marRight w:val="120"/>
              <w:marTop w:val="120"/>
              <w:marBottom w:val="120"/>
              <w:divBdr>
                <w:top w:val="none" w:sz="0" w:space="0" w:color="auto"/>
                <w:left w:val="none" w:sz="0" w:space="0" w:color="auto"/>
                <w:bottom w:val="none" w:sz="0" w:space="0" w:color="auto"/>
                <w:right w:val="none" w:sz="0" w:space="0" w:color="auto"/>
              </w:divBdr>
              <w:divsChild>
                <w:div w:id="798108808">
                  <w:marLeft w:val="0"/>
                  <w:marRight w:val="0"/>
                  <w:marTop w:val="0"/>
                  <w:marBottom w:val="0"/>
                  <w:divBdr>
                    <w:top w:val="none" w:sz="0" w:space="0" w:color="auto"/>
                    <w:left w:val="none" w:sz="0" w:space="0" w:color="auto"/>
                    <w:bottom w:val="none" w:sz="0" w:space="0" w:color="auto"/>
                    <w:right w:val="none" w:sz="0" w:space="0" w:color="auto"/>
                  </w:divBdr>
                  <w:divsChild>
                    <w:div w:id="1346857762">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
                        <w:div w:id="1182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14393">
          <w:marLeft w:val="0"/>
          <w:marRight w:val="0"/>
          <w:marTop w:val="0"/>
          <w:marBottom w:val="0"/>
          <w:divBdr>
            <w:top w:val="none" w:sz="0" w:space="0" w:color="auto"/>
            <w:left w:val="single" w:sz="48" w:space="0" w:color="auto"/>
            <w:bottom w:val="none" w:sz="0" w:space="0" w:color="auto"/>
            <w:right w:val="single" w:sz="48" w:space="0" w:color="auto"/>
          </w:divBdr>
          <w:divsChild>
            <w:div w:id="1724984787">
              <w:marLeft w:val="0"/>
              <w:marRight w:val="0"/>
              <w:marTop w:val="100"/>
              <w:marBottom w:val="100"/>
              <w:divBdr>
                <w:top w:val="none" w:sz="0" w:space="0" w:color="auto"/>
                <w:left w:val="none" w:sz="0" w:space="0" w:color="auto"/>
                <w:bottom w:val="none" w:sz="0" w:space="0" w:color="auto"/>
                <w:right w:val="none" w:sz="0" w:space="0" w:color="auto"/>
              </w:divBdr>
              <w:divsChild>
                <w:div w:id="1966346634">
                  <w:marLeft w:val="0"/>
                  <w:marRight w:val="0"/>
                  <w:marTop w:val="0"/>
                  <w:marBottom w:val="0"/>
                  <w:divBdr>
                    <w:top w:val="none" w:sz="0" w:space="0" w:color="auto"/>
                    <w:left w:val="none" w:sz="0" w:space="0" w:color="auto"/>
                    <w:bottom w:val="none" w:sz="0" w:space="0" w:color="auto"/>
                    <w:right w:val="none" w:sz="0" w:space="0" w:color="auto"/>
                  </w:divBdr>
                </w:div>
              </w:divsChild>
            </w:div>
            <w:div w:id="1683628044">
              <w:marLeft w:val="0"/>
              <w:marRight w:val="0"/>
              <w:marTop w:val="0"/>
              <w:marBottom w:val="0"/>
              <w:divBdr>
                <w:top w:val="none" w:sz="0" w:space="0" w:color="auto"/>
                <w:left w:val="none" w:sz="0" w:space="0" w:color="auto"/>
                <w:bottom w:val="none" w:sz="0" w:space="0" w:color="auto"/>
                <w:right w:val="none" w:sz="0" w:space="0" w:color="auto"/>
              </w:divBdr>
              <w:divsChild>
                <w:div w:id="243493733">
                  <w:marLeft w:val="0"/>
                  <w:marRight w:val="0"/>
                  <w:marTop w:val="0"/>
                  <w:marBottom w:val="0"/>
                  <w:divBdr>
                    <w:top w:val="none" w:sz="0" w:space="0" w:color="auto"/>
                    <w:left w:val="none" w:sz="0" w:space="0" w:color="auto"/>
                    <w:bottom w:val="none" w:sz="0" w:space="0" w:color="auto"/>
                    <w:right w:val="none" w:sz="0" w:space="0" w:color="auto"/>
                  </w:divBdr>
                </w:div>
                <w:div w:id="959797083">
                  <w:marLeft w:val="0"/>
                  <w:marRight w:val="0"/>
                  <w:marTop w:val="0"/>
                  <w:marBottom w:val="0"/>
                  <w:divBdr>
                    <w:top w:val="none" w:sz="0" w:space="0" w:color="auto"/>
                    <w:left w:val="none" w:sz="0" w:space="0" w:color="auto"/>
                    <w:bottom w:val="none" w:sz="0" w:space="0" w:color="auto"/>
                    <w:right w:val="none" w:sz="0" w:space="0" w:color="auto"/>
                  </w:divBdr>
                </w:div>
              </w:divsChild>
            </w:div>
            <w:div w:id="1051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1762">
      <w:bodyDiv w:val="1"/>
      <w:marLeft w:val="0"/>
      <w:marRight w:val="0"/>
      <w:marTop w:val="0"/>
      <w:marBottom w:val="0"/>
      <w:divBdr>
        <w:top w:val="none" w:sz="0" w:space="0" w:color="auto"/>
        <w:left w:val="none" w:sz="0" w:space="0" w:color="auto"/>
        <w:bottom w:val="none" w:sz="0" w:space="0" w:color="auto"/>
        <w:right w:val="none" w:sz="0" w:space="0" w:color="auto"/>
      </w:divBdr>
    </w:div>
    <w:div w:id="1382945735">
      <w:bodyDiv w:val="1"/>
      <w:marLeft w:val="0"/>
      <w:marRight w:val="0"/>
      <w:marTop w:val="0"/>
      <w:marBottom w:val="0"/>
      <w:divBdr>
        <w:top w:val="none" w:sz="0" w:space="0" w:color="auto"/>
        <w:left w:val="none" w:sz="0" w:space="0" w:color="auto"/>
        <w:bottom w:val="none" w:sz="0" w:space="0" w:color="auto"/>
        <w:right w:val="none" w:sz="0" w:space="0" w:color="auto"/>
      </w:divBdr>
    </w:div>
    <w:div w:id="1453480109">
      <w:bodyDiv w:val="1"/>
      <w:marLeft w:val="0"/>
      <w:marRight w:val="0"/>
      <w:marTop w:val="0"/>
      <w:marBottom w:val="0"/>
      <w:divBdr>
        <w:top w:val="none" w:sz="0" w:space="0" w:color="auto"/>
        <w:left w:val="none" w:sz="0" w:space="0" w:color="auto"/>
        <w:bottom w:val="none" w:sz="0" w:space="0" w:color="auto"/>
        <w:right w:val="none" w:sz="0" w:space="0" w:color="auto"/>
      </w:divBdr>
    </w:div>
    <w:div w:id="1456480440">
      <w:bodyDiv w:val="1"/>
      <w:marLeft w:val="0"/>
      <w:marRight w:val="0"/>
      <w:marTop w:val="0"/>
      <w:marBottom w:val="0"/>
      <w:divBdr>
        <w:top w:val="none" w:sz="0" w:space="0" w:color="auto"/>
        <w:left w:val="none" w:sz="0" w:space="0" w:color="auto"/>
        <w:bottom w:val="none" w:sz="0" w:space="0" w:color="auto"/>
        <w:right w:val="none" w:sz="0" w:space="0" w:color="auto"/>
      </w:divBdr>
    </w:div>
    <w:div w:id="1474714588">
      <w:bodyDiv w:val="1"/>
      <w:marLeft w:val="0"/>
      <w:marRight w:val="0"/>
      <w:marTop w:val="0"/>
      <w:marBottom w:val="0"/>
      <w:divBdr>
        <w:top w:val="none" w:sz="0" w:space="0" w:color="auto"/>
        <w:left w:val="none" w:sz="0" w:space="0" w:color="auto"/>
        <w:bottom w:val="none" w:sz="0" w:space="0" w:color="auto"/>
        <w:right w:val="none" w:sz="0" w:space="0" w:color="auto"/>
      </w:divBdr>
    </w:div>
    <w:div w:id="1475413878">
      <w:bodyDiv w:val="1"/>
      <w:marLeft w:val="0"/>
      <w:marRight w:val="0"/>
      <w:marTop w:val="0"/>
      <w:marBottom w:val="0"/>
      <w:divBdr>
        <w:top w:val="none" w:sz="0" w:space="0" w:color="auto"/>
        <w:left w:val="none" w:sz="0" w:space="0" w:color="auto"/>
        <w:bottom w:val="none" w:sz="0" w:space="0" w:color="auto"/>
        <w:right w:val="none" w:sz="0" w:space="0" w:color="auto"/>
      </w:divBdr>
      <w:divsChild>
        <w:div w:id="1459183598">
          <w:marLeft w:val="0"/>
          <w:marRight w:val="0"/>
          <w:marTop w:val="240"/>
          <w:marBottom w:val="480"/>
          <w:divBdr>
            <w:top w:val="none" w:sz="0" w:space="0" w:color="auto"/>
            <w:left w:val="none" w:sz="0" w:space="0" w:color="auto"/>
            <w:bottom w:val="none" w:sz="0" w:space="0" w:color="auto"/>
            <w:right w:val="none" w:sz="0" w:space="0" w:color="auto"/>
          </w:divBdr>
          <w:divsChild>
            <w:div w:id="317611233">
              <w:marLeft w:val="0"/>
              <w:marRight w:val="0"/>
              <w:marTop w:val="0"/>
              <w:marBottom w:val="0"/>
              <w:divBdr>
                <w:top w:val="none" w:sz="0" w:space="0" w:color="auto"/>
                <w:left w:val="none" w:sz="0" w:space="0" w:color="auto"/>
                <w:bottom w:val="none" w:sz="0" w:space="0" w:color="auto"/>
                <w:right w:val="none" w:sz="0" w:space="0" w:color="auto"/>
              </w:divBdr>
              <w:divsChild>
                <w:div w:id="816537347">
                  <w:marLeft w:val="0"/>
                  <w:marRight w:val="0"/>
                  <w:marTop w:val="0"/>
                  <w:marBottom w:val="0"/>
                  <w:divBdr>
                    <w:top w:val="none" w:sz="0" w:space="0" w:color="auto"/>
                    <w:left w:val="none" w:sz="0" w:space="0" w:color="auto"/>
                    <w:bottom w:val="none" w:sz="0" w:space="0" w:color="auto"/>
                    <w:right w:val="none" w:sz="0" w:space="0" w:color="auto"/>
                  </w:divBdr>
                  <w:divsChild>
                    <w:div w:id="37360833">
                      <w:marLeft w:val="0"/>
                      <w:marRight w:val="0"/>
                      <w:marTop w:val="0"/>
                      <w:marBottom w:val="0"/>
                      <w:divBdr>
                        <w:top w:val="none" w:sz="0" w:space="0" w:color="auto"/>
                        <w:left w:val="none" w:sz="0" w:space="0" w:color="auto"/>
                        <w:bottom w:val="none" w:sz="0" w:space="0" w:color="auto"/>
                        <w:right w:val="none" w:sz="0" w:space="0" w:color="auto"/>
                      </w:divBdr>
                      <w:divsChild>
                        <w:div w:id="657534325">
                          <w:marLeft w:val="0"/>
                          <w:marRight w:val="0"/>
                          <w:marTop w:val="0"/>
                          <w:marBottom w:val="0"/>
                          <w:divBdr>
                            <w:top w:val="none" w:sz="0" w:space="0" w:color="auto"/>
                            <w:left w:val="none" w:sz="0" w:space="0" w:color="auto"/>
                            <w:bottom w:val="none" w:sz="0" w:space="0" w:color="auto"/>
                            <w:right w:val="none" w:sz="0" w:space="0" w:color="auto"/>
                          </w:divBdr>
                          <w:divsChild>
                            <w:div w:id="1288661511">
                              <w:marLeft w:val="0"/>
                              <w:marRight w:val="0"/>
                              <w:marTop w:val="0"/>
                              <w:marBottom w:val="0"/>
                              <w:divBdr>
                                <w:top w:val="none" w:sz="0" w:space="0" w:color="auto"/>
                                <w:left w:val="none" w:sz="0" w:space="0" w:color="auto"/>
                                <w:bottom w:val="none" w:sz="0" w:space="0" w:color="auto"/>
                                <w:right w:val="none" w:sz="0" w:space="0" w:color="auto"/>
                              </w:divBdr>
                              <w:divsChild>
                                <w:div w:id="1994333575">
                                  <w:marLeft w:val="0"/>
                                  <w:marRight w:val="0"/>
                                  <w:marTop w:val="150"/>
                                  <w:marBottom w:val="150"/>
                                  <w:divBdr>
                                    <w:top w:val="none" w:sz="0" w:space="0" w:color="auto"/>
                                    <w:left w:val="none" w:sz="0" w:space="0" w:color="auto"/>
                                    <w:bottom w:val="none" w:sz="0" w:space="0" w:color="auto"/>
                                    <w:right w:val="none" w:sz="0" w:space="0" w:color="auto"/>
                                  </w:divBdr>
                                  <w:divsChild>
                                    <w:div w:id="942610106">
                                      <w:marLeft w:val="0"/>
                                      <w:marRight w:val="0"/>
                                      <w:marTop w:val="0"/>
                                      <w:marBottom w:val="0"/>
                                      <w:divBdr>
                                        <w:top w:val="none" w:sz="0" w:space="0" w:color="auto"/>
                                        <w:left w:val="none" w:sz="0" w:space="0" w:color="auto"/>
                                        <w:bottom w:val="none" w:sz="0" w:space="0" w:color="auto"/>
                                        <w:right w:val="none" w:sz="0" w:space="0" w:color="auto"/>
                                      </w:divBdr>
                                      <w:divsChild>
                                        <w:div w:id="20453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15110">
      <w:bodyDiv w:val="1"/>
      <w:marLeft w:val="0"/>
      <w:marRight w:val="0"/>
      <w:marTop w:val="0"/>
      <w:marBottom w:val="0"/>
      <w:divBdr>
        <w:top w:val="none" w:sz="0" w:space="0" w:color="auto"/>
        <w:left w:val="none" w:sz="0" w:space="0" w:color="auto"/>
        <w:bottom w:val="none" w:sz="0" w:space="0" w:color="auto"/>
        <w:right w:val="none" w:sz="0" w:space="0" w:color="auto"/>
      </w:divBdr>
    </w:div>
    <w:div w:id="1543863710">
      <w:bodyDiv w:val="1"/>
      <w:marLeft w:val="0"/>
      <w:marRight w:val="0"/>
      <w:marTop w:val="0"/>
      <w:marBottom w:val="0"/>
      <w:divBdr>
        <w:top w:val="none" w:sz="0" w:space="0" w:color="auto"/>
        <w:left w:val="none" w:sz="0" w:space="0" w:color="auto"/>
        <w:bottom w:val="none" w:sz="0" w:space="0" w:color="auto"/>
        <w:right w:val="none" w:sz="0" w:space="0" w:color="auto"/>
      </w:divBdr>
    </w:div>
    <w:div w:id="1570798553">
      <w:bodyDiv w:val="1"/>
      <w:marLeft w:val="0"/>
      <w:marRight w:val="0"/>
      <w:marTop w:val="0"/>
      <w:marBottom w:val="0"/>
      <w:divBdr>
        <w:top w:val="none" w:sz="0" w:space="0" w:color="auto"/>
        <w:left w:val="none" w:sz="0" w:space="0" w:color="auto"/>
        <w:bottom w:val="none" w:sz="0" w:space="0" w:color="auto"/>
        <w:right w:val="none" w:sz="0" w:space="0" w:color="auto"/>
      </w:divBdr>
      <w:divsChild>
        <w:div w:id="1774747177">
          <w:marLeft w:val="0"/>
          <w:marRight w:val="0"/>
          <w:marTop w:val="0"/>
          <w:marBottom w:val="0"/>
          <w:divBdr>
            <w:top w:val="none" w:sz="0" w:space="0" w:color="auto"/>
            <w:left w:val="none" w:sz="0" w:space="0" w:color="auto"/>
            <w:bottom w:val="none" w:sz="0" w:space="0" w:color="auto"/>
            <w:right w:val="none" w:sz="0" w:space="0" w:color="auto"/>
          </w:divBdr>
          <w:divsChild>
            <w:div w:id="414134625">
              <w:marLeft w:val="0"/>
              <w:marRight w:val="0"/>
              <w:marTop w:val="0"/>
              <w:marBottom w:val="0"/>
              <w:divBdr>
                <w:top w:val="none" w:sz="0" w:space="0" w:color="auto"/>
                <w:left w:val="none" w:sz="0" w:space="0" w:color="auto"/>
                <w:bottom w:val="none" w:sz="0" w:space="0" w:color="auto"/>
                <w:right w:val="none" w:sz="0" w:space="0" w:color="auto"/>
              </w:divBdr>
              <w:divsChild>
                <w:div w:id="683019716">
                  <w:marLeft w:val="0"/>
                  <w:marRight w:val="0"/>
                  <w:marTop w:val="0"/>
                  <w:marBottom w:val="0"/>
                  <w:divBdr>
                    <w:top w:val="none" w:sz="0" w:space="0" w:color="auto"/>
                    <w:left w:val="none" w:sz="0" w:space="0" w:color="auto"/>
                    <w:bottom w:val="none" w:sz="0" w:space="0" w:color="auto"/>
                    <w:right w:val="none" w:sz="0" w:space="0" w:color="auto"/>
                  </w:divBdr>
                  <w:divsChild>
                    <w:div w:id="305018177">
                      <w:marLeft w:val="0"/>
                      <w:marRight w:val="0"/>
                      <w:marTop w:val="0"/>
                      <w:marBottom w:val="0"/>
                      <w:divBdr>
                        <w:top w:val="none" w:sz="0" w:space="0" w:color="auto"/>
                        <w:left w:val="none" w:sz="0" w:space="0" w:color="auto"/>
                        <w:bottom w:val="none" w:sz="0" w:space="0" w:color="auto"/>
                        <w:right w:val="none" w:sz="0" w:space="0" w:color="auto"/>
                      </w:divBdr>
                      <w:divsChild>
                        <w:div w:id="468742873">
                          <w:marLeft w:val="384"/>
                          <w:marRight w:val="384"/>
                          <w:marTop w:val="0"/>
                          <w:marBottom w:val="0"/>
                          <w:divBdr>
                            <w:top w:val="none" w:sz="0" w:space="0" w:color="auto"/>
                            <w:left w:val="none" w:sz="0" w:space="0" w:color="auto"/>
                            <w:bottom w:val="none" w:sz="0" w:space="0" w:color="auto"/>
                            <w:right w:val="none" w:sz="0" w:space="0" w:color="auto"/>
                          </w:divBdr>
                          <w:divsChild>
                            <w:div w:id="1904607279">
                              <w:marLeft w:val="0"/>
                              <w:marRight w:val="0"/>
                              <w:marTop w:val="0"/>
                              <w:marBottom w:val="0"/>
                              <w:divBdr>
                                <w:top w:val="none" w:sz="0" w:space="0" w:color="auto"/>
                                <w:left w:val="none" w:sz="0" w:space="0" w:color="auto"/>
                                <w:bottom w:val="none" w:sz="0" w:space="0" w:color="auto"/>
                                <w:right w:val="none" w:sz="0" w:space="0" w:color="auto"/>
                              </w:divBdr>
                              <w:divsChild>
                                <w:div w:id="1300652996">
                                  <w:marLeft w:val="0"/>
                                  <w:marRight w:val="0"/>
                                  <w:marTop w:val="0"/>
                                  <w:marBottom w:val="0"/>
                                  <w:divBdr>
                                    <w:top w:val="none" w:sz="0" w:space="0" w:color="auto"/>
                                    <w:left w:val="none" w:sz="0" w:space="0" w:color="auto"/>
                                    <w:bottom w:val="none" w:sz="0" w:space="0" w:color="auto"/>
                                    <w:right w:val="none" w:sz="0" w:space="0" w:color="auto"/>
                                  </w:divBdr>
                                  <w:divsChild>
                                    <w:div w:id="1899510790">
                                      <w:marLeft w:val="0"/>
                                      <w:marRight w:val="0"/>
                                      <w:marTop w:val="332"/>
                                      <w:marBottom w:val="332"/>
                                      <w:divBdr>
                                        <w:top w:val="none" w:sz="0" w:space="0" w:color="auto"/>
                                        <w:left w:val="none" w:sz="0" w:space="0" w:color="auto"/>
                                        <w:bottom w:val="none" w:sz="0" w:space="0" w:color="auto"/>
                                        <w:right w:val="none" w:sz="0" w:space="0" w:color="auto"/>
                                      </w:divBdr>
                                      <w:divsChild>
                                        <w:div w:id="478888744">
                                          <w:marLeft w:val="0"/>
                                          <w:marRight w:val="0"/>
                                          <w:marTop w:val="332"/>
                                          <w:marBottom w:val="332"/>
                                          <w:divBdr>
                                            <w:top w:val="none" w:sz="0" w:space="0" w:color="auto"/>
                                            <w:left w:val="none" w:sz="0" w:space="0" w:color="auto"/>
                                            <w:bottom w:val="none" w:sz="0" w:space="0" w:color="auto"/>
                                            <w:right w:val="none" w:sz="0" w:space="0" w:color="auto"/>
                                          </w:divBdr>
                                          <w:divsChild>
                                            <w:div w:id="1565723341">
                                              <w:marLeft w:val="0"/>
                                              <w:marRight w:val="0"/>
                                              <w:marTop w:val="0"/>
                                              <w:marBottom w:val="0"/>
                                              <w:divBdr>
                                                <w:top w:val="none" w:sz="0" w:space="0" w:color="auto"/>
                                                <w:left w:val="none" w:sz="0" w:space="0" w:color="auto"/>
                                                <w:bottom w:val="none" w:sz="0" w:space="0" w:color="auto"/>
                                                <w:right w:val="none" w:sz="0" w:space="0" w:color="auto"/>
                                              </w:divBdr>
                                            </w:div>
                                            <w:div w:id="675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750331">
      <w:bodyDiv w:val="1"/>
      <w:marLeft w:val="0"/>
      <w:marRight w:val="0"/>
      <w:marTop w:val="0"/>
      <w:marBottom w:val="0"/>
      <w:divBdr>
        <w:top w:val="none" w:sz="0" w:space="0" w:color="auto"/>
        <w:left w:val="none" w:sz="0" w:space="0" w:color="auto"/>
        <w:bottom w:val="none" w:sz="0" w:space="0" w:color="auto"/>
        <w:right w:val="none" w:sz="0" w:space="0" w:color="auto"/>
      </w:divBdr>
    </w:div>
    <w:div w:id="1601329193">
      <w:bodyDiv w:val="1"/>
      <w:marLeft w:val="0"/>
      <w:marRight w:val="0"/>
      <w:marTop w:val="0"/>
      <w:marBottom w:val="0"/>
      <w:divBdr>
        <w:top w:val="none" w:sz="0" w:space="0" w:color="auto"/>
        <w:left w:val="none" w:sz="0" w:space="0" w:color="auto"/>
        <w:bottom w:val="none" w:sz="0" w:space="0" w:color="auto"/>
        <w:right w:val="none" w:sz="0" w:space="0" w:color="auto"/>
      </w:divBdr>
    </w:div>
    <w:div w:id="1602563770">
      <w:bodyDiv w:val="1"/>
      <w:marLeft w:val="0"/>
      <w:marRight w:val="0"/>
      <w:marTop w:val="0"/>
      <w:marBottom w:val="0"/>
      <w:divBdr>
        <w:top w:val="none" w:sz="0" w:space="0" w:color="auto"/>
        <w:left w:val="none" w:sz="0" w:space="0" w:color="auto"/>
        <w:bottom w:val="none" w:sz="0" w:space="0" w:color="auto"/>
        <w:right w:val="none" w:sz="0" w:space="0" w:color="auto"/>
      </w:divBdr>
    </w:div>
    <w:div w:id="1662198236">
      <w:bodyDiv w:val="1"/>
      <w:marLeft w:val="0"/>
      <w:marRight w:val="0"/>
      <w:marTop w:val="0"/>
      <w:marBottom w:val="0"/>
      <w:divBdr>
        <w:top w:val="none" w:sz="0" w:space="0" w:color="auto"/>
        <w:left w:val="none" w:sz="0" w:space="0" w:color="auto"/>
        <w:bottom w:val="none" w:sz="0" w:space="0" w:color="auto"/>
        <w:right w:val="none" w:sz="0" w:space="0" w:color="auto"/>
      </w:divBdr>
    </w:div>
    <w:div w:id="1662539554">
      <w:bodyDiv w:val="1"/>
      <w:marLeft w:val="0"/>
      <w:marRight w:val="0"/>
      <w:marTop w:val="0"/>
      <w:marBottom w:val="0"/>
      <w:divBdr>
        <w:top w:val="none" w:sz="0" w:space="0" w:color="auto"/>
        <w:left w:val="none" w:sz="0" w:space="0" w:color="auto"/>
        <w:bottom w:val="none" w:sz="0" w:space="0" w:color="auto"/>
        <w:right w:val="none" w:sz="0" w:space="0" w:color="auto"/>
      </w:divBdr>
    </w:div>
    <w:div w:id="1682465760">
      <w:bodyDiv w:val="1"/>
      <w:marLeft w:val="0"/>
      <w:marRight w:val="0"/>
      <w:marTop w:val="0"/>
      <w:marBottom w:val="0"/>
      <w:divBdr>
        <w:top w:val="none" w:sz="0" w:space="0" w:color="auto"/>
        <w:left w:val="none" w:sz="0" w:space="0" w:color="auto"/>
        <w:bottom w:val="none" w:sz="0" w:space="0" w:color="auto"/>
        <w:right w:val="none" w:sz="0" w:space="0" w:color="auto"/>
      </w:divBdr>
    </w:div>
    <w:div w:id="1701395042">
      <w:bodyDiv w:val="1"/>
      <w:marLeft w:val="0"/>
      <w:marRight w:val="0"/>
      <w:marTop w:val="0"/>
      <w:marBottom w:val="0"/>
      <w:divBdr>
        <w:top w:val="none" w:sz="0" w:space="0" w:color="auto"/>
        <w:left w:val="none" w:sz="0" w:space="0" w:color="auto"/>
        <w:bottom w:val="none" w:sz="0" w:space="0" w:color="auto"/>
        <w:right w:val="none" w:sz="0" w:space="0" w:color="auto"/>
      </w:divBdr>
    </w:div>
    <w:div w:id="1708218557">
      <w:bodyDiv w:val="1"/>
      <w:marLeft w:val="0"/>
      <w:marRight w:val="0"/>
      <w:marTop w:val="0"/>
      <w:marBottom w:val="0"/>
      <w:divBdr>
        <w:top w:val="none" w:sz="0" w:space="0" w:color="auto"/>
        <w:left w:val="none" w:sz="0" w:space="0" w:color="auto"/>
        <w:bottom w:val="none" w:sz="0" w:space="0" w:color="auto"/>
        <w:right w:val="none" w:sz="0" w:space="0" w:color="auto"/>
      </w:divBdr>
    </w:div>
    <w:div w:id="1735082364">
      <w:bodyDiv w:val="1"/>
      <w:marLeft w:val="0"/>
      <w:marRight w:val="0"/>
      <w:marTop w:val="0"/>
      <w:marBottom w:val="0"/>
      <w:divBdr>
        <w:top w:val="none" w:sz="0" w:space="0" w:color="auto"/>
        <w:left w:val="none" w:sz="0" w:space="0" w:color="auto"/>
        <w:bottom w:val="none" w:sz="0" w:space="0" w:color="auto"/>
        <w:right w:val="none" w:sz="0" w:space="0" w:color="auto"/>
      </w:divBdr>
    </w:div>
    <w:div w:id="1735740970">
      <w:bodyDiv w:val="1"/>
      <w:marLeft w:val="0"/>
      <w:marRight w:val="0"/>
      <w:marTop w:val="0"/>
      <w:marBottom w:val="0"/>
      <w:divBdr>
        <w:top w:val="none" w:sz="0" w:space="0" w:color="auto"/>
        <w:left w:val="none" w:sz="0" w:space="0" w:color="auto"/>
        <w:bottom w:val="none" w:sz="0" w:space="0" w:color="auto"/>
        <w:right w:val="none" w:sz="0" w:space="0" w:color="auto"/>
      </w:divBdr>
    </w:div>
    <w:div w:id="1761565339">
      <w:bodyDiv w:val="1"/>
      <w:marLeft w:val="0"/>
      <w:marRight w:val="0"/>
      <w:marTop w:val="0"/>
      <w:marBottom w:val="0"/>
      <w:divBdr>
        <w:top w:val="none" w:sz="0" w:space="0" w:color="auto"/>
        <w:left w:val="none" w:sz="0" w:space="0" w:color="auto"/>
        <w:bottom w:val="none" w:sz="0" w:space="0" w:color="auto"/>
        <w:right w:val="none" w:sz="0" w:space="0" w:color="auto"/>
      </w:divBdr>
    </w:div>
    <w:div w:id="1775633003">
      <w:bodyDiv w:val="1"/>
      <w:marLeft w:val="0"/>
      <w:marRight w:val="0"/>
      <w:marTop w:val="0"/>
      <w:marBottom w:val="0"/>
      <w:divBdr>
        <w:top w:val="none" w:sz="0" w:space="0" w:color="auto"/>
        <w:left w:val="none" w:sz="0" w:space="0" w:color="auto"/>
        <w:bottom w:val="none" w:sz="0" w:space="0" w:color="auto"/>
        <w:right w:val="none" w:sz="0" w:space="0" w:color="auto"/>
      </w:divBdr>
    </w:div>
    <w:div w:id="1776711918">
      <w:bodyDiv w:val="1"/>
      <w:marLeft w:val="0"/>
      <w:marRight w:val="0"/>
      <w:marTop w:val="0"/>
      <w:marBottom w:val="0"/>
      <w:divBdr>
        <w:top w:val="none" w:sz="0" w:space="0" w:color="auto"/>
        <w:left w:val="none" w:sz="0" w:space="0" w:color="auto"/>
        <w:bottom w:val="none" w:sz="0" w:space="0" w:color="auto"/>
        <w:right w:val="none" w:sz="0" w:space="0" w:color="auto"/>
      </w:divBdr>
    </w:div>
    <w:div w:id="1835144144">
      <w:bodyDiv w:val="1"/>
      <w:marLeft w:val="0"/>
      <w:marRight w:val="0"/>
      <w:marTop w:val="0"/>
      <w:marBottom w:val="0"/>
      <w:divBdr>
        <w:top w:val="none" w:sz="0" w:space="0" w:color="auto"/>
        <w:left w:val="none" w:sz="0" w:space="0" w:color="auto"/>
        <w:bottom w:val="none" w:sz="0" w:space="0" w:color="auto"/>
        <w:right w:val="none" w:sz="0" w:space="0" w:color="auto"/>
      </w:divBdr>
      <w:divsChild>
        <w:div w:id="155002388">
          <w:marLeft w:val="0"/>
          <w:marRight w:val="0"/>
          <w:marTop w:val="0"/>
          <w:marBottom w:val="0"/>
          <w:divBdr>
            <w:top w:val="none" w:sz="0" w:space="0" w:color="auto"/>
            <w:left w:val="none" w:sz="0" w:space="0" w:color="auto"/>
            <w:bottom w:val="none" w:sz="0" w:space="0" w:color="auto"/>
            <w:right w:val="none" w:sz="0" w:space="0" w:color="auto"/>
          </w:divBdr>
          <w:divsChild>
            <w:div w:id="797839221">
              <w:marLeft w:val="0"/>
              <w:marRight w:val="0"/>
              <w:marTop w:val="0"/>
              <w:marBottom w:val="0"/>
              <w:divBdr>
                <w:top w:val="none" w:sz="0" w:space="0" w:color="auto"/>
                <w:left w:val="none" w:sz="0" w:space="0" w:color="auto"/>
                <w:bottom w:val="none" w:sz="0" w:space="0" w:color="auto"/>
                <w:right w:val="none" w:sz="0" w:space="0" w:color="auto"/>
              </w:divBdr>
              <w:divsChild>
                <w:div w:id="538471614">
                  <w:marLeft w:val="0"/>
                  <w:marRight w:val="0"/>
                  <w:marTop w:val="0"/>
                  <w:marBottom w:val="0"/>
                  <w:divBdr>
                    <w:top w:val="none" w:sz="0" w:space="0" w:color="auto"/>
                    <w:left w:val="none" w:sz="0" w:space="0" w:color="auto"/>
                    <w:bottom w:val="none" w:sz="0" w:space="0" w:color="auto"/>
                    <w:right w:val="none" w:sz="0" w:space="0" w:color="auto"/>
                  </w:divBdr>
                  <w:divsChild>
                    <w:div w:id="1405953928">
                      <w:marLeft w:val="0"/>
                      <w:marRight w:val="0"/>
                      <w:marTop w:val="0"/>
                      <w:marBottom w:val="0"/>
                      <w:divBdr>
                        <w:top w:val="none" w:sz="0" w:space="0" w:color="auto"/>
                        <w:left w:val="none" w:sz="0" w:space="0" w:color="auto"/>
                        <w:bottom w:val="none" w:sz="0" w:space="0" w:color="auto"/>
                        <w:right w:val="none" w:sz="0" w:space="0" w:color="auto"/>
                      </w:divBdr>
                      <w:divsChild>
                        <w:div w:id="76364827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0"/>
                              <w:divBdr>
                                <w:top w:val="none" w:sz="0" w:space="0" w:color="auto"/>
                                <w:left w:val="none" w:sz="0" w:space="0" w:color="auto"/>
                                <w:bottom w:val="none" w:sz="0" w:space="0" w:color="auto"/>
                                <w:right w:val="none" w:sz="0" w:space="0" w:color="auto"/>
                              </w:divBdr>
                            </w:div>
                          </w:divsChild>
                        </w:div>
                        <w:div w:id="688409897">
                          <w:marLeft w:val="0"/>
                          <w:marRight w:val="0"/>
                          <w:marTop w:val="0"/>
                          <w:marBottom w:val="0"/>
                          <w:divBdr>
                            <w:top w:val="none" w:sz="0" w:space="0" w:color="auto"/>
                            <w:left w:val="none" w:sz="0" w:space="0" w:color="auto"/>
                            <w:bottom w:val="none" w:sz="0" w:space="0" w:color="auto"/>
                            <w:right w:val="none" w:sz="0" w:space="0" w:color="auto"/>
                          </w:divBdr>
                        </w:div>
                        <w:div w:id="780419945">
                          <w:marLeft w:val="0"/>
                          <w:marRight w:val="0"/>
                          <w:marTop w:val="0"/>
                          <w:marBottom w:val="0"/>
                          <w:divBdr>
                            <w:top w:val="none" w:sz="0" w:space="0" w:color="auto"/>
                            <w:left w:val="none" w:sz="0" w:space="0" w:color="auto"/>
                            <w:bottom w:val="none" w:sz="0" w:space="0" w:color="auto"/>
                            <w:right w:val="none" w:sz="0" w:space="0" w:color="auto"/>
                          </w:divBdr>
                        </w:div>
                        <w:div w:id="626552118">
                          <w:marLeft w:val="0"/>
                          <w:marRight w:val="0"/>
                          <w:marTop w:val="0"/>
                          <w:marBottom w:val="0"/>
                          <w:divBdr>
                            <w:top w:val="none" w:sz="0" w:space="0" w:color="auto"/>
                            <w:left w:val="none" w:sz="0" w:space="0" w:color="auto"/>
                            <w:bottom w:val="none" w:sz="0" w:space="0" w:color="auto"/>
                            <w:right w:val="none" w:sz="0" w:space="0" w:color="auto"/>
                          </w:divBdr>
                          <w:divsChild>
                            <w:div w:id="1368408910">
                              <w:marLeft w:val="0"/>
                              <w:marRight w:val="0"/>
                              <w:marTop w:val="0"/>
                              <w:marBottom w:val="0"/>
                              <w:divBdr>
                                <w:top w:val="none" w:sz="0" w:space="0" w:color="auto"/>
                                <w:left w:val="none" w:sz="0" w:space="0" w:color="auto"/>
                                <w:bottom w:val="none" w:sz="0" w:space="0" w:color="auto"/>
                                <w:right w:val="none" w:sz="0" w:space="0" w:color="auto"/>
                              </w:divBdr>
                            </w:div>
                          </w:divsChild>
                        </w:div>
                        <w:div w:id="1717504537">
                          <w:marLeft w:val="0"/>
                          <w:marRight w:val="0"/>
                          <w:marTop w:val="0"/>
                          <w:marBottom w:val="0"/>
                          <w:divBdr>
                            <w:top w:val="none" w:sz="0" w:space="0" w:color="auto"/>
                            <w:left w:val="none" w:sz="0" w:space="0" w:color="auto"/>
                            <w:bottom w:val="none" w:sz="0" w:space="0" w:color="auto"/>
                            <w:right w:val="none" w:sz="0" w:space="0" w:color="auto"/>
                          </w:divBdr>
                        </w:div>
                        <w:div w:id="18831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07833">
      <w:bodyDiv w:val="1"/>
      <w:marLeft w:val="0"/>
      <w:marRight w:val="0"/>
      <w:marTop w:val="0"/>
      <w:marBottom w:val="0"/>
      <w:divBdr>
        <w:top w:val="none" w:sz="0" w:space="0" w:color="auto"/>
        <w:left w:val="none" w:sz="0" w:space="0" w:color="auto"/>
        <w:bottom w:val="none" w:sz="0" w:space="0" w:color="auto"/>
        <w:right w:val="none" w:sz="0" w:space="0" w:color="auto"/>
      </w:divBdr>
    </w:div>
    <w:div w:id="1890801206">
      <w:bodyDiv w:val="1"/>
      <w:marLeft w:val="0"/>
      <w:marRight w:val="0"/>
      <w:marTop w:val="0"/>
      <w:marBottom w:val="0"/>
      <w:divBdr>
        <w:top w:val="none" w:sz="0" w:space="0" w:color="auto"/>
        <w:left w:val="none" w:sz="0" w:space="0" w:color="auto"/>
        <w:bottom w:val="none" w:sz="0" w:space="0" w:color="auto"/>
        <w:right w:val="none" w:sz="0" w:space="0" w:color="auto"/>
      </w:divBdr>
    </w:div>
    <w:div w:id="1938321549">
      <w:bodyDiv w:val="1"/>
      <w:marLeft w:val="0"/>
      <w:marRight w:val="0"/>
      <w:marTop w:val="0"/>
      <w:marBottom w:val="0"/>
      <w:divBdr>
        <w:top w:val="none" w:sz="0" w:space="0" w:color="auto"/>
        <w:left w:val="none" w:sz="0" w:space="0" w:color="auto"/>
        <w:bottom w:val="none" w:sz="0" w:space="0" w:color="auto"/>
        <w:right w:val="none" w:sz="0" w:space="0" w:color="auto"/>
      </w:divBdr>
    </w:div>
    <w:div w:id="1950812549">
      <w:bodyDiv w:val="1"/>
      <w:marLeft w:val="0"/>
      <w:marRight w:val="0"/>
      <w:marTop w:val="0"/>
      <w:marBottom w:val="0"/>
      <w:divBdr>
        <w:top w:val="none" w:sz="0" w:space="0" w:color="auto"/>
        <w:left w:val="none" w:sz="0" w:space="0" w:color="auto"/>
        <w:bottom w:val="none" w:sz="0" w:space="0" w:color="auto"/>
        <w:right w:val="none" w:sz="0" w:space="0" w:color="auto"/>
      </w:divBdr>
      <w:divsChild>
        <w:div w:id="1533423649">
          <w:marLeft w:val="0"/>
          <w:marRight w:val="0"/>
          <w:marTop w:val="0"/>
          <w:marBottom w:val="0"/>
          <w:divBdr>
            <w:top w:val="none" w:sz="0" w:space="0" w:color="auto"/>
            <w:left w:val="none" w:sz="0" w:space="0" w:color="auto"/>
            <w:bottom w:val="none" w:sz="0" w:space="0" w:color="auto"/>
            <w:right w:val="none" w:sz="0" w:space="0" w:color="auto"/>
          </w:divBdr>
          <w:divsChild>
            <w:div w:id="390234010">
              <w:marLeft w:val="0"/>
              <w:marRight w:val="0"/>
              <w:marTop w:val="0"/>
              <w:marBottom w:val="0"/>
              <w:divBdr>
                <w:top w:val="none" w:sz="0" w:space="0" w:color="auto"/>
                <w:left w:val="none" w:sz="0" w:space="0" w:color="auto"/>
                <w:bottom w:val="none" w:sz="0" w:space="0" w:color="auto"/>
                <w:right w:val="none" w:sz="0" w:space="0" w:color="auto"/>
              </w:divBdr>
              <w:divsChild>
                <w:div w:id="802843079">
                  <w:marLeft w:val="0"/>
                  <w:marRight w:val="0"/>
                  <w:marTop w:val="0"/>
                  <w:marBottom w:val="0"/>
                  <w:divBdr>
                    <w:top w:val="none" w:sz="0" w:space="0" w:color="auto"/>
                    <w:left w:val="none" w:sz="0" w:space="0" w:color="auto"/>
                    <w:bottom w:val="none" w:sz="0" w:space="0" w:color="auto"/>
                    <w:right w:val="none" w:sz="0" w:space="0" w:color="auto"/>
                  </w:divBdr>
                  <w:divsChild>
                    <w:div w:id="1707830174">
                      <w:marLeft w:val="0"/>
                      <w:marRight w:val="0"/>
                      <w:marTop w:val="0"/>
                      <w:marBottom w:val="0"/>
                      <w:divBdr>
                        <w:top w:val="none" w:sz="0" w:space="0" w:color="auto"/>
                        <w:left w:val="none" w:sz="0" w:space="0" w:color="auto"/>
                        <w:bottom w:val="none" w:sz="0" w:space="0" w:color="auto"/>
                        <w:right w:val="none" w:sz="0" w:space="0" w:color="auto"/>
                      </w:divBdr>
                      <w:divsChild>
                        <w:div w:id="1731492929">
                          <w:marLeft w:val="0"/>
                          <w:marRight w:val="0"/>
                          <w:marTop w:val="0"/>
                          <w:marBottom w:val="0"/>
                          <w:divBdr>
                            <w:top w:val="none" w:sz="0" w:space="0" w:color="auto"/>
                            <w:left w:val="none" w:sz="0" w:space="0" w:color="auto"/>
                            <w:bottom w:val="none" w:sz="0" w:space="0" w:color="auto"/>
                            <w:right w:val="none" w:sz="0" w:space="0" w:color="auto"/>
                          </w:divBdr>
                          <w:divsChild>
                            <w:div w:id="1682512430">
                              <w:marLeft w:val="0"/>
                              <w:marRight w:val="0"/>
                              <w:marTop w:val="0"/>
                              <w:marBottom w:val="0"/>
                              <w:divBdr>
                                <w:top w:val="none" w:sz="0" w:space="0" w:color="auto"/>
                                <w:left w:val="none" w:sz="0" w:space="0" w:color="auto"/>
                                <w:bottom w:val="none" w:sz="0" w:space="0" w:color="auto"/>
                                <w:right w:val="none" w:sz="0" w:space="0" w:color="auto"/>
                              </w:divBdr>
                              <w:divsChild>
                                <w:div w:id="2058890960">
                                  <w:marLeft w:val="0"/>
                                  <w:marRight w:val="0"/>
                                  <w:marTop w:val="0"/>
                                  <w:marBottom w:val="0"/>
                                  <w:divBdr>
                                    <w:top w:val="none" w:sz="0" w:space="0" w:color="auto"/>
                                    <w:left w:val="none" w:sz="0" w:space="0" w:color="auto"/>
                                    <w:bottom w:val="none" w:sz="0" w:space="0" w:color="auto"/>
                                    <w:right w:val="none" w:sz="0" w:space="0" w:color="auto"/>
                                  </w:divBdr>
                                  <w:divsChild>
                                    <w:div w:id="1221096359">
                                      <w:marLeft w:val="0"/>
                                      <w:marRight w:val="0"/>
                                      <w:marTop w:val="0"/>
                                      <w:marBottom w:val="360"/>
                                      <w:divBdr>
                                        <w:top w:val="none" w:sz="0" w:space="0" w:color="auto"/>
                                        <w:left w:val="none" w:sz="0" w:space="0" w:color="auto"/>
                                        <w:bottom w:val="none" w:sz="0" w:space="0" w:color="auto"/>
                                        <w:right w:val="none" w:sz="0" w:space="0" w:color="auto"/>
                                      </w:divBdr>
                                      <w:divsChild>
                                        <w:div w:id="196238384">
                                          <w:marLeft w:val="0"/>
                                          <w:marRight w:val="0"/>
                                          <w:marTop w:val="0"/>
                                          <w:marBottom w:val="0"/>
                                          <w:divBdr>
                                            <w:top w:val="none" w:sz="0" w:space="0" w:color="auto"/>
                                            <w:left w:val="none" w:sz="0" w:space="0" w:color="auto"/>
                                            <w:bottom w:val="none" w:sz="0" w:space="0" w:color="auto"/>
                                            <w:right w:val="none" w:sz="0" w:space="0" w:color="auto"/>
                                          </w:divBdr>
                                          <w:divsChild>
                                            <w:div w:id="1215582928">
                                              <w:marLeft w:val="0"/>
                                              <w:marRight w:val="0"/>
                                              <w:marTop w:val="0"/>
                                              <w:marBottom w:val="0"/>
                                              <w:divBdr>
                                                <w:top w:val="none" w:sz="0" w:space="0" w:color="auto"/>
                                                <w:left w:val="none" w:sz="0" w:space="0" w:color="auto"/>
                                                <w:bottom w:val="none" w:sz="0" w:space="0" w:color="auto"/>
                                                <w:right w:val="none" w:sz="0" w:space="0" w:color="auto"/>
                                              </w:divBdr>
                                              <w:divsChild>
                                                <w:div w:id="23485707">
                                                  <w:marLeft w:val="0"/>
                                                  <w:marRight w:val="0"/>
                                                  <w:marTop w:val="0"/>
                                                  <w:marBottom w:val="0"/>
                                                  <w:divBdr>
                                                    <w:top w:val="none" w:sz="0" w:space="0" w:color="auto"/>
                                                    <w:left w:val="none" w:sz="0" w:space="0" w:color="auto"/>
                                                    <w:bottom w:val="none" w:sz="0" w:space="0" w:color="auto"/>
                                                    <w:right w:val="none" w:sz="0" w:space="0" w:color="auto"/>
                                                  </w:divBdr>
                                                </w:div>
                                                <w:div w:id="1396318392">
                                                  <w:marLeft w:val="0"/>
                                                  <w:marRight w:val="0"/>
                                                  <w:marTop w:val="0"/>
                                                  <w:marBottom w:val="0"/>
                                                  <w:divBdr>
                                                    <w:top w:val="none" w:sz="0" w:space="0" w:color="auto"/>
                                                    <w:left w:val="none" w:sz="0" w:space="0" w:color="auto"/>
                                                    <w:bottom w:val="none" w:sz="0" w:space="0" w:color="auto"/>
                                                    <w:right w:val="none" w:sz="0" w:space="0" w:color="auto"/>
                                                  </w:divBdr>
                                                  <w:divsChild>
                                                    <w:div w:id="217133595">
                                                      <w:marLeft w:val="0"/>
                                                      <w:marRight w:val="0"/>
                                                      <w:marTop w:val="0"/>
                                                      <w:marBottom w:val="0"/>
                                                      <w:divBdr>
                                                        <w:top w:val="single" w:sz="2" w:space="3" w:color="008000"/>
                                                        <w:left w:val="single" w:sz="2" w:space="0" w:color="008000"/>
                                                        <w:bottom w:val="single" w:sz="2" w:space="0" w:color="008000"/>
                                                        <w:right w:val="single" w:sz="2" w:space="0" w:color="008000"/>
                                                      </w:divBdr>
                                                      <w:divsChild>
                                                        <w:div w:id="556861694">
                                                          <w:marLeft w:val="0"/>
                                                          <w:marRight w:val="0"/>
                                                          <w:marTop w:val="0"/>
                                                          <w:marBottom w:val="0"/>
                                                          <w:divBdr>
                                                            <w:top w:val="none" w:sz="0" w:space="0" w:color="auto"/>
                                                            <w:left w:val="none" w:sz="0" w:space="0" w:color="auto"/>
                                                            <w:bottom w:val="none" w:sz="0" w:space="0" w:color="auto"/>
                                                            <w:right w:val="none" w:sz="0" w:space="0" w:color="auto"/>
                                                          </w:divBdr>
                                                          <w:divsChild>
                                                            <w:div w:id="2017078069">
                                                              <w:marLeft w:val="0"/>
                                                              <w:marRight w:val="0"/>
                                                              <w:marTop w:val="0"/>
                                                              <w:marBottom w:val="0"/>
                                                              <w:divBdr>
                                                                <w:top w:val="none" w:sz="0" w:space="0" w:color="auto"/>
                                                                <w:left w:val="none" w:sz="0" w:space="0" w:color="auto"/>
                                                                <w:bottom w:val="none" w:sz="0" w:space="0" w:color="auto"/>
                                                                <w:right w:val="none" w:sz="0" w:space="0" w:color="auto"/>
                                                              </w:divBdr>
                                                              <w:divsChild>
                                                                <w:div w:id="21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7799478">
      <w:bodyDiv w:val="1"/>
      <w:marLeft w:val="0"/>
      <w:marRight w:val="0"/>
      <w:marTop w:val="0"/>
      <w:marBottom w:val="0"/>
      <w:divBdr>
        <w:top w:val="none" w:sz="0" w:space="0" w:color="auto"/>
        <w:left w:val="none" w:sz="0" w:space="0" w:color="auto"/>
        <w:bottom w:val="none" w:sz="0" w:space="0" w:color="auto"/>
        <w:right w:val="none" w:sz="0" w:space="0" w:color="auto"/>
      </w:divBdr>
    </w:div>
    <w:div w:id="2031032676">
      <w:bodyDiv w:val="1"/>
      <w:marLeft w:val="0"/>
      <w:marRight w:val="0"/>
      <w:marTop w:val="0"/>
      <w:marBottom w:val="0"/>
      <w:divBdr>
        <w:top w:val="none" w:sz="0" w:space="0" w:color="auto"/>
        <w:left w:val="none" w:sz="0" w:space="0" w:color="auto"/>
        <w:bottom w:val="none" w:sz="0" w:space="0" w:color="auto"/>
        <w:right w:val="none" w:sz="0" w:space="0" w:color="auto"/>
      </w:divBdr>
    </w:div>
    <w:div w:id="2043901669">
      <w:bodyDiv w:val="1"/>
      <w:marLeft w:val="0"/>
      <w:marRight w:val="0"/>
      <w:marTop w:val="0"/>
      <w:marBottom w:val="0"/>
      <w:divBdr>
        <w:top w:val="none" w:sz="0" w:space="0" w:color="auto"/>
        <w:left w:val="none" w:sz="0" w:space="0" w:color="auto"/>
        <w:bottom w:val="none" w:sz="0" w:space="0" w:color="auto"/>
        <w:right w:val="none" w:sz="0" w:space="0" w:color="auto"/>
      </w:divBdr>
    </w:div>
    <w:div w:id="21174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cid:image007.png@01D315E6.E8A9F4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cid:image005.png@01D315D7.D57394B0"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[D1015 - SCRPT_SUM.xlsx]Sheet1 (2)!PivotTable1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s>
    <c:plotArea>
      <c:layout/>
      <c:areaChart>
        <c:grouping val="stacked"/>
        <c:varyColors val="0"/>
        <c:ser>
          <c:idx val="0"/>
          <c:order val="0"/>
          <c:tx>
            <c:strRef>
              <c:f>'Sheet1 (2)'!$B$3:$B$4</c:f>
              <c:strCache>
                <c:ptCount val="1"/>
                <c:pt idx="0">
                  <c:v>S100 HSD Public</c:v>
                </c:pt>
              </c:strCache>
            </c:strRef>
          </c:tx>
          <c:cat>
            <c:strRef>
              <c:f>'Sheet1 (2)'!$A$5:$A$19</c:f>
              <c:strCache>
                <c:ptCount val="14"/>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strCache>
            </c:strRef>
          </c:cat>
          <c:val>
            <c:numRef>
              <c:f>'Sheet1 (2)'!$B$5:$B$19</c:f>
              <c:numCache>
                <c:formatCode>General</c:formatCode>
                <c:ptCount val="14"/>
                <c:pt idx="0">
                  <c:v>27</c:v>
                </c:pt>
                <c:pt idx="1">
                  <c:v>40</c:v>
                </c:pt>
                <c:pt idx="2">
                  <c:v>54</c:v>
                </c:pt>
                <c:pt idx="3">
                  <c:v>52</c:v>
                </c:pt>
                <c:pt idx="4">
                  <c:v>63</c:v>
                </c:pt>
                <c:pt idx="5">
                  <c:v>71</c:v>
                </c:pt>
                <c:pt idx="6">
                  <c:v>68</c:v>
                </c:pt>
                <c:pt idx="7">
                  <c:v>73</c:v>
                </c:pt>
                <c:pt idx="8">
                  <c:v>97</c:v>
                </c:pt>
                <c:pt idx="9">
                  <c:v>105</c:v>
                </c:pt>
                <c:pt idx="10">
                  <c:v>110</c:v>
                </c:pt>
                <c:pt idx="11">
                  <c:v>103</c:v>
                </c:pt>
                <c:pt idx="12">
                  <c:v>120</c:v>
                </c:pt>
                <c:pt idx="13">
                  <c:v>103</c:v>
                </c:pt>
              </c:numCache>
            </c:numRef>
          </c:val>
        </c:ser>
        <c:ser>
          <c:idx val="1"/>
          <c:order val="1"/>
          <c:tx>
            <c:strRef>
              <c:f>'Sheet1 (2)'!$C$3:$C$4</c:f>
              <c:strCache>
                <c:ptCount val="1"/>
                <c:pt idx="0">
                  <c:v>S100 HSD Private</c:v>
                </c:pt>
              </c:strCache>
            </c:strRef>
          </c:tx>
          <c:cat>
            <c:strRef>
              <c:f>'Sheet1 (2)'!$A$5:$A$19</c:f>
              <c:strCache>
                <c:ptCount val="14"/>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strCache>
            </c:strRef>
          </c:cat>
          <c:val>
            <c:numRef>
              <c:f>'Sheet1 (2)'!$C$5:$C$19</c:f>
              <c:numCache>
                <c:formatCode>General</c:formatCode>
                <c:ptCount val="14"/>
                <c:pt idx="0">
                  <c:v>13</c:v>
                </c:pt>
                <c:pt idx="1">
                  <c:v>25</c:v>
                </c:pt>
                <c:pt idx="2">
                  <c:v>37</c:v>
                </c:pt>
                <c:pt idx="3">
                  <c:v>34</c:v>
                </c:pt>
                <c:pt idx="4">
                  <c:v>51</c:v>
                </c:pt>
                <c:pt idx="5">
                  <c:v>53</c:v>
                </c:pt>
                <c:pt idx="6">
                  <c:v>58</c:v>
                </c:pt>
                <c:pt idx="7">
                  <c:v>54</c:v>
                </c:pt>
                <c:pt idx="8">
                  <c:v>50</c:v>
                </c:pt>
                <c:pt idx="9">
                  <c:v>55</c:v>
                </c:pt>
                <c:pt idx="10">
                  <c:v>62</c:v>
                </c:pt>
                <c:pt idx="11">
                  <c:v>62</c:v>
                </c:pt>
                <c:pt idx="12">
                  <c:v>72</c:v>
                </c:pt>
                <c:pt idx="13">
                  <c:v>61</c:v>
                </c:pt>
              </c:numCache>
            </c:numRef>
          </c:val>
        </c:ser>
        <c:dLbls>
          <c:showLegendKey val="0"/>
          <c:showVal val="0"/>
          <c:showCatName val="0"/>
          <c:showSerName val="0"/>
          <c:showPercent val="0"/>
          <c:showBubbleSize val="0"/>
        </c:dLbls>
        <c:axId val="674658944"/>
        <c:axId val="704062976"/>
      </c:areaChart>
      <c:catAx>
        <c:axId val="674658944"/>
        <c:scaling>
          <c:orientation val="minMax"/>
        </c:scaling>
        <c:delete val="0"/>
        <c:axPos val="b"/>
        <c:title>
          <c:tx>
            <c:rich>
              <a:bodyPr/>
              <a:lstStyle/>
              <a:p>
                <a:pPr>
                  <a:defRPr lang="en-AU" b="0"/>
                </a:pPr>
                <a:r>
                  <a:rPr lang="en-US" b="0"/>
                  <a:t>Quarter of Supply</a:t>
                </a:r>
              </a:p>
            </c:rich>
          </c:tx>
          <c:layout/>
          <c:overlay val="0"/>
        </c:title>
        <c:majorTickMark val="none"/>
        <c:minorTickMark val="none"/>
        <c:tickLblPos val="nextTo"/>
        <c:txPr>
          <a:bodyPr/>
          <a:lstStyle/>
          <a:p>
            <a:pPr>
              <a:defRPr lang="en-AU"/>
            </a:pPr>
            <a:endParaRPr lang="en-US"/>
          </a:p>
        </c:txPr>
        <c:crossAx val="704062976"/>
        <c:crosses val="autoZero"/>
        <c:auto val="1"/>
        <c:lblAlgn val="ctr"/>
        <c:lblOffset val="100"/>
        <c:noMultiLvlLbl val="0"/>
      </c:catAx>
      <c:valAx>
        <c:axId val="704062976"/>
        <c:scaling>
          <c:orientation val="minMax"/>
        </c:scaling>
        <c:delete val="0"/>
        <c:axPos val="l"/>
        <c:majorGridlines/>
        <c:title>
          <c:tx>
            <c:rich>
              <a:bodyPr/>
              <a:lstStyle/>
              <a:p>
                <a:pPr>
                  <a:defRPr lang="en-AU" b="0"/>
                </a:pPr>
                <a:r>
                  <a:rPr lang="en-US" b="0"/>
                  <a:t>Prescriptions</a:t>
                </a:r>
              </a:p>
            </c:rich>
          </c:tx>
          <c:layout/>
          <c:overlay val="0"/>
        </c:title>
        <c:numFmt formatCode="General" sourceLinked="1"/>
        <c:majorTickMark val="none"/>
        <c:minorTickMark val="none"/>
        <c:tickLblPos val="nextTo"/>
        <c:txPr>
          <a:bodyPr/>
          <a:lstStyle/>
          <a:p>
            <a:pPr>
              <a:defRPr lang="en-AU"/>
            </a:pPr>
            <a:endParaRPr lang="en-US"/>
          </a:p>
        </c:txPr>
        <c:crossAx val="674658944"/>
        <c:crosses val="autoZero"/>
        <c:crossBetween val="midCat"/>
      </c:valAx>
    </c:plotArea>
    <c:legend>
      <c:legendPos val="r"/>
      <c:layout/>
      <c:overlay val="0"/>
      <c:txPr>
        <a:bodyPr/>
        <a:lstStyle/>
        <a:p>
          <a:pPr>
            <a:defRPr lang="en-AU"/>
          </a:pPr>
          <a:endParaRPr lang="en-US"/>
        </a:p>
      </c:txPr>
    </c:legend>
    <c:plotVisOnly val="1"/>
    <c:dispBlanksAs val="zero"/>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[D1015 - SCRPT_SUM.xlsx]Sheet1!PivotTable1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s>
    <c:plotArea>
      <c:layout/>
      <c:lineChart>
        <c:grouping val="standard"/>
        <c:varyColors val="0"/>
        <c:ser>
          <c:idx val="0"/>
          <c:order val="0"/>
          <c:tx>
            <c:strRef>
              <c:f>Sheet1!$B$3:$B$6</c:f>
              <c:strCache>
                <c:ptCount val="1"/>
                <c:pt idx="0">
                  <c:v>S100 HSD Public - 02802L - Capsule 10 mg</c:v>
                </c:pt>
              </c:strCache>
            </c:strRef>
          </c:tx>
          <c:cat>
            <c:strRef>
              <c:f>Sheet1!$A$7:$A$21</c:f>
              <c:strCache>
                <c:ptCount val="14"/>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strCache>
            </c:strRef>
          </c:cat>
          <c:val>
            <c:numRef>
              <c:f>Sheet1!$B$7:$B$21</c:f>
              <c:numCache>
                <c:formatCode>General</c:formatCode>
                <c:ptCount val="14"/>
                <c:pt idx="0">
                  <c:v>19</c:v>
                </c:pt>
                <c:pt idx="1">
                  <c:v>34</c:v>
                </c:pt>
                <c:pt idx="2">
                  <c:v>31</c:v>
                </c:pt>
                <c:pt idx="3">
                  <c:v>28</c:v>
                </c:pt>
                <c:pt idx="4">
                  <c:v>31</c:v>
                </c:pt>
                <c:pt idx="5">
                  <c:v>41</c:v>
                </c:pt>
                <c:pt idx="6">
                  <c:v>38</c:v>
                </c:pt>
                <c:pt idx="7">
                  <c:v>46</c:v>
                </c:pt>
                <c:pt idx="8">
                  <c:v>62</c:v>
                </c:pt>
                <c:pt idx="9">
                  <c:v>77</c:v>
                </c:pt>
                <c:pt idx="10">
                  <c:v>79</c:v>
                </c:pt>
                <c:pt idx="11">
                  <c:v>64</c:v>
                </c:pt>
                <c:pt idx="12">
                  <c:v>87</c:v>
                </c:pt>
                <c:pt idx="13">
                  <c:v>69</c:v>
                </c:pt>
              </c:numCache>
            </c:numRef>
          </c:val>
          <c:smooth val="0"/>
        </c:ser>
        <c:ser>
          <c:idx val="1"/>
          <c:order val="1"/>
          <c:tx>
            <c:strRef>
              <c:f>Sheet1!$D$3:$D$6</c:f>
              <c:strCache>
                <c:ptCount val="1"/>
                <c:pt idx="0">
                  <c:v>S100 HSD Public - 02799H - Capsule 5 mg</c:v>
                </c:pt>
              </c:strCache>
            </c:strRef>
          </c:tx>
          <c:cat>
            <c:strRef>
              <c:f>Sheet1!$A$7:$A$21</c:f>
              <c:strCache>
                <c:ptCount val="14"/>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strCache>
            </c:strRef>
          </c:cat>
          <c:val>
            <c:numRef>
              <c:f>Sheet1!$D$7:$D$21</c:f>
              <c:numCache>
                <c:formatCode>General</c:formatCode>
                <c:ptCount val="14"/>
                <c:pt idx="0">
                  <c:v>8</c:v>
                </c:pt>
                <c:pt idx="1">
                  <c:v>6</c:v>
                </c:pt>
                <c:pt idx="2">
                  <c:v>23</c:v>
                </c:pt>
                <c:pt idx="3">
                  <c:v>24</c:v>
                </c:pt>
                <c:pt idx="4">
                  <c:v>32</c:v>
                </c:pt>
                <c:pt idx="5">
                  <c:v>30</c:v>
                </c:pt>
                <c:pt idx="6">
                  <c:v>30</c:v>
                </c:pt>
                <c:pt idx="7">
                  <c:v>27</c:v>
                </c:pt>
                <c:pt idx="8">
                  <c:v>35</c:v>
                </c:pt>
                <c:pt idx="9">
                  <c:v>28</c:v>
                </c:pt>
                <c:pt idx="10">
                  <c:v>31</c:v>
                </c:pt>
                <c:pt idx="11">
                  <c:v>39</c:v>
                </c:pt>
                <c:pt idx="12">
                  <c:v>33</c:v>
                </c:pt>
                <c:pt idx="13">
                  <c:v>34</c:v>
                </c:pt>
              </c:numCache>
            </c:numRef>
          </c:val>
          <c:smooth val="0"/>
        </c:ser>
        <c:ser>
          <c:idx val="2"/>
          <c:order val="2"/>
          <c:tx>
            <c:strRef>
              <c:f>Sheet1!$G$3:$G$6</c:f>
              <c:strCache>
                <c:ptCount val="1"/>
                <c:pt idx="0">
                  <c:v>S100 HSD Private - 02796E - Capsule 10 mg</c:v>
                </c:pt>
              </c:strCache>
            </c:strRef>
          </c:tx>
          <c:cat>
            <c:strRef>
              <c:f>Sheet1!$A$7:$A$21</c:f>
              <c:strCache>
                <c:ptCount val="14"/>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strCache>
            </c:strRef>
          </c:cat>
          <c:val>
            <c:numRef>
              <c:f>Sheet1!$G$7:$G$21</c:f>
              <c:numCache>
                <c:formatCode>General</c:formatCode>
                <c:ptCount val="14"/>
                <c:pt idx="0">
                  <c:v>13</c:v>
                </c:pt>
                <c:pt idx="1">
                  <c:v>21</c:v>
                </c:pt>
                <c:pt idx="2">
                  <c:v>22</c:v>
                </c:pt>
                <c:pt idx="3">
                  <c:v>27</c:v>
                </c:pt>
                <c:pt idx="4">
                  <c:v>43</c:v>
                </c:pt>
                <c:pt idx="5">
                  <c:v>38</c:v>
                </c:pt>
                <c:pt idx="6">
                  <c:v>43</c:v>
                </c:pt>
                <c:pt idx="7">
                  <c:v>34</c:v>
                </c:pt>
                <c:pt idx="8">
                  <c:v>30</c:v>
                </c:pt>
                <c:pt idx="9">
                  <c:v>36</c:v>
                </c:pt>
                <c:pt idx="10">
                  <c:v>43</c:v>
                </c:pt>
                <c:pt idx="11">
                  <c:v>42</c:v>
                </c:pt>
                <c:pt idx="12">
                  <c:v>53</c:v>
                </c:pt>
                <c:pt idx="13">
                  <c:v>48</c:v>
                </c:pt>
              </c:numCache>
            </c:numRef>
          </c:val>
          <c:smooth val="0"/>
        </c:ser>
        <c:ser>
          <c:idx val="3"/>
          <c:order val="3"/>
          <c:tx>
            <c:strRef>
              <c:f>Sheet1!$I$3:$I$6</c:f>
              <c:strCache>
                <c:ptCount val="1"/>
                <c:pt idx="0">
                  <c:v>S100 HSD Private - 02798G - Capsule 5 mg</c:v>
                </c:pt>
              </c:strCache>
            </c:strRef>
          </c:tx>
          <c:cat>
            <c:strRef>
              <c:f>Sheet1!$A$7:$A$21</c:f>
              <c:strCache>
                <c:ptCount val="14"/>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strCache>
            </c:strRef>
          </c:cat>
          <c:val>
            <c:numRef>
              <c:f>Sheet1!$I$7:$I$21</c:f>
              <c:numCache>
                <c:formatCode>General</c:formatCode>
                <c:ptCount val="14"/>
                <c:pt idx="1">
                  <c:v>4</c:v>
                </c:pt>
                <c:pt idx="2">
                  <c:v>15</c:v>
                </c:pt>
                <c:pt idx="3">
                  <c:v>7</c:v>
                </c:pt>
                <c:pt idx="4">
                  <c:v>8</c:v>
                </c:pt>
                <c:pt idx="5">
                  <c:v>15</c:v>
                </c:pt>
                <c:pt idx="6">
                  <c:v>15</c:v>
                </c:pt>
                <c:pt idx="7">
                  <c:v>20</c:v>
                </c:pt>
                <c:pt idx="8">
                  <c:v>20</c:v>
                </c:pt>
                <c:pt idx="9">
                  <c:v>19</c:v>
                </c:pt>
                <c:pt idx="10">
                  <c:v>19</c:v>
                </c:pt>
                <c:pt idx="11">
                  <c:v>20</c:v>
                </c:pt>
                <c:pt idx="12">
                  <c:v>19</c:v>
                </c:pt>
                <c:pt idx="13">
                  <c:v>13</c:v>
                </c:pt>
              </c:numCache>
            </c:numRef>
          </c:val>
          <c:smooth val="0"/>
        </c:ser>
        <c:dLbls>
          <c:showLegendKey val="0"/>
          <c:showVal val="0"/>
          <c:showCatName val="0"/>
          <c:showSerName val="0"/>
          <c:showPercent val="0"/>
          <c:showBubbleSize val="0"/>
        </c:dLbls>
        <c:marker val="1"/>
        <c:smooth val="0"/>
        <c:axId val="707238528"/>
        <c:axId val="719489664"/>
      </c:lineChart>
      <c:catAx>
        <c:axId val="707238528"/>
        <c:scaling>
          <c:orientation val="minMax"/>
        </c:scaling>
        <c:delete val="0"/>
        <c:axPos val="b"/>
        <c:title>
          <c:tx>
            <c:rich>
              <a:bodyPr/>
              <a:lstStyle/>
              <a:p>
                <a:pPr>
                  <a:defRPr lang="en-AU" b="0"/>
                </a:pPr>
                <a:r>
                  <a:rPr lang="en-AU" b="0"/>
                  <a:t>Quarter of Supply</a:t>
                </a:r>
              </a:p>
            </c:rich>
          </c:tx>
          <c:layout/>
          <c:overlay val="0"/>
        </c:title>
        <c:majorTickMark val="none"/>
        <c:minorTickMark val="none"/>
        <c:tickLblPos val="nextTo"/>
        <c:txPr>
          <a:bodyPr/>
          <a:lstStyle/>
          <a:p>
            <a:pPr>
              <a:defRPr lang="en-AU"/>
            </a:pPr>
            <a:endParaRPr lang="en-US"/>
          </a:p>
        </c:txPr>
        <c:crossAx val="719489664"/>
        <c:crosses val="autoZero"/>
        <c:auto val="1"/>
        <c:lblAlgn val="ctr"/>
        <c:lblOffset val="100"/>
        <c:noMultiLvlLbl val="0"/>
      </c:catAx>
      <c:valAx>
        <c:axId val="719489664"/>
        <c:scaling>
          <c:orientation val="minMax"/>
        </c:scaling>
        <c:delete val="0"/>
        <c:axPos val="l"/>
        <c:majorGridlines/>
        <c:title>
          <c:tx>
            <c:rich>
              <a:bodyPr/>
              <a:lstStyle/>
              <a:p>
                <a:pPr>
                  <a:defRPr lang="en-AU" b="0"/>
                </a:pPr>
                <a:r>
                  <a:rPr lang="en-US" b="0"/>
                  <a:t>Prescriptions</a:t>
                </a:r>
              </a:p>
            </c:rich>
          </c:tx>
          <c:layout/>
          <c:overlay val="0"/>
        </c:title>
        <c:numFmt formatCode="General" sourceLinked="1"/>
        <c:majorTickMark val="none"/>
        <c:minorTickMark val="none"/>
        <c:tickLblPos val="nextTo"/>
        <c:txPr>
          <a:bodyPr/>
          <a:lstStyle/>
          <a:p>
            <a:pPr>
              <a:defRPr lang="en-AU"/>
            </a:pPr>
            <a:endParaRPr lang="en-US"/>
          </a:p>
        </c:txPr>
        <c:crossAx val="707238528"/>
        <c:crosses val="autoZero"/>
        <c:crossBetween val="between"/>
      </c:valAx>
    </c:plotArea>
    <c:legend>
      <c:legendPos val="r"/>
      <c:layout/>
      <c:overlay val="0"/>
      <c:txPr>
        <a:bodyPr/>
        <a:lstStyle/>
        <a:p>
          <a:pPr>
            <a:defRPr lang="en-AU"/>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[D1015_PATCNTBY_DRUG_N_SUPP_Q.xlsx]Sheet1!PivotTable2</c:name>
    <c:fmtId val="-1"/>
  </c:pivotSource>
  <c:chart>
    <c:autoTitleDeleted val="1"/>
    <c:pivotFmts>
      <c:pivotFmt>
        <c:idx val="0"/>
        <c:marker>
          <c:symbol val="none"/>
        </c:marker>
      </c:pivotFmt>
      <c:pivotFmt>
        <c:idx val="1"/>
      </c:pivotFmt>
      <c:pivotFmt>
        <c:idx val="2"/>
        <c:marker>
          <c:symbol val="none"/>
        </c:marker>
      </c:pivotFmt>
      <c:pivotFmt>
        <c:idx val="3"/>
      </c:pivotFmt>
      <c:pivotFmt>
        <c:idx val="4"/>
        <c:marker>
          <c:symbol val="none"/>
        </c:marker>
      </c:pivotFmt>
      <c:pivotFmt>
        <c:idx val="5"/>
        <c:marker>
          <c:symbol val="none"/>
        </c:marker>
      </c:pivotFmt>
      <c:pivotFmt>
        <c:idx val="6"/>
      </c:pivotFmt>
      <c:pivotFmt>
        <c:idx val="7"/>
      </c:pivotFmt>
      <c:pivotFmt>
        <c:idx val="8"/>
      </c:pivotFmt>
      <c:pivotFmt>
        <c:idx val="9"/>
      </c:pivotFmt>
    </c:pivotFmts>
    <c:plotArea>
      <c:layout/>
      <c:lineChart>
        <c:grouping val="standard"/>
        <c:varyColors val="0"/>
        <c:ser>
          <c:idx val="0"/>
          <c:order val="0"/>
          <c:tx>
            <c:strRef>
              <c:f>Sheet1!$B$1:$B$2</c:f>
              <c:strCache>
                <c:ptCount val="1"/>
                <c:pt idx="0">
                  <c:v>prevalent patients</c:v>
                </c:pt>
              </c:strCache>
            </c:strRef>
          </c:tx>
          <c:cat>
            <c:strRef>
              <c:f>Sheet1!$A$3:$A$17</c:f>
              <c:strCache>
                <c:ptCount val="14"/>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strCache>
            </c:strRef>
          </c:cat>
          <c:val>
            <c:numRef>
              <c:f>Sheet1!$B$3:$B$17</c:f>
              <c:numCache>
                <c:formatCode>General</c:formatCode>
                <c:ptCount val="14"/>
                <c:pt idx="0">
                  <c:v>23</c:v>
                </c:pt>
                <c:pt idx="1">
                  <c:v>35</c:v>
                </c:pt>
                <c:pt idx="2">
                  <c:v>40</c:v>
                </c:pt>
                <c:pt idx="3">
                  <c:v>38</c:v>
                </c:pt>
                <c:pt idx="4">
                  <c:v>51</c:v>
                </c:pt>
                <c:pt idx="5">
                  <c:v>51</c:v>
                </c:pt>
                <c:pt idx="6">
                  <c:v>56</c:v>
                </c:pt>
                <c:pt idx="7">
                  <c:v>52</c:v>
                </c:pt>
                <c:pt idx="8">
                  <c:v>59</c:v>
                </c:pt>
                <c:pt idx="9">
                  <c:v>70</c:v>
                </c:pt>
                <c:pt idx="10">
                  <c:v>69</c:v>
                </c:pt>
                <c:pt idx="11">
                  <c:v>69</c:v>
                </c:pt>
                <c:pt idx="12">
                  <c:v>86</c:v>
                </c:pt>
                <c:pt idx="13">
                  <c:v>74</c:v>
                </c:pt>
              </c:numCache>
            </c:numRef>
          </c:val>
          <c:smooth val="0"/>
        </c:ser>
        <c:ser>
          <c:idx val="1"/>
          <c:order val="1"/>
          <c:tx>
            <c:strRef>
              <c:f>Sheet1!$C$1:$C$2</c:f>
              <c:strCache>
                <c:ptCount val="1"/>
                <c:pt idx="0">
                  <c:v>initiating patients</c:v>
                </c:pt>
              </c:strCache>
            </c:strRef>
          </c:tx>
          <c:cat>
            <c:strRef>
              <c:f>Sheet1!$A$3:$A$17</c:f>
              <c:strCache>
                <c:ptCount val="14"/>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pt idx="12">
                  <c:v>2016Q4</c:v>
                </c:pt>
                <c:pt idx="13">
                  <c:v>2017Q1</c:v>
                </c:pt>
              </c:strCache>
            </c:strRef>
          </c:cat>
          <c:val>
            <c:numRef>
              <c:f>Sheet1!$C$3:$C$17</c:f>
              <c:numCache>
                <c:formatCode>General</c:formatCode>
                <c:ptCount val="14"/>
                <c:pt idx="0">
                  <c:v>23</c:v>
                </c:pt>
                <c:pt idx="1">
                  <c:v>20</c:v>
                </c:pt>
                <c:pt idx="2">
                  <c:v>12</c:v>
                </c:pt>
                <c:pt idx="3">
                  <c:v>10</c:v>
                </c:pt>
                <c:pt idx="4">
                  <c:v>15</c:v>
                </c:pt>
                <c:pt idx="5">
                  <c:v>10</c:v>
                </c:pt>
                <c:pt idx="6">
                  <c:v>14</c:v>
                </c:pt>
                <c:pt idx="7">
                  <c:v>11</c:v>
                </c:pt>
                <c:pt idx="8">
                  <c:v>17</c:v>
                </c:pt>
                <c:pt idx="9">
                  <c:v>18</c:v>
                </c:pt>
                <c:pt idx="10">
                  <c:v>16</c:v>
                </c:pt>
                <c:pt idx="11">
                  <c:v>12</c:v>
                </c:pt>
                <c:pt idx="12">
                  <c:v>28</c:v>
                </c:pt>
                <c:pt idx="13">
                  <c:v>14</c:v>
                </c:pt>
              </c:numCache>
            </c:numRef>
          </c:val>
          <c:smooth val="0"/>
        </c:ser>
        <c:dLbls>
          <c:showLegendKey val="0"/>
          <c:showVal val="0"/>
          <c:showCatName val="0"/>
          <c:showSerName val="0"/>
          <c:showPercent val="0"/>
          <c:showBubbleSize val="0"/>
        </c:dLbls>
        <c:marker val="1"/>
        <c:smooth val="0"/>
        <c:axId val="613219712"/>
        <c:axId val="626071040"/>
      </c:lineChart>
      <c:catAx>
        <c:axId val="613219712"/>
        <c:scaling>
          <c:orientation val="minMax"/>
        </c:scaling>
        <c:delete val="0"/>
        <c:axPos val="b"/>
        <c:title>
          <c:tx>
            <c:rich>
              <a:bodyPr/>
              <a:lstStyle/>
              <a:p>
                <a:pPr>
                  <a:defRPr lang="en-AU" b="0"/>
                </a:pPr>
                <a:r>
                  <a:rPr lang="en-US" b="0"/>
                  <a:t>Quarter of Supply</a:t>
                </a:r>
              </a:p>
            </c:rich>
          </c:tx>
          <c:layout/>
          <c:overlay val="0"/>
        </c:title>
        <c:majorTickMark val="none"/>
        <c:minorTickMark val="none"/>
        <c:tickLblPos val="nextTo"/>
        <c:txPr>
          <a:bodyPr/>
          <a:lstStyle/>
          <a:p>
            <a:pPr>
              <a:defRPr lang="en-AU"/>
            </a:pPr>
            <a:endParaRPr lang="en-US"/>
          </a:p>
        </c:txPr>
        <c:crossAx val="626071040"/>
        <c:crosses val="autoZero"/>
        <c:auto val="1"/>
        <c:lblAlgn val="ctr"/>
        <c:lblOffset val="100"/>
        <c:tickLblSkip val="1"/>
        <c:noMultiLvlLbl val="0"/>
      </c:catAx>
      <c:valAx>
        <c:axId val="626071040"/>
        <c:scaling>
          <c:orientation val="minMax"/>
        </c:scaling>
        <c:delete val="0"/>
        <c:axPos val="l"/>
        <c:majorGridlines/>
        <c:title>
          <c:tx>
            <c:rich>
              <a:bodyPr/>
              <a:lstStyle/>
              <a:p>
                <a:pPr>
                  <a:defRPr lang="en-AU" b="0"/>
                </a:pPr>
                <a:r>
                  <a:rPr lang="en-US" b="0"/>
                  <a:t>Patients</a:t>
                </a:r>
              </a:p>
            </c:rich>
          </c:tx>
          <c:layout/>
          <c:overlay val="0"/>
        </c:title>
        <c:numFmt formatCode="General" sourceLinked="1"/>
        <c:majorTickMark val="out"/>
        <c:minorTickMark val="none"/>
        <c:tickLblPos val="nextTo"/>
        <c:txPr>
          <a:bodyPr/>
          <a:lstStyle/>
          <a:p>
            <a:pPr>
              <a:defRPr lang="en-AU"/>
            </a:pPr>
            <a:endParaRPr lang="en-US"/>
          </a:p>
        </c:txPr>
        <c:crossAx val="613219712"/>
        <c:crosses val="autoZero"/>
        <c:crossBetween val="between"/>
      </c:valAx>
    </c:plotArea>
    <c:legend>
      <c:legendPos val="r"/>
      <c:layout/>
      <c:overlay val="0"/>
      <c:txPr>
        <a:bodyPr/>
        <a:lstStyle/>
        <a:p>
          <a:pPr>
            <a:defRPr lang="en-AU"/>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[D1015 - SUPPLY_LAG_FREQ v7, with pat_status, including low volume.xlsx]Sheet1!PivotTable1</c:name>
    <c:fmtId val="-1"/>
  </c:pivotSource>
  <c:chart>
    <c:autoTitleDeleted val="1"/>
    <c:pivotFmts>
      <c:pivotFmt>
        <c:idx val="0"/>
        <c:marker>
          <c:symbol val="none"/>
        </c:marker>
      </c:pivotFmt>
      <c:pivotFmt>
        <c:idx val="1"/>
      </c:pivotFmt>
      <c:pivotFmt>
        <c:idx val="2"/>
      </c:pivotFmt>
      <c:pivotFmt>
        <c:idx val="3"/>
      </c:pivotFmt>
    </c:pivotFmts>
    <c:plotArea>
      <c:layout/>
      <c:lineChart>
        <c:grouping val="standard"/>
        <c:varyColors val="0"/>
        <c:ser>
          <c:idx val="0"/>
          <c:order val="0"/>
          <c:tx>
            <c:strRef>
              <c:f>Sheet1!$B$3:$B$4</c:f>
              <c:strCache>
                <c:ptCount val="1"/>
                <c:pt idx="0">
                  <c:v>MDS patient</c:v>
                </c:pt>
              </c:strCache>
            </c:strRef>
          </c:tx>
          <c:cat>
            <c:strRef>
              <c:f>Sheet1!$A$5:$A$85</c:f>
              <c:strCache>
                <c:ptCount val="80"/>
                <c:pt idx="0">
                  <c:v>1</c:v>
                </c:pt>
                <c:pt idx="1">
                  <c:v>2</c:v>
                </c:pt>
                <c:pt idx="2">
                  <c:v>4</c:v>
                </c:pt>
                <c:pt idx="3">
                  <c:v>5</c:v>
                </c:pt>
                <c:pt idx="4">
                  <c:v>6</c:v>
                </c:pt>
                <c:pt idx="5">
                  <c:v>7</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78</c:v>
                </c:pt>
                <c:pt idx="75">
                  <c:v>84</c:v>
                </c:pt>
                <c:pt idx="76">
                  <c:v>87</c:v>
                </c:pt>
                <c:pt idx="77">
                  <c:v>88</c:v>
                </c:pt>
                <c:pt idx="78">
                  <c:v>89</c:v>
                </c:pt>
                <c:pt idx="79">
                  <c:v>90</c:v>
                </c:pt>
              </c:strCache>
            </c:strRef>
          </c:cat>
          <c:val>
            <c:numRef>
              <c:f>Sheet1!$B$5:$B$85</c:f>
              <c:numCache>
                <c:formatCode>General</c:formatCode>
                <c:ptCount val="80"/>
                <c:pt idx="0">
                  <c:v>4</c:v>
                </c:pt>
                <c:pt idx="1">
                  <c:v>1</c:v>
                </c:pt>
                <c:pt idx="2">
                  <c:v>4</c:v>
                </c:pt>
                <c:pt idx="3">
                  <c:v>4</c:v>
                </c:pt>
                <c:pt idx="4">
                  <c:v>1</c:v>
                </c:pt>
                <c:pt idx="5">
                  <c:v>4</c:v>
                </c:pt>
                <c:pt idx="6">
                  <c:v>3</c:v>
                </c:pt>
                <c:pt idx="7">
                  <c:v>3</c:v>
                </c:pt>
                <c:pt idx="8">
                  <c:v>1</c:v>
                </c:pt>
                <c:pt idx="9">
                  <c:v>1</c:v>
                </c:pt>
                <c:pt idx="10">
                  <c:v>1</c:v>
                </c:pt>
                <c:pt idx="11">
                  <c:v>10</c:v>
                </c:pt>
                <c:pt idx="12">
                  <c:v>4</c:v>
                </c:pt>
                <c:pt idx="13">
                  <c:v>11</c:v>
                </c:pt>
                <c:pt idx="14">
                  <c:v>6</c:v>
                </c:pt>
                <c:pt idx="15">
                  <c:v>11</c:v>
                </c:pt>
                <c:pt idx="16">
                  <c:v>5</c:v>
                </c:pt>
                <c:pt idx="17">
                  <c:v>29</c:v>
                </c:pt>
                <c:pt idx="18">
                  <c:v>71</c:v>
                </c:pt>
                <c:pt idx="19">
                  <c:v>51</c:v>
                </c:pt>
                <c:pt idx="20">
                  <c:v>39</c:v>
                </c:pt>
                <c:pt idx="21">
                  <c:v>42</c:v>
                </c:pt>
                <c:pt idx="22">
                  <c:v>45</c:v>
                </c:pt>
                <c:pt idx="23">
                  <c:v>60</c:v>
                </c:pt>
                <c:pt idx="24">
                  <c:v>109</c:v>
                </c:pt>
                <c:pt idx="25">
                  <c:v>218</c:v>
                </c:pt>
                <c:pt idx="26">
                  <c:v>112</c:v>
                </c:pt>
                <c:pt idx="27">
                  <c:v>52</c:v>
                </c:pt>
                <c:pt idx="28">
                  <c:v>44</c:v>
                </c:pt>
                <c:pt idx="29">
                  <c:v>25</c:v>
                </c:pt>
                <c:pt idx="30">
                  <c:v>43</c:v>
                </c:pt>
                <c:pt idx="31">
                  <c:v>31</c:v>
                </c:pt>
                <c:pt idx="32">
                  <c:v>39</c:v>
                </c:pt>
                <c:pt idx="33">
                  <c:v>27</c:v>
                </c:pt>
                <c:pt idx="34">
                  <c:v>19</c:v>
                </c:pt>
                <c:pt idx="35">
                  <c:v>11</c:v>
                </c:pt>
                <c:pt idx="36">
                  <c:v>14</c:v>
                </c:pt>
                <c:pt idx="37">
                  <c:v>12</c:v>
                </c:pt>
                <c:pt idx="38">
                  <c:v>16</c:v>
                </c:pt>
                <c:pt idx="39">
                  <c:v>19</c:v>
                </c:pt>
                <c:pt idx="40">
                  <c:v>12</c:v>
                </c:pt>
                <c:pt idx="41">
                  <c:v>3</c:v>
                </c:pt>
                <c:pt idx="42">
                  <c:v>4</c:v>
                </c:pt>
                <c:pt idx="43">
                  <c:v>9</c:v>
                </c:pt>
                <c:pt idx="44">
                  <c:v>3</c:v>
                </c:pt>
                <c:pt idx="45">
                  <c:v>4</c:v>
                </c:pt>
                <c:pt idx="46">
                  <c:v>13</c:v>
                </c:pt>
                <c:pt idx="47">
                  <c:v>10</c:v>
                </c:pt>
                <c:pt idx="48">
                  <c:v>7</c:v>
                </c:pt>
                <c:pt idx="49">
                  <c:v>7</c:v>
                </c:pt>
                <c:pt idx="50">
                  <c:v>2</c:v>
                </c:pt>
                <c:pt idx="51">
                  <c:v>8</c:v>
                </c:pt>
                <c:pt idx="52">
                  <c:v>8</c:v>
                </c:pt>
                <c:pt idx="53">
                  <c:v>7</c:v>
                </c:pt>
                <c:pt idx="54">
                  <c:v>5</c:v>
                </c:pt>
                <c:pt idx="55">
                  <c:v>1</c:v>
                </c:pt>
                <c:pt idx="56">
                  <c:v>2</c:v>
                </c:pt>
                <c:pt idx="57">
                  <c:v>4</c:v>
                </c:pt>
                <c:pt idx="58">
                  <c:v>6</c:v>
                </c:pt>
                <c:pt idx="59">
                  <c:v>4</c:v>
                </c:pt>
                <c:pt idx="60">
                  <c:v>9</c:v>
                </c:pt>
                <c:pt idx="61">
                  <c:v>6</c:v>
                </c:pt>
                <c:pt idx="62">
                  <c:v>1</c:v>
                </c:pt>
                <c:pt idx="63">
                  <c:v>4</c:v>
                </c:pt>
                <c:pt idx="64">
                  <c:v>4</c:v>
                </c:pt>
                <c:pt idx="65">
                  <c:v>2</c:v>
                </c:pt>
                <c:pt idx="66">
                  <c:v>3</c:v>
                </c:pt>
                <c:pt idx="67">
                  <c:v>3</c:v>
                </c:pt>
                <c:pt idx="68">
                  <c:v>3</c:v>
                </c:pt>
                <c:pt idx="69">
                  <c:v>3</c:v>
                </c:pt>
                <c:pt idx="70">
                  <c:v>1</c:v>
                </c:pt>
                <c:pt idx="71">
                  <c:v>2</c:v>
                </c:pt>
                <c:pt idx="72">
                  <c:v>3</c:v>
                </c:pt>
                <c:pt idx="73">
                  <c:v>1</c:v>
                </c:pt>
                <c:pt idx="74">
                  <c:v>5</c:v>
                </c:pt>
                <c:pt idx="75">
                  <c:v>4</c:v>
                </c:pt>
                <c:pt idx="76">
                  <c:v>1</c:v>
                </c:pt>
                <c:pt idx="77">
                  <c:v>2</c:v>
                </c:pt>
                <c:pt idx="78">
                  <c:v>1</c:v>
                </c:pt>
                <c:pt idx="79">
                  <c:v>1</c:v>
                </c:pt>
              </c:numCache>
            </c:numRef>
          </c:val>
          <c:smooth val="0"/>
        </c:ser>
        <c:dLbls>
          <c:showLegendKey val="0"/>
          <c:showVal val="0"/>
          <c:showCatName val="0"/>
          <c:showSerName val="0"/>
          <c:showPercent val="0"/>
          <c:showBubbleSize val="0"/>
        </c:dLbls>
        <c:marker val="1"/>
        <c:smooth val="0"/>
        <c:axId val="641304064"/>
        <c:axId val="641305600"/>
      </c:lineChart>
      <c:catAx>
        <c:axId val="641304064"/>
        <c:scaling>
          <c:orientation val="minMax"/>
        </c:scaling>
        <c:delete val="0"/>
        <c:axPos val="b"/>
        <c:majorTickMark val="none"/>
        <c:minorTickMark val="none"/>
        <c:tickLblPos val="nextTo"/>
        <c:txPr>
          <a:bodyPr rot="-5400000" vert="horz"/>
          <a:lstStyle/>
          <a:p>
            <a:pPr>
              <a:defRPr lang="en-AU"/>
            </a:pPr>
            <a:endParaRPr lang="en-US"/>
          </a:p>
        </c:txPr>
        <c:crossAx val="641305600"/>
        <c:crosses val="autoZero"/>
        <c:auto val="1"/>
        <c:lblAlgn val="ctr"/>
        <c:lblOffset val="100"/>
        <c:noMultiLvlLbl val="0"/>
      </c:catAx>
      <c:valAx>
        <c:axId val="641305600"/>
        <c:scaling>
          <c:orientation val="minMax"/>
        </c:scaling>
        <c:delete val="0"/>
        <c:axPos val="l"/>
        <c:majorGridlines/>
        <c:title>
          <c:tx>
            <c:rich>
              <a:bodyPr/>
              <a:lstStyle/>
              <a:p>
                <a:pPr>
                  <a:defRPr lang="en-AU" b="0"/>
                </a:pPr>
                <a:r>
                  <a:rPr lang="en-US" b="0"/>
                  <a:t>Prescriptions</a:t>
                </a:r>
              </a:p>
            </c:rich>
          </c:tx>
          <c:layout/>
          <c:overlay val="0"/>
        </c:title>
        <c:numFmt formatCode="General" sourceLinked="1"/>
        <c:majorTickMark val="none"/>
        <c:minorTickMark val="none"/>
        <c:tickLblPos val="nextTo"/>
        <c:txPr>
          <a:bodyPr/>
          <a:lstStyle/>
          <a:p>
            <a:pPr>
              <a:defRPr lang="en-AU"/>
            </a:pPr>
            <a:endParaRPr lang="en-US"/>
          </a:p>
        </c:txPr>
        <c:crossAx val="64130406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[D1015 - DRUG_FREQ2, script cnt in 24 mnth post init.xlsx]Sheet1!PivotTable1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s>
    <c:plotArea>
      <c:layout/>
      <c:barChart>
        <c:barDir val="col"/>
        <c:grouping val="clustered"/>
        <c:varyColors val="0"/>
        <c:ser>
          <c:idx val="0"/>
          <c:order val="0"/>
          <c:tx>
            <c:strRef>
              <c:f>Sheet1!$B$1</c:f>
              <c:strCache>
                <c:ptCount val="1"/>
                <c:pt idx="0">
                  <c:v>Total</c:v>
                </c:pt>
              </c:strCache>
            </c:strRef>
          </c:tx>
          <c:invertIfNegative val="0"/>
          <c:cat>
            <c:strRef>
              <c:f>Sheet1!$A$2:$A$26</c:f>
              <c:strCach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22</c:v>
                </c:pt>
                <c:pt idx="18">
                  <c:v>23</c:v>
                </c:pt>
                <c:pt idx="19">
                  <c:v>24</c:v>
                </c:pt>
                <c:pt idx="20">
                  <c:v>25</c:v>
                </c:pt>
                <c:pt idx="21">
                  <c:v>26</c:v>
                </c:pt>
                <c:pt idx="22">
                  <c:v>27</c:v>
                </c:pt>
                <c:pt idx="23">
                  <c:v>31</c:v>
                </c:pt>
              </c:strCache>
            </c:strRef>
          </c:cat>
          <c:val>
            <c:numRef>
              <c:f>Sheet1!$B$2:$B$26</c:f>
              <c:numCache>
                <c:formatCode>General</c:formatCode>
                <c:ptCount val="24"/>
                <c:pt idx="0">
                  <c:v>13</c:v>
                </c:pt>
                <c:pt idx="1">
                  <c:v>7</c:v>
                </c:pt>
                <c:pt idx="2">
                  <c:v>3</c:v>
                </c:pt>
                <c:pt idx="3">
                  <c:v>4</c:v>
                </c:pt>
                <c:pt idx="4">
                  <c:v>1</c:v>
                </c:pt>
                <c:pt idx="5">
                  <c:v>1</c:v>
                </c:pt>
                <c:pt idx="6">
                  <c:v>2</c:v>
                </c:pt>
                <c:pt idx="7">
                  <c:v>4</c:v>
                </c:pt>
                <c:pt idx="8">
                  <c:v>1</c:v>
                </c:pt>
                <c:pt idx="9">
                  <c:v>4</c:v>
                </c:pt>
                <c:pt idx="10">
                  <c:v>2</c:v>
                </c:pt>
                <c:pt idx="11">
                  <c:v>3</c:v>
                </c:pt>
                <c:pt idx="12">
                  <c:v>1</c:v>
                </c:pt>
                <c:pt idx="13">
                  <c:v>1</c:v>
                </c:pt>
                <c:pt idx="14">
                  <c:v>1</c:v>
                </c:pt>
                <c:pt idx="15">
                  <c:v>3</c:v>
                </c:pt>
                <c:pt idx="16">
                  <c:v>1</c:v>
                </c:pt>
                <c:pt idx="17">
                  <c:v>2</c:v>
                </c:pt>
                <c:pt idx="18">
                  <c:v>3</c:v>
                </c:pt>
                <c:pt idx="19">
                  <c:v>2</c:v>
                </c:pt>
                <c:pt idx="20">
                  <c:v>6</c:v>
                </c:pt>
                <c:pt idx="21">
                  <c:v>5</c:v>
                </c:pt>
                <c:pt idx="22">
                  <c:v>3</c:v>
                </c:pt>
                <c:pt idx="23">
                  <c:v>1</c:v>
                </c:pt>
              </c:numCache>
            </c:numRef>
          </c:val>
        </c:ser>
        <c:dLbls>
          <c:showLegendKey val="0"/>
          <c:showVal val="0"/>
          <c:showCatName val="0"/>
          <c:showSerName val="0"/>
          <c:showPercent val="0"/>
          <c:showBubbleSize val="0"/>
        </c:dLbls>
        <c:gapWidth val="150"/>
        <c:axId val="641854464"/>
        <c:axId val="641876736"/>
      </c:barChart>
      <c:catAx>
        <c:axId val="641854464"/>
        <c:scaling>
          <c:orientation val="minMax"/>
        </c:scaling>
        <c:delete val="0"/>
        <c:axPos val="b"/>
        <c:majorTickMark val="out"/>
        <c:minorTickMark val="none"/>
        <c:tickLblPos val="nextTo"/>
        <c:txPr>
          <a:bodyPr/>
          <a:lstStyle/>
          <a:p>
            <a:pPr>
              <a:defRPr lang="en-AU"/>
            </a:pPr>
            <a:endParaRPr lang="en-US"/>
          </a:p>
        </c:txPr>
        <c:crossAx val="641876736"/>
        <c:crosses val="autoZero"/>
        <c:auto val="1"/>
        <c:lblAlgn val="ctr"/>
        <c:lblOffset val="100"/>
        <c:noMultiLvlLbl val="0"/>
      </c:catAx>
      <c:valAx>
        <c:axId val="641876736"/>
        <c:scaling>
          <c:orientation val="minMax"/>
        </c:scaling>
        <c:delete val="0"/>
        <c:axPos val="l"/>
        <c:majorGridlines/>
        <c:title>
          <c:tx>
            <c:rich>
              <a:bodyPr rot="-5400000" vert="horz"/>
              <a:lstStyle/>
              <a:p>
                <a:pPr>
                  <a:defRPr lang="en-AU" b="0"/>
                </a:pPr>
                <a:r>
                  <a:rPr lang="en-US" b="0"/>
                  <a:t>Patients</a:t>
                </a:r>
              </a:p>
            </c:rich>
          </c:tx>
          <c:layout/>
          <c:overlay val="0"/>
        </c:title>
        <c:numFmt formatCode="General" sourceLinked="1"/>
        <c:majorTickMark val="out"/>
        <c:minorTickMark val="none"/>
        <c:tickLblPos val="nextTo"/>
        <c:txPr>
          <a:bodyPr/>
          <a:lstStyle/>
          <a:p>
            <a:pPr>
              <a:defRPr lang="en-AU"/>
            </a:pPr>
            <a:endParaRPr lang="en-US"/>
          </a:p>
        </c:txPr>
        <c:crossAx val="64185446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[D1015 - FORM_STR_FREQ2, script cnt in 24 mnth post init.xlsx]Sheet1!PivotTable1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s>
    <c:plotArea>
      <c:layout/>
      <c:barChart>
        <c:barDir val="col"/>
        <c:grouping val="clustered"/>
        <c:varyColors val="0"/>
        <c:ser>
          <c:idx val="0"/>
          <c:order val="0"/>
          <c:tx>
            <c:strRef>
              <c:f>Sheet1!$B$1:$B$2</c:f>
              <c:strCache>
                <c:ptCount val="1"/>
                <c:pt idx="0">
                  <c:v>Capsule 10 mg</c:v>
                </c:pt>
              </c:strCache>
            </c:strRef>
          </c:tx>
          <c:invertIfNegative val="0"/>
          <c:cat>
            <c:strRef>
              <c:f>Sheet1!$A$3:$A$27</c:f>
              <c:strCache>
                <c:ptCount val="24"/>
                <c:pt idx="0">
                  <c:v>1</c:v>
                </c:pt>
                <c:pt idx="1">
                  <c:v>2</c:v>
                </c:pt>
                <c:pt idx="2">
                  <c:v>3</c:v>
                </c:pt>
                <c:pt idx="3">
                  <c:v>4</c:v>
                </c:pt>
                <c:pt idx="4">
                  <c:v>5</c:v>
                </c:pt>
                <c:pt idx="5">
                  <c:v>7</c:v>
                </c:pt>
                <c:pt idx="6">
                  <c:v>8</c:v>
                </c:pt>
                <c:pt idx="7">
                  <c:v>9</c:v>
                </c:pt>
                <c:pt idx="8">
                  <c:v>10</c:v>
                </c:pt>
                <c:pt idx="9">
                  <c:v>11</c:v>
                </c:pt>
                <c:pt idx="10">
                  <c:v>12</c:v>
                </c:pt>
                <c:pt idx="11">
                  <c:v>13</c:v>
                </c:pt>
                <c:pt idx="12">
                  <c:v>14</c:v>
                </c:pt>
                <c:pt idx="13">
                  <c:v>15</c:v>
                </c:pt>
                <c:pt idx="14">
                  <c:v>16</c:v>
                </c:pt>
                <c:pt idx="15">
                  <c:v>17</c:v>
                </c:pt>
                <c:pt idx="16">
                  <c:v>21</c:v>
                </c:pt>
                <c:pt idx="17">
                  <c:v>22</c:v>
                </c:pt>
                <c:pt idx="18">
                  <c:v>23</c:v>
                </c:pt>
                <c:pt idx="19">
                  <c:v>24</c:v>
                </c:pt>
                <c:pt idx="20">
                  <c:v>25</c:v>
                </c:pt>
                <c:pt idx="21">
                  <c:v>26</c:v>
                </c:pt>
                <c:pt idx="22">
                  <c:v>27</c:v>
                </c:pt>
                <c:pt idx="23">
                  <c:v>31</c:v>
                </c:pt>
              </c:strCache>
            </c:strRef>
          </c:cat>
          <c:val>
            <c:numRef>
              <c:f>Sheet1!$B$3:$B$27</c:f>
              <c:numCache>
                <c:formatCode>General</c:formatCode>
                <c:ptCount val="24"/>
                <c:pt idx="0">
                  <c:v>12</c:v>
                </c:pt>
                <c:pt idx="1">
                  <c:v>11</c:v>
                </c:pt>
                <c:pt idx="2">
                  <c:v>5</c:v>
                </c:pt>
                <c:pt idx="3">
                  <c:v>5</c:v>
                </c:pt>
                <c:pt idx="5">
                  <c:v>2</c:v>
                </c:pt>
                <c:pt idx="6">
                  <c:v>4</c:v>
                </c:pt>
                <c:pt idx="8">
                  <c:v>2</c:v>
                </c:pt>
                <c:pt idx="9">
                  <c:v>3</c:v>
                </c:pt>
                <c:pt idx="10">
                  <c:v>3</c:v>
                </c:pt>
                <c:pt idx="15">
                  <c:v>1</c:v>
                </c:pt>
                <c:pt idx="17">
                  <c:v>1</c:v>
                </c:pt>
                <c:pt idx="18">
                  <c:v>1</c:v>
                </c:pt>
                <c:pt idx="19">
                  <c:v>1</c:v>
                </c:pt>
                <c:pt idx="20">
                  <c:v>5</c:v>
                </c:pt>
                <c:pt idx="21">
                  <c:v>3</c:v>
                </c:pt>
                <c:pt idx="22">
                  <c:v>3</c:v>
                </c:pt>
              </c:numCache>
            </c:numRef>
          </c:val>
        </c:ser>
        <c:ser>
          <c:idx val="1"/>
          <c:order val="1"/>
          <c:tx>
            <c:strRef>
              <c:f>Sheet1!$C$1:$C$2</c:f>
              <c:strCache>
                <c:ptCount val="1"/>
                <c:pt idx="0">
                  <c:v>Capsule 5 mg</c:v>
                </c:pt>
              </c:strCache>
            </c:strRef>
          </c:tx>
          <c:invertIfNegative val="0"/>
          <c:cat>
            <c:strRef>
              <c:f>Sheet1!$A$3:$A$27</c:f>
              <c:strCache>
                <c:ptCount val="24"/>
                <c:pt idx="0">
                  <c:v>1</c:v>
                </c:pt>
                <c:pt idx="1">
                  <c:v>2</c:v>
                </c:pt>
                <c:pt idx="2">
                  <c:v>3</c:v>
                </c:pt>
                <c:pt idx="3">
                  <c:v>4</c:v>
                </c:pt>
                <c:pt idx="4">
                  <c:v>5</c:v>
                </c:pt>
                <c:pt idx="5">
                  <c:v>7</c:v>
                </c:pt>
                <c:pt idx="6">
                  <c:v>8</c:v>
                </c:pt>
                <c:pt idx="7">
                  <c:v>9</c:v>
                </c:pt>
                <c:pt idx="8">
                  <c:v>10</c:v>
                </c:pt>
                <c:pt idx="9">
                  <c:v>11</c:v>
                </c:pt>
                <c:pt idx="10">
                  <c:v>12</c:v>
                </c:pt>
                <c:pt idx="11">
                  <c:v>13</c:v>
                </c:pt>
                <c:pt idx="12">
                  <c:v>14</c:v>
                </c:pt>
                <c:pt idx="13">
                  <c:v>15</c:v>
                </c:pt>
                <c:pt idx="14">
                  <c:v>16</c:v>
                </c:pt>
                <c:pt idx="15">
                  <c:v>17</c:v>
                </c:pt>
                <c:pt idx="16">
                  <c:v>21</c:v>
                </c:pt>
                <c:pt idx="17">
                  <c:v>22</c:v>
                </c:pt>
                <c:pt idx="18">
                  <c:v>23</c:v>
                </c:pt>
                <c:pt idx="19">
                  <c:v>24</c:v>
                </c:pt>
                <c:pt idx="20">
                  <c:v>25</c:v>
                </c:pt>
                <c:pt idx="21">
                  <c:v>26</c:v>
                </c:pt>
                <c:pt idx="22">
                  <c:v>27</c:v>
                </c:pt>
                <c:pt idx="23">
                  <c:v>31</c:v>
                </c:pt>
              </c:strCache>
            </c:strRef>
          </c:cat>
          <c:val>
            <c:numRef>
              <c:f>Sheet1!$C$3:$C$27</c:f>
              <c:numCache>
                <c:formatCode>General</c:formatCode>
                <c:ptCount val="24"/>
                <c:pt idx="0">
                  <c:v>3</c:v>
                </c:pt>
                <c:pt idx="2">
                  <c:v>1</c:v>
                </c:pt>
                <c:pt idx="3">
                  <c:v>4</c:v>
                </c:pt>
                <c:pt idx="4">
                  <c:v>1</c:v>
                </c:pt>
                <c:pt idx="5">
                  <c:v>2</c:v>
                </c:pt>
                <c:pt idx="6">
                  <c:v>1</c:v>
                </c:pt>
                <c:pt idx="7">
                  <c:v>1</c:v>
                </c:pt>
                <c:pt idx="8">
                  <c:v>2</c:v>
                </c:pt>
                <c:pt idx="9">
                  <c:v>1</c:v>
                </c:pt>
                <c:pt idx="10">
                  <c:v>1</c:v>
                </c:pt>
                <c:pt idx="11">
                  <c:v>1</c:v>
                </c:pt>
                <c:pt idx="12">
                  <c:v>2</c:v>
                </c:pt>
                <c:pt idx="13">
                  <c:v>3</c:v>
                </c:pt>
                <c:pt idx="14">
                  <c:v>1</c:v>
                </c:pt>
                <c:pt idx="16">
                  <c:v>1</c:v>
                </c:pt>
                <c:pt idx="18">
                  <c:v>1</c:v>
                </c:pt>
                <c:pt idx="19">
                  <c:v>1</c:v>
                </c:pt>
                <c:pt idx="23">
                  <c:v>1</c:v>
                </c:pt>
              </c:numCache>
            </c:numRef>
          </c:val>
        </c:ser>
        <c:dLbls>
          <c:showLegendKey val="0"/>
          <c:showVal val="0"/>
          <c:showCatName val="0"/>
          <c:showSerName val="0"/>
          <c:showPercent val="0"/>
          <c:showBubbleSize val="0"/>
        </c:dLbls>
        <c:gapWidth val="150"/>
        <c:axId val="641906176"/>
        <c:axId val="641907712"/>
      </c:barChart>
      <c:catAx>
        <c:axId val="641906176"/>
        <c:scaling>
          <c:orientation val="minMax"/>
        </c:scaling>
        <c:delete val="0"/>
        <c:axPos val="b"/>
        <c:majorTickMark val="out"/>
        <c:minorTickMark val="none"/>
        <c:tickLblPos val="nextTo"/>
        <c:txPr>
          <a:bodyPr/>
          <a:lstStyle/>
          <a:p>
            <a:pPr>
              <a:defRPr lang="en-AU"/>
            </a:pPr>
            <a:endParaRPr lang="en-US"/>
          </a:p>
        </c:txPr>
        <c:crossAx val="641907712"/>
        <c:crosses val="autoZero"/>
        <c:auto val="1"/>
        <c:lblAlgn val="ctr"/>
        <c:lblOffset val="100"/>
        <c:noMultiLvlLbl val="0"/>
      </c:catAx>
      <c:valAx>
        <c:axId val="641907712"/>
        <c:scaling>
          <c:orientation val="minMax"/>
          <c:max val="12"/>
        </c:scaling>
        <c:delete val="0"/>
        <c:axPos val="l"/>
        <c:majorGridlines/>
        <c:title>
          <c:tx>
            <c:rich>
              <a:bodyPr rot="-5400000" vert="horz"/>
              <a:lstStyle/>
              <a:p>
                <a:pPr>
                  <a:defRPr lang="en-AU" b="0"/>
                </a:pPr>
                <a:r>
                  <a:rPr lang="en-US" b="0"/>
                  <a:t>Patients</a:t>
                </a:r>
              </a:p>
            </c:rich>
          </c:tx>
          <c:layout/>
          <c:overlay val="0"/>
        </c:title>
        <c:numFmt formatCode="General" sourceLinked="1"/>
        <c:majorTickMark val="out"/>
        <c:minorTickMark val="none"/>
        <c:tickLblPos val="nextTo"/>
        <c:txPr>
          <a:bodyPr/>
          <a:lstStyle/>
          <a:p>
            <a:pPr>
              <a:defRPr lang="en-AU"/>
            </a:pPr>
            <a:endParaRPr lang="en-US"/>
          </a:p>
        </c:txPr>
        <c:crossAx val="641906176"/>
        <c:crosses val="autoZero"/>
        <c:crossBetween val="between"/>
      </c:valAx>
    </c:plotArea>
    <c:legend>
      <c:legendPos val="r"/>
      <c:layout/>
      <c:overlay val="0"/>
      <c:txPr>
        <a:bodyPr/>
        <a:lstStyle/>
        <a:p>
          <a:pPr>
            <a:defRPr lang="en-AU"/>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[D1015 - HSD packs for lenalidomide.xlsx]Sheet4!PivotTable2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s>
    <c:plotArea>
      <c:layout/>
      <c:lineChart>
        <c:grouping val="standard"/>
        <c:varyColors val="0"/>
        <c:ser>
          <c:idx val="0"/>
          <c:order val="0"/>
          <c:tx>
            <c:strRef>
              <c:f>Sheet4!$B$3:$B$5</c:f>
              <c:strCache>
                <c:ptCount val="1"/>
                <c:pt idx="0">
                  <c:v>Private - LBL MCA</c:v>
                </c:pt>
              </c:strCache>
            </c:strRef>
          </c:tx>
          <c:cat>
            <c:strRef>
              <c:f>Sheet4!$A$6:$A$36</c:f>
              <c:strCache>
                <c:ptCount val="30"/>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pt idx="18">
                  <c:v>2014Q2</c:v>
                </c:pt>
                <c:pt idx="19">
                  <c:v>2014Q3</c:v>
                </c:pt>
                <c:pt idx="20">
                  <c:v>2014Q4</c:v>
                </c:pt>
                <c:pt idx="21">
                  <c:v>2015Q1</c:v>
                </c:pt>
                <c:pt idx="22">
                  <c:v>2015Q2</c:v>
                </c:pt>
                <c:pt idx="23">
                  <c:v>2015Q3</c:v>
                </c:pt>
                <c:pt idx="24">
                  <c:v>2015Q4</c:v>
                </c:pt>
                <c:pt idx="25">
                  <c:v>2016Q1</c:v>
                </c:pt>
                <c:pt idx="26">
                  <c:v>2016Q2</c:v>
                </c:pt>
                <c:pt idx="27">
                  <c:v>2016Q3</c:v>
                </c:pt>
                <c:pt idx="28">
                  <c:v>2016Q4</c:v>
                </c:pt>
                <c:pt idx="29">
                  <c:v>2017Q1</c:v>
                </c:pt>
              </c:strCache>
            </c:strRef>
          </c:cat>
          <c:val>
            <c:numRef>
              <c:f>Sheet4!$B$6:$B$36</c:f>
              <c:numCache>
                <c:formatCode>General</c:formatCode>
                <c:ptCount val="30"/>
                <c:pt idx="0">
                  <c:v>290.42857142859879</c:v>
                </c:pt>
                <c:pt idx="1">
                  <c:v>534.85714285759934</c:v>
                </c:pt>
                <c:pt idx="2">
                  <c:v>582.95238095239995</c:v>
                </c:pt>
                <c:pt idx="3">
                  <c:v>597.28571428580005</c:v>
                </c:pt>
                <c:pt idx="4">
                  <c:v>603.71428571429999</c:v>
                </c:pt>
                <c:pt idx="5">
                  <c:v>591.85714285719939</c:v>
                </c:pt>
                <c:pt idx="6">
                  <c:v>570.71428571429999</c:v>
                </c:pt>
                <c:pt idx="7">
                  <c:v>624.28571428580005</c:v>
                </c:pt>
                <c:pt idx="8">
                  <c:v>623.28571428580005</c:v>
                </c:pt>
                <c:pt idx="9">
                  <c:v>696.28571428580005</c:v>
                </c:pt>
                <c:pt idx="10">
                  <c:v>681.28571428580005</c:v>
                </c:pt>
                <c:pt idx="11">
                  <c:v>732.71428571429999</c:v>
                </c:pt>
                <c:pt idx="12">
                  <c:v>771.28571428580005</c:v>
                </c:pt>
                <c:pt idx="13">
                  <c:v>748.28571428580005</c:v>
                </c:pt>
                <c:pt idx="14">
                  <c:v>791.28571428580005</c:v>
                </c:pt>
                <c:pt idx="15">
                  <c:v>828.71428571420006</c:v>
                </c:pt>
                <c:pt idx="16">
                  <c:v>897</c:v>
                </c:pt>
                <c:pt idx="17">
                  <c:v>882</c:v>
                </c:pt>
                <c:pt idx="18">
                  <c:v>976</c:v>
                </c:pt>
                <c:pt idx="19">
                  <c:v>1020</c:v>
                </c:pt>
                <c:pt idx="20">
                  <c:v>1093</c:v>
                </c:pt>
                <c:pt idx="21">
                  <c:v>1068</c:v>
                </c:pt>
                <c:pt idx="22">
                  <c:v>1163.4285714289999</c:v>
                </c:pt>
                <c:pt idx="23">
                  <c:v>1189</c:v>
                </c:pt>
                <c:pt idx="24">
                  <c:v>1277.3333333333001</c:v>
                </c:pt>
                <c:pt idx="25">
                  <c:v>1308</c:v>
                </c:pt>
                <c:pt idx="26">
                  <c:v>1370</c:v>
                </c:pt>
                <c:pt idx="27">
                  <c:v>1419</c:v>
                </c:pt>
                <c:pt idx="28">
                  <c:v>1492</c:v>
                </c:pt>
                <c:pt idx="29">
                  <c:v>1578</c:v>
                </c:pt>
              </c:numCache>
            </c:numRef>
          </c:val>
          <c:smooth val="0"/>
        </c:ser>
        <c:ser>
          <c:idx val="1"/>
          <c:order val="1"/>
          <c:tx>
            <c:strRef>
              <c:f>Sheet4!$D$3:$D$5</c:f>
              <c:strCache>
                <c:ptCount val="1"/>
                <c:pt idx="0">
                  <c:v>Public - bulk MCA</c:v>
                </c:pt>
              </c:strCache>
            </c:strRef>
          </c:tx>
          <c:cat>
            <c:strRef>
              <c:f>Sheet4!$A$6:$A$36</c:f>
              <c:strCache>
                <c:ptCount val="30"/>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pt idx="18">
                  <c:v>2014Q2</c:v>
                </c:pt>
                <c:pt idx="19">
                  <c:v>2014Q3</c:v>
                </c:pt>
                <c:pt idx="20">
                  <c:v>2014Q4</c:v>
                </c:pt>
                <c:pt idx="21">
                  <c:v>2015Q1</c:v>
                </c:pt>
                <c:pt idx="22">
                  <c:v>2015Q2</c:v>
                </c:pt>
                <c:pt idx="23">
                  <c:v>2015Q3</c:v>
                </c:pt>
                <c:pt idx="24">
                  <c:v>2015Q4</c:v>
                </c:pt>
                <c:pt idx="25">
                  <c:v>2016Q1</c:v>
                </c:pt>
                <c:pt idx="26">
                  <c:v>2016Q2</c:v>
                </c:pt>
                <c:pt idx="27">
                  <c:v>2016Q3</c:v>
                </c:pt>
                <c:pt idx="28">
                  <c:v>2016Q4</c:v>
                </c:pt>
                <c:pt idx="29">
                  <c:v>2017Q1</c:v>
                </c:pt>
              </c:strCache>
            </c:strRef>
          </c:cat>
          <c:val>
            <c:numRef>
              <c:f>Sheet4!$D$6:$D$36</c:f>
              <c:numCache>
                <c:formatCode>General</c:formatCode>
                <c:ptCount val="30"/>
                <c:pt idx="0">
                  <c:v>190.43</c:v>
                </c:pt>
                <c:pt idx="1">
                  <c:v>404.2</c:v>
                </c:pt>
                <c:pt idx="2">
                  <c:v>408.7</c:v>
                </c:pt>
                <c:pt idx="3">
                  <c:v>440.38</c:v>
                </c:pt>
                <c:pt idx="4">
                  <c:v>445.62</c:v>
                </c:pt>
                <c:pt idx="5">
                  <c:v>402.44</c:v>
                </c:pt>
                <c:pt idx="6">
                  <c:v>419.67999999999989</c:v>
                </c:pt>
                <c:pt idx="7">
                  <c:v>460.95</c:v>
                </c:pt>
                <c:pt idx="8">
                  <c:v>471.22999999999962</c:v>
                </c:pt>
                <c:pt idx="9">
                  <c:v>483.32000000000011</c:v>
                </c:pt>
                <c:pt idx="10">
                  <c:v>567.31999999999937</c:v>
                </c:pt>
                <c:pt idx="11">
                  <c:v>588.85999999999933</c:v>
                </c:pt>
                <c:pt idx="12">
                  <c:v>541.48</c:v>
                </c:pt>
                <c:pt idx="13">
                  <c:v>294.81</c:v>
                </c:pt>
                <c:pt idx="14">
                  <c:v>16</c:v>
                </c:pt>
              </c:numCache>
            </c:numRef>
          </c:val>
          <c:smooth val="0"/>
        </c:ser>
        <c:ser>
          <c:idx val="2"/>
          <c:order val="2"/>
          <c:tx>
            <c:strRef>
              <c:f>Sheet4!$E$3:$E$5</c:f>
              <c:strCache>
                <c:ptCount val="1"/>
                <c:pt idx="0">
                  <c:v>Public - LBL MCA</c:v>
                </c:pt>
              </c:strCache>
            </c:strRef>
          </c:tx>
          <c:cat>
            <c:strRef>
              <c:f>Sheet4!$A$6:$A$36</c:f>
              <c:strCache>
                <c:ptCount val="30"/>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pt idx="18">
                  <c:v>2014Q2</c:v>
                </c:pt>
                <c:pt idx="19">
                  <c:v>2014Q3</c:v>
                </c:pt>
                <c:pt idx="20">
                  <c:v>2014Q4</c:v>
                </c:pt>
                <c:pt idx="21">
                  <c:v>2015Q1</c:v>
                </c:pt>
                <c:pt idx="22">
                  <c:v>2015Q2</c:v>
                </c:pt>
                <c:pt idx="23">
                  <c:v>2015Q3</c:v>
                </c:pt>
                <c:pt idx="24">
                  <c:v>2015Q4</c:v>
                </c:pt>
                <c:pt idx="25">
                  <c:v>2016Q1</c:v>
                </c:pt>
                <c:pt idx="26">
                  <c:v>2016Q2</c:v>
                </c:pt>
                <c:pt idx="27">
                  <c:v>2016Q3</c:v>
                </c:pt>
                <c:pt idx="28">
                  <c:v>2016Q4</c:v>
                </c:pt>
                <c:pt idx="29">
                  <c:v>2017Q1</c:v>
                </c:pt>
              </c:strCache>
            </c:strRef>
          </c:cat>
          <c:val>
            <c:numRef>
              <c:f>Sheet4!$E$6:$E$36</c:f>
              <c:numCache>
                <c:formatCode>General</c:formatCode>
                <c:ptCount val="30"/>
                <c:pt idx="0">
                  <c:v>198.2857142869</c:v>
                </c:pt>
                <c:pt idx="1">
                  <c:v>392.47619047729899</c:v>
                </c:pt>
                <c:pt idx="2">
                  <c:v>416.90476190480018</c:v>
                </c:pt>
                <c:pt idx="3">
                  <c:v>428.38095238090011</c:v>
                </c:pt>
                <c:pt idx="4">
                  <c:v>499.76190476239941</c:v>
                </c:pt>
                <c:pt idx="5">
                  <c:v>573.28571428640055</c:v>
                </c:pt>
                <c:pt idx="6">
                  <c:v>623.47619047640001</c:v>
                </c:pt>
                <c:pt idx="7">
                  <c:v>654.66666666820004</c:v>
                </c:pt>
                <c:pt idx="8">
                  <c:v>640.42857142920002</c:v>
                </c:pt>
                <c:pt idx="9">
                  <c:v>614.47619047700005</c:v>
                </c:pt>
                <c:pt idx="10">
                  <c:v>650.9047619050001</c:v>
                </c:pt>
                <c:pt idx="11">
                  <c:v>724.14285714279936</c:v>
                </c:pt>
                <c:pt idx="12">
                  <c:v>862.38095238079939</c:v>
                </c:pt>
                <c:pt idx="13">
                  <c:v>1108.5714285731999</c:v>
                </c:pt>
                <c:pt idx="14">
                  <c:v>1427.3809523817999</c:v>
                </c:pt>
                <c:pt idx="15">
                  <c:v>1526.3333333318999</c:v>
                </c:pt>
                <c:pt idx="16">
                  <c:v>1527.9999999992001</c:v>
                </c:pt>
                <c:pt idx="17">
                  <c:v>1498.3809523795001</c:v>
                </c:pt>
                <c:pt idx="18">
                  <c:v>1570.8095238096</c:v>
                </c:pt>
                <c:pt idx="19">
                  <c:v>1545.9047619104001</c:v>
                </c:pt>
                <c:pt idx="20">
                  <c:v>1584.4761904807999</c:v>
                </c:pt>
                <c:pt idx="21">
                  <c:v>1554.7619047645001</c:v>
                </c:pt>
                <c:pt idx="22">
                  <c:v>1555.3333333372</c:v>
                </c:pt>
                <c:pt idx="23">
                  <c:v>1716.2380952326</c:v>
                </c:pt>
                <c:pt idx="24">
                  <c:v>1823.6666666669</c:v>
                </c:pt>
                <c:pt idx="25">
                  <c:v>1861.9523809504999</c:v>
                </c:pt>
                <c:pt idx="26">
                  <c:v>2086.6190476259999</c:v>
                </c:pt>
                <c:pt idx="27">
                  <c:v>2061.8095238115002</c:v>
                </c:pt>
                <c:pt idx="28">
                  <c:v>2165.5238095247</c:v>
                </c:pt>
                <c:pt idx="29">
                  <c:v>2155.0000000014002</c:v>
                </c:pt>
              </c:numCache>
            </c:numRef>
          </c:val>
          <c:smooth val="0"/>
        </c:ser>
        <c:dLbls>
          <c:showLegendKey val="0"/>
          <c:showVal val="0"/>
          <c:showCatName val="0"/>
          <c:showSerName val="0"/>
          <c:showPercent val="0"/>
          <c:showBubbleSize val="0"/>
        </c:dLbls>
        <c:marker val="1"/>
        <c:smooth val="0"/>
        <c:axId val="672523776"/>
        <c:axId val="672525696"/>
      </c:lineChart>
      <c:catAx>
        <c:axId val="672523776"/>
        <c:scaling>
          <c:orientation val="minMax"/>
        </c:scaling>
        <c:delete val="0"/>
        <c:axPos val="b"/>
        <c:title>
          <c:tx>
            <c:rich>
              <a:bodyPr/>
              <a:lstStyle/>
              <a:p>
                <a:pPr>
                  <a:defRPr lang="en-AU" b="0"/>
                </a:pPr>
                <a:r>
                  <a:rPr lang="en-US" b="0"/>
                  <a:t>Quarter of supply</a:t>
                </a:r>
              </a:p>
            </c:rich>
          </c:tx>
          <c:overlay val="0"/>
        </c:title>
        <c:majorTickMark val="none"/>
        <c:minorTickMark val="none"/>
        <c:tickLblPos val="nextTo"/>
        <c:txPr>
          <a:bodyPr/>
          <a:lstStyle/>
          <a:p>
            <a:pPr>
              <a:defRPr lang="en-AU"/>
            </a:pPr>
            <a:endParaRPr lang="en-US"/>
          </a:p>
        </c:txPr>
        <c:crossAx val="672525696"/>
        <c:crosses val="autoZero"/>
        <c:auto val="1"/>
        <c:lblAlgn val="ctr"/>
        <c:lblOffset val="100"/>
        <c:noMultiLvlLbl val="0"/>
      </c:catAx>
      <c:valAx>
        <c:axId val="672525696"/>
        <c:scaling>
          <c:orientation val="minMax"/>
        </c:scaling>
        <c:delete val="0"/>
        <c:axPos val="l"/>
        <c:majorGridlines/>
        <c:title>
          <c:tx>
            <c:rich>
              <a:bodyPr/>
              <a:lstStyle/>
              <a:p>
                <a:pPr>
                  <a:defRPr lang="en-AU" b="0"/>
                </a:pPr>
                <a:r>
                  <a:rPr lang="en-US" b="0"/>
                  <a:t>Packs</a:t>
                </a:r>
              </a:p>
            </c:rich>
          </c:tx>
          <c:overlay val="0"/>
        </c:title>
        <c:numFmt formatCode="#,##0" sourceLinked="0"/>
        <c:majorTickMark val="none"/>
        <c:minorTickMark val="none"/>
        <c:tickLblPos val="nextTo"/>
        <c:txPr>
          <a:bodyPr/>
          <a:lstStyle/>
          <a:p>
            <a:pPr>
              <a:defRPr lang="en-AU"/>
            </a:pPr>
            <a:endParaRPr lang="en-US"/>
          </a:p>
        </c:txPr>
        <c:crossAx val="672523776"/>
        <c:crosses val="autoZero"/>
        <c:crossBetween val="between"/>
      </c:valAx>
    </c:plotArea>
    <c:legend>
      <c:legendPos val="r"/>
      <c:overlay val="0"/>
      <c:txPr>
        <a:bodyPr/>
        <a:lstStyle/>
        <a:p>
          <a:pPr>
            <a:defRPr lang="en-AU"/>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892E-0010-4781-9190-785B29FE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9135</Words>
  <Characters>52072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2018-02-08T03:32:00Z</dcterms:created>
  <dcterms:modified xsi:type="dcterms:W3CDTF">2018-02-27T23:17:00Z</dcterms:modified>
</cp:coreProperties>
</file>