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68D71E45" w:rsidR="00832324" w:rsidRDefault="00A35E10" w:rsidP="00F73113">
      <w:pPr>
        <w:pStyle w:val="Title"/>
      </w:pPr>
      <w:r>
        <w:t>N</w:t>
      </w:r>
      <w:r w:rsidRPr="00A35E10">
        <w:t>anoparticle albumin-bound paclitaxel</w:t>
      </w:r>
      <w:r w:rsidR="00454038">
        <w:t xml:space="preserve"> for pancreatic cancer</w:t>
      </w:r>
      <w:r w:rsidR="001C4016">
        <w:t xml:space="preserve">: </w:t>
      </w:r>
      <w:r w:rsidRPr="00A35E10">
        <w:t>24 month predicted versus actual analysis</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390972ED" w:rsidR="009053D3" w:rsidRPr="00F73113" w:rsidRDefault="007F735E" w:rsidP="00F73113">
      <w:pPr>
        <w:pStyle w:val="Meetingdate"/>
      </w:pPr>
      <w:r>
        <w:t>September 2017</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76B1C886" w14:textId="3E5997A2" w:rsidR="007F735E" w:rsidRDefault="007F735E" w:rsidP="007F735E">
      <w:pPr>
        <w:rPr>
          <w:highlight w:val="yellow"/>
        </w:rPr>
      </w:pPr>
      <w:r w:rsidRPr="007F735E">
        <w:t xml:space="preserve">To compare the predicted and actual utilisation of </w:t>
      </w:r>
      <w:r>
        <w:t>n</w:t>
      </w:r>
      <w:r w:rsidRPr="007F735E">
        <w:t>anoparticle albumin-bound paclitaxel</w:t>
      </w:r>
      <w:r>
        <w:t xml:space="preserve"> (nab-paclitaxel)</w:t>
      </w:r>
      <w:r w:rsidRPr="007F735E">
        <w:t xml:space="preserve"> </w:t>
      </w:r>
      <w:r w:rsidR="00A00740">
        <w:t>for s</w:t>
      </w:r>
      <w:r w:rsidR="00A00740" w:rsidRPr="00A00740">
        <w:t xml:space="preserve">tage IV (metastatic) adenocarcinoma of the pancreas </w:t>
      </w:r>
      <w:r w:rsidRPr="007F735E">
        <w:t xml:space="preserve">in the first 24 months of PBS listing. </w:t>
      </w:r>
      <w:r w:rsidRPr="00900186">
        <w:t>Nab-paclitaxel was</w:t>
      </w:r>
      <w:bookmarkStart w:id="0" w:name="_GoBack"/>
      <w:bookmarkEnd w:id="0"/>
      <w:r w:rsidRPr="00900186">
        <w:t xml:space="preserve"> </w:t>
      </w:r>
      <w:r>
        <w:t xml:space="preserve">PBS </w:t>
      </w:r>
      <w:r w:rsidRPr="00900186">
        <w:t xml:space="preserve">listed </w:t>
      </w:r>
      <w:r w:rsidR="00A00740" w:rsidRPr="00900186">
        <w:t>for</w:t>
      </w:r>
      <w:r w:rsidR="00A00740">
        <w:t xml:space="preserve"> this indication </w:t>
      </w:r>
      <w:r>
        <w:t>on 1 November 2014.</w:t>
      </w:r>
    </w:p>
    <w:p w14:paraId="16F85616" w14:textId="5D0DB610" w:rsidR="00A00740" w:rsidRDefault="00A00740" w:rsidP="00CF5E22">
      <w:pPr>
        <w:pStyle w:val="Heading3"/>
      </w:pPr>
      <w:r>
        <w:t>Restriction</w:t>
      </w:r>
    </w:p>
    <w:p w14:paraId="5ED5229E" w14:textId="6BB48D68" w:rsidR="00A00740" w:rsidRDefault="00A00740" w:rsidP="00A00740">
      <w:r>
        <w:t>Stage IV (metastatic) adenocarcinoma of the pancreas. The treatment must be in combination with gemcitabine, and the condition must not have been treated previously with PBS-subsidised therapy, and the patient must have an Eastern Cooperative Oncology Group (ECOG) performance status score of 2 or less.</w:t>
      </w:r>
    </w:p>
    <w:p w14:paraId="319DE2E3" w14:textId="77777777" w:rsidR="00A00740" w:rsidRDefault="00A00740" w:rsidP="00A00740">
      <w:r>
        <w:t>A patient who has progressive disease when treated with this drug is no longer eligible for PBS-subsidised treatment with this drug.</w:t>
      </w:r>
    </w:p>
    <w:p w14:paraId="526743BB" w14:textId="77777777" w:rsidR="005C6661" w:rsidRDefault="005C6661" w:rsidP="00CF5E22">
      <w:pPr>
        <w:pStyle w:val="Heading3"/>
      </w:pPr>
      <w:r>
        <w:t>Data Source / methodology</w:t>
      </w:r>
    </w:p>
    <w:p w14:paraId="5E9E2FBA" w14:textId="6F965F9C" w:rsidR="005C6661" w:rsidRDefault="00D63FFE" w:rsidP="005C6661">
      <w:pPr>
        <w:pStyle w:val="NoSpacing"/>
      </w:pPr>
      <w:r>
        <w:t>P</w:t>
      </w:r>
      <w:r w:rsidR="00751A5A" w:rsidRPr="003267E7">
        <w:t xml:space="preserve">rescription </w:t>
      </w:r>
      <w:r w:rsidR="00454038">
        <w:t xml:space="preserve">claim </w:t>
      </w:r>
      <w:r w:rsidR="00751A5A" w:rsidRPr="003267E7">
        <w:t>data</w:t>
      </w:r>
      <w:r w:rsidR="00751A5A">
        <w:t xml:space="preserve"> for nab-paclitaxel</w:t>
      </w:r>
      <w:r w:rsidR="00751A5A" w:rsidRPr="003267E7">
        <w:t xml:space="preserve"> </w:t>
      </w:r>
      <w:r w:rsidR="00751A5A">
        <w:t>for adenocarcinoma of the pancreas</w:t>
      </w:r>
      <w:r w:rsidR="00751A5A" w:rsidRPr="003267E7">
        <w:t xml:space="preserve"> were extracted from </w:t>
      </w:r>
      <w:r w:rsidR="00751A5A">
        <w:t>November 2014</w:t>
      </w:r>
      <w:r w:rsidR="00751A5A" w:rsidRPr="003267E7">
        <w:t xml:space="preserve"> to </w:t>
      </w:r>
      <w:r w:rsidR="00751A5A">
        <w:t>March 2017.</w:t>
      </w:r>
    </w:p>
    <w:p w14:paraId="7599E7C1" w14:textId="77777777" w:rsidR="005C6661" w:rsidRDefault="005C6661" w:rsidP="00CF5E22">
      <w:pPr>
        <w:pStyle w:val="Heading3"/>
      </w:pPr>
      <w:r>
        <w:t>Key Findings</w:t>
      </w:r>
    </w:p>
    <w:p w14:paraId="6452886A" w14:textId="77777777" w:rsidR="00EE66CD" w:rsidRDefault="00185B38" w:rsidP="00185B38">
      <w:pPr>
        <w:pStyle w:val="NoSpacing"/>
        <w:numPr>
          <w:ilvl w:val="0"/>
          <w:numId w:val="1"/>
        </w:numPr>
      </w:pPr>
      <w:r w:rsidRPr="00EA682A">
        <w:t xml:space="preserve">Since listing, 3,284 patients have been supplied nab-paclitaxel for </w:t>
      </w:r>
      <w:r w:rsidRPr="00185B38">
        <w:t>adenocarcinoma of the pancreas</w:t>
      </w:r>
      <w:r>
        <w:t xml:space="preserve">. </w:t>
      </w:r>
    </w:p>
    <w:p w14:paraId="7B4F68A0" w14:textId="4D4836DB" w:rsidR="00454038" w:rsidRPr="00EA682A" w:rsidRDefault="00185B38" w:rsidP="00185B38">
      <w:pPr>
        <w:pStyle w:val="NoSpacing"/>
        <w:numPr>
          <w:ilvl w:val="0"/>
          <w:numId w:val="1"/>
        </w:numPr>
      </w:pPr>
      <w:r>
        <w:t xml:space="preserve">In 2016 </w:t>
      </w:r>
      <w:r w:rsidR="00EE66CD">
        <w:t xml:space="preserve">1,221 patients initiated therapy and </w:t>
      </w:r>
      <w:r>
        <w:t>1,708 patients were treated.</w:t>
      </w:r>
    </w:p>
    <w:p w14:paraId="013B8A7D" w14:textId="620D6772" w:rsidR="005C6661" w:rsidRPr="00EA682A" w:rsidRDefault="009C5BDA" w:rsidP="005C6661">
      <w:pPr>
        <w:pStyle w:val="NoSpacing"/>
        <w:numPr>
          <w:ilvl w:val="0"/>
          <w:numId w:val="1"/>
        </w:numPr>
      </w:pPr>
      <w:r w:rsidRPr="00EA682A">
        <w:t xml:space="preserve">The number of treated patients </w:t>
      </w:r>
      <w:r w:rsidR="00EE66CD">
        <w:t xml:space="preserve">per year is </w:t>
      </w:r>
      <w:r w:rsidR="00454038" w:rsidRPr="00EA682A">
        <w:t>similar</w:t>
      </w:r>
      <w:r w:rsidRPr="00EA682A">
        <w:t xml:space="preserve"> </w:t>
      </w:r>
      <w:r w:rsidR="00454038" w:rsidRPr="00EA682A">
        <w:t>to</w:t>
      </w:r>
      <w:r w:rsidRPr="00EA682A">
        <w:t xml:space="preserve"> expected, but the number of prescriptions (treatments) and vials was lower than predicted.</w:t>
      </w:r>
      <w:r w:rsidR="00454038" w:rsidRPr="00EA682A">
        <w:t xml:space="preserve"> The main reasons </w:t>
      </w:r>
      <w:r w:rsidR="00EE66CD">
        <w:t xml:space="preserve">for this difference </w:t>
      </w:r>
      <w:r w:rsidR="00EA682A">
        <w:t>may be</w:t>
      </w:r>
      <w:r w:rsidR="00EE66CD">
        <w:t xml:space="preserve"> PBS </w:t>
      </w:r>
      <w:r w:rsidR="00185B38">
        <w:t xml:space="preserve">patients </w:t>
      </w:r>
      <w:r w:rsidR="00EA682A">
        <w:t>requiring a delay in the next</w:t>
      </w:r>
      <w:r w:rsidR="00185B38">
        <w:t xml:space="preserve"> dose </w:t>
      </w:r>
      <w:r w:rsidR="00EA682A">
        <w:t>and dose reducing</w:t>
      </w:r>
      <w:r w:rsidR="00185B38">
        <w:t xml:space="preserve"> more than </w:t>
      </w:r>
      <w:r w:rsidR="00EE66CD">
        <w:t>patients in the trial which was used to inform the estimates of use</w:t>
      </w:r>
      <w:r w:rsidR="00185B38">
        <w:t>.</w:t>
      </w:r>
    </w:p>
    <w:p w14:paraId="38B57ECC" w14:textId="77777777" w:rsidR="00BB0D1A" w:rsidRDefault="00BB0D1A">
      <w:pPr>
        <w:spacing w:line="276" w:lineRule="auto"/>
        <w:rPr>
          <w:rFonts w:eastAsiaTheme="majorEastAsia" w:cstheme="majorBidi"/>
          <w:b/>
          <w:bCs/>
          <w:sz w:val="32"/>
          <w:szCs w:val="26"/>
        </w:rPr>
      </w:pPr>
      <w:r>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4C1162F3" w14:textId="392C1ACB" w:rsidR="007F735E" w:rsidRDefault="007F735E" w:rsidP="00990DCF">
      <w:pPr>
        <w:rPr>
          <w:highlight w:val="yellow"/>
        </w:rPr>
      </w:pPr>
      <w:r w:rsidRPr="007F735E">
        <w:t xml:space="preserve">To compare the predicted and actual utilisation of </w:t>
      </w:r>
      <w:r>
        <w:t>n</w:t>
      </w:r>
      <w:r w:rsidRPr="007F735E">
        <w:t>anoparticle albumin-bound paclitaxel</w:t>
      </w:r>
      <w:r>
        <w:t xml:space="preserve"> (nab-paclitaxel)</w:t>
      </w:r>
      <w:r w:rsidR="0012644C">
        <w:t xml:space="preserve"> </w:t>
      </w:r>
      <w:r w:rsidR="0012644C" w:rsidRPr="00900186">
        <w:t xml:space="preserve">for </w:t>
      </w:r>
      <w:r w:rsidR="0012644C">
        <w:t>S</w:t>
      </w:r>
      <w:r w:rsidR="0012644C" w:rsidRPr="00034CF5">
        <w:t>tage IV (metastatic) adenocarcinoma of the pancreas</w:t>
      </w:r>
      <w:r w:rsidRPr="007F735E">
        <w:t xml:space="preserve"> in the first 24 months of PBS listing.</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4B7F79EB" w14:textId="494ECF1C" w:rsidR="00B66DB0" w:rsidRDefault="0012644C" w:rsidP="00EA0837">
      <w:r>
        <w:t>Pancreatic a</w:t>
      </w:r>
      <w:r w:rsidR="00B91F1A" w:rsidRPr="000C5851">
        <w:t xml:space="preserve">denocarcinoma </w:t>
      </w:r>
      <w:r w:rsidR="00BB1223">
        <w:t xml:space="preserve">is a tumour that begins in </w:t>
      </w:r>
      <w:r>
        <w:t xml:space="preserve">the </w:t>
      </w:r>
      <w:r w:rsidR="00BB1223">
        <w:t>exocrine cells</w:t>
      </w:r>
      <w:r>
        <w:t xml:space="preserve"> of the pancreas</w:t>
      </w:r>
      <w:r w:rsidR="00BB1223">
        <w:t>. Exocrine pancreatic cancer is the most c</w:t>
      </w:r>
      <w:r>
        <w:t>ommon type of pancreatic cancer and is</w:t>
      </w:r>
      <w:r w:rsidR="00BB1223">
        <w:t xml:space="preserve"> more common than endocrine pancreatic cancer.</w:t>
      </w:r>
      <w:bookmarkStart w:id="1" w:name="_Ref488249418"/>
      <w:r w:rsidR="00EB1630">
        <w:rPr>
          <w:rStyle w:val="FootnoteReference"/>
        </w:rPr>
        <w:footnoteReference w:id="1"/>
      </w:r>
      <w:bookmarkEnd w:id="1"/>
      <w:r w:rsidR="00BB1223">
        <w:t xml:space="preserve"> </w:t>
      </w:r>
    </w:p>
    <w:p w14:paraId="53069DB1" w14:textId="113B4ECA" w:rsidR="00BB1223" w:rsidRDefault="00EB1630" w:rsidP="00BB1223">
      <w:r>
        <w:t>P</w:t>
      </w:r>
      <w:r w:rsidRPr="003D6600">
        <w:t>ancreatic adenocarcinoma</w:t>
      </w:r>
      <w:r>
        <w:t xml:space="preserve"> </w:t>
      </w:r>
      <w:r w:rsidR="00BB1223" w:rsidRPr="00BB1223">
        <w:t>may not cause early signs or symptoms</w:t>
      </w:r>
      <w:r w:rsidR="00BB1223">
        <w:t xml:space="preserve"> and when present, the signs and</w:t>
      </w:r>
      <w:r w:rsidR="00BB1223" w:rsidRPr="00BB1223">
        <w:t xml:space="preserve"> symptoms</w:t>
      </w:r>
      <w:r w:rsidR="00BB1223">
        <w:t xml:space="preserve"> are like the signs and symptoms of many other illnesses.</w:t>
      </w:r>
      <w:r w:rsidR="00BB1223" w:rsidRPr="00BB1223">
        <w:t xml:space="preserve"> </w:t>
      </w:r>
      <w:r>
        <w:t>P</w:t>
      </w:r>
      <w:r w:rsidRPr="003D6600">
        <w:t>ancreatic adenocarcinoma</w:t>
      </w:r>
      <w:r>
        <w:t xml:space="preserve"> </w:t>
      </w:r>
      <w:r w:rsidR="00BB1223">
        <w:t>is therefore difficult to detect and diagnose early</w:t>
      </w:r>
      <w:r w:rsidR="007D1453">
        <w:t>, and is often not found until it has spread to other organs</w:t>
      </w:r>
      <w:r w:rsidR="00BB1223">
        <w:t>.</w:t>
      </w:r>
      <w:r w:rsidR="003267E7" w:rsidRPr="003267E7">
        <w:rPr>
          <w:vertAlign w:val="superscript"/>
        </w:rPr>
        <w:fldChar w:fldCharType="begin"/>
      </w:r>
      <w:r w:rsidR="003267E7" w:rsidRPr="003267E7">
        <w:rPr>
          <w:vertAlign w:val="superscript"/>
        </w:rPr>
        <w:instrText xml:space="preserve"> NOTEREF _Ref488249418 \h </w:instrText>
      </w:r>
      <w:r w:rsidR="003267E7">
        <w:rPr>
          <w:vertAlign w:val="superscript"/>
        </w:rPr>
        <w:instrText xml:space="preserve"> \* MERGEFORMAT </w:instrText>
      </w:r>
      <w:r w:rsidR="003267E7" w:rsidRPr="003267E7">
        <w:rPr>
          <w:vertAlign w:val="superscript"/>
        </w:rPr>
      </w:r>
      <w:r w:rsidR="003267E7" w:rsidRPr="003267E7">
        <w:rPr>
          <w:vertAlign w:val="superscript"/>
        </w:rPr>
        <w:fldChar w:fldCharType="separate"/>
      </w:r>
      <w:r w:rsidR="00DD0CE2">
        <w:rPr>
          <w:vertAlign w:val="superscript"/>
        </w:rPr>
        <w:t>1</w:t>
      </w:r>
      <w:r w:rsidR="003267E7" w:rsidRPr="003267E7">
        <w:rPr>
          <w:vertAlign w:val="superscript"/>
        </w:rPr>
        <w:fldChar w:fldCharType="end"/>
      </w:r>
    </w:p>
    <w:p w14:paraId="493E743B" w14:textId="6610A2E8" w:rsidR="003D6600" w:rsidRDefault="00EB1630" w:rsidP="00EB1630">
      <w:r>
        <w:t xml:space="preserve">When pancreatic </w:t>
      </w:r>
      <w:r w:rsidR="0012644C" w:rsidRPr="003D6600">
        <w:t>adenocarcinoma</w:t>
      </w:r>
      <w:r w:rsidR="0012644C">
        <w:t xml:space="preserve"> </w:t>
      </w:r>
      <w:r>
        <w:t>cells are found in</w:t>
      </w:r>
      <w:r w:rsidRPr="00EB1630">
        <w:t xml:space="preserve"> </w:t>
      </w:r>
      <w:r w:rsidR="00B40519">
        <w:t xml:space="preserve">distant </w:t>
      </w:r>
      <w:r>
        <w:t>organs</w:t>
      </w:r>
      <w:r w:rsidR="00B40519">
        <w:t xml:space="preserve">, </w:t>
      </w:r>
      <w:r w:rsidRPr="00EB1630">
        <w:t>such as the liver, lung and peritoneal cavity</w:t>
      </w:r>
      <w:r>
        <w:t>, the cancer is classified as s</w:t>
      </w:r>
      <w:r w:rsidR="00BB1223" w:rsidRPr="00BB1223">
        <w:t>tage IV</w:t>
      </w:r>
      <w:r w:rsidR="00BB1223">
        <w:t xml:space="preserve"> </w:t>
      </w:r>
      <w:r w:rsidRPr="000C5851">
        <w:t>(metastatic) adenocarcinoma of the pancreas</w:t>
      </w:r>
      <w:r>
        <w:t>.</w:t>
      </w:r>
      <w:r w:rsidR="003267E7" w:rsidRPr="003267E7">
        <w:rPr>
          <w:vertAlign w:val="superscript"/>
        </w:rPr>
        <w:fldChar w:fldCharType="begin"/>
      </w:r>
      <w:r w:rsidR="003267E7" w:rsidRPr="003267E7">
        <w:rPr>
          <w:vertAlign w:val="superscript"/>
        </w:rPr>
        <w:instrText xml:space="preserve"> NOTEREF _Ref488249418 \h </w:instrText>
      </w:r>
      <w:r w:rsidR="003267E7">
        <w:rPr>
          <w:vertAlign w:val="superscript"/>
        </w:rPr>
        <w:instrText xml:space="preserve"> \* MERGEFORMAT </w:instrText>
      </w:r>
      <w:r w:rsidR="003267E7" w:rsidRPr="003267E7">
        <w:rPr>
          <w:vertAlign w:val="superscript"/>
        </w:rPr>
      </w:r>
      <w:r w:rsidR="003267E7" w:rsidRPr="003267E7">
        <w:rPr>
          <w:vertAlign w:val="superscript"/>
        </w:rPr>
        <w:fldChar w:fldCharType="separate"/>
      </w:r>
      <w:r w:rsidR="00DD0CE2">
        <w:rPr>
          <w:vertAlign w:val="superscript"/>
        </w:rPr>
        <w:t>1</w:t>
      </w:r>
      <w:r w:rsidR="003267E7" w:rsidRPr="003267E7">
        <w:rPr>
          <w:vertAlign w:val="superscript"/>
        </w:rPr>
        <w:fldChar w:fldCharType="end"/>
      </w:r>
    </w:p>
    <w:p w14:paraId="1F92D5B6" w14:textId="71C5F5C7" w:rsidR="00EA0837" w:rsidRDefault="00EA0837" w:rsidP="00EA0837">
      <w:r>
        <w:t xml:space="preserve">Stage IV </w:t>
      </w:r>
      <w:r w:rsidR="00EB1630" w:rsidRPr="000C5851">
        <w:t>adenocarcinoma of the pancreas</w:t>
      </w:r>
      <w:r w:rsidR="00EB1630">
        <w:t xml:space="preserve"> </w:t>
      </w:r>
      <w:r>
        <w:t>is surgically unresectable and has a very low 5-ye</w:t>
      </w:r>
      <w:r w:rsidR="00EB1630">
        <w:t xml:space="preserve">ar survival rate. </w:t>
      </w:r>
      <w:r>
        <w:t>Prior to the listing of nab-paclitaxel, the standard of care for stage IV pancreatic cancer was gemcitabine monotherapy. The submission proposed that nab-paclitaxel would be used in combination with gemcitabine for first-line treatment for stage IV pancreatic cancer.</w:t>
      </w:r>
      <w:r>
        <w:rPr>
          <w:rStyle w:val="FootnoteReference"/>
        </w:rPr>
        <w:footnoteReference w:id="2"/>
      </w:r>
    </w:p>
    <w:p w14:paraId="0183A567" w14:textId="413DF87B" w:rsidR="007247B9" w:rsidRDefault="007247B9" w:rsidP="00CF5E22">
      <w:pPr>
        <w:pStyle w:val="Heading2"/>
      </w:pPr>
      <w:r>
        <w:t>Pharmacology</w:t>
      </w:r>
    </w:p>
    <w:p w14:paraId="37AEB829" w14:textId="4548F1EF" w:rsidR="00422FBE" w:rsidRDefault="00422FBE" w:rsidP="00AE4BAC">
      <w:pPr>
        <w:rPr>
          <w:highlight w:val="yellow"/>
        </w:rPr>
      </w:pPr>
      <w:r>
        <w:t>Nanoparticle albumin-bound paclitaxel (nab-paclitaxel) 100 mg powder for injection (suspension) is an albumin nanoparticle form of paclitaxel with a mean particle size of approximately 130 nanometres. Paclitaxel exists in the nanoparticles in a non-crystalline, amorphous state. Each vial of nab-paclitaxel contains paclitaxel and human albumin in the ratio of 1:9. The paclitaxel is contained within nanoparticles that consist of a majority of paclitaxel bound to human albumin.</w:t>
      </w:r>
      <w:bookmarkStart w:id="2" w:name="_Ref490496353"/>
      <w:r w:rsidR="00CE34F7">
        <w:rPr>
          <w:rStyle w:val="FootnoteReference"/>
        </w:rPr>
        <w:footnoteReference w:id="3"/>
      </w:r>
      <w:bookmarkEnd w:id="2"/>
    </w:p>
    <w:p w14:paraId="6AC18C88" w14:textId="7A398934" w:rsidR="001420B3" w:rsidRPr="005E22C2" w:rsidRDefault="00A52918" w:rsidP="00B40519">
      <w:pPr>
        <w:pStyle w:val="Heading2"/>
        <w:keepNext/>
      </w:pPr>
      <w:r w:rsidRPr="00A52918">
        <w:lastRenderedPageBreak/>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52BB84C4" w14:textId="77777777" w:rsidR="001A08FE" w:rsidRDefault="00EB50A2" w:rsidP="001A08FE">
      <w:r w:rsidRPr="00EB50A2">
        <w:t>Nab-paclita</w:t>
      </w:r>
      <w:r>
        <w:t>xel is approved for use in patients with</w:t>
      </w:r>
      <w:r w:rsidR="001A08FE">
        <w:t>:</w:t>
      </w:r>
    </w:p>
    <w:p w14:paraId="6B9C363B" w14:textId="77777777" w:rsidR="001A08FE" w:rsidRDefault="00EB50A2" w:rsidP="001A08FE">
      <w:pPr>
        <w:pStyle w:val="ListParagraph"/>
        <w:numPr>
          <w:ilvl w:val="0"/>
          <w:numId w:val="4"/>
        </w:numPr>
      </w:pPr>
      <w:r w:rsidRPr="00EB50A2">
        <w:t>metastatic breast cancer</w:t>
      </w:r>
      <w:r w:rsidR="001A08FE" w:rsidRPr="001A08FE">
        <w:t xml:space="preserve"> </w:t>
      </w:r>
      <w:r w:rsidR="001A08FE">
        <w:t>after failure of anthracycline therapy,</w:t>
      </w:r>
      <w:r>
        <w:t xml:space="preserve"> </w:t>
      </w:r>
    </w:p>
    <w:p w14:paraId="5896DD41" w14:textId="77777777" w:rsidR="001A08FE" w:rsidRDefault="001A08FE" w:rsidP="001A08FE">
      <w:pPr>
        <w:pStyle w:val="ListParagraph"/>
        <w:numPr>
          <w:ilvl w:val="0"/>
          <w:numId w:val="4"/>
        </w:numPr>
      </w:pPr>
      <w:r w:rsidRPr="001A08FE">
        <w:t>non-small cell lung cancer in combination with carboplatin</w:t>
      </w:r>
      <w:r>
        <w:t>,</w:t>
      </w:r>
      <w:r w:rsidRPr="001A08FE">
        <w:t xml:space="preserve"> </w:t>
      </w:r>
      <w:r w:rsidR="00EB50A2">
        <w:t xml:space="preserve">and </w:t>
      </w:r>
    </w:p>
    <w:p w14:paraId="4C768BFC" w14:textId="2EB2D9DC" w:rsidR="00EB50A2" w:rsidRPr="00EB50A2" w:rsidRDefault="001A08FE" w:rsidP="001A08FE">
      <w:pPr>
        <w:pStyle w:val="ListParagraph"/>
        <w:numPr>
          <w:ilvl w:val="0"/>
          <w:numId w:val="4"/>
        </w:numPr>
      </w:pPr>
      <w:r w:rsidRPr="001A08FE">
        <w:t>metastatic adenocarcinoma of the pancreas in combination with gemcitabine</w:t>
      </w:r>
      <w:r>
        <w:t>.</w:t>
      </w:r>
    </w:p>
    <w:p w14:paraId="15E919C1" w14:textId="1B3BA560" w:rsidR="006B709B" w:rsidRDefault="006B709B" w:rsidP="00CF5E22">
      <w:pPr>
        <w:pStyle w:val="Heading2"/>
      </w:pPr>
      <w:r>
        <w:t>Dosage and administration</w:t>
      </w:r>
    </w:p>
    <w:p w14:paraId="1695EEE2" w14:textId="77777777" w:rsidR="000E5A34" w:rsidRDefault="000E5A34" w:rsidP="00A35800">
      <w:pPr>
        <w:rPr>
          <w:highlight w:val="yellow"/>
        </w:rPr>
      </w:pPr>
      <w:r>
        <w:t xml:space="preserve">To treat </w:t>
      </w:r>
      <w:r w:rsidRPr="000E5A34">
        <w:t>metastatic adenocarcinoma of the pancreas</w:t>
      </w:r>
      <w:r>
        <w:t xml:space="preserve"> nab-paclitaxel should be administered</w:t>
      </w:r>
      <w:r w:rsidRPr="000E5A34">
        <w:t xml:space="preserve"> in combination with gemcitabine</w:t>
      </w:r>
      <w:r>
        <w:t>.</w:t>
      </w:r>
      <w:r w:rsidRPr="000E5A34">
        <w:rPr>
          <w:highlight w:val="yellow"/>
        </w:rPr>
        <w:t xml:space="preserve"> </w:t>
      </w:r>
    </w:p>
    <w:p w14:paraId="4C0EF22C" w14:textId="3737CB7B" w:rsidR="000E5A34" w:rsidRDefault="000E5A34" w:rsidP="00A35800">
      <w:pPr>
        <w:rPr>
          <w:highlight w:val="yellow"/>
        </w:rPr>
      </w:pPr>
      <w:r>
        <w:t xml:space="preserve">The recommended dose of </w:t>
      </w:r>
      <w:r w:rsidR="00B15CD9">
        <w:t xml:space="preserve">nab-paclitaxel </w:t>
      </w:r>
      <w:r>
        <w:t>is 125 mg/m</w:t>
      </w:r>
      <w:r w:rsidRPr="00B15CD9">
        <w:rPr>
          <w:vertAlign w:val="superscript"/>
        </w:rPr>
        <w:t>2</w:t>
      </w:r>
      <w:r>
        <w:t xml:space="preserve"> administered as an intravenous infusion over 30 minutes on Days 1, 8 and 15 of each 28-day cycle. The recommended dose of gemcitabine is 1000 mg/m</w:t>
      </w:r>
      <w:r w:rsidRPr="00B15CD9">
        <w:rPr>
          <w:vertAlign w:val="superscript"/>
        </w:rPr>
        <w:t>2</w:t>
      </w:r>
      <w:r>
        <w:t xml:space="preserve"> as an intravenous infusion over 30 minutes beginning immediately after the completion of </w:t>
      </w:r>
      <w:r w:rsidR="00B15CD9">
        <w:t xml:space="preserve">nab-paclitaxel </w:t>
      </w:r>
      <w:r>
        <w:t>administration on Days 1, 8 and 15 of each 28-day cycle.</w:t>
      </w:r>
      <w:r w:rsidR="000D4067" w:rsidDel="000D4067">
        <w:rPr>
          <w:rStyle w:val="FootnoteReference"/>
        </w:rPr>
        <w:t xml:space="preserve"> </w:t>
      </w:r>
      <w:r w:rsidR="00CE34F7" w:rsidRPr="009C5BDA">
        <w:rPr>
          <w:vertAlign w:val="superscript"/>
        </w:rPr>
        <w:fldChar w:fldCharType="begin"/>
      </w:r>
      <w:r w:rsidR="00CE34F7" w:rsidRPr="009C5BDA">
        <w:rPr>
          <w:vertAlign w:val="superscript"/>
        </w:rPr>
        <w:instrText xml:space="preserve"> NOTEREF _Ref490496353 \h </w:instrText>
      </w:r>
      <w:r w:rsidR="00CE34F7">
        <w:rPr>
          <w:vertAlign w:val="superscript"/>
        </w:rPr>
        <w:instrText xml:space="preserve"> \* MERGEFORMAT </w:instrText>
      </w:r>
      <w:r w:rsidR="00CE34F7" w:rsidRPr="009C5BDA">
        <w:rPr>
          <w:vertAlign w:val="superscript"/>
        </w:rPr>
      </w:r>
      <w:r w:rsidR="00CE34F7" w:rsidRPr="009C5BDA">
        <w:rPr>
          <w:vertAlign w:val="superscript"/>
        </w:rPr>
        <w:fldChar w:fldCharType="separate"/>
      </w:r>
      <w:r w:rsidR="00DD0CE2">
        <w:rPr>
          <w:vertAlign w:val="superscript"/>
        </w:rPr>
        <w:t>3</w:t>
      </w:r>
      <w:r w:rsidR="00CE34F7" w:rsidRPr="009C5BDA">
        <w:rPr>
          <w:vertAlign w:val="superscript"/>
        </w:rPr>
        <w:fldChar w:fldCharType="end"/>
      </w:r>
    </w:p>
    <w:p w14:paraId="4D5045BE" w14:textId="6F630023" w:rsidR="002D2BD5" w:rsidRDefault="002D2BD5" w:rsidP="00F17D4B">
      <w:r>
        <w:t>The P</w:t>
      </w:r>
      <w:r w:rsidR="00680715">
        <w:t xml:space="preserve">roduct Information </w:t>
      </w:r>
      <w:r w:rsidR="00BC77AC">
        <w:t>recommends</w:t>
      </w:r>
      <w:r w:rsidR="00680715">
        <w:t xml:space="preserve"> dose reductions</w:t>
      </w:r>
      <w:r w:rsidR="00BC77AC">
        <w:t xml:space="preserve"> as shown in Table </w:t>
      </w:r>
      <w:r w:rsidR="004046AE">
        <w:t>1</w:t>
      </w:r>
      <w:r w:rsidR="000A64DE">
        <w:t>, and more specific dose modifications for neutropenia and/or thrombocytopenia</w:t>
      </w:r>
      <w:r w:rsidR="00680715">
        <w:t xml:space="preserve"> and</w:t>
      </w:r>
      <w:r w:rsidR="00680715" w:rsidRPr="00680715">
        <w:t xml:space="preserve"> other adverse drug reactions</w:t>
      </w:r>
      <w:r w:rsidR="000A64DE">
        <w:t xml:space="preserve"> (not shown)</w:t>
      </w:r>
      <w:r w:rsidR="00BC77AC">
        <w:t>.</w:t>
      </w:r>
    </w:p>
    <w:p w14:paraId="55177079" w14:textId="63B26D67" w:rsidR="00BC77AC" w:rsidRDefault="00BC77AC" w:rsidP="009C5BDA">
      <w:pPr>
        <w:pStyle w:val="Tabletitle"/>
      </w:pPr>
      <w:r>
        <w:t xml:space="preserve">Table </w:t>
      </w:r>
      <w:r w:rsidR="004046AE">
        <w:t>1</w:t>
      </w:r>
      <w:r>
        <w:t>:</w:t>
      </w:r>
      <w:r w:rsidR="00D676CD">
        <w:t xml:space="preserve"> Dose level reductions for patients with metastatic a</w:t>
      </w:r>
      <w:r w:rsidR="004876F9">
        <w:t>denocarcinoma of the p</w:t>
      </w:r>
      <w:r w:rsidRPr="00BC77AC">
        <w:t>ancreas</w:t>
      </w:r>
    </w:p>
    <w:tbl>
      <w:tblPr>
        <w:tblStyle w:val="TableGrid"/>
        <w:tblW w:w="0" w:type="auto"/>
        <w:tblLayout w:type="fixed"/>
        <w:tblLook w:val="04A0" w:firstRow="1" w:lastRow="0" w:firstColumn="1" w:lastColumn="0" w:noHBand="0" w:noVBand="1"/>
        <w:tblCaption w:val="Dose level reductions for patients with metastatic adenocarcinoma of the pancreas"/>
        <w:tblDescription w:val="Dose level reductions for nab-paclitaxel and gemcitabine"/>
      </w:tblPr>
      <w:tblGrid>
        <w:gridCol w:w="2965"/>
        <w:gridCol w:w="2966"/>
        <w:gridCol w:w="2966"/>
      </w:tblGrid>
      <w:tr w:rsidR="00BC77AC" w:rsidRPr="00BC77AC" w14:paraId="0C8007B1" w14:textId="77777777" w:rsidTr="003E64A8">
        <w:trPr>
          <w:trHeight w:val="300"/>
          <w:tblHeader/>
        </w:trPr>
        <w:tc>
          <w:tcPr>
            <w:tcW w:w="2965" w:type="dxa"/>
            <w:shd w:val="clear" w:color="auto" w:fill="BFBFBF" w:themeFill="background1" w:themeFillShade="BF"/>
            <w:noWrap/>
            <w:vAlign w:val="center"/>
            <w:hideMark/>
          </w:tcPr>
          <w:p w14:paraId="2C4D5642" w14:textId="77777777" w:rsidR="00BC77AC" w:rsidRPr="006E3D3D" w:rsidRDefault="00BC77AC" w:rsidP="00BC77AC">
            <w:pPr>
              <w:rPr>
                <w:b/>
                <w:sz w:val="20"/>
                <w:szCs w:val="20"/>
              </w:rPr>
            </w:pPr>
            <w:r w:rsidRPr="006E3D3D">
              <w:rPr>
                <w:b/>
                <w:sz w:val="20"/>
                <w:szCs w:val="20"/>
              </w:rPr>
              <w:t xml:space="preserve">Dose Level </w:t>
            </w:r>
          </w:p>
        </w:tc>
        <w:tc>
          <w:tcPr>
            <w:tcW w:w="2966" w:type="dxa"/>
            <w:shd w:val="clear" w:color="auto" w:fill="BFBFBF" w:themeFill="background1" w:themeFillShade="BF"/>
            <w:noWrap/>
            <w:vAlign w:val="center"/>
            <w:hideMark/>
          </w:tcPr>
          <w:p w14:paraId="2DF2F479" w14:textId="54CF3FC3" w:rsidR="00BC77AC" w:rsidRPr="006E3D3D" w:rsidRDefault="00AA6B01" w:rsidP="002D0F53">
            <w:pPr>
              <w:jc w:val="center"/>
              <w:rPr>
                <w:b/>
                <w:sz w:val="20"/>
                <w:szCs w:val="20"/>
              </w:rPr>
            </w:pPr>
            <w:r w:rsidRPr="006E3D3D">
              <w:rPr>
                <w:b/>
                <w:sz w:val="20"/>
                <w:szCs w:val="20"/>
              </w:rPr>
              <w:t xml:space="preserve">Nab-paclitaxel </w:t>
            </w:r>
            <w:r w:rsidR="00BC77AC" w:rsidRPr="006E3D3D">
              <w:rPr>
                <w:b/>
                <w:sz w:val="20"/>
                <w:szCs w:val="20"/>
              </w:rPr>
              <w:t>Dose (mg/m</w:t>
            </w:r>
            <w:r w:rsidR="00BC77AC" w:rsidRPr="00552675">
              <w:rPr>
                <w:b/>
                <w:sz w:val="20"/>
                <w:szCs w:val="20"/>
                <w:vertAlign w:val="superscript"/>
              </w:rPr>
              <w:t>2</w:t>
            </w:r>
            <w:r w:rsidR="00BC77AC" w:rsidRPr="006E3D3D">
              <w:rPr>
                <w:b/>
                <w:sz w:val="20"/>
                <w:szCs w:val="20"/>
              </w:rPr>
              <w:t>)</w:t>
            </w:r>
          </w:p>
        </w:tc>
        <w:tc>
          <w:tcPr>
            <w:tcW w:w="2966" w:type="dxa"/>
            <w:shd w:val="clear" w:color="auto" w:fill="BFBFBF" w:themeFill="background1" w:themeFillShade="BF"/>
            <w:noWrap/>
            <w:vAlign w:val="center"/>
            <w:hideMark/>
          </w:tcPr>
          <w:p w14:paraId="5C999F45" w14:textId="2DCE0989" w:rsidR="00BC77AC" w:rsidRPr="006E3D3D" w:rsidRDefault="00BC77AC" w:rsidP="002D0F53">
            <w:pPr>
              <w:jc w:val="center"/>
              <w:rPr>
                <w:b/>
                <w:sz w:val="20"/>
                <w:szCs w:val="20"/>
              </w:rPr>
            </w:pPr>
            <w:r w:rsidRPr="006E3D3D">
              <w:rPr>
                <w:b/>
                <w:sz w:val="20"/>
                <w:szCs w:val="20"/>
              </w:rPr>
              <w:t>Gemcitabine Dose (mg/m</w:t>
            </w:r>
            <w:r w:rsidRPr="00552675">
              <w:rPr>
                <w:b/>
                <w:sz w:val="20"/>
                <w:szCs w:val="20"/>
                <w:vertAlign w:val="superscript"/>
              </w:rPr>
              <w:t>2</w:t>
            </w:r>
            <w:r w:rsidRPr="006E3D3D">
              <w:rPr>
                <w:b/>
                <w:sz w:val="20"/>
                <w:szCs w:val="20"/>
              </w:rPr>
              <w:t>)</w:t>
            </w:r>
          </w:p>
        </w:tc>
      </w:tr>
      <w:tr w:rsidR="00BC77AC" w:rsidRPr="00BC77AC" w14:paraId="56CAE085" w14:textId="77777777" w:rsidTr="00BC77AC">
        <w:trPr>
          <w:trHeight w:val="300"/>
        </w:trPr>
        <w:tc>
          <w:tcPr>
            <w:tcW w:w="2965" w:type="dxa"/>
            <w:noWrap/>
            <w:vAlign w:val="center"/>
            <w:hideMark/>
          </w:tcPr>
          <w:p w14:paraId="26B3BAD0" w14:textId="77777777" w:rsidR="00BC77AC" w:rsidRPr="006E3D3D" w:rsidRDefault="00BC77AC" w:rsidP="00BC77AC">
            <w:pPr>
              <w:rPr>
                <w:sz w:val="20"/>
                <w:szCs w:val="20"/>
              </w:rPr>
            </w:pPr>
            <w:r w:rsidRPr="006E3D3D">
              <w:rPr>
                <w:sz w:val="20"/>
                <w:szCs w:val="20"/>
              </w:rPr>
              <w:t>Full dose</w:t>
            </w:r>
          </w:p>
        </w:tc>
        <w:tc>
          <w:tcPr>
            <w:tcW w:w="2966" w:type="dxa"/>
            <w:noWrap/>
            <w:vAlign w:val="center"/>
            <w:hideMark/>
          </w:tcPr>
          <w:p w14:paraId="5812892A" w14:textId="77777777" w:rsidR="00BC77AC" w:rsidRPr="006E3D3D" w:rsidRDefault="00BC77AC" w:rsidP="009C5BDA">
            <w:pPr>
              <w:jc w:val="right"/>
              <w:rPr>
                <w:sz w:val="20"/>
                <w:szCs w:val="20"/>
              </w:rPr>
            </w:pPr>
            <w:r w:rsidRPr="006E3D3D">
              <w:rPr>
                <w:sz w:val="20"/>
                <w:szCs w:val="20"/>
              </w:rPr>
              <w:t>125</w:t>
            </w:r>
          </w:p>
        </w:tc>
        <w:tc>
          <w:tcPr>
            <w:tcW w:w="2966" w:type="dxa"/>
            <w:noWrap/>
            <w:vAlign w:val="center"/>
            <w:hideMark/>
          </w:tcPr>
          <w:p w14:paraId="5A24F4A9" w14:textId="77777777" w:rsidR="00BC77AC" w:rsidRPr="006E3D3D" w:rsidRDefault="00BC77AC" w:rsidP="009C5BDA">
            <w:pPr>
              <w:jc w:val="right"/>
              <w:rPr>
                <w:sz w:val="20"/>
                <w:szCs w:val="20"/>
              </w:rPr>
            </w:pPr>
            <w:r w:rsidRPr="006E3D3D">
              <w:rPr>
                <w:sz w:val="20"/>
                <w:szCs w:val="20"/>
              </w:rPr>
              <w:t>1000</w:t>
            </w:r>
          </w:p>
        </w:tc>
      </w:tr>
      <w:tr w:rsidR="00BC77AC" w:rsidRPr="00BC77AC" w14:paraId="43C3E3F5" w14:textId="77777777" w:rsidTr="00BC77AC">
        <w:trPr>
          <w:trHeight w:val="300"/>
        </w:trPr>
        <w:tc>
          <w:tcPr>
            <w:tcW w:w="2965" w:type="dxa"/>
            <w:noWrap/>
            <w:vAlign w:val="center"/>
            <w:hideMark/>
          </w:tcPr>
          <w:p w14:paraId="40142216" w14:textId="77777777" w:rsidR="00BC77AC" w:rsidRPr="006E3D3D" w:rsidRDefault="00BC77AC" w:rsidP="00BC77AC">
            <w:pPr>
              <w:rPr>
                <w:sz w:val="20"/>
                <w:szCs w:val="20"/>
              </w:rPr>
            </w:pPr>
            <w:r w:rsidRPr="006E3D3D">
              <w:rPr>
                <w:sz w:val="20"/>
                <w:szCs w:val="20"/>
              </w:rPr>
              <w:t>1st level dose reduction</w:t>
            </w:r>
          </w:p>
        </w:tc>
        <w:tc>
          <w:tcPr>
            <w:tcW w:w="2966" w:type="dxa"/>
            <w:noWrap/>
            <w:vAlign w:val="center"/>
            <w:hideMark/>
          </w:tcPr>
          <w:p w14:paraId="5F6C82AD" w14:textId="77777777" w:rsidR="00BC77AC" w:rsidRPr="006E3D3D" w:rsidRDefault="00BC77AC" w:rsidP="009C5BDA">
            <w:pPr>
              <w:jc w:val="right"/>
              <w:rPr>
                <w:sz w:val="20"/>
                <w:szCs w:val="20"/>
              </w:rPr>
            </w:pPr>
            <w:r w:rsidRPr="006E3D3D">
              <w:rPr>
                <w:sz w:val="20"/>
                <w:szCs w:val="20"/>
              </w:rPr>
              <w:t>100</w:t>
            </w:r>
          </w:p>
        </w:tc>
        <w:tc>
          <w:tcPr>
            <w:tcW w:w="2966" w:type="dxa"/>
            <w:noWrap/>
            <w:vAlign w:val="center"/>
            <w:hideMark/>
          </w:tcPr>
          <w:p w14:paraId="60DE1B22" w14:textId="77777777" w:rsidR="00BC77AC" w:rsidRPr="006E3D3D" w:rsidRDefault="00BC77AC" w:rsidP="009C5BDA">
            <w:pPr>
              <w:jc w:val="right"/>
              <w:rPr>
                <w:sz w:val="20"/>
                <w:szCs w:val="20"/>
              </w:rPr>
            </w:pPr>
            <w:r w:rsidRPr="006E3D3D">
              <w:rPr>
                <w:sz w:val="20"/>
                <w:szCs w:val="20"/>
              </w:rPr>
              <w:t>800</w:t>
            </w:r>
          </w:p>
        </w:tc>
      </w:tr>
      <w:tr w:rsidR="00BC77AC" w:rsidRPr="00BC77AC" w14:paraId="100619EB" w14:textId="77777777" w:rsidTr="00BC77AC">
        <w:trPr>
          <w:trHeight w:val="300"/>
        </w:trPr>
        <w:tc>
          <w:tcPr>
            <w:tcW w:w="2965" w:type="dxa"/>
            <w:noWrap/>
            <w:vAlign w:val="center"/>
            <w:hideMark/>
          </w:tcPr>
          <w:p w14:paraId="4D0D0A77" w14:textId="77777777" w:rsidR="00BC77AC" w:rsidRPr="006E3D3D" w:rsidRDefault="00BC77AC" w:rsidP="00BC77AC">
            <w:pPr>
              <w:rPr>
                <w:sz w:val="20"/>
                <w:szCs w:val="20"/>
              </w:rPr>
            </w:pPr>
            <w:r w:rsidRPr="006E3D3D">
              <w:rPr>
                <w:sz w:val="20"/>
                <w:szCs w:val="20"/>
              </w:rPr>
              <w:t>2nd level dose reduction</w:t>
            </w:r>
          </w:p>
        </w:tc>
        <w:tc>
          <w:tcPr>
            <w:tcW w:w="2966" w:type="dxa"/>
            <w:noWrap/>
            <w:vAlign w:val="center"/>
            <w:hideMark/>
          </w:tcPr>
          <w:p w14:paraId="0857569E" w14:textId="77777777" w:rsidR="00BC77AC" w:rsidRPr="006E3D3D" w:rsidRDefault="00BC77AC" w:rsidP="009C5BDA">
            <w:pPr>
              <w:jc w:val="right"/>
              <w:rPr>
                <w:sz w:val="20"/>
                <w:szCs w:val="20"/>
              </w:rPr>
            </w:pPr>
            <w:r w:rsidRPr="006E3D3D">
              <w:rPr>
                <w:sz w:val="20"/>
                <w:szCs w:val="20"/>
              </w:rPr>
              <w:t>75</w:t>
            </w:r>
          </w:p>
        </w:tc>
        <w:tc>
          <w:tcPr>
            <w:tcW w:w="2966" w:type="dxa"/>
            <w:noWrap/>
            <w:vAlign w:val="center"/>
            <w:hideMark/>
          </w:tcPr>
          <w:p w14:paraId="19A2A7A5" w14:textId="77777777" w:rsidR="00BC77AC" w:rsidRPr="006E3D3D" w:rsidRDefault="00BC77AC" w:rsidP="009C5BDA">
            <w:pPr>
              <w:jc w:val="right"/>
              <w:rPr>
                <w:sz w:val="20"/>
                <w:szCs w:val="20"/>
              </w:rPr>
            </w:pPr>
            <w:r w:rsidRPr="006E3D3D">
              <w:rPr>
                <w:sz w:val="20"/>
                <w:szCs w:val="20"/>
              </w:rPr>
              <w:t>600</w:t>
            </w:r>
          </w:p>
        </w:tc>
      </w:tr>
      <w:tr w:rsidR="00BC77AC" w:rsidRPr="00BC77AC" w14:paraId="78921E6E" w14:textId="77777777" w:rsidTr="00BC77AC">
        <w:trPr>
          <w:trHeight w:val="300"/>
        </w:trPr>
        <w:tc>
          <w:tcPr>
            <w:tcW w:w="2965" w:type="dxa"/>
            <w:noWrap/>
            <w:vAlign w:val="center"/>
            <w:hideMark/>
          </w:tcPr>
          <w:p w14:paraId="551D0FF5" w14:textId="77777777" w:rsidR="00BC77AC" w:rsidRPr="006E3D3D" w:rsidRDefault="00BC77AC" w:rsidP="00BC77AC">
            <w:pPr>
              <w:rPr>
                <w:sz w:val="20"/>
                <w:szCs w:val="20"/>
              </w:rPr>
            </w:pPr>
            <w:r w:rsidRPr="006E3D3D">
              <w:rPr>
                <w:sz w:val="20"/>
                <w:szCs w:val="20"/>
              </w:rPr>
              <w:t>If additional dose reduction required</w:t>
            </w:r>
          </w:p>
        </w:tc>
        <w:tc>
          <w:tcPr>
            <w:tcW w:w="2966" w:type="dxa"/>
            <w:noWrap/>
            <w:vAlign w:val="center"/>
            <w:hideMark/>
          </w:tcPr>
          <w:p w14:paraId="56F9FDB3" w14:textId="77777777" w:rsidR="00BC77AC" w:rsidRPr="006E3D3D" w:rsidRDefault="00BC77AC" w:rsidP="009C5BDA">
            <w:pPr>
              <w:jc w:val="right"/>
              <w:rPr>
                <w:sz w:val="20"/>
                <w:szCs w:val="20"/>
              </w:rPr>
            </w:pPr>
            <w:r w:rsidRPr="006E3D3D">
              <w:rPr>
                <w:sz w:val="20"/>
                <w:szCs w:val="20"/>
              </w:rPr>
              <w:t>Discontinue treatment</w:t>
            </w:r>
          </w:p>
        </w:tc>
        <w:tc>
          <w:tcPr>
            <w:tcW w:w="2966" w:type="dxa"/>
            <w:noWrap/>
            <w:vAlign w:val="center"/>
            <w:hideMark/>
          </w:tcPr>
          <w:p w14:paraId="4F8691BF" w14:textId="77777777" w:rsidR="00BC77AC" w:rsidRPr="006E3D3D" w:rsidRDefault="00BC77AC" w:rsidP="009C5BDA">
            <w:pPr>
              <w:jc w:val="right"/>
              <w:rPr>
                <w:sz w:val="20"/>
                <w:szCs w:val="20"/>
              </w:rPr>
            </w:pPr>
            <w:r w:rsidRPr="006E3D3D">
              <w:rPr>
                <w:sz w:val="20"/>
                <w:szCs w:val="20"/>
              </w:rPr>
              <w:t>Discontinue treatment</w:t>
            </w:r>
          </w:p>
        </w:tc>
      </w:tr>
    </w:tbl>
    <w:p w14:paraId="5615E4A0" w14:textId="77777777" w:rsidR="000A64DE" w:rsidRDefault="000A64DE" w:rsidP="00F17D4B"/>
    <w:p w14:paraId="6682A05C" w14:textId="77777777" w:rsidR="00F17D4B" w:rsidRPr="002F61CA" w:rsidRDefault="00F17D4B" w:rsidP="00F17D4B">
      <w:r w:rsidRPr="002F61CA">
        <w:t xml:space="preserve">The current Product Information (PI) and Consumer Medicine Information (CMI) are available from </w:t>
      </w:r>
      <w:hyperlink r:id="rId9" w:history="1">
        <w:r>
          <w:rPr>
            <w:rStyle w:val="Hyperlink"/>
          </w:rPr>
          <w:t>the TGA (Product Information)</w:t>
        </w:r>
      </w:hyperlink>
      <w:r>
        <w:t xml:space="preserve"> and </w:t>
      </w:r>
      <w:hyperlink r:id="rId10" w:history="1">
        <w:r>
          <w:rPr>
            <w:rStyle w:val="Hyperlink"/>
          </w:rPr>
          <w:t>the TGA (Consumer Medicines Information)</w:t>
        </w:r>
      </w:hyperlink>
      <w:r>
        <w:t>.</w:t>
      </w:r>
    </w:p>
    <w:p w14:paraId="46E2BB42" w14:textId="31DC8D98" w:rsidR="00DF0B13" w:rsidRDefault="00DF0B13" w:rsidP="000D4067">
      <w:pPr>
        <w:pStyle w:val="Heading2"/>
        <w:keepNext/>
      </w:pPr>
      <w:r w:rsidRPr="007247B9" w:rsidDel="00EE2BBB">
        <w:t>PBS listing details</w:t>
      </w:r>
      <w:r w:rsidR="00D151EB" w:rsidDel="00EE2BBB">
        <w:t xml:space="preserve"> (as at </w:t>
      </w:r>
      <w:r w:rsidR="00A225D2">
        <w:t>1 July 2017)</w:t>
      </w:r>
    </w:p>
    <w:p w14:paraId="496AFDF8" w14:textId="77777777" w:rsidR="00090177" w:rsidRDefault="00090177" w:rsidP="000D4067">
      <w:pPr>
        <w:pStyle w:val="Heading3"/>
        <w:keepNext/>
      </w:pPr>
      <w:r w:rsidRPr="00675BB1" w:rsidDel="00EE2BBB">
        <w:t>Date of listing on PBS</w:t>
      </w:r>
    </w:p>
    <w:p w14:paraId="289DF09B" w14:textId="102DA14B" w:rsidR="00090177" w:rsidRPr="00900186" w:rsidRDefault="00090177" w:rsidP="00090177">
      <w:r w:rsidRPr="00900186">
        <w:t xml:space="preserve">Nab-paclitaxel was </w:t>
      </w:r>
      <w:r>
        <w:t xml:space="preserve">PBS </w:t>
      </w:r>
      <w:r w:rsidRPr="00900186">
        <w:t xml:space="preserve">listed </w:t>
      </w:r>
      <w:r>
        <w:t>on 1 November 2014 as an Authority Required (</w:t>
      </w:r>
      <w:r w:rsidR="00E9059C">
        <w:t>STREAMLINED</w:t>
      </w:r>
      <w:r>
        <w:t xml:space="preserve">) listing </w:t>
      </w:r>
      <w:r w:rsidRPr="00900186">
        <w:t xml:space="preserve">for </w:t>
      </w:r>
      <w:r>
        <w:t>S</w:t>
      </w:r>
      <w:r w:rsidRPr="00034CF5">
        <w:t>tage IV (metastatic) adenocarcinoma of the pancreas</w:t>
      </w:r>
      <w:r>
        <w:t>,</w:t>
      </w:r>
      <w:r w:rsidRPr="00090177">
        <w:t xml:space="preserve"> </w:t>
      </w:r>
      <w:r>
        <w:t xml:space="preserve">under the item codes in Table </w:t>
      </w:r>
      <w:r w:rsidR="004046AE">
        <w:t>2</w:t>
      </w:r>
      <w:r>
        <w:t>.</w:t>
      </w:r>
    </w:p>
    <w:p w14:paraId="1D47784A" w14:textId="31D0E545" w:rsidR="001420B3" w:rsidRPr="001420B3" w:rsidDel="00EE2BBB" w:rsidRDefault="001420B3" w:rsidP="00A225D2">
      <w:pPr>
        <w:pStyle w:val="Tabletitle"/>
        <w:keepNext/>
      </w:pPr>
      <w:r w:rsidRPr="001420B3" w:rsidDel="00EE2BBB">
        <w:lastRenderedPageBreak/>
        <w:t xml:space="preserve">Table </w:t>
      </w:r>
      <w:r w:rsidR="004046AE">
        <w:t>2</w:t>
      </w:r>
      <w:r w:rsidRPr="001420B3" w:rsidDel="00EE2BBB">
        <w:t xml:space="preserve">: </w:t>
      </w:r>
      <w:r w:rsidR="009663B6" w:rsidDel="00EE2BBB">
        <w:t>PB</w:t>
      </w:r>
      <w:r w:rsidR="00A225D2">
        <w:t>S listing of nab-paclitaxel</w:t>
      </w:r>
    </w:p>
    <w:tbl>
      <w:tblPr>
        <w:tblStyle w:val="TableGrid"/>
        <w:tblW w:w="9064" w:type="dxa"/>
        <w:tblLayout w:type="fixed"/>
        <w:tblLook w:val="04A0" w:firstRow="1" w:lastRow="0" w:firstColumn="1" w:lastColumn="0" w:noHBand="0" w:noVBand="1"/>
        <w:tblCaption w:val="PBS listing of nab-paclitaxel"/>
        <w:tblDescription w:val="Max amount of 275 mg, DPMA $1282.72 (private), $1228.06 (public)"/>
      </w:tblPr>
      <w:tblGrid>
        <w:gridCol w:w="969"/>
        <w:gridCol w:w="2400"/>
        <w:gridCol w:w="1701"/>
        <w:gridCol w:w="850"/>
        <w:gridCol w:w="1040"/>
        <w:gridCol w:w="2104"/>
      </w:tblGrid>
      <w:tr w:rsidR="0093111F" w:rsidRPr="00A35800" w:rsidDel="00EE2BBB" w14:paraId="6AA19A37" w14:textId="77B518AD" w:rsidTr="0093111F">
        <w:trPr>
          <w:trHeight w:val="694"/>
          <w:tblHeader/>
        </w:trPr>
        <w:tc>
          <w:tcPr>
            <w:tcW w:w="969" w:type="dxa"/>
            <w:shd w:val="clear" w:color="auto" w:fill="BFBFBF" w:themeFill="background1" w:themeFillShade="BF"/>
          </w:tcPr>
          <w:p w14:paraId="56A3DEA0" w14:textId="1A878237" w:rsidR="0093111F" w:rsidRPr="00A35800" w:rsidDel="00EE2BBB" w:rsidRDefault="0093111F" w:rsidP="00A225D2">
            <w:pPr>
              <w:pStyle w:val="Tableheading"/>
              <w:keepNext/>
              <w:rPr>
                <w:sz w:val="20"/>
                <w:szCs w:val="20"/>
              </w:rPr>
            </w:pPr>
            <w:r w:rsidRPr="00A35800" w:rsidDel="00EE2BBB">
              <w:rPr>
                <w:sz w:val="20"/>
                <w:szCs w:val="20"/>
              </w:rPr>
              <w:t>Item</w:t>
            </w:r>
          </w:p>
        </w:tc>
        <w:tc>
          <w:tcPr>
            <w:tcW w:w="2400" w:type="dxa"/>
            <w:shd w:val="clear" w:color="auto" w:fill="BFBFBF" w:themeFill="background1" w:themeFillShade="BF"/>
          </w:tcPr>
          <w:p w14:paraId="67A07252" w14:textId="6DE43662" w:rsidR="0093111F" w:rsidRPr="00A35800" w:rsidDel="00EE2BBB" w:rsidRDefault="0093111F" w:rsidP="00A225D2">
            <w:pPr>
              <w:pStyle w:val="Tableheading"/>
              <w:keepNext/>
              <w:rPr>
                <w:sz w:val="20"/>
                <w:szCs w:val="20"/>
              </w:rPr>
            </w:pPr>
            <w:r w:rsidRPr="00A35800" w:rsidDel="00EE2BBB">
              <w:rPr>
                <w:sz w:val="20"/>
                <w:szCs w:val="20"/>
              </w:rPr>
              <w:t>Name, form &amp; strength, pack size</w:t>
            </w:r>
          </w:p>
        </w:tc>
        <w:tc>
          <w:tcPr>
            <w:tcW w:w="1701" w:type="dxa"/>
            <w:shd w:val="clear" w:color="auto" w:fill="BFBFBF" w:themeFill="background1" w:themeFillShade="BF"/>
          </w:tcPr>
          <w:p w14:paraId="114E9799" w14:textId="23D0E961" w:rsidR="0093111F" w:rsidRPr="00A35800" w:rsidDel="00EE2BBB" w:rsidRDefault="0093111F" w:rsidP="00A225D2">
            <w:pPr>
              <w:pStyle w:val="Tableheading"/>
              <w:keepNext/>
              <w:rPr>
                <w:sz w:val="20"/>
                <w:szCs w:val="20"/>
              </w:rPr>
            </w:pPr>
            <w:r w:rsidRPr="00A35800" w:rsidDel="00EE2BBB">
              <w:rPr>
                <w:sz w:val="20"/>
                <w:szCs w:val="20"/>
              </w:rPr>
              <w:t>Max</w:t>
            </w:r>
            <w:r w:rsidR="00A13C60" w:rsidRPr="00A35800" w:rsidDel="00EE2BBB">
              <w:rPr>
                <w:sz w:val="20"/>
                <w:szCs w:val="20"/>
              </w:rPr>
              <w:t>.</w:t>
            </w:r>
            <w:r w:rsidR="00A225D2">
              <w:rPr>
                <w:sz w:val="20"/>
                <w:szCs w:val="20"/>
              </w:rPr>
              <w:t xml:space="preserve"> amount</w:t>
            </w:r>
            <w:r w:rsidRPr="00A35800" w:rsidDel="00EE2BBB">
              <w:rPr>
                <w:sz w:val="20"/>
                <w:szCs w:val="20"/>
              </w:rPr>
              <w:t xml:space="preserve"> </w:t>
            </w:r>
          </w:p>
        </w:tc>
        <w:tc>
          <w:tcPr>
            <w:tcW w:w="850" w:type="dxa"/>
            <w:shd w:val="clear" w:color="auto" w:fill="BFBFBF" w:themeFill="background1" w:themeFillShade="BF"/>
          </w:tcPr>
          <w:p w14:paraId="0F1A79F7" w14:textId="170F6D44" w:rsidR="0093111F" w:rsidRPr="00A35800" w:rsidDel="00EE2BBB" w:rsidRDefault="0093111F" w:rsidP="00A225D2">
            <w:pPr>
              <w:pStyle w:val="Tableheading"/>
              <w:keepNext/>
              <w:rPr>
                <w:sz w:val="20"/>
                <w:szCs w:val="20"/>
              </w:rPr>
            </w:pPr>
            <w:r w:rsidRPr="00A35800" w:rsidDel="00EE2BBB">
              <w:rPr>
                <w:sz w:val="20"/>
                <w:szCs w:val="20"/>
              </w:rPr>
              <w:t xml:space="preserve">Rpts </w:t>
            </w:r>
          </w:p>
        </w:tc>
        <w:tc>
          <w:tcPr>
            <w:tcW w:w="1040" w:type="dxa"/>
            <w:shd w:val="clear" w:color="auto" w:fill="BFBFBF" w:themeFill="background1" w:themeFillShade="BF"/>
          </w:tcPr>
          <w:p w14:paraId="05C5A0BF" w14:textId="4D3073DF" w:rsidR="0093111F" w:rsidRPr="00A35800" w:rsidDel="00EE2BBB" w:rsidRDefault="00A225D2" w:rsidP="00A225D2">
            <w:pPr>
              <w:pStyle w:val="Tableheading"/>
              <w:keepNext/>
              <w:rPr>
                <w:sz w:val="20"/>
                <w:szCs w:val="20"/>
              </w:rPr>
            </w:pPr>
            <w:r>
              <w:rPr>
                <w:sz w:val="20"/>
                <w:szCs w:val="20"/>
              </w:rPr>
              <w:t>DPMA</w:t>
            </w:r>
          </w:p>
        </w:tc>
        <w:tc>
          <w:tcPr>
            <w:tcW w:w="2104" w:type="dxa"/>
            <w:shd w:val="clear" w:color="auto" w:fill="BFBFBF" w:themeFill="background1" w:themeFillShade="BF"/>
          </w:tcPr>
          <w:p w14:paraId="09B472B7" w14:textId="479D46E2" w:rsidR="0093111F" w:rsidRPr="00A35800" w:rsidDel="00EE2BBB" w:rsidRDefault="0093111F" w:rsidP="00A225D2">
            <w:pPr>
              <w:pStyle w:val="Tableheading"/>
              <w:keepNext/>
              <w:rPr>
                <w:sz w:val="20"/>
                <w:szCs w:val="20"/>
              </w:rPr>
            </w:pPr>
            <w:r w:rsidRPr="00A35800" w:rsidDel="00EE2BBB">
              <w:rPr>
                <w:sz w:val="20"/>
                <w:szCs w:val="20"/>
              </w:rPr>
              <w:t>Brand name and manufacturer</w:t>
            </w:r>
          </w:p>
        </w:tc>
      </w:tr>
      <w:tr w:rsidR="00A225D2" w:rsidRPr="00A35800" w:rsidDel="00EE2BBB" w14:paraId="2AF9D84B" w14:textId="0D323411" w:rsidTr="00571888">
        <w:trPr>
          <w:trHeight w:val="552"/>
          <w:tblHeader/>
        </w:trPr>
        <w:tc>
          <w:tcPr>
            <w:tcW w:w="969" w:type="dxa"/>
            <w:shd w:val="clear" w:color="auto" w:fill="auto"/>
          </w:tcPr>
          <w:p w14:paraId="4D9DE295" w14:textId="77777777" w:rsidR="00A225D2" w:rsidRDefault="00A225D2" w:rsidP="00A225D2">
            <w:pPr>
              <w:pStyle w:val="Tablewriting"/>
              <w:keepNext/>
            </w:pPr>
            <w:r w:rsidRPr="00A225D2">
              <w:t>10150F</w:t>
            </w:r>
          </w:p>
          <w:p w14:paraId="0A3E3442" w14:textId="3D0A4F50" w:rsidR="00A225D2" w:rsidRPr="00A35800" w:rsidDel="00EE2BBB" w:rsidRDefault="00A225D2" w:rsidP="00A225D2">
            <w:pPr>
              <w:pStyle w:val="Tablewriting"/>
              <w:keepNext/>
            </w:pPr>
            <w:r>
              <w:t>Private</w:t>
            </w:r>
          </w:p>
        </w:tc>
        <w:tc>
          <w:tcPr>
            <w:tcW w:w="2400" w:type="dxa"/>
            <w:shd w:val="clear" w:color="auto" w:fill="auto"/>
          </w:tcPr>
          <w:p w14:paraId="0F676F51" w14:textId="6C5CD72E" w:rsidR="00A225D2" w:rsidRPr="00A35800" w:rsidDel="00EE2BBB" w:rsidRDefault="00A225D2" w:rsidP="00A225D2">
            <w:pPr>
              <w:pStyle w:val="Tablewriting"/>
              <w:keepNext/>
            </w:pPr>
            <w:r w:rsidRPr="00A225D2">
              <w:t>nanoparticle albumin-bound paclitaxel 100 mg injection, 1 vial</w:t>
            </w:r>
          </w:p>
        </w:tc>
        <w:tc>
          <w:tcPr>
            <w:tcW w:w="1701" w:type="dxa"/>
            <w:shd w:val="clear" w:color="auto" w:fill="auto"/>
            <w:vAlign w:val="center"/>
          </w:tcPr>
          <w:p w14:paraId="0E2637C4" w14:textId="2095E371" w:rsidR="00A225D2" w:rsidRPr="00A35800" w:rsidDel="00EE2BBB" w:rsidRDefault="00A225D2" w:rsidP="00571888">
            <w:pPr>
              <w:pStyle w:val="Tablewriting"/>
              <w:keepNext/>
              <w:jc w:val="center"/>
            </w:pPr>
            <w:r>
              <w:t>275 mg</w:t>
            </w:r>
          </w:p>
        </w:tc>
        <w:tc>
          <w:tcPr>
            <w:tcW w:w="850" w:type="dxa"/>
            <w:shd w:val="clear" w:color="auto" w:fill="auto"/>
            <w:vAlign w:val="center"/>
          </w:tcPr>
          <w:p w14:paraId="6B361CAA" w14:textId="3143182E" w:rsidR="00A225D2" w:rsidRPr="00A35800" w:rsidDel="00EE2BBB" w:rsidRDefault="00A225D2" w:rsidP="00571888">
            <w:pPr>
              <w:pStyle w:val="Tablewriting"/>
              <w:keepNext/>
              <w:jc w:val="center"/>
            </w:pPr>
            <w:r>
              <w:t>11</w:t>
            </w:r>
          </w:p>
        </w:tc>
        <w:tc>
          <w:tcPr>
            <w:tcW w:w="1040" w:type="dxa"/>
            <w:shd w:val="clear" w:color="auto" w:fill="auto"/>
            <w:vAlign w:val="center"/>
          </w:tcPr>
          <w:p w14:paraId="15F68405" w14:textId="5835AC3D" w:rsidR="00A225D2" w:rsidRPr="00A35800" w:rsidDel="00EE2BBB" w:rsidRDefault="00A225D2" w:rsidP="00571888">
            <w:pPr>
              <w:pStyle w:val="Tablewriting"/>
              <w:keepNext/>
              <w:jc w:val="center"/>
            </w:pPr>
            <w:r w:rsidRPr="00A225D2">
              <w:t>$1282.72</w:t>
            </w:r>
          </w:p>
        </w:tc>
        <w:tc>
          <w:tcPr>
            <w:tcW w:w="2104" w:type="dxa"/>
            <w:vMerge w:val="restart"/>
            <w:shd w:val="clear" w:color="auto" w:fill="auto"/>
            <w:vAlign w:val="center"/>
          </w:tcPr>
          <w:p w14:paraId="73F68A3C" w14:textId="77777777" w:rsidR="00A225D2" w:rsidRDefault="00A225D2" w:rsidP="00571888">
            <w:pPr>
              <w:pStyle w:val="Tablewriting"/>
              <w:keepNext/>
              <w:jc w:val="center"/>
            </w:pPr>
            <w:r w:rsidRPr="00A225D2">
              <w:t>Abraxane</w:t>
            </w:r>
            <w:r>
              <w:t>®</w:t>
            </w:r>
          </w:p>
          <w:p w14:paraId="2D337AC6" w14:textId="3E91E0EE" w:rsidR="00A225D2" w:rsidRPr="00A35800" w:rsidDel="00EE2BBB" w:rsidRDefault="00A225D2" w:rsidP="00571888">
            <w:pPr>
              <w:pStyle w:val="Tablewriting"/>
              <w:keepNext/>
              <w:jc w:val="center"/>
            </w:pPr>
            <w:r w:rsidRPr="00A225D2">
              <w:t>Specialised Therapeutics Australia Pty Ltd</w:t>
            </w:r>
          </w:p>
        </w:tc>
      </w:tr>
      <w:tr w:rsidR="00A225D2" w:rsidRPr="00A35800" w:rsidDel="00EE2BBB" w14:paraId="5A26F6DA" w14:textId="5F9D4936" w:rsidTr="00571888">
        <w:trPr>
          <w:trHeight w:val="546"/>
          <w:tblHeader/>
        </w:trPr>
        <w:tc>
          <w:tcPr>
            <w:tcW w:w="969" w:type="dxa"/>
            <w:shd w:val="clear" w:color="auto" w:fill="auto"/>
          </w:tcPr>
          <w:p w14:paraId="4F917A17" w14:textId="77777777" w:rsidR="00A225D2" w:rsidRDefault="00A225D2" w:rsidP="00A35800">
            <w:pPr>
              <w:pStyle w:val="Tablewriting"/>
            </w:pPr>
            <w:r w:rsidRPr="00A225D2">
              <w:t>10165B</w:t>
            </w:r>
          </w:p>
          <w:p w14:paraId="76F26606" w14:textId="1B05AFE1" w:rsidR="00A225D2" w:rsidRPr="00A35800" w:rsidDel="00EE2BBB" w:rsidRDefault="00A225D2" w:rsidP="00A35800">
            <w:pPr>
              <w:pStyle w:val="Tablewriting"/>
            </w:pPr>
            <w:r>
              <w:t>Public</w:t>
            </w:r>
          </w:p>
        </w:tc>
        <w:tc>
          <w:tcPr>
            <w:tcW w:w="2400" w:type="dxa"/>
            <w:shd w:val="clear" w:color="auto" w:fill="auto"/>
          </w:tcPr>
          <w:p w14:paraId="4C40F7E7" w14:textId="7E70EF6B" w:rsidR="00A225D2" w:rsidRPr="00A35800" w:rsidDel="00EE2BBB" w:rsidRDefault="00A225D2" w:rsidP="00A225D2">
            <w:pPr>
              <w:pStyle w:val="Tablewriting"/>
            </w:pPr>
            <w:r w:rsidRPr="00A225D2">
              <w:t>nanoparticle albumin-bound paclitaxel 100 mg injection, 1 vial</w:t>
            </w:r>
          </w:p>
        </w:tc>
        <w:tc>
          <w:tcPr>
            <w:tcW w:w="1701" w:type="dxa"/>
            <w:shd w:val="clear" w:color="auto" w:fill="auto"/>
            <w:vAlign w:val="center"/>
          </w:tcPr>
          <w:p w14:paraId="73733F58" w14:textId="747E51C1" w:rsidR="00A225D2" w:rsidRPr="00A35800" w:rsidDel="00EE2BBB" w:rsidRDefault="00A225D2" w:rsidP="00571888">
            <w:pPr>
              <w:pStyle w:val="Tablewriting"/>
              <w:jc w:val="center"/>
            </w:pPr>
            <w:r>
              <w:t>275 mg</w:t>
            </w:r>
          </w:p>
        </w:tc>
        <w:tc>
          <w:tcPr>
            <w:tcW w:w="850" w:type="dxa"/>
            <w:shd w:val="clear" w:color="auto" w:fill="auto"/>
            <w:vAlign w:val="center"/>
          </w:tcPr>
          <w:p w14:paraId="2751F86C" w14:textId="2D135186" w:rsidR="00A225D2" w:rsidRPr="00A35800" w:rsidDel="00EE2BBB" w:rsidRDefault="00A225D2" w:rsidP="00571888">
            <w:pPr>
              <w:pStyle w:val="Tablewriting"/>
              <w:jc w:val="center"/>
            </w:pPr>
            <w:r>
              <w:t>11</w:t>
            </w:r>
          </w:p>
        </w:tc>
        <w:tc>
          <w:tcPr>
            <w:tcW w:w="1040" w:type="dxa"/>
            <w:shd w:val="clear" w:color="auto" w:fill="auto"/>
            <w:vAlign w:val="center"/>
          </w:tcPr>
          <w:p w14:paraId="0EB41EFB" w14:textId="62AE71AF" w:rsidR="00A225D2" w:rsidRPr="00A35800" w:rsidDel="00EE2BBB" w:rsidRDefault="00A225D2" w:rsidP="00571888">
            <w:pPr>
              <w:pStyle w:val="Tablewriting"/>
              <w:jc w:val="center"/>
            </w:pPr>
            <w:r w:rsidRPr="00A225D2">
              <w:t>$1228.06</w:t>
            </w:r>
          </w:p>
        </w:tc>
        <w:tc>
          <w:tcPr>
            <w:tcW w:w="2104" w:type="dxa"/>
            <w:vMerge/>
            <w:shd w:val="clear" w:color="auto" w:fill="auto"/>
          </w:tcPr>
          <w:p w14:paraId="2F152B32" w14:textId="53903DBC" w:rsidR="00A225D2" w:rsidRPr="00A35800" w:rsidDel="00EE2BBB" w:rsidRDefault="00A225D2" w:rsidP="00A35800">
            <w:pPr>
              <w:pStyle w:val="Tablewriting"/>
            </w:pPr>
          </w:p>
        </w:tc>
      </w:tr>
    </w:tbl>
    <w:p w14:paraId="1183F151" w14:textId="195F36D9" w:rsidR="007247B9" w:rsidRPr="00A35800" w:rsidDel="00EE2BBB" w:rsidRDefault="007408C7" w:rsidP="00BB1D3B">
      <w:pPr>
        <w:pStyle w:val="Notes"/>
      </w:pPr>
      <w:r w:rsidRPr="00A35800" w:rsidDel="00EE2BBB">
        <w:t xml:space="preserve">Source: </w:t>
      </w:r>
      <w:r w:rsidR="001624D7" w:rsidDel="00EE2BBB">
        <w:t xml:space="preserve">the </w:t>
      </w:r>
      <w:hyperlink r:id="rId11" w:history="1">
        <w:r w:rsidR="001624D7" w:rsidRPr="001624D7" w:rsidDel="00EE2BBB">
          <w:rPr>
            <w:rStyle w:val="Hyperlink"/>
          </w:rPr>
          <w:t>PBS website</w:t>
        </w:r>
      </w:hyperlink>
      <w:r w:rsidR="001624D7" w:rsidDel="00EE2BBB">
        <w:t>.</w:t>
      </w:r>
      <w:r w:rsidR="0080485E" w:rsidDel="00EE2BBB">
        <w:t xml:space="preserve">  </w:t>
      </w:r>
      <w:r w:rsidR="0080485E" w:rsidRPr="0080485E" w:rsidDel="00EE2BBB">
        <w:t>If a Special Pricing Arrangement is in place this should be noted.</w:t>
      </w:r>
    </w:p>
    <w:p w14:paraId="1AFA1485" w14:textId="3186A599" w:rsidR="004C3186" w:rsidDel="00EE2BBB" w:rsidRDefault="004C3186" w:rsidP="00CF5E22">
      <w:pPr>
        <w:pStyle w:val="Heading3"/>
      </w:pPr>
      <w:r w:rsidDel="00EE2BBB">
        <w:t>Restriction</w:t>
      </w:r>
    </w:p>
    <w:p w14:paraId="77D00E2B" w14:textId="77777777" w:rsidR="001639AB" w:rsidRDefault="001639AB" w:rsidP="001639AB">
      <w:r>
        <w:t>Stage IV (metastatic) adenocarcinoma of the pancreas</w:t>
      </w:r>
    </w:p>
    <w:p w14:paraId="3BEC111A" w14:textId="7E1D09FF" w:rsidR="001639AB" w:rsidRDefault="001639AB" w:rsidP="001639AB">
      <w:r>
        <w:t>The treatment must be in combination with gemcitabine,</w:t>
      </w:r>
      <w:r w:rsidR="003F2D30">
        <w:t xml:space="preserve"> and t</w:t>
      </w:r>
      <w:r>
        <w:t>he condition must not have been treated previously with PBS-subsidised therapy,</w:t>
      </w:r>
      <w:r w:rsidR="003F2D30">
        <w:t xml:space="preserve"> and the p</w:t>
      </w:r>
      <w:r>
        <w:t>atient must have an Eastern Cooperative Oncology Group (ECOG) performance status score of 2 or less.</w:t>
      </w:r>
    </w:p>
    <w:p w14:paraId="25449289" w14:textId="6D42E2A9" w:rsidR="001639AB" w:rsidRDefault="001639AB" w:rsidP="001639AB">
      <w:r>
        <w:t>A patient who has progressive disease when treated with this drug is no longer eligible for PBS-subsidised treatment with this drug.</w:t>
      </w:r>
    </w:p>
    <w:p w14:paraId="39FE5206" w14:textId="7E891C76" w:rsidR="001639AB" w:rsidRDefault="001639AB" w:rsidP="001639AB">
      <w:r>
        <w:t>Note</w:t>
      </w:r>
      <w:r w:rsidR="003F2D30">
        <w:t xml:space="preserve">: </w:t>
      </w:r>
      <w:r>
        <w:t>Not for use as neoadjuvant or adjuvant therapy.</w:t>
      </w:r>
    </w:p>
    <w:p w14:paraId="76110B27" w14:textId="7B02A3FC" w:rsidR="00CE34F7" w:rsidRDefault="00CE34F7" w:rsidP="001639AB">
      <w:pPr>
        <w:rPr>
          <w:highlight w:val="yellow"/>
        </w:rPr>
      </w:pPr>
      <w:r>
        <w:t>Nab-paclitaxel is also PBS listed for metastatic or HER2 positive breast cancer. These listings have separate item codes as the maximum amount and repeats are different (580 mg and 5 respectively).</w:t>
      </w:r>
    </w:p>
    <w:p w14:paraId="22433632" w14:textId="60F70893" w:rsidR="006775F1" w:rsidRPr="006775F1" w:rsidDel="00EE2BBB" w:rsidRDefault="006775F1" w:rsidP="00A35800">
      <w:r w:rsidRPr="006775F1" w:rsidDel="00EE2BBB">
        <w:t xml:space="preserve">For </w:t>
      </w:r>
      <w:r w:rsidR="00835337" w:rsidDel="00EE2BBB">
        <w:t xml:space="preserve">details of the current PBS listing refer to the </w:t>
      </w:r>
      <w:hyperlink r:id="rId12" w:history="1">
        <w:r w:rsidR="00835337" w:rsidRPr="00645D51" w:rsidDel="00EE2BBB">
          <w:rPr>
            <w:rStyle w:val="Hyperlink"/>
          </w:rPr>
          <w:t>PBS website</w:t>
        </w:r>
      </w:hyperlink>
      <w:r w:rsidR="00835337" w:rsidDel="00EE2BBB">
        <w:rPr>
          <w:rStyle w:val="Hyperlink"/>
        </w:rPr>
        <w:t>.</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41EEB5BA" w14:textId="57E04853" w:rsidR="00034CF5" w:rsidRDefault="00FC057F" w:rsidP="00A35800">
      <w:r w:rsidRPr="00FC057F">
        <w:t xml:space="preserve">The </w:t>
      </w:r>
      <w:r>
        <w:t xml:space="preserve">PBAC recommended nab-paclitaxel for PBS </w:t>
      </w:r>
      <w:r w:rsidRPr="00FC057F">
        <w:t xml:space="preserve">listing </w:t>
      </w:r>
      <w:r>
        <w:t xml:space="preserve">at its March 2014 meeting. </w:t>
      </w:r>
      <w:r w:rsidRPr="00FC057F">
        <w:t>The submission requested an Authority Required listing for first line treatment of locally advanced, unresectable or metastatic adenocarcinoma of the pancreas, in combination with gemcitabine.</w:t>
      </w:r>
    </w:p>
    <w:p w14:paraId="524383F9" w14:textId="3FEB7AED" w:rsidR="00FC057F" w:rsidRDefault="00FC057F" w:rsidP="00A35800">
      <w:r w:rsidRPr="00FC057F">
        <w:t>The submission nominated gemcitabine monotherapy as the main comparator, arguing that gemcitabine monotherapy is the only therapy currently listed on the PBS for locally advanced unresectable or metastatic adenocarcinoma of the pancreas.</w:t>
      </w:r>
    </w:p>
    <w:p w14:paraId="47D7BC13" w14:textId="2F59F38F" w:rsidR="00FC057F" w:rsidRDefault="00FC057F" w:rsidP="00FC057F">
      <w:r>
        <w:t xml:space="preserve">The PBAC considered that gemcitabine monotherapy was the appropriate comparator. The PBAC considered that FOLFIRINOX (folinic acid, fluorouracil, irinotecan and oxaliplatin) may potentially be a comparator, however noted </w:t>
      </w:r>
      <w:r w:rsidR="007447B5">
        <w:t xml:space="preserve">at that time </w:t>
      </w:r>
      <w:r>
        <w:t xml:space="preserve">that this regimen </w:t>
      </w:r>
      <w:r w:rsidR="007447B5">
        <w:t>wa</w:t>
      </w:r>
      <w:r>
        <w:t>s not PBS subsidised and treatment with this combination is associated with significant side effects.</w:t>
      </w:r>
    </w:p>
    <w:p w14:paraId="6AFA950A" w14:textId="77777777" w:rsidR="00FC057F" w:rsidRDefault="00FC057F" w:rsidP="00FC057F">
      <w:r>
        <w:lastRenderedPageBreak/>
        <w:t>The PBAC considered that the number of eligible patients was overestimated in the submission because Stage III patients were included, but overall considered the predicted estimates of use to be reasonable.</w:t>
      </w:r>
    </w:p>
    <w:p w14:paraId="3A5706E9" w14:textId="34A18585" w:rsidR="00FC057F" w:rsidRDefault="00FC057F" w:rsidP="00FC057F">
      <w:r>
        <w:t>The PBAC noted that the overall cost was driven by the estimated market share. The PBAC noted that increasing the estimated market share increased the cost to the PBS.</w:t>
      </w:r>
    </w:p>
    <w:p w14:paraId="56C964B8" w14:textId="338BFDBC" w:rsidR="0057538C" w:rsidRDefault="0057538C" w:rsidP="0057538C">
      <w:r>
        <w:t>The PBAC noted the TGA indication proposed by the Delegate, in which treatment is limited to patients with metastatic disease. The PBAC therefore recommended that the PBS restriction limit PBS-subsidised access to patients with metastatic (Stage IV) disease.</w:t>
      </w:r>
    </w:p>
    <w:p w14:paraId="70539E18" w14:textId="7A26784A" w:rsidR="00D94863" w:rsidRPr="00F65F0D" w:rsidRDefault="00D94863" w:rsidP="00D94863">
      <w:r>
        <w:t xml:space="preserve">For further details refer to </w:t>
      </w:r>
      <w:r w:rsidRPr="00F65F0D">
        <w:t xml:space="preserve">the </w:t>
      </w:r>
      <w:hyperlink r:id="rId13" w:history="1">
        <w:r w:rsidRPr="00034CF5">
          <w:rPr>
            <w:rStyle w:val="Hyperlink"/>
          </w:rPr>
          <w:t>Public Summary Document</w:t>
        </w:r>
      </w:hyperlink>
      <w:r w:rsidRPr="00F65F0D">
        <w:t xml:space="preserve"> from the </w:t>
      </w:r>
      <w:r w:rsidR="00034CF5">
        <w:t xml:space="preserve">March 2014 </w:t>
      </w:r>
      <w:r>
        <w:t>PBAC meeting.</w:t>
      </w:r>
    </w:p>
    <w:p w14:paraId="72C2CA24" w14:textId="4A28B89A" w:rsidR="000F2F51" w:rsidRDefault="00ED633B" w:rsidP="00CF5E22">
      <w:pPr>
        <w:pStyle w:val="Heading2"/>
      </w:pPr>
      <w:r>
        <w:t>A</w:t>
      </w:r>
      <w:r w:rsidR="000F2F51">
        <w:t xml:space="preserve">pproach </w:t>
      </w:r>
      <w:r>
        <w:t xml:space="preserve">taken to </w:t>
      </w:r>
      <w:r w:rsidR="000F2F51">
        <w:t>estimat</w:t>
      </w:r>
      <w:r>
        <w:t>e</w:t>
      </w:r>
      <w:r w:rsidR="000F2F51">
        <w:t xml:space="preserve"> utilisation</w:t>
      </w:r>
    </w:p>
    <w:p w14:paraId="77D889C3" w14:textId="1C91D48A" w:rsidR="0057538C" w:rsidRPr="0057538C" w:rsidRDefault="00456B69" w:rsidP="00456B69">
      <w:r>
        <w:t>The submission</w:t>
      </w:r>
      <w:r w:rsidR="0057538C" w:rsidRPr="0057538C">
        <w:t xml:space="preserve"> used an epidemiological approach to estimate the </w:t>
      </w:r>
      <w:r w:rsidR="00E47230">
        <w:t>number of pancreatic cancer patients eligible for</w:t>
      </w:r>
      <w:r w:rsidR="0057538C" w:rsidRPr="0057538C">
        <w:t xml:space="preserve"> nab-paclitaxel.</w:t>
      </w:r>
      <w:r w:rsidR="00DD0CE2" w:rsidRPr="00DD0CE2">
        <w:rPr>
          <w:rFonts w:ascii="Calibri" w:hAnsi="Calibri"/>
        </w:rPr>
        <w:t xml:space="preserve"> </w:t>
      </w:r>
      <w:r w:rsidR="00DD0CE2">
        <w:rPr>
          <w:rFonts w:ascii="Calibri" w:hAnsi="Calibri"/>
        </w:rPr>
        <w:t>The submission assumed that nab-paclitaxel in combination with gemcitabine would substitute for existing gemcitabine monotherapy.</w:t>
      </w:r>
    </w:p>
    <w:p w14:paraId="7F18C3E9" w14:textId="725239C9" w:rsidR="00A225D2" w:rsidRDefault="0057538C" w:rsidP="00A35800">
      <w:r w:rsidRPr="0057538C">
        <w:t xml:space="preserve">AIHW </w:t>
      </w:r>
      <w:r w:rsidR="00A225D2" w:rsidRPr="00A225D2">
        <w:t>Cancer incidence projections Australia, 2011 to 2020</w:t>
      </w:r>
      <w:r w:rsidR="00A225D2">
        <w:t xml:space="preserve">, </w:t>
      </w:r>
      <w:r>
        <w:t>of a</w:t>
      </w:r>
      <w:r w:rsidRPr="0057538C">
        <w:t xml:space="preserve">ge-specific and age-standardised incidence rates </w:t>
      </w:r>
      <w:r>
        <w:t xml:space="preserve">of pancreatic cancer </w:t>
      </w:r>
      <w:r w:rsidRPr="0057538C">
        <w:t>(per 100,000</w:t>
      </w:r>
      <w:r w:rsidR="00A225D2">
        <w:t xml:space="preserve">) </w:t>
      </w:r>
      <w:r w:rsidR="00AD1045">
        <w:t xml:space="preserve">were used </w:t>
      </w:r>
      <w:r w:rsidR="00B925CA">
        <w:t xml:space="preserve">to estimate the number of incident cases of pancreatic cancer. </w:t>
      </w:r>
      <w:r w:rsidR="00A225D2" w:rsidRPr="00A225D2">
        <w:t xml:space="preserve">The </w:t>
      </w:r>
      <w:r w:rsidR="00A225D2">
        <w:t xml:space="preserve">submission stated the </w:t>
      </w:r>
      <w:r w:rsidR="00A225D2" w:rsidRPr="00A225D2">
        <w:t xml:space="preserve">incidence of pancreatic cancer in patients aged less than 80 years and in those aged 80 and over were </w:t>
      </w:r>
      <w:r w:rsidR="00A225D2">
        <w:t>calculated separately</w:t>
      </w:r>
      <w:r w:rsidR="00A225D2" w:rsidRPr="00A225D2">
        <w:t xml:space="preserve"> as clinicians indicated that age is a significant factor in their choice of therapy.</w:t>
      </w:r>
    </w:p>
    <w:p w14:paraId="423BCD87" w14:textId="7420C00C" w:rsidR="00AD1045" w:rsidRDefault="00AD1045" w:rsidP="00A35800">
      <w:r>
        <w:t>T</w:t>
      </w:r>
      <w:r w:rsidRPr="00AD1045">
        <w:t xml:space="preserve">he </w:t>
      </w:r>
      <w:r>
        <w:t xml:space="preserve">submission presented a range of sources to estimate the </w:t>
      </w:r>
      <w:r w:rsidRPr="00AD1045">
        <w:t>staging of pancreatic data</w:t>
      </w:r>
      <w:r>
        <w:t xml:space="preserve">. Most of the sources estimated the proportion of patients with Stage four disease to be approximately 50%. The </w:t>
      </w:r>
      <w:r w:rsidRPr="00AD1045">
        <w:t>Surveillance, Epidemiology and End Results [SEER] data from the United States</w:t>
      </w:r>
      <w:r>
        <w:t xml:space="preserve"> (2003-2009) was selected as the primary source for the proportion of patients presenting with metastatic disease. It estimated 53% of patients present with Stage IV disease.</w:t>
      </w:r>
    </w:p>
    <w:p w14:paraId="5F421F32" w14:textId="3778C25F" w:rsidR="00E47230" w:rsidRDefault="00AD1045" w:rsidP="00A225D2">
      <w:r>
        <w:t xml:space="preserve">Several sources were also presented for </w:t>
      </w:r>
      <w:r w:rsidRPr="00AD1045">
        <w:t>the distribution of ECOG performance status</w:t>
      </w:r>
      <w:r>
        <w:t>, and the submission used a s</w:t>
      </w:r>
      <w:r w:rsidRPr="00AD1045">
        <w:t>urvey of Australian oncologists</w:t>
      </w:r>
      <w:r>
        <w:t xml:space="preserve"> as the primary source.</w:t>
      </w:r>
      <w:r w:rsidR="00A225D2">
        <w:t xml:space="preserve"> The proportion of patients with ECOG performance status of 0, 1 and 2 were 23.5%, 47.2% and 22.5% respectively.</w:t>
      </w:r>
    </w:p>
    <w:p w14:paraId="6668B24D" w14:textId="77777777" w:rsidR="00E47230" w:rsidRDefault="00E47230" w:rsidP="00E47230">
      <w:r>
        <w:t>The submission stated b</w:t>
      </w:r>
      <w:r w:rsidRPr="00456B69">
        <w:t xml:space="preserve">etween </w:t>
      </w:r>
      <w:r>
        <w:t>13 May</w:t>
      </w:r>
      <w:r w:rsidRPr="00456B69">
        <w:t xml:space="preserve"> and </w:t>
      </w:r>
      <w:r>
        <w:t>23 October</w:t>
      </w:r>
      <w:r w:rsidRPr="00456B69">
        <w:t xml:space="preserve"> 2013, 163 patients were initiated on </w:t>
      </w:r>
      <w:r>
        <w:t>nab-paclitaxel</w:t>
      </w:r>
      <w:r w:rsidRPr="00456B69">
        <w:t xml:space="preserve"> for the treatment of metastatic pancreatic cancer, </w:t>
      </w:r>
      <w:r>
        <w:t>through an</w:t>
      </w:r>
      <w:r w:rsidRPr="00456B69">
        <w:t xml:space="preserve"> access program.</w:t>
      </w:r>
      <w:r>
        <w:t xml:space="preserve"> </w:t>
      </w:r>
      <w:r w:rsidRPr="00456B69">
        <w:t xml:space="preserve">The </w:t>
      </w:r>
      <w:r>
        <w:t xml:space="preserve">submission noted the </w:t>
      </w:r>
      <w:r w:rsidRPr="00456B69">
        <w:t xml:space="preserve">expected prevalent population in the first year of listing will include </w:t>
      </w:r>
      <w:r>
        <w:t xml:space="preserve">grandfathered </w:t>
      </w:r>
      <w:r w:rsidRPr="00456B69">
        <w:t>patients</w:t>
      </w:r>
      <w:r>
        <w:t>, and did not specifically estimate the number or separate them from initiating patients</w:t>
      </w:r>
      <w:r w:rsidRPr="00456B69">
        <w:t>.</w:t>
      </w:r>
    </w:p>
    <w:p w14:paraId="15B97919" w14:textId="7E812871" w:rsidR="00E47230" w:rsidRDefault="00EA682A" w:rsidP="00E47230">
      <w:pPr>
        <w:rPr>
          <w:rFonts w:ascii="Calibri" w:hAnsi="Calibri"/>
        </w:rPr>
      </w:pPr>
      <w:r w:rsidRPr="0057538C">
        <w:t>The submission</w:t>
      </w:r>
      <w:r>
        <w:t xml:space="preserve"> requested PBS listing for two strengths of nab-paclitaxel, 100 mg and 250</w:t>
      </w:r>
      <w:r w:rsidR="004C3534">
        <w:t> </w:t>
      </w:r>
      <w:r>
        <w:t xml:space="preserve">mg vials.  </w:t>
      </w:r>
      <w:r w:rsidR="00E47230">
        <w:rPr>
          <w:rFonts w:ascii="Calibri" w:hAnsi="Calibri"/>
        </w:rPr>
        <w:t>To estimate the number of prescriptions and vials, the financial estimates model considered the following drug regimens:</w:t>
      </w:r>
    </w:p>
    <w:p w14:paraId="2E4FD1F5" w14:textId="77777777" w:rsidR="00E47230" w:rsidRPr="00EA682A" w:rsidRDefault="00E47230" w:rsidP="00EA682A">
      <w:pPr>
        <w:pStyle w:val="ListParagraph"/>
        <w:spacing w:after="0"/>
        <w:ind w:left="360"/>
        <w:rPr>
          <w:rFonts w:ascii="Calibri" w:hAnsi="Calibri"/>
        </w:rPr>
      </w:pPr>
    </w:p>
    <w:p w14:paraId="414AF9D4" w14:textId="27435758" w:rsidR="00E47230" w:rsidRPr="00D42C89" w:rsidRDefault="00E47230" w:rsidP="00EA682A">
      <w:pPr>
        <w:rPr>
          <w:rFonts w:ascii="Calibri" w:hAnsi="Calibri"/>
        </w:rPr>
      </w:pPr>
      <w:r>
        <w:rPr>
          <w:rFonts w:ascii="Calibri" w:hAnsi="Calibri"/>
        </w:rPr>
        <w:t xml:space="preserve">The number of </w:t>
      </w:r>
      <w:r w:rsidR="00EA682A">
        <w:rPr>
          <w:rFonts w:ascii="Calibri" w:hAnsi="Calibri"/>
        </w:rPr>
        <w:t xml:space="preserve">prescriptions and vials was derived from cycles of treatment based on usage </w:t>
      </w:r>
      <w:r>
        <w:rPr>
          <w:rFonts w:ascii="Calibri" w:hAnsi="Calibri"/>
        </w:rPr>
        <w:t xml:space="preserve">observed in the CA046 study. </w:t>
      </w:r>
    </w:p>
    <w:p w14:paraId="440616E6" w14:textId="77777777" w:rsidR="00EA682A" w:rsidRDefault="003475D6" w:rsidP="00A225D2">
      <w:r>
        <w:t>The submission noted that in the trial t</w:t>
      </w:r>
      <w:r w:rsidRPr="003475D6">
        <w:t xml:space="preserve">he median treatment duration </w:t>
      </w:r>
      <w:r w:rsidR="002C2459">
        <w:t xml:space="preserve">of patients in the nab-paclitaxel/gemcitabine arm </w:t>
      </w:r>
      <w:r w:rsidRPr="003475D6">
        <w:t xml:space="preserve">was </w:t>
      </w:r>
      <w:r>
        <w:t>119.0 days or 3.9 months.</w:t>
      </w:r>
      <w:r w:rsidR="002C2459">
        <w:t xml:space="preserve"> </w:t>
      </w:r>
      <w:r w:rsidR="00E47230" w:rsidRPr="002C2459">
        <w:t xml:space="preserve">The median number of doses administered </w:t>
      </w:r>
      <w:r w:rsidR="00E47230">
        <w:t xml:space="preserve">in the nab-paclitaxel/gemcitabine arm of the trial </w:t>
      </w:r>
      <w:r w:rsidR="00E47230" w:rsidRPr="002C2459">
        <w:t xml:space="preserve">was 12 doses each of </w:t>
      </w:r>
      <w:r w:rsidR="00E47230">
        <w:t>nab-paclitaxel</w:t>
      </w:r>
      <w:r w:rsidR="00E47230" w:rsidRPr="002C2459">
        <w:t xml:space="preserve"> and gemcitabine</w:t>
      </w:r>
      <w:r w:rsidR="00E47230">
        <w:t xml:space="preserve">. </w:t>
      </w:r>
    </w:p>
    <w:p w14:paraId="2EC578E6" w14:textId="523808C9" w:rsidR="00E47230" w:rsidRPr="0057538C" w:rsidRDefault="00CE34F7" w:rsidP="00A225D2">
      <w:r>
        <w:t>The submission was not considered by DUSC.</w:t>
      </w:r>
    </w:p>
    <w:p w14:paraId="0312FFEC" w14:textId="5C6A9662" w:rsidR="00E677DD" w:rsidRPr="005E22C2" w:rsidRDefault="00E677DD" w:rsidP="00CF5E22">
      <w:pPr>
        <w:pStyle w:val="Heading1"/>
      </w:pPr>
      <w:r w:rsidRPr="005E22C2">
        <w:t>Method</w:t>
      </w:r>
      <w:r w:rsidR="001B5D37" w:rsidRPr="005E22C2">
        <w:t>s</w:t>
      </w:r>
    </w:p>
    <w:p w14:paraId="0712D9D5" w14:textId="27F68C27" w:rsidR="00524D13" w:rsidRDefault="003267E7" w:rsidP="00524D13">
      <w:r>
        <w:t xml:space="preserve">The analyses use </w:t>
      </w:r>
      <w:r w:rsidR="00EA682A">
        <w:t xml:space="preserve">date of supply </w:t>
      </w:r>
      <w:r>
        <w:t xml:space="preserve">data from </w:t>
      </w:r>
      <w:r w:rsidRPr="00130B7B">
        <w:t>the Department of Human Services (DHS) Medicare Supplied prescriptions database</w:t>
      </w:r>
      <w:r>
        <w:t xml:space="preserve">. </w:t>
      </w:r>
      <w:r w:rsidRPr="003267E7">
        <w:t>Prescription data</w:t>
      </w:r>
      <w:r w:rsidR="00A81988">
        <w:t xml:space="preserve"> </w:t>
      </w:r>
      <w:r w:rsidR="00D63FFE">
        <w:t xml:space="preserve">(including Repatriation PBS prescription, R/PBS) </w:t>
      </w:r>
      <w:r w:rsidR="00A81988">
        <w:t>for nab-paclitaxel</w:t>
      </w:r>
      <w:r w:rsidRPr="003267E7">
        <w:t xml:space="preserve"> </w:t>
      </w:r>
      <w:r w:rsidR="00CE34F7">
        <w:t>for adenocarcinoma of the pancreas</w:t>
      </w:r>
      <w:r w:rsidR="00CE34F7" w:rsidRPr="003267E7">
        <w:t xml:space="preserve"> </w:t>
      </w:r>
      <w:r w:rsidRPr="003267E7">
        <w:t xml:space="preserve">were extracted from </w:t>
      </w:r>
      <w:r w:rsidR="00A81988">
        <w:t>November 2014</w:t>
      </w:r>
      <w:r w:rsidRPr="003267E7">
        <w:t xml:space="preserve"> to </w:t>
      </w:r>
      <w:r>
        <w:t>March 2017</w:t>
      </w:r>
      <w:r w:rsidR="00CE34F7">
        <w:t xml:space="preserve"> using the item codes 10150F and </w:t>
      </w:r>
      <w:r w:rsidR="00CE34F7" w:rsidRPr="00CE34F7">
        <w:t>10165B</w:t>
      </w:r>
      <w:r>
        <w:t>.</w:t>
      </w:r>
    </w:p>
    <w:p w14:paraId="27AFA949" w14:textId="7025F0BD" w:rsidR="003267E7" w:rsidRDefault="003267E7" w:rsidP="00524D13">
      <w:r w:rsidRPr="003267E7">
        <w:t>Analyses were undertaken in SAS.</w:t>
      </w:r>
    </w:p>
    <w:p w14:paraId="68879890" w14:textId="34F4BB6F" w:rsidR="006D3093" w:rsidRDefault="006D3093">
      <w:pPr>
        <w:pStyle w:val="Heading3"/>
      </w:pPr>
      <w:r>
        <w:t>Length of treatment</w:t>
      </w:r>
    </w:p>
    <w:p w14:paraId="4F4CC9B7" w14:textId="3F7A3E58" w:rsidR="00CF2EBA" w:rsidRDefault="006D3093" w:rsidP="000D4067">
      <w:r>
        <w:t xml:space="preserve">To </w:t>
      </w:r>
      <w:r w:rsidR="0008305B">
        <w:t xml:space="preserve">determine length of treatment, an initiating cohort was selected from the data. To </w:t>
      </w:r>
      <w:r>
        <w:t>exclude treatment experienced or grandfathered patients, any patient</w:t>
      </w:r>
      <w:r w:rsidR="00EA682A">
        <w:t>s</w:t>
      </w:r>
      <w:r>
        <w:t xml:space="preserve"> initiating nab-paclitaxel within the first three months of PBS listing were excluded. </w:t>
      </w:r>
      <w:r w:rsidR="00962105">
        <w:t xml:space="preserve">A six month cohort was selected to ensure sufficient time to follow up. </w:t>
      </w:r>
      <w:r>
        <w:t xml:space="preserve">The length of treatment for nab-paclitaxel was analysed for patients who initiated between 1 February 2015 and 31 July 2015. </w:t>
      </w:r>
    </w:p>
    <w:p w14:paraId="1044FFF4" w14:textId="659B7A5F" w:rsidR="006D3093" w:rsidRDefault="00CF2EBA" w:rsidP="000D4067">
      <w:r>
        <w:t xml:space="preserve">Patients who initiated on 31 July 2015 were able to be followed for 609 days, to 31 March 2017. To ensure all patients were allowed equal follow up, only prescriptions supplied in the 609 days after initiation were considered. </w:t>
      </w:r>
    </w:p>
    <w:p w14:paraId="535B8C0C" w14:textId="3BF9771B" w:rsidR="00CF2EBA" w:rsidRDefault="00CF2EBA" w:rsidP="00CF2EBA">
      <w:r>
        <w:t xml:space="preserve">The mean and median length of treatment for nab-paclitaxel were derived for the initiating cohort described above. Two </w:t>
      </w:r>
      <w:r w:rsidR="00CD5420">
        <w:t>calculations are presented. One calculation includes breaks in the calculation of treatment time, i.e</w:t>
      </w:r>
      <w:r w:rsidR="00552675">
        <w:t>.</w:t>
      </w:r>
      <w:r w:rsidR="00CD5420">
        <w:t xml:space="preserve">, the time on treatment is the time between initiation and the last prescriptions. The second calculation assumes a patient’s first episode of treatment ends after a </w:t>
      </w:r>
      <w:r w:rsidR="00EA682A">
        <w:t xml:space="preserve">treatment delay or </w:t>
      </w:r>
      <w:r w:rsidR="00CD5420">
        <w:t>break in therapy.</w:t>
      </w:r>
    </w:p>
    <w:p w14:paraId="58E3C453" w14:textId="5A4A0F89" w:rsidR="00962105" w:rsidRDefault="009D636E" w:rsidP="000D4067">
      <w:r w:rsidRPr="00A035E1">
        <w:t>To deter</w:t>
      </w:r>
      <w:r>
        <w:t xml:space="preserve">mine the time indicative of a </w:t>
      </w:r>
      <w:r w:rsidR="00CD5420">
        <w:t>treatment delay or break</w:t>
      </w:r>
      <w:r>
        <w:t xml:space="preserve">, the nab-paclitaxel treatment </w:t>
      </w:r>
      <w:r w:rsidR="00EA682A">
        <w:t>regimen protocol</w:t>
      </w:r>
      <w:r>
        <w:t xml:space="preserve"> and median time to resupply were considered.</w:t>
      </w:r>
      <w:r w:rsidRPr="00A035E1">
        <w:t xml:space="preserve"> </w:t>
      </w:r>
      <w:r w:rsidR="006D3093">
        <w:t xml:space="preserve">It was expected patients would be treated with nab-paclitaxel on days 1, 8 and 15 of each 28 day cycle. </w:t>
      </w:r>
      <w:r w:rsidR="00962105">
        <w:t xml:space="preserve">The median time to resupply was 7 days, however breaks of 14 days were also expected between treatment cycles. </w:t>
      </w:r>
      <w:r>
        <w:t>P</w:t>
      </w:r>
      <w:r w:rsidR="00962105">
        <w:t>atients were allowed three times</w:t>
      </w:r>
      <w:r w:rsidR="00D8644D">
        <w:t xml:space="preserve"> 14 days (i.e. 42 days) to be supplied their next treatment. It was assumed that a patient had discontinued </w:t>
      </w:r>
      <w:r w:rsidR="00CD5420">
        <w:t xml:space="preserve">the episode of </w:t>
      </w:r>
      <w:r w:rsidR="00D8644D">
        <w:t>therapy if there was a break of more than 42 days.</w:t>
      </w:r>
    </w:p>
    <w:p w14:paraId="34F71A82" w14:textId="4FB68218" w:rsidR="00704022" w:rsidRDefault="00704022" w:rsidP="006E3D3D">
      <w:pPr>
        <w:pStyle w:val="Heading3"/>
        <w:keepNext/>
      </w:pPr>
      <w:r w:rsidRPr="0038375D">
        <w:lastRenderedPageBreak/>
        <w:t>Dose reduction and escalation</w:t>
      </w:r>
    </w:p>
    <w:p w14:paraId="7DBC199E" w14:textId="683234FE" w:rsidR="00704022" w:rsidRDefault="00704022" w:rsidP="000D4067">
      <w:r>
        <w:t xml:space="preserve">Dose reduction and escalation was examined for the cohort of patients who initiated in the </w:t>
      </w:r>
      <w:r w:rsidRPr="00704022">
        <w:t>six month</w:t>
      </w:r>
      <w:r>
        <w:t>s</w:t>
      </w:r>
      <w:r w:rsidRPr="00704022">
        <w:t xml:space="preserve"> between 1 February 2015 and 31 July 2015.</w:t>
      </w:r>
      <w:r>
        <w:t xml:space="preserve"> </w:t>
      </w:r>
      <w:r w:rsidRPr="00704022">
        <w:t>The recommended dose of nab-paclitaxel is 125 mg/m</w:t>
      </w:r>
      <w:r w:rsidRPr="00EA682A">
        <w:rPr>
          <w:vertAlign w:val="superscript"/>
        </w:rPr>
        <w:t>2</w:t>
      </w:r>
      <w:r>
        <w:t>. As the PBS does not contain patients’ body surface area, the dose administered for each treatment was compared to that patient’s initiating dose to calculate whether this treatment was higher, lower, or equal to the initial dose.</w:t>
      </w:r>
    </w:p>
    <w:p w14:paraId="0A91414B" w14:textId="648061AE" w:rsidR="000D7C29" w:rsidRDefault="000D7C29" w:rsidP="00EA682A">
      <w:pPr>
        <w:pStyle w:val="Heading3"/>
        <w:keepNext/>
      </w:pPr>
      <w:r>
        <w:t>Vials and wastage</w:t>
      </w:r>
    </w:p>
    <w:p w14:paraId="5C08878C" w14:textId="1345B242" w:rsidR="00B4557C" w:rsidRDefault="00EA682A" w:rsidP="00524D13">
      <w:r>
        <w:t xml:space="preserve">Through the </w:t>
      </w:r>
      <w:r w:rsidRPr="00EA682A">
        <w:t xml:space="preserve">Efficient Funding of Chemotherapy (EFC) </w:t>
      </w:r>
      <w:r>
        <w:t>p</w:t>
      </w:r>
      <w:r w:rsidR="000D4067" w:rsidRPr="000D4067">
        <w:t>rescribers must write dose-specific prescriptions, which specify the amount of active ingredient/s required for a single infusion or injection using milligrams or other relevant units of measure.</w:t>
      </w:r>
      <w:r w:rsidR="000D4067">
        <w:t xml:space="preserve"> </w:t>
      </w:r>
      <w:r w:rsidR="00B4557C" w:rsidRPr="00B4557C">
        <w:t xml:space="preserve">Dispensing software </w:t>
      </w:r>
      <w:r w:rsidR="00AF3577">
        <w:t>includes</w:t>
      </w:r>
      <w:r w:rsidR="00B4557C" w:rsidRPr="00B4557C">
        <w:t xml:space="preserve"> an algorithm which calculate</w:t>
      </w:r>
      <w:r w:rsidR="00AF3577">
        <w:t>s</w:t>
      </w:r>
      <w:r w:rsidR="00B4557C" w:rsidRPr="00B4557C">
        <w:t xml:space="preserve"> the most cost-efficient combination of vial sizes that make up the required patient dose (one prescription) and calculate</w:t>
      </w:r>
      <w:r w:rsidR="00AF3577">
        <w:t>s</w:t>
      </w:r>
      <w:r w:rsidR="00B4557C" w:rsidRPr="00B4557C">
        <w:t xml:space="preserve"> the level of remuneration paid.</w:t>
      </w:r>
      <w:r w:rsidR="00B4557C">
        <w:t xml:space="preserve"> </w:t>
      </w:r>
    </w:p>
    <w:p w14:paraId="656C75B2" w14:textId="6F9E6078" w:rsidR="009B54B8" w:rsidRDefault="00B4557C" w:rsidP="00524D13">
      <w:r>
        <w:t>For this analysis the number of supplied v</w:t>
      </w:r>
      <w:r w:rsidR="000D7C29">
        <w:t xml:space="preserve">ials </w:t>
      </w:r>
      <w:r>
        <w:t xml:space="preserve">for each prescription was </w:t>
      </w:r>
      <w:r w:rsidR="000D7C29">
        <w:t xml:space="preserve">calculated from the </w:t>
      </w:r>
      <w:r w:rsidR="00AF3577">
        <w:t xml:space="preserve">dose (mg) </w:t>
      </w:r>
      <w:r w:rsidR="000D7C29">
        <w:t>supplied us</w:t>
      </w:r>
      <w:r w:rsidR="004046AE">
        <w:t>ing the relationships in Table 3</w:t>
      </w:r>
      <w:r w:rsidR="000D7C29">
        <w:t xml:space="preserve">. </w:t>
      </w:r>
    </w:p>
    <w:p w14:paraId="2197CC62" w14:textId="156EEBD8" w:rsidR="009B54B8" w:rsidRDefault="009B54B8" w:rsidP="00CA6CA5">
      <w:pPr>
        <w:pStyle w:val="Tabletitle"/>
      </w:pPr>
      <w:r>
        <w:t xml:space="preserve">Table </w:t>
      </w:r>
      <w:r w:rsidR="004046AE">
        <w:t>3</w:t>
      </w:r>
      <w:r>
        <w:t>: Calculation of vials with 100 mg vial listed</w:t>
      </w:r>
    </w:p>
    <w:tbl>
      <w:tblPr>
        <w:tblStyle w:val="TableGrid"/>
        <w:tblW w:w="0" w:type="auto"/>
        <w:tblLook w:val="04A0" w:firstRow="1" w:lastRow="0" w:firstColumn="1" w:lastColumn="0" w:noHBand="0" w:noVBand="1"/>
        <w:tblCaption w:val="Calculation of vials with 100 mg vial listed"/>
        <w:tblDescription w:val="Calculation of vials with 100 mg vial listed"/>
      </w:tblPr>
      <w:tblGrid>
        <w:gridCol w:w="4586"/>
        <w:gridCol w:w="4587"/>
      </w:tblGrid>
      <w:tr w:rsidR="000D7C29" w:rsidRPr="00D9025E" w14:paraId="18BB018E" w14:textId="77777777" w:rsidTr="003E64A8">
        <w:trPr>
          <w:tblHeader/>
        </w:trPr>
        <w:tc>
          <w:tcPr>
            <w:tcW w:w="4586" w:type="dxa"/>
            <w:shd w:val="clear" w:color="auto" w:fill="BFBFBF" w:themeFill="background1" w:themeFillShade="BF"/>
            <w:vAlign w:val="center"/>
          </w:tcPr>
          <w:p w14:paraId="0C63AE1C" w14:textId="5868F07B" w:rsidR="000D7C29" w:rsidRPr="006E3D3D" w:rsidRDefault="000D7C29" w:rsidP="009B54B8">
            <w:pPr>
              <w:rPr>
                <w:b/>
                <w:sz w:val="20"/>
                <w:szCs w:val="20"/>
              </w:rPr>
            </w:pPr>
            <w:r w:rsidRPr="006E3D3D">
              <w:rPr>
                <w:b/>
                <w:sz w:val="20"/>
                <w:szCs w:val="20"/>
              </w:rPr>
              <w:t>Quantity</w:t>
            </w:r>
          </w:p>
        </w:tc>
        <w:tc>
          <w:tcPr>
            <w:tcW w:w="4587" w:type="dxa"/>
            <w:shd w:val="clear" w:color="auto" w:fill="BFBFBF" w:themeFill="background1" w:themeFillShade="BF"/>
            <w:vAlign w:val="center"/>
          </w:tcPr>
          <w:p w14:paraId="671B2DDA" w14:textId="322742C3" w:rsidR="000D7C29" w:rsidRPr="006E3D3D" w:rsidRDefault="000D7C29" w:rsidP="009B54B8">
            <w:pPr>
              <w:jc w:val="center"/>
              <w:rPr>
                <w:b/>
                <w:sz w:val="20"/>
                <w:szCs w:val="20"/>
              </w:rPr>
            </w:pPr>
            <w:r w:rsidRPr="006E3D3D">
              <w:rPr>
                <w:b/>
                <w:sz w:val="20"/>
                <w:szCs w:val="20"/>
              </w:rPr>
              <w:t>Vials (100 mg)</w:t>
            </w:r>
          </w:p>
        </w:tc>
      </w:tr>
      <w:tr w:rsidR="000D7C29" w:rsidRPr="005E0981" w14:paraId="580219E3" w14:textId="77777777" w:rsidTr="009B54B8">
        <w:tc>
          <w:tcPr>
            <w:tcW w:w="4586" w:type="dxa"/>
            <w:vAlign w:val="center"/>
          </w:tcPr>
          <w:p w14:paraId="593753A4" w14:textId="2171A588" w:rsidR="000D7C29" w:rsidRPr="006E3D3D" w:rsidRDefault="000D7C29" w:rsidP="009B54B8">
            <w:pPr>
              <w:rPr>
                <w:sz w:val="20"/>
                <w:szCs w:val="20"/>
              </w:rPr>
            </w:pPr>
            <w:r w:rsidRPr="006E3D3D">
              <w:rPr>
                <w:sz w:val="20"/>
                <w:szCs w:val="20"/>
              </w:rPr>
              <w:t>Less than 100</w:t>
            </w:r>
          </w:p>
        </w:tc>
        <w:tc>
          <w:tcPr>
            <w:tcW w:w="4587" w:type="dxa"/>
            <w:vAlign w:val="center"/>
          </w:tcPr>
          <w:p w14:paraId="3A90971D" w14:textId="0AB88172" w:rsidR="000D7C29" w:rsidRPr="006E3D3D" w:rsidRDefault="000D7C29" w:rsidP="009B54B8">
            <w:pPr>
              <w:jc w:val="center"/>
              <w:rPr>
                <w:sz w:val="20"/>
                <w:szCs w:val="20"/>
              </w:rPr>
            </w:pPr>
            <w:r w:rsidRPr="006E3D3D">
              <w:rPr>
                <w:sz w:val="20"/>
                <w:szCs w:val="20"/>
              </w:rPr>
              <w:t>1</w:t>
            </w:r>
          </w:p>
        </w:tc>
      </w:tr>
      <w:tr w:rsidR="000D7C29" w:rsidRPr="005E0981" w14:paraId="5592D056" w14:textId="77777777" w:rsidTr="009B54B8">
        <w:tc>
          <w:tcPr>
            <w:tcW w:w="4586" w:type="dxa"/>
            <w:vAlign w:val="center"/>
          </w:tcPr>
          <w:p w14:paraId="63A7F7F3" w14:textId="77DDA7D5" w:rsidR="000D7C29" w:rsidRPr="006E3D3D" w:rsidRDefault="000D7C29" w:rsidP="009B54B8">
            <w:pPr>
              <w:rPr>
                <w:sz w:val="20"/>
                <w:szCs w:val="20"/>
              </w:rPr>
            </w:pPr>
            <w:r w:rsidRPr="006E3D3D">
              <w:rPr>
                <w:sz w:val="20"/>
                <w:szCs w:val="20"/>
              </w:rPr>
              <w:t xml:space="preserve">Between 101 and 200 </w:t>
            </w:r>
          </w:p>
        </w:tc>
        <w:tc>
          <w:tcPr>
            <w:tcW w:w="4587" w:type="dxa"/>
            <w:vAlign w:val="center"/>
          </w:tcPr>
          <w:p w14:paraId="3DE000FD" w14:textId="634ABBFE" w:rsidR="000D7C29" w:rsidRPr="006E3D3D" w:rsidRDefault="000D7C29" w:rsidP="009B54B8">
            <w:pPr>
              <w:jc w:val="center"/>
              <w:rPr>
                <w:sz w:val="20"/>
                <w:szCs w:val="20"/>
              </w:rPr>
            </w:pPr>
            <w:r w:rsidRPr="006E3D3D">
              <w:rPr>
                <w:sz w:val="20"/>
                <w:szCs w:val="20"/>
              </w:rPr>
              <w:t>2</w:t>
            </w:r>
          </w:p>
        </w:tc>
      </w:tr>
      <w:tr w:rsidR="000D7C29" w:rsidRPr="005E0981" w14:paraId="2C4DB07E" w14:textId="77777777" w:rsidTr="009B54B8">
        <w:tc>
          <w:tcPr>
            <w:tcW w:w="4586" w:type="dxa"/>
            <w:vAlign w:val="center"/>
          </w:tcPr>
          <w:p w14:paraId="7C4F58B1" w14:textId="31C7D12D" w:rsidR="000D7C29" w:rsidRPr="006E3D3D" w:rsidRDefault="000D7C29" w:rsidP="009B54B8">
            <w:pPr>
              <w:rPr>
                <w:sz w:val="20"/>
                <w:szCs w:val="20"/>
              </w:rPr>
            </w:pPr>
            <w:r w:rsidRPr="006E3D3D">
              <w:rPr>
                <w:sz w:val="20"/>
                <w:szCs w:val="20"/>
              </w:rPr>
              <w:t>Between 201 and 300</w:t>
            </w:r>
          </w:p>
        </w:tc>
        <w:tc>
          <w:tcPr>
            <w:tcW w:w="4587" w:type="dxa"/>
            <w:vAlign w:val="center"/>
          </w:tcPr>
          <w:p w14:paraId="0B0A7C42" w14:textId="451AE759" w:rsidR="000D7C29" w:rsidRPr="006E3D3D" w:rsidRDefault="000D7C29" w:rsidP="009B54B8">
            <w:pPr>
              <w:jc w:val="center"/>
              <w:rPr>
                <w:sz w:val="20"/>
                <w:szCs w:val="20"/>
              </w:rPr>
            </w:pPr>
            <w:r w:rsidRPr="006E3D3D">
              <w:rPr>
                <w:sz w:val="20"/>
                <w:szCs w:val="20"/>
              </w:rPr>
              <w:t>3</w:t>
            </w:r>
          </w:p>
        </w:tc>
      </w:tr>
      <w:tr w:rsidR="000D7C29" w:rsidRPr="005E0981" w14:paraId="41DE9026" w14:textId="77777777" w:rsidTr="009B54B8">
        <w:tc>
          <w:tcPr>
            <w:tcW w:w="4586" w:type="dxa"/>
            <w:vAlign w:val="center"/>
          </w:tcPr>
          <w:p w14:paraId="3B78944F" w14:textId="3132955D" w:rsidR="000D7C29" w:rsidRPr="006E3D3D" w:rsidRDefault="000D7C29" w:rsidP="009B54B8">
            <w:pPr>
              <w:rPr>
                <w:sz w:val="20"/>
                <w:szCs w:val="20"/>
              </w:rPr>
            </w:pPr>
            <w:r w:rsidRPr="006E3D3D">
              <w:rPr>
                <w:sz w:val="20"/>
                <w:szCs w:val="20"/>
              </w:rPr>
              <w:t>Between 301 and 400</w:t>
            </w:r>
          </w:p>
        </w:tc>
        <w:tc>
          <w:tcPr>
            <w:tcW w:w="4587" w:type="dxa"/>
            <w:vAlign w:val="center"/>
          </w:tcPr>
          <w:p w14:paraId="1BDE7FEE" w14:textId="342A26A3" w:rsidR="000D7C29" w:rsidRPr="006E3D3D" w:rsidRDefault="000D7C29" w:rsidP="009B54B8">
            <w:pPr>
              <w:jc w:val="center"/>
              <w:rPr>
                <w:sz w:val="20"/>
                <w:szCs w:val="20"/>
              </w:rPr>
            </w:pPr>
            <w:r w:rsidRPr="006E3D3D">
              <w:rPr>
                <w:sz w:val="20"/>
                <w:szCs w:val="20"/>
              </w:rPr>
              <w:t>4</w:t>
            </w:r>
          </w:p>
        </w:tc>
      </w:tr>
      <w:tr w:rsidR="000D7C29" w:rsidRPr="005E0981" w14:paraId="1794D974" w14:textId="77777777" w:rsidTr="009B54B8">
        <w:tc>
          <w:tcPr>
            <w:tcW w:w="4586" w:type="dxa"/>
            <w:vAlign w:val="center"/>
          </w:tcPr>
          <w:p w14:paraId="124CCE9C" w14:textId="742C1C6C" w:rsidR="000D7C29" w:rsidRPr="006E3D3D" w:rsidRDefault="000D7C29" w:rsidP="009B54B8">
            <w:pPr>
              <w:rPr>
                <w:sz w:val="20"/>
                <w:szCs w:val="20"/>
              </w:rPr>
            </w:pPr>
            <w:r w:rsidRPr="006E3D3D">
              <w:rPr>
                <w:sz w:val="20"/>
                <w:szCs w:val="20"/>
              </w:rPr>
              <w:t>Between 401 and 500</w:t>
            </w:r>
          </w:p>
        </w:tc>
        <w:tc>
          <w:tcPr>
            <w:tcW w:w="4587" w:type="dxa"/>
            <w:vAlign w:val="center"/>
          </w:tcPr>
          <w:p w14:paraId="279EF11E" w14:textId="501904DE" w:rsidR="000D7C29" w:rsidRPr="006E3D3D" w:rsidRDefault="000D7C29" w:rsidP="009B54B8">
            <w:pPr>
              <w:jc w:val="center"/>
              <w:rPr>
                <w:sz w:val="20"/>
                <w:szCs w:val="20"/>
              </w:rPr>
            </w:pPr>
            <w:r w:rsidRPr="006E3D3D">
              <w:rPr>
                <w:sz w:val="20"/>
                <w:szCs w:val="20"/>
              </w:rPr>
              <w:t>5</w:t>
            </w:r>
          </w:p>
        </w:tc>
      </w:tr>
    </w:tbl>
    <w:p w14:paraId="1D5EE3E4" w14:textId="6CCB04BE" w:rsidR="000D7C29" w:rsidRDefault="000D7C29" w:rsidP="00524D13"/>
    <w:p w14:paraId="265D1198" w14:textId="05052150" w:rsidR="000D7C29" w:rsidRDefault="005613FE" w:rsidP="00524D13">
      <w:r>
        <w:t>The number of v</w:t>
      </w:r>
      <w:r w:rsidR="000D7C29">
        <w:t xml:space="preserve">ials </w:t>
      </w:r>
      <w:r>
        <w:t xml:space="preserve">that would have been supplied, </w:t>
      </w:r>
      <w:r w:rsidR="00751053">
        <w:t>if a</w:t>
      </w:r>
      <w:r w:rsidR="009B54B8">
        <w:t xml:space="preserve"> 250 mg strength</w:t>
      </w:r>
      <w:r w:rsidR="00751053">
        <w:t xml:space="preserve"> vial </w:t>
      </w:r>
      <w:r w:rsidR="009B54B8">
        <w:t xml:space="preserve">was listed, </w:t>
      </w:r>
      <w:r>
        <w:t>was</w:t>
      </w:r>
      <w:r w:rsidR="000D7C29">
        <w:t xml:space="preserve"> calculated </w:t>
      </w:r>
      <w:r w:rsidR="009B54B8">
        <w:t xml:space="preserve">for the actual quantities </w:t>
      </w:r>
      <w:r w:rsidR="000D7C29">
        <w:t>us</w:t>
      </w:r>
      <w:r w:rsidR="004046AE">
        <w:t>ing the relationships in Table 4</w:t>
      </w:r>
      <w:r w:rsidR="009B54B8">
        <w:t>.</w:t>
      </w:r>
    </w:p>
    <w:p w14:paraId="6D626F14" w14:textId="3821A049" w:rsidR="009B54B8" w:rsidRDefault="009B54B8" w:rsidP="00CA6CA5">
      <w:pPr>
        <w:pStyle w:val="Tabletitle"/>
      </w:pPr>
      <w:r>
        <w:t xml:space="preserve">Table </w:t>
      </w:r>
      <w:r w:rsidR="004046AE">
        <w:t>4</w:t>
      </w:r>
      <w:r>
        <w:t>: Calculation of vials with 100 mg and 250 mg vials listed</w:t>
      </w:r>
    </w:p>
    <w:tbl>
      <w:tblPr>
        <w:tblStyle w:val="TableGrid"/>
        <w:tblW w:w="0" w:type="auto"/>
        <w:tblLook w:val="04A0" w:firstRow="1" w:lastRow="0" w:firstColumn="1" w:lastColumn="0" w:noHBand="0" w:noVBand="1"/>
        <w:tblCaption w:val="Calculation of vials with 100 mg and 250 mg vials listed"/>
        <w:tblDescription w:val="Calculation of vials with 100 mg and 250 mg vials listed"/>
      </w:tblPr>
      <w:tblGrid>
        <w:gridCol w:w="3057"/>
        <w:gridCol w:w="3058"/>
        <w:gridCol w:w="3058"/>
      </w:tblGrid>
      <w:tr w:rsidR="000D7C29" w:rsidRPr="005E0981" w14:paraId="062930B1" w14:textId="77777777" w:rsidTr="003E64A8">
        <w:trPr>
          <w:tblHeader/>
        </w:trPr>
        <w:tc>
          <w:tcPr>
            <w:tcW w:w="3057" w:type="dxa"/>
            <w:shd w:val="clear" w:color="auto" w:fill="BFBFBF" w:themeFill="background1" w:themeFillShade="BF"/>
            <w:vAlign w:val="center"/>
          </w:tcPr>
          <w:p w14:paraId="580BAFFC" w14:textId="77777777" w:rsidR="000D7C29" w:rsidRPr="006E3D3D" w:rsidRDefault="000D7C29" w:rsidP="009B54B8">
            <w:pPr>
              <w:rPr>
                <w:b/>
                <w:sz w:val="20"/>
                <w:szCs w:val="20"/>
              </w:rPr>
            </w:pPr>
          </w:p>
        </w:tc>
        <w:tc>
          <w:tcPr>
            <w:tcW w:w="3058" w:type="dxa"/>
            <w:shd w:val="clear" w:color="auto" w:fill="BFBFBF" w:themeFill="background1" w:themeFillShade="BF"/>
            <w:vAlign w:val="center"/>
          </w:tcPr>
          <w:p w14:paraId="536B3D59" w14:textId="44090EDE" w:rsidR="000D7C29" w:rsidRPr="006E3D3D" w:rsidRDefault="009B54B8" w:rsidP="009B54B8">
            <w:pPr>
              <w:jc w:val="center"/>
              <w:rPr>
                <w:b/>
                <w:sz w:val="20"/>
                <w:szCs w:val="20"/>
              </w:rPr>
            </w:pPr>
            <w:r w:rsidRPr="006E3D3D">
              <w:rPr>
                <w:b/>
                <w:sz w:val="20"/>
                <w:szCs w:val="20"/>
              </w:rPr>
              <w:t>100 mg vials</w:t>
            </w:r>
          </w:p>
        </w:tc>
        <w:tc>
          <w:tcPr>
            <w:tcW w:w="3058" w:type="dxa"/>
            <w:shd w:val="clear" w:color="auto" w:fill="BFBFBF" w:themeFill="background1" w:themeFillShade="BF"/>
            <w:vAlign w:val="center"/>
          </w:tcPr>
          <w:p w14:paraId="541D6143" w14:textId="2A8C274D" w:rsidR="000D7C29" w:rsidRPr="006E3D3D" w:rsidRDefault="009B54B8" w:rsidP="009B54B8">
            <w:pPr>
              <w:jc w:val="center"/>
              <w:rPr>
                <w:b/>
                <w:sz w:val="20"/>
                <w:szCs w:val="20"/>
              </w:rPr>
            </w:pPr>
            <w:r w:rsidRPr="006E3D3D">
              <w:rPr>
                <w:b/>
                <w:sz w:val="20"/>
                <w:szCs w:val="20"/>
              </w:rPr>
              <w:t>250 mg vials</w:t>
            </w:r>
          </w:p>
        </w:tc>
      </w:tr>
      <w:tr w:rsidR="009B54B8" w:rsidRPr="005E0981" w14:paraId="1D100CA3" w14:textId="77777777" w:rsidTr="009B54B8">
        <w:tc>
          <w:tcPr>
            <w:tcW w:w="3057" w:type="dxa"/>
            <w:vAlign w:val="center"/>
          </w:tcPr>
          <w:p w14:paraId="753DB89C" w14:textId="0BE570E5" w:rsidR="009B54B8" w:rsidRPr="006E3D3D" w:rsidRDefault="009B54B8" w:rsidP="009B54B8">
            <w:pPr>
              <w:rPr>
                <w:sz w:val="20"/>
                <w:szCs w:val="20"/>
              </w:rPr>
            </w:pPr>
            <w:r w:rsidRPr="006E3D3D">
              <w:rPr>
                <w:sz w:val="20"/>
                <w:szCs w:val="20"/>
              </w:rPr>
              <w:t>Less than 100</w:t>
            </w:r>
          </w:p>
        </w:tc>
        <w:tc>
          <w:tcPr>
            <w:tcW w:w="3058" w:type="dxa"/>
            <w:vAlign w:val="center"/>
          </w:tcPr>
          <w:p w14:paraId="5BE02F5B" w14:textId="7C28CB38" w:rsidR="009B54B8" w:rsidRPr="006E3D3D" w:rsidRDefault="009B54B8" w:rsidP="009B54B8">
            <w:pPr>
              <w:jc w:val="center"/>
              <w:rPr>
                <w:sz w:val="20"/>
                <w:szCs w:val="20"/>
              </w:rPr>
            </w:pPr>
            <w:r w:rsidRPr="006E3D3D">
              <w:rPr>
                <w:sz w:val="20"/>
                <w:szCs w:val="20"/>
              </w:rPr>
              <w:t>1</w:t>
            </w:r>
          </w:p>
        </w:tc>
        <w:tc>
          <w:tcPr>
            <w:tcW w:w="3058" w:type="dxa"/>
            <w:vAlign w:val="center"/>
          </w:tcPr>
          <w:p w14:paraId="4285AB79" w14:textId="5DCC87D8" w:rsidR="009B54B8" w:rsidRPr="006E3D3D" w:rsidRDefault="009B54B8" w:rsidP="009B54B8">
            <w:pPr>
              <w:jc w:val="center"/>
              <w:rPr>
                <w:sz w:val="20"/>
                <w:szCs w:val="20"/>
              </w:rPr>
            </w:pPr>
            <w:r w:rsidRPr="006E3D3D">
              <w:rPr>
                <w:sz w:val="20"/>
                <w:szCs w:val="20"/>
              </w:rPr>
              <w:t>0</w:t>
            </w:r>
          </w:p>
        </w:tc>
      </w:tr>
      <w:tr w:rsidR="009B54B8" w:rsidRPr="005E0981" w14:paraId="50034281" w14:textId="77777777" w:rsidTr="009B54B8">
        <w:tc>
          <w:tcPr>
            <w:tcW w:w="3057" w:type="dxa"/>
            <w:vAlign w:val="center"/>
          </w:tcPr>
          <w:p w14:paraId="0BC18E3A" w14:textId="5B5C5931" w:rsidR="009B54B8" w:rsidRPr="006E3D3D" w:rsidRDefault="009B54B8" w:rsidP="009B54B8">
            <w:pPr>
              <w:rPr>
                <w:sz w:val="20"/>
                <w:szCs w:val="20"/>
              </w:rPr>
            </w:pPr>
            <w:r w:rsidRPr="006E3D3D">
              <w:rPr>
                <w:sz w:val="20"/>
                <w:szCs w:val="20"/>
              </w:rPr>
              <w:t>Between 101 and 200</w:t>
            </w:r>
          </w:p>
        </w:tc>
        <w:tc>
          <w:tcPr>
            <w:tcW w:w="3058" w:type="dxa"/>
            <w:vAlign w:val="center"/>
          </w:tcPr>
          <w:p w14:paraId="1B7A05B7" w14:textId="0CBBB37B" w:rsidR="009B54B8" w:rsidRPr="006E3D3D" w:rsidRDefault="009B54B8" w:rsidP="009B54B8">
            <w:pPr>
              <w:jc w:val="center"/>
              <w:rPr>
                <w:sz w:val="20"/>
                <w:szCs w:val="20"/>
              </w:rPr>
            </w:pPr>
            <w:r w:rsidRPr="006E3D3D">
              <w:rPr>
                <w:sz w:val="20"/>
                <w:szCs w:val="20"/>
              </w:rPr>
              <w:t>2</w:t>
            </w:r>
          </w:p>
        </w:tc>
        <w:tc>
          <w:tcPr>
            <w:tcW w:w="3058" w:type="dxa"/>
            <w:vAlign w:val="center"/>
          </w:tcPr>
          <w:p w14:paraId="3339EB43" w14:textId="17E136A6" w:rsidR="009B54B8" w:rsidRPr="006E3D3D" w:rsidRDefault="009B54B8" w:rsidP="009B54B8">
            <w:pPr>
              <w:jc w:val="center"/>
              <w:rPr>
                <w:sz w:val="20"/>
                <w:szCs w:val="20"/>
              </w:rPr>
            </w:pPr>
            <w:r w:rsidRPr="006E3D3D">
              <w:rPr>
                <w:sz w:val="20"/>
                <w:szCs w:val="20"/>
              </w:rPr>
              <w:t>0</w:t>
            </w:r>
          </w:p>
        </w:tc>
      </w:tr>
      <w:tr w:rsidR="009B54B8" w:rsidRPr="005E0981" w14:paraId="541E16EE" w14:textId="77777777" w:rsidTr="009B54B8">
        <w:tc>
          <w:tcPr>
            <w:tcW w:w="3057" w:type="dxa"/>
            <w:vAlign w:val="center"/>
          </w:tcPr>
          <w:p w14:paraId="281B2E8C" w14:textId="00D69D46" w:rsidR="009B54B8" w:rsidRPr="006E3D3D" w:rsidRDefault="009B54B8" w:rsidP="009B54B8">
            <w:pPr>
              <w:rPr>
                <w:sz w:val="20"/>
                <w:szCs w:val="20"/>
              </w:rPr>
            </w:pPr>
            <w:r w:rsidRPr="006E3D3D">
              <w:rPr>
                <w:sz w:val="20"/>
                <w:szCs w:val="20"/>
              </w:rPr>
              <w:t>Between 201 and 250</w:t>
            </w:r>
          </w:p>
        </w:tc>
        <w:tc>
          <w:tcPr>
            <w:tcW w:w="3058" w:type="dxa"/>
            <w:vAlign w:val="center"/>
          </w:tcPr>
          <w:p w14:paraId="35D588FA" w14:textId="35FA444A" w:rsidR="009B54B8" w:rsidRPr="006E3D3D" w:rsidRDefault="009B54B8" w:rsidP="009B54B8">
            <w:pPr>
              <w:jc w:val="center"/>
              <w:rPr>
                <w:sz w:val="20"/>
                <w:szCs w:val="20"/>
              </w:rPr>
            </w:pPr>
            <w:r w:rsidRPr="006E3D3D">
              <w:rPr>
                <w:sz w:val="20"/>
                <w:szCs w:val="20"/>
              </w:rPr>
              <w:t>0</w:t>
            </w:r>
          </w:p>
        </w:tc>
        <w:tc>
          <w:tcPr>
            <w:tcW w:w="3058" w:type="dxa"/>
            <w:vAlign w:val="center"/>
          </w:tcPr>
          <w:p w14:paraId="5BF4A9AC" w14:textId="5D1A9762" w:rsidR="009B54B8" w:rsidRPr="006E3D3D" w:rsidRDefault="009B54B8" w:rsidP="009B54B8">
            <w:pPr>
              <w:jc w:val="center"/>
              <w:rPr>
                <w:sz w:val="20"/>
                <w:szCs w:val="20"/>
              </w:rPr>
            </w:pPr>
            <w:r w:rsidRPr="006E3D3D">
              <w:rPr>
                <w:sz w:val="20"/>
                <w:szCs w:val="20"/>
              </w:rPr>
              <w:t>1</w:t>
            </w:r>
          </w:p>
        </w:tc>
      </w:tr>
      <w:tr w:rsidR="009B54B8" w:rsidRPr="005E0981" w14:paraId="1280C02D" w14:textId="77777777" w:rsidTr="009B54B8">
        <w:tc>
          <w:tcPr>
            <w:tcW w:w="3057" w:type="dxa"/>
            <w:vAlign w:val="center"/>
          </w:tcPr>
          <w:p w14:paraId="2162946F" w14:textId="445C2C32" w:rsidR="009B54B8" w:rsidRPr="006E3D3D" w:rsidRDefault="009B54B8" w:rsidP="009B54B8">
            <w:pPr>
              <w:rPr>
                <w:sz w:val="20"/>
                <w:szCs w:val="20"/>
              </w:rPr>
            </w:pPr>
            <w:r w:rsidRPr="006E3D3D">
              <w:rPr>
                <w:sz w:val="20"/>
                <w:szCs w:val="20"/>
              </w:rPr>
              <w:t>Between 251 and 350</w:t>
            </w:r>
          </w:p>
        </w:tc>
        <w:tc>
          <w:tcPr>
            <w:tcW w:w="3058" w:type="dxa"/>
            <w:vAlign w:val="center"/>
          </w:tcPr>
          <w:p w14:paraId="5DE53659" w14:textId="602E75E6" w:rsidR="009B54B8" w:rsidRPr="006E3D3D" w:rsidRDefault="009B54B8" w:rsidP="009B54B8">
            <w:pPr>
              <w:jc w:val="center"/>
              <w:rPr>
                <w:sz w:val="20"/>
                <w:szCs w:val="20"/>
              </w:rPr>
            </w:pPr>
            <w:r w:rsidRPr="006E3D3D">
              <w:rPr>
                <w:sz w:val="20"/>
                <w:szCs w:val="20"/>
              </w:rPr>
              <w:t>1</w:t>
            </w:r>
          </w:p>
        </w:tc>
        <w:tc>
          <w:tcPr>
            <w:tcW w:w="3058" w:type="dxa"/>
            <w:vAlign w:val="center"/>
          </w:tcPr>
          <w:p w14:paraId="3D62CDDF" w14:textId="716DD696" w:rsidR="009B54B8" w:rsidRPr="006E3D3D" w:rsidRDefault="009B54B8" w:rsidP="009B54B8">
            <w:pPr>
              <w:jc w:val="center"/>
              <w:rPr>
                <w:sz w:val="20"/>
                <w:szCs w:val="20"/>
              </w:rPr>
            </w:pPr>
            <w:r w:rsidRPr="006E3D3D">
              <w:rPr>
                <w:sz w:val="20"/>
                <w:szCs w:val="20"/>
              </w:rPr>
              <w:t>1</w:t>
            </w:r>
          </w:p>
        </w:tc>
      </w:tr>
      <w:tr w:rsidR="009B54B8" w:rsidRPr="005E0981" w14:paraId="6D8C181C" w14:textId="77777777" w:rsidTr="009B54B8">
        <w:tc>
          <w:tcPr>
            <w:tcW w:w="3057" w:type="dxa"/>
            <w:vAlign w:val="center"/>
          </w:tcPr>
          <w:p w14:paraId="705941DB" w14:textId="270741DA" w:rsidR="009B54B8" w:rsidRPr="006E3D3D" w:rsidRDefault="009B54B8" w:rsidP="009B54B8">
            <w:pPr>
              <w:rPr>
                <w:sz w:val="20"/>
                <w:szCs w:val="20"/>
              </w:rPr>
            </w:pPr>
            <w:r w:rsidRPr="006E3D3D">
              <w:rPr>
                <w:sz w:val="20"/>
                <w:szCs w:val="20"/>
              </w:rPr>
              <w:t>Between 351 and 450</w:t>
            </w:r>
          </w:p>
        </w:tc>
        <w:tc>
          <w:tcPr>
            <w:tcW w:w="3058" w:type="dxa"/>
            <w:vAlign w:val="center"/>
          </w:tcPr>
          <w:p w14:paraId="2B4061A6" w14:textId="1DCE3720" w:rsidR="009B54B8" w:rsidRPr="006E3D3D" w:rsidRDefault="009B54B8" w:rsidP="009B54B8">
            <w:pPr>
              <w:jc w:val="center"/>
              <w:rPr>
                <w:sz w:val="20"/>
                <w:szCs w:val="20"/>
              </w:rPr>
            </w:pPr>
            <w:r w:rsidRPr="006E3D3D">
              <w:rPr>
                <w:sz w:val="20"/>
                <w:szCs w:val="20"/>
              </w:rPr>
              <w:t>2</w:t>
            </w:r>
          </w:p>
        </w:tc>
        <w:tc>
          <w:tcPr>
            <w:tcW w:w="3058" w:type="dxa"/>
            <w:vAlign w:val="center"/>
          </w:tcPr>
          <w:p w14:paraId="5FEEF724" w14:textId="0B25790E" w:rsidR="009B54B8" w:rsidRPr="006E3D3D" w:rsidRDefault="009B54B8" w:rsidP="009B54B8">
            <w:pPr>
              <w:jc w:val="center"/>
              <w:rPr>
                <w:sz w:val="20"/>
                <w:szCs w:val="20"/>
              </w:rPr>
            </w:pPr>
            <w:r w:rsidRPr="006E3D3D">
              <w:rPr>
                <w:sz w:val="20"/>
                <w:szCs w:val="20"/>
              </w:rPr>
              <w:t>1</w:t>
            </w:r>
          </w:p>
        </w:tc>
      </w:tr>
      <w:tr w:rsidR="009B54B8" w:rsidRPr="005E0981" w14:paraId="79825825" w14:textId="77777777" w:rsidTr="009B54B8">
        <w:tc>
          <w:tcPr>
            <w:tcW w:w="3057" w:type="dxa"/>
            <w:vAlign w:val="center"/>
          </w:tcPr>
          <w:p w14:paraId="3285E9ED" w14:textId="5C761765" w:rsidR="009B54B8" w:rsidRPr="006E3D3D" w:rsidRDefault="009B54B8" w:rsidP="009B54B8">
            <w:pPr>
              <w:rPr>
                <w:sz w:val="20"/>
                <w:szCs w:val="20"/>
              </w:rPr>
            </w:pPr>
            <w:r w:rsidRPr="006E3D3D">
              <w:rPr>
                <w:sz w:val="20"/>
                <w:szCs w:val="20"/>
              </w:rPr>
              <w:t>Between 451 and 500</w:t>
            </w:r>
          </w:p>
        </w:tc>
        <w:tc>
          <w:tcPr>
            <w:tcW w:w="3058" w:type="dxa"/>
            <w:vAlign w:val="center"/>
          </w:tcPr>
          <w:p w14:paraId="566BF766" w14:textId="37A1CAEE" w:rsidR="009B54B8" w:rsidRPr="006E3D3D" w:rsidRDefault="009B54B8" w:rsidP="009B54B8">
            <w:pPr>
              <w:jc w:val="center"/>
              <w:rPr>
                <w:sz w:val="20"/>
                <w:szCs w:val="20"/>
              </w:rPr>
            </w:pPr>
            <w:r w:rsidRPr="006E3D3D">
              <w:rPr>
                <w:sz w:val="20"/>
                <w:szCs w:val="20"/>
              </w:rPr>
              <w:t>0</w:t>
            </w:r>
          </w:p>
        </w:tc>
        <w:tc>
          <w:tcPr>
            <w:tcW w:w="3058" w:type="dxa"/>
            <w:vAlign w:val="center"/>
          </w:tcPr>
          <w:p w14:paraId="06FED6C8" w14:textId="54F2D2D1" w:rsidR="009B54B8" w:rsidRPr="006E3D3D" w:rsidRDefault="009B54B8" w:rsidP="009B54B8">
            <w:pPr>
              <w:jc w:val="center"/>
              <w:rPr>
                <w:sz w:val="20"/>
                <w:szCs w:val="20"/>
              </w:rPr>
            </w:pPr>
            <w:r w:rsidRPr="006E3D3D">
              <w:rPr>
                <w:sz w:val="20"/>
                <w:szCs w:val="20"/>
              </w:rPr>
              <w:t>2</w:t>
            </w:r>
          </w:p>
        </w:tc>
      </w:tr>
    </w:tbl>
    <w:p w14:paraId="43A5B135" w14:textId="3A9D8CDE" w:rsidR="000D7C29" w:rsidRDefault="000D7C29" w:rsidP="00524D13"/>
    <w:p w14:paraId="7AD41F67" w14:textId="226D9DD2" w:rsidR="005613FE" w:rsidRDefault="005613FE" w:rsidP="00524D13">
      <w:r>
        <w:t>For both scenarios wastage was calculated as the difference between the total volume supplied and the quantity used.</w:t>
      </w:r>
    </w:p>
    <w:p w14:paraId="22849256" w14:textId="2A8C8281" w:rsidR="00A81988" w:rsidRDefault="00A81988" w:rsidP="00A81988">
      <w:pPr>
        <w:pStyle w:val="Heading3"/>
      </w:pPr>
      <w:r>
        <w:t>Limitations of the data</w:t>
      </w:r>
    </w:p>
    <w:p w14:paraId="16655A74" w14:textId="6F645EC7" w:rsidR="000D4067" w:rsidRDefault="00AC26A0" w:rsidP="00524D13">
      <w:r w:rsidRPr="00AC26A0">
        <w:t>Nab-paclitaxel is PBS listed for pancreatic cancer and breast cancer under separate PBS item codes</w:t>
      </w:r>
      <w:r w:rsidR="00AB4C80">
        <w:t xml:space="preserve"> as the maximum amount and repeats are different for the two listings</w:t>
      </w:r>
      <w:r w:rsidRPr="00AC26A0">
        <w:t>.</w:t>
      </w:r>
      <w:r w:rsidR="00AB4C80">
        <w:t xml:space="preserve"> The maximum amount for pancreatic cancer is 275 mg, and the maximum amount for breast </w:t>
      </w:r>
      <w:r w:rsidR="00AB4C80">
        <w:lastRenderedPageBreak/>
        <w:t>cancer is 580 mg.</w:t>
      </w:r>
      <w:r w:rsidRPr="00AC26A0">
        <w:t xml:space="preserve"> Data were extracted for the pancrea</w:t>
      </w:r>
      <w:r w:rsidR="00AB4C80">
        <w:t xml:space="preserve">tic cancer PBS item codes only, however it </w:t>
      </w:r>
      <w:r w:rsidR="000D4067" w:rsidRPr="00AC26A0">
        <w:t xml:space="preserve">is possible that </w:t>
      </w:r>
      <w:r w:rsidR="00D32FBA">
        <w:t>a small number</w:t>
      </w:r>
      <w:r w:rsidR="000D4067" w:rsidRPr="00AC26A0">
        <w:t xml:space="preserve"> of the higher doses were used to treat breast cancer.</w:t>
      </w:r>
      <w:r w:rsidR="00D32FBA">
        <w:t xml:space="preserve"> Of 37,225 supplies recorded, 199 were of quantities higher than 275 mg, which is equivalent to 0.535%.</w:t>
      </w:r>
    </w:p>
    <w:p w14:paraId="4F91A98A" w14:textId="00180E30" w:rsidR="00C714D0" w:rsidRPr="005E22C2" w:rsidRDefault="00C714D0" w:rsidP="00CF5E22">
      <w:pPr>
        <w:pStyle w:val="Heading1"/>
      </w:pPr>
      <w:r w:rsidRPr="005E22C2">
        <w:t>Results</w:t>
      </w:r>
    </w:p>
    <w:p w14:paraId="2221FF19" w14:textId="336CE8B2" w:rsidR="00736041" w:rsidRPr="005E22C2" w:rsidRDefault="001B5D37" w:rsidP="00C43BFE">
      <w:pPr>
        <w:pStyle w:val="Heading2"/>
        <w:keepNext/>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35E50016" w:rsidR="006A44F5" w:rsidRPr="005E22C2" w:rsidRDefault="00736041" w:rsidP="00C43BFE">
      <w:pPr>
        <w:pStyle w:val="Heading3"/>
        <w:keepNext/>
      </w:pPr>
      <w:r w:rsidRPr="005E22C2">
        <w:t>Overall utilisation</w:t>
      </w:r>
    </w:p>
    <w:p w14:paraId="53192499" w14:textId="4E93E85B" w:rsidR="001C6278" w:rsidRDefault="001C6278" w:rsidP="00A35800">
      <w:pPr>
        <w:rPr>
          <w:highlight w:val="yellow"/>
        </w:rPr>
      </w:pPr>
      <w:r>
        <w:rPr>
          <w:noProof/>
        </w:rPr>
        <w:drawing>
          <wp:inline distT="0" distB="0" distL="0" distR="0" wp14:anchorId="1B45BCF5" wp14:editId="36711B16">
            <wp:extent cx="5550195" cy="3274828"/>
            <wp:effectExtent l="0" t="0" r="12700" b="20955"/>
            <wp:docPr id="1" name="Chart 1" descr="Initiating and prevalent treated patients of nab-paclitaxel for adenocarcinoma of the pancreas" title="Initiating and prevalent treated patients of nab-paclitaxel for adenocarcinoma of the pancrea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9DD4E8" w14:textId="609F2998" w:rsidR="001C6278" w:rsidRDefault="00A81988" w:rsidP="006E3D3D">
      <w:pPr>
        <w:pStyle w:val="Figuretitle"/>
      </w:pPr>
      <w:r w:rsidRPr="006E3D3D">
        <w:t xml:space="preserve">Figure </w:t>
      </w:r>
      <w:r w:rsidR="004046AE">
        <w:t>1</w:t>
      </w:r>
      <w:r w:rsidRPr="006E3D3D">
        <w:t xml:space="preserve">: Initiating and prevalent treated patients </w:t>
      </w:r>
      <w:r w:rsidR="00DD6E7E" w:rsidRPr="006E3D3D">
        <w:t>of nab-paclitaxel for adenocarcinoma of the pancreas</w:t>
      </w:r>
    </w:p>
    <w:p w14:paraId="2E1798CB" w14:textId="77777777" w:rsidR="00AA5878" w:rsidRPr="006E3D3D" w:rsidRDefault="00AA5878" w:rsidP="006E3D3D">
      <w:pPr>
        <w:pStyle w:val="Figuretitle"/>
      </w:pPr>
    </w:p>
    <w:p w14:paraId="5BE361AC" w14:textId="56010DD1" w:rsidR="00240AC6" w:rsidRDefault="004046AE" w:rsidP="00240AC6">
      <w:r>
        <w:t>Figure 1</w:t>
      </w:r>
      <w:r w:rsidR="00240AC6" w:rsidRPr="00A81988">
        <w:t xml:space="preserve"> shows nab-paclitaxel had a high initial uptake in the first two months, and the number of patients initiating treatment stabilised by </w:t>
      </w:r>
      <w:r w:rsidR="00240AC6">
        <w:t>the third month of listing.</w:t>
      </w:r>
      <w:r w:rsidR="00837E53">
        <w:t xml:space="preserve"> This pattern aligns with the </w:t>
      </w:r>
      <w:r w:rsidR="00AD3ED8">
        <w:t xml:space="preserve">expectations presented in the </w:t>
      </w:r>
      <w:r w:rsidR="00837E53">
        <w:t xml:space="preserve">submission, which </w:t>
      </w:r>
      <w:r w:rsidR="00AD3ED8">
        <w:t>stated</w:t>
      </w:r>
      <w:r w:rsidR="00837E53">
        <w:t xml:space="preserve"> </w:t>
      </w:r>
      <w:r w:rsidR="00837E53" w:rsidRPr="00837E53">
        <w:t xml:space="preserve">uptake </w:t>
      </w:r>
      <w:r w:rsidR="00AD3ED8">
        <w:t>would be</w:t>
      </w:r>
      <w:r w:rsidR="00837E53" w:rsidRPr="00837E53">
        <w:t xml:space="preserve"> rapid</w:t>
      </w:r>
      <w:r w:rsidR="00D32FBA">
        <w:t xml:space="preserve"> and</w:t>
      </w:r>
      <w:r w:rsidR="00837E53">
        <w:t xml:space="preserve"> use was not</w:t>
      </w:r>
      <w:r w:rsidR="00837E53" w:rsidRPr="00837E53">
        <w:t xml:space="preserve"> expected to grow significantly in subsequent years.</w:t>
      </w:r>
    </w:p>
    <w:p w14:paraId="16D8E086" w14:textId="48E5AA10" w:rsidR="00837E53" w:rsidRPr="00A81988" w:rsidRDefault="00837E53" w:rsidP="00240AC6">
      <w:r>
        <w:t>The number of initiating patients in the first two months of PBS listing were 275 and 139 respectively</w:t>
      </w:r>
      <w:r w:rsidR="00D32FBA">
        <w:t xml:space="preserve"> (414 in first two months)</w:t>
      </w:r>
      <w:r>
        <w:t xml:space="preserve">. The submission </w:t>
      </w:r>
      <w:r w:rsidR="007408E6">
        <w:t xml:space="preserve">stated 163 patients were initiated on the access program </w:t>
      </w:r>
      <w:r w:rsidR="007408E6" w:rsidRPr="00837E53">
        <w:t>between 13 May and 23 October 2013</w:t>
      </w:r>
      <w:r w:rsidR="007408E6">
        <w:t xml:space="preserve">, but </w:t>
      </w:r>
      <w:r>
        <w:t>did not state the total number of patients receiving nab-paclitaxel through the access program. It is reasonable that between 275 and 414 patients were receiving nab-paclitaxel through the access program by November 2014.</w:t>
      </w:r>
    </w:p>
    <w:p w14:paraId="2742C087" w14:textId="0DD73E84" w:rsidR="00A81988" w:rsidRDefault="00240AC6" w:rsidP="00A81988">
      <w:pPr>
        <w:rPr>
          <w:highlight w:val="yellow"/>
        </w:rPr>
      </w:pPr>
      <w:r>
        <w:lastRenderedPageBreak/>
        <w:t>The number of prevalent treated patients stabilised approximately nine months after the PBS listing of nab-paclitaxel for adenocarcinoma of the pancreas, which suggests patients are not remaining on treatment long term.</w:t>
      </w:r>
    </w:p>
    <w:p w14:paraId="42AD4EBF" w14:textId="201811FE" w:rsidR="00240AC6" w:rsidRPr="000D4067" w:rsidRDefault="00240AC6" w:rsidP="00C072C7">
      <w:pPr>
        <w:pStyle w:val="Heading3"/>
        <w:keepNext/>
      </w:pPr>
      <w:r w:rsidRPr="000D4067">
        <w:t>Length of treatment</w:t>
      </w:r>
    </w:p>
    <w:p w14:paraId="5718AC58" w14:textId="6898911F" w:rsidR="006E3D3D" w:rsidRDefault="00A83F66" w:rsidP="00C072C7">
      <w:pPr>
        <w:spacing w:before="60" w:after="60"/>
        <w:rPr>
          <w:rStyle w:val="FiguretitleChar"/>
          <w:rFonts w:asciiTheme="minorHAnsi" w:hAnsiTheme="minorHAnsi"/>
        </w:rPr>
      </w:pPr>
      <w:r>
        <w:rPr>
          <w:noProof/>
        </w:rPr>
        <w:drawing>
          <wp:inline distT="0" distB="0" distL="0" distR="0" wp14:anchorId="1DAA98F3" wp14:editId="243A7F27">
            <wp:extent cx="5600700" cy="2990850"/>
            <wp:effectExtent l="0" t="0" r="19050" b="19050"/>
            <wp:docPr id="7" name="Chart 7" descr="Time to resupply for the initiating cohort (including prescriptions after breaks)" title="Time to resupply for the initiating cohort (including prescriptions after break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198B93" w14:textId="08043064" w:rsidR="00240AC6" w:rsidRPr="006E3D3D" w:rsidRDefault="00240AC6" w:rsidP="006E3D3D">
      <w:pPr>
        <w:pStyle w:val="Figuretitle"/>
        <w:rPr>
          <w:rStyle w:val="FiguretitleChar"/>
          <w:rFonts w:asciiTheme="minorHAnsi" w:eastAsiaTheme="minorEastAsia" w:hAnsiTheme="minorHAnsi" w:cstheme="minorBidi"/>
          <w:b/>
        </w:rPr>
      </w:pPr>
      <w:r w:rsidRPr="006E3D3D">
        <w:rPr>
          <w:rStyle w:val="FiguretitleChar"/>
          <w:rFonts w:asciiTheme="minorHAnsi" w:eastAsiaTheme="minorEastAsia" w:hAnsiTheme="minorHAnsi" w:cstheme="minorBidi"/>
          <w:b/>
        </w:rPr>
        <w:t xml:space="preserve">Figure </w:t>
      </w:r>
      <w:r w:rsidR="004046AE">
        <w:rPr>
          <w:rStyle w:val="FiguretitleChar"/>
          <w:rFonts w:asciiTheme="minorHAnsi" w:eastAsiaTheme="minorEastAsia" w:hAnsiTheme="minorHAnsi" w:cstheme="minorBidi"/>
          <w:b/>
        </w:rPr>
        <w:t>2</w:t>
      </w:r>
      <w:r w:rsidRPr="006E3D3D">
        <w:rPr>
          <w:rStyle w:val="FiguretitleChar"/>
          <w:rFonts w:asciiTheme="minorHAnsi" w:eastAsiaTheme="minorEastAsia" w:hAnsiTheme="minorHAnsi" w:cstheme="minorBidi"/>
          <w:b/>
        </w:rPr>
        <w:t>: Time to resupply for the initiating cohort (</w:t>
      </w:r>
      <w:r w:rsidR="00577CE3" w:rsidRPr="006E3D3D">
        <w:rPr>
          <w:rStyle w:val="FiguretitleChar"/>
          <w:rFonts w:asciiTheme="minorHAnsi" w:eastAsiaTheme="minorEastAsia" w:hAnsiTheme="minorHAnsi" w:cstheme="minorBidi"/>
          <w:b/>
        </w:rPr>
        <w:t>including prescriptions after breaks</w:t>
      </w:r>
      <w:r w:rsidRPr="006E3D3D">
        <w:rPr>
          <w:rStyle w:val="FiguretitleChar"/>
          <w:rFonts w:asciiTheme="minorHAnsi" w:eastAsiaTheme="minorEastAsia" w:hAnsiTheme="minorHAnsi" w:cstheme="minorBidi"/>
          <w:b/>
        </w:rPr>
        <w:t>)</w:t>
      </w:r>
    </w:p>
    <w:p w14:paraId="197F3AF2" w14:textId="77777777" w:rsidR="0081455B" w:rsidRDefault="0081455B" w:rsidP="00751053">
      <w:pPr>
        <w:pStyle w:val="Figuretitle"/>
      </w:pPr>
    </w:p>
    <w:p w14:paraId="410522A4" w14:textId="4055FCE2" w:rsidR="0081455B" w:rsidRPr="00751053" w:rsidRDefault="0081455B">
      <w:r>
        <w:t xml:space="preserve">Figure </w:t>
      </w:r>
      <w:r w:rsidR="004046AE">
        <w:t>2</w:t>
      </w:r>
      <w:r>
        <w:t xml:space="preserve"> above shows </w:t>
      </w:r>
      <w:r w:rsidR="008C2230">
        <w:t>the</w:t>
      </w:r>
      <w:r w:rsidR="00CD5420">
        <w:t xml:space="preserve"> time to resupply matches those expected due to the administration recommendations. </w:t>
      </w:r>
      <w:r w:rsidR="001F6C10">
        <w:t xml:space="preserve">There were 152 prescriptions (less than 2%) that were supplied more than 42 days after the previous treatment. These prescriptions have been removed from this graph. </w:t>
      </w:r>
      <w:r w:rsidR="00CD5420">
        <w:t>The</w:t>
      </w:r>
      <w:r w:rsidR="008C2230">
        <w:t xml:space="preserve"> largest </w:t>
      </w:r>
      <w:r>
        <w:t>peak</w:t>
      </w:r>
      <w:r w:rsidR="008C2230">
        <w:t xml:space="preserve"> of resupply </w:t>
      </w:r>
      <w:r w:rsidR="0004762B">
        <w:t xml:space="preserve">was at </w:t>
      </w:r>
      <w:r w:rsidR="008C2230">
        <w:t>seven days after initiation. There is a smaller peak at 14 days, likely due to the space between treatment on day 15 and the next cycle starting after 29 days.</w:t>
      </w:r>
      <w:r>
        <w:t xml:space="preserve"> </w:t>
      </w:r>
      <w:r w:rsidR="008C2230">
        <w:t xml:space="preserve">Initiations </w:t>
      </w:r>
      <w:r w:rsidR="00B6226B">
        <w:t xml:space="preserve">(643) </w:t>
      </w:r>
      <w:r w:rsidR="008C2230">
        <w:t>have not been removed from this graph.</w:t>
      </w:r>
    </w:p>
    <w:p w14:paraId="11B82032" w14:textId="74D72D3C" w:rsidR="003475D6" w:rsidRPr="00751053" w:rsidRDefault="003475D6" w:rsidP="003475D6">
      <w:pPr>
        <w:pStyle w:val="Tabletitle"/>
      </w:pPr>
      <w:r w:rsidRPr="00751053">
        <w:t xml:space="preserve">Table </w:t>
      </w:r>
      <w:r w:rsidR="004046AE">
        <w:t>5</w:t>
      </w:r>
      <w:r w:rsidRPr="00751053">
        <w:t xml:space="preserve">: Length of treatment </w:t>
      </w:r>
      <w:r>
        <w:t>(</w:t>
      </w:r>
      <w:r w:rsidR="00CD5420">
        <w:t>including breaks</w:t>
      </w:r>
      <w:r>
        <w:t>)</w:t>
      </w:r>
    </w:p>
    <w:tbl>
      <w:tblPr>
        <w:tblW w:w="8949" w:type="dxa"/>
        <w:tblInd w:w="93" w:type="dxa"/>
        <w:tblLayout w:type="fixed"/>
        <w:tblLook w:val="04A0" w:firstRow="1" w:lastRow="0" w:firstColumn="1" w:lastColumn="0" w:noHBand="0" w:noVBand="1"/>
        <w:tblCaption w:val="Length of treatment (including breaks)"/>
        <w:tblDescription w:val="Length of treatment (including breaks)"/>
      </w:tblPr>
      <w:tblGrid>
        <w:gridCol w:w="2283"/>
        <w:gridCol w:w="2222"/>
        <w:gridCol w:w="2222"/>
        <w:gridCol w:w="2222"/>
      </w:tblGrid>
      <w:tr w:rsidR="00807594" w:rsidRPr="006E3D3D" w14:paraId="57C466C9" w14:textId="77777777" w:rsidTr="00807594">
        <w:trPr>
          <w:trHeight w:val="228"/>
        </w:trPr>
        <w:tc>
          <w:tcPr>
            <w:tcW w:w="2283" w:type="dxa"/>
            <w:vMerge w:val="restart"/>
            <w:tcBorders>
              <w:top w:val="single" w:sz="4" w:space="0" w:color="auto"/>
              <w:left w:val="single" w:sz="4" w:space="0" w:color="auto"/>
              <w:right w:val="single" w:sz="4" w:space="0" w:color="auto"/>
            </w:tcBorders>
            <w:shd w:val="clear" w:color="auto" w:fill="BFBFBF" w:themeFill="background1" w:themeFillShade="BF"/>
            <w:noWrap/>
            <w:vAlign w:val="center"/>
          </w:tcPr>
          <w:p w14:paraId="05FF4B34" w14:textId="7F4C325A" w:rsidR="00807594" w:rsidRPr="006E3D3D" w:rsidRDefault="00807594" w:rsidP="006E3D3D">
            <w:pPr>
              <w:spacing w:after="0"/>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 </w:t>
            </w:r>
          </w:p>
        </w:tc>
        <w:tc>
          <w:tcPr>
            <w:tcW w:w="2222" w:type="dxa"/>
            <w:vMerge w:val="restart"/>
            <w:tcBorders>
              <w:top w:val="single" w:sz="4" w:space="0" w:color="auto"/>
              <w:left w:val="nil"/>
              <w:right w:val="single" w:sz="4" w:space="0" w:color="auto"/>
            </w:tcBorders>
            <w:shd w:val="clear" w:color="auto" w:fill="BFBFBF" w:themeFill="background1" w:themeFillShade="BF"/>
            <w:vAlign w:val="center"/>
          </w:tcPr>
          <w:p w14:paraId="2DF4BFFE" w14:textId="2B51F1DB" w:rsidR="00807594" w:rsidRPr="006E3D3D" w:rsidRDefault="00807594" w:rsidP="00807594">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Number of Patients</w:t>
            </w:r>
          </w:p>
        </w:tc>
        <w:tc>
          <w:tcPr>
            <w:tcW w:w="4444"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0422BD5" w14:textId="39C07A36" w:rsidR="00807594" w:rsidRPr="006E3D3D" w:rsidRDefault="00807594" w:rsidP="008E7057">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Length of Treatment (days)</w:t>
            </w:r>
          </w:p>
        </w:tc>
      </w:tr>
      <w:tr w:rsidR="00807594" w:rsidRPr="006E3D3D" w14:paraId="36E9B448" w14:textId="30EBBBC3" w:rsidTr="002D0F53">
        <w:trPr>
          <w:trHeight w:val="278"/>
        </w:trPr>
        <w:tc>
          <w:tcPr>
            <w:tcW w:w="2283" w:type="dxa"/>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14:paraId="19E0F870" w14:textId="18F4B839" w:rsidR="00807594" w:rsidRPr="006E3D3D" w:rsidRDefault="00807594" w:rsidP="006E3D3D">
            <w:pPr>
              <w:spacing w:after="0"/>
              <w:rPr>
                <w:rFonts w:ascii="Calibri" w:eastAsia="Times New Roman" w:hAnsi="Calibri" w:cs="Times New Roman"/>
                <w:b/>
                <w:color w:val="000000"/>
                <w:sz w:val="20"/>
                <w:szCs w:val="20"/>
              </w:rPr>
            </w:pPr>
          </w:p>
        </w:tc>
        <w:tc>
          <w:tcPr>
            <w:tcW w:w="2222" w:type="dxa"/>
            <w:vMerge/>
            <w:tcBorders>
              <w:left w:val="nil"/>
              <w:bottom w:val="single" w:sz="4" w:space="0" w:color="auto"/>
              <w:right w:val="single" w:sz="4" w:space="0" w:color="auto"/>
            </w:tcBorders>
            <w:shd w:val="clear" w:color="auto" w:fill="BFBFBF" w:themeFill="background1" w:themeFillShade="BF"/>
            <w:vAlign w:val="bottom"/>
            <w:hideMark/>
          </w:tcPr>
          <w:p w14:paraId="66A7A7DE" w14:textId="5215D9D0" w:rsidR="00807594" w:rsidRPr="006E3D3D" w:rsidRDefault="00807594" w:rsidP="008E7057">
            <w:pPr>
              <w:spacing w:after="0"/>
              <w:jc w:val="center"/>
              <w:rPr>
                <w:rFonts w:ascii="Calibri" w:eastAsia="Times New Roman" w:hAnsi="Calibri" w:cs="Times New Roman"/>
                <w:b/>
                <w:color w:val="000000"/>
                <w:sz w:val="20"/>
                <w:szCs w:val="20"/>
              </w:rPr>
            </w:pPr>
          </w:p>
        </w:tc>
        <w:tc>
          <w:tcPr>
            <w:tcW w:w="222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8DFDEEB" w14:textId="77777777" w:rsidR="00807594" w:rsidRPr="006E3D3D" w:rsidRDefault="00807594" w:rsidP="008E7057">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Mean</w:t>
            </w:r>
          </w:p>
        </w:tc>
        <w:tc>
          <w:tcPr>
            <w:tcW w:w="222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D3855C0" w14:textId="6DF19D34" w:rsidR="00807594" w:rsidRPr="006E3D3D" w:rsidRDefault="00807594" w:rsidP="008E7057">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Median</w:t>
            </w:r>
            <w:r w:rsidRPr="006E3D3D" w:rsidDel="00CA0E69">
              <w:rPr>
                <w:rFonts w:ascii="Calibri" w:eastAsia="Times New Roman" w:hAnsi="Calibri" w:cs="Times New Roman"/>
                <w:b/>
                <w:color w:val="000000"/>
                <w:sz w:val="20"/>
                <w:szCs w:val="20"/>
              </w:rPr>
              <w:t xml:space="preserve"> </w:t>
            </w:r>
          </w:p>
        </w:tc>
      </w:tr>
      <w:tr w:rsidR="00C072C7" w:rsidRPr="006E3D3D" w14:paraId="51115A95" w14:textId="2E4ECCBF" w:rsidTr="006E3D3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608F8" w14:textId="7D10F725" w:rsidR="00C072C7" w:rsidRPr="006E3D3D" w:rsidRDefault="00C072C7" w:rsidP="006E3D3D">
            <w:pPr>
              <w:spacing w:after="0"/>
              <w:rPr>
                <w:rFonts w:ascii="Calibri" w:eastAsia="Times New Roman" w:hAnsi="Calibri" w:cs="Times New Roman"/>
                <w:color w:val="000000"/>
                <w:sz w:val="20"/>
                <w:szCs w:val="20"/>
              </w:rPr>
            </w:pPr>
            <w:r w:rsidRPr="006E3D3D">
              <w:rPr>
                <w:rFonts w:ascii="Calibri" w:hAnsi="Calibri"/>
                <w:color w:val="000000"/>
                <w:sz w:val="20"/>
                <w:szCs w:val="20"/>
              </w:rPr>
              <w:t>Younger than 80</w:t>
            </w:r>
          </w:p>
        </w:tc>
        <w:tc>
          <w:tcPr>
            <w:tcW w:w="2222" w:type="dxa"/>
            <w:tcBorders>
              <w:top w:val="single" w:sz="4" w:space="0" w:color="auto"/>
              <w:left w:val="nil"/>
              <w:bottom w:val="single" w:sz="4" w:space="0" w:color="auto"/>
              <w:right w:val="single" w:sz="4" w:space="0" w:color="auto"/>
            </w:tcBorders>
            <w:shd w:val="clear" w:color="auto" w:fill="auto"/>
            <w:noWrap/>
            <w:vAlign w:val="center"/>
            <w:hideMark/>
          </w:tcPr>
          <w:p w14:paraId="6882F1A0" w14:textId="5AA8D924"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608</w:t>
            </w:r>
          </w:p>
        </w:tc>
        <w:tc>
          <w:tcPr>
            <w:tcW w:w="2222" w:type="dxa"/>
            <w:tcBorders>
              <w:top w:val="single" w:sz="4" w:space="0" w:color="auto"/>
              <w:left w:val="nil"/>
              <w:bottom w:val="single" w:sz="4" w:space="0" w:color="auto"/>
              <w:right w:val="single" w:sz="4" w:space="0" w:color="auto"/>
            </w:tcBorders>
            <w:shd w:val="clear" w:color="auto" w:fill="auto"/>
            <w:noWrap/>
            <w:vAlign w:val="center"/>
            <w:hideMark/>
          </w:tcPr>
          <w:p w14:paraId="027C77AC" w14:textId="1A9F2BAC"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141.31</w:t>
            </w:r>
          </w:p>
        </w:tc>
        <w:tc>
          <w:tcPr>
            <w:tcW w:w="2222" w:type="dxa"/>
            <w:tcBorders>
              <w:top w:val="single" w:sz="4" w:space="0" w:color="auto"/>
              <w:left w:val="nil"/>
              <w:bottom w:val="single" w:sz="4" w:space="0" w:color="auto"/>
              <w:right w:val="single" w:sz="4" w:space="0" w:color="auto"/>
            </w:tcBorders>
            <w:shd w:val="clear" w:color="auto" w:fill="auto"/>
            <w:noWrap/>
            <w:vAlign w:val="center"/>
            <w:hideMark/>
          </w:tcPr>
          <w:p w14:paraId="4DB35EAE" w14:textId="2EF5CEBA"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104</w:t>
            </w:r>
          </w:p>
        </w:tc>
      </w:tr>
      <w:tr w:rsidR="00C072C7" w:rsidRPr="006E3D3D" w14:paraId="2FA24931" w14:textId="5DA7E2F7" w:rsidTr="006E3D3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CE0DF" w14:textId="0EE64599" w:rsidR="00C072C7" w:rsidRPr="006E3D3D" w:rsidRDefault="00C072C7" w:rsidP="006E3D3D">
            <w:pPr>
              <w:spacing w:after="0"/>
              <w:rPr>
                <w:rFonts w:ascii="Calibri" w:eastAsia="Times New Roman" w:hAnsi="Calibri" w:cs="Times New Roman"/>
                <w:color w:val="000000"/>
                <w:sz w:val="20"/>
                <w:szCs w:val="20"/>
              </w:rPr>
            </w:pPr>
            <w:r w:rsidRPr="006E3D3D">
              <w:rPr>
                <w:rFonts w:ascii="Calibri" w:hAnsi="Calibri"/>
                <w:color w:val="000000"/>
                <w:sz w:val="20"/>
                <w:szCs w:val="20"/>
              </w:rPr>
              <w:t>80 or older</w:t>
            </w:r>
          </w:p>
        </w:tc>
        <w:tc>
          <w:tcPr>
            <w:tcW w:w="2222" w:type="dxa"/>
            <w:tcBorders>
              <w:top w:val="single" w:sz="4" w:space="0" w:color="auto"/>
              <w:left w:val="nil"/>
              <w:bottom w:val="single" w:sz="4" w:space="0" w:color="auto"/>
              <w:right w:val="single" w:sz="4" w:space="0" w:color="auto"/>
            </w:tcBorders>
            <w:shd w:val="clear" w:color="auto" w:fill="auto"/>
            <w:noWrap/>
            <w:vAlign w:val="center"/>
            <w:hideMark/>
          </w:tcPr>
          <w:p w14:paraId="4BDB7D37" w14:textId="0D41CE87"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35</w:t>
            </w:r>
          </w:p>
        </w:tc>
        <w:tc>
          <w:tcPr>
            <w:tcW w:w="2222" w:type="dxa"/>
            <w:tcBorders>
              <w:top w:val="single" w:sz="4" w:space="0" w:color="auto"/>
              <w:left w:val="nil"/>
              <w:bottom w:val="single" w:sz="4" w:space="0" w:color="auto"/>
              <w:right w:val="single" w:sz="4" w:space="0" w:color="auto"/>
            </w:tcBorders>
            <w:shd w:val="clear" w:color="auto" w:fill="auto"/>
            <w:noWrap/>
            <w:vAlign w:val="center"/>
            <w:hideMark/>
          </w:tcPr>
          <w:p w14:paraId="3E5F7548" w14:textId="309CD2E8"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99.69</w:t>
            </w:r>
          </w:p>
        </w:tc>
        <w:tc>
          <w:tcPr>
            <w:tcW w:w="2222" w:type="dxa"/>
            <w:tcBorders>
              <w:top w:val="single" w:sz="4" w:space="0" w:color="auto"/>
              <w:left w:val="nil"/>
              <w:bottom w:val="single" w:sz="4" w:space="0" w:color="auto"/>
              <w:right w:val="single" w:sz="4" w:space="0" w:color="auto"/>
            </w:tcBorders>
            <w:shd w:val="clear" w:color="auto" w:fill="auto"/>
            <w:noWrap/>
            <w:vAlign w:val="center"/>
            <w:hideMark/>
          </w:tcPr>
          <w:p w14:paraId="313E0899" w14:textId="2B0B754F"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80</w:t>
            </w:r>
          </w:p>
        </w:tc>
      </w:tr>
      <w:tr w:rsidR="00C072C7" w:rsidRPr="006E3D3D" w14:paraId="1AE262A5" w14:textId="7DB256F2" w:rsidTr="006E3D3D">
        <w:trPr>
          <w:trHeight w:val="30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14:paraId="7FDE99B7" w14:textId="3308BB80" w:rsidR="00C072C7" w:rsidRPr="006E3D3D" w:rsidRDefault="00C072C7" w:rsidP="006E3D3D">
            <w:pPr>
              <w:spacing w:after="0"/>
              <w:rPr>
                <w:rFonts w:ascii="Calibri" w:eastAsia="Times New Roman" w:hAnsi="Calibri" w:cs="Times New Roman"/>
                <w:color w:val="000000"/>
                <w:sz w:val="20"/>
                <w:szCs w:val="20"/>
              </w:rPr>
            </w:pPr>
            <w:r w:rsidRPr="006E3D3D">
              <w:rPr>
                <w:rFonts w:ascii="Calibri" w:hAnsi="Calibri"/>
                <w:color w:val="000000"/>
                <w:sz w:val="20"/>
                <w:szCs w:val="20"/>
              </w:rPr>
              <w:t>Total</w:t>
            </w:r>
          </w:p>
        </w:tc>
        <w:tc>
          <w:tcPr>
            <w:tcW w:w="2222" w:type="dxa"/>
            <w:tcBorders>
              <w:top w:val="nil"/>
              <w:left w:val="nil"/>
              <w:bottom w:val="single" w:sz="4" w:space="0" w:color="auto"/>
              <w:right w:val="single" w:sz="4" w:space="0" w:color="auto"/>
            </w:tcBorders>
            <w:shd w:val="clear" w:color="auto" w:fill="auto"/>
            <w:noWrap/>
            <w:vAlign w:val="center"/>
            <w:hideMark/>
          </w:tcPr>
          <w:p w14:paraId="19BBF52C" w14:textId="2723C921"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643</w:t>
            </w:r>
          </w:p>
        </w:tc>
        <w:tc>
          <w:tcPr>
            <w:tcW w:w="2222" w:type="dxa"/>
            <w:tcBorders>
              <w:top w:val="nil"/>
              <w:left w:val="nil"/>
              <w:bottom w:val="single" w:sz="4" w:space="0" w:color="auto"/>
              <w:right w:val="single" w:sz="4" w:space="0" w:color="auto"/>
            </w:tcBorders>
            <w:shd w:val="clear" w:color="auto" w:fill="auto"/>
            <w:noWrap/>
            <w:vAlign w:val="center"/>
            <w:hideMark/>
          </w:tcPr>
          <w:p w14:paraId="5AB95DD8" w14:textId="22E7BE3F"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139.05</w:t>
            </w:r>
          </w:p>
        </w:tc>
        <w:tc>
          <w:tcPr>
            <w:tcW w:w="2222" w:type="dxa"/>
            <w:tcBorders>
              <w:top w:val="nil"/>
              <w:left w:val="nil"/>
              <w:bottom w:val="single" w:sz="4" w:space="0" w:color="auto"/>
              <w:right w:val="single" w:sz="4" w:space="0" w:color="auto"/>
            </w:tcBorders>
            <w:shd w:val="clear" w:color="auto" w:fill="auto"/>
            <w:noWrap/>
            <w:vAlign w:val="center"/>
            <w:hideMark/>
          </w:tcPr>
          <w:p w14:paraId="289EAA28" w14:textId="00F97272"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101</w:t>
            </w:r>
          </w:p>
        </w:tc>
      </w:tr>
    </w:tbl>
    <w:p w14:paraId="49104F1E" w14:textId="77777777" w:rsidR="003475D6" w:rsidRPr="00751053" w:rsidRDefault="003475D6" w:rsidP="004046AE">
      <w:pPr>
        <w:pStyle w:val="Notes"/>
      </w:pPr>
    </w:p>
    <w:p w14:paraId="5C2EA5BE" w14:textId="61AFEF55" w:rsidR="00CA0E69" w:rsidRDefault="0081455B" w:rsidP="00751053">
      <w:pPr>
        <w:pStyle w:val="Tabletitle"/>
      </w:pPr>
      <w:r w:rsidRPr="00751053">
        <w:t xml:space="preserve">Table </w:t>
      </w:r>
      <w:r w:rsidR="004046AE">
        <w:t>6</w:t>
      </w:r>
      <w:r w:rsidRPr="00751053">
        <w:t xml:space="preserve">: Length of treatment </w:t>
      </w:r>
      <w:r>
        <w:t>(</w:t>
      </w:r>
      <w:r w:rsidR="004F48E1">
        <w:t>treatment break indicates discontinuation)</w:t>
      </w:r>
    </w:p>
    <w:tbl>
      <w:tblPr>
        <w:tblW w:w="89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Length of treatment (treatment break indicates discontinuation)"/>
        <w:tblDescription w:val="Length of treatment (treatment break indicates discontinuation)"/>
      </w:tblPr>
      <w:tblGrid>
        <w:gridCol w:w="2283"/>
        <w:gridCol w:w="2222"/>
        <w:gridCol w:w="2221"/>
        <w:gridCol w:w="2221"/>
      </w:tblGrid>
      <w:tr w:rsidR="00807594" w:rsidRPr="006E3D3D" w14:paraId="46AD09EF" w14:textId="77777777" w:rsidTr="00807594">
        <w:trPr>
          <w:trHeight w:val="185"/>
        </w:trPr>
        <w:tc>
          <w:tcPr>
            <w:tcW w:w="2283" w:type="dxa"/>
            <w:vMerge w:val="restart"/>
            <w:shd w:val="clear" w:color="auto" w:fill="BFBFBF" w:themeFill="background1" w:themeFillShade="BF"/>
            <w:noWrap/>
            <w:vAlign w:val="center"/>
          </w:tcPr>
          <w:p w14:paraId="1E3FF628" w14:textId="5F67C3D6" w:rsidR="00807594" w:rsidRPr="006E3D3D" w:rsidRDefault="00807594" w:rsidP="006E3D3D">
            <w:pPr>
              <w:spacing w:after="0"/>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 </w:t>
            </w:r>
          </w:p>
        </w:tc>
        <w:tc>
          <w:tcPr>
            <w:tcW w:w="2222" w:type="dxa"/>
            <w:vMerge w:val="restart"/>
            <w:shd w:val="clear" w:color="auto" w:fill="BFBFBF" w:themeFill="background1" w:themeFillShade="BF"/>
            <w:vAlign w:val="center"/>
          </w:tcPr>
          <w:p w14:paraId="16D32643" w14:textId="2E297EA2" w:rsidR="00807594" w:rsidRPr="006E3D3D" w:rsidRDefault="00807594" w:rsidP="00807594">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Number of Patients</w:t>
            </w:r>
          </w:p>
        </w:tc>
        <w:tc>
          <w:tcPr>
            <w:tcW w:w="4442" w:type="dxa"/>
            <w:gridSpan w:val="2"/>
            <w:shd w:val="clear" w:color="auto" w:fill="BFBFBF" w:themeFill="background1" w:themeFillShade="BF"/>
            <w:noWrap/>
            <w:vAlign w:val="bottom"/>
          </w:tcPr>
          <w:p w14:paraId="05D49036" w14:textId="68C8C3D5" w:rsidR="00807594" w:rsidRPr="006E3D3D" w:rsidRDefault="00807594" w:rsidP="00EA682A">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Length of Treatment (days)</w:t>
            </w:r>
          </w:p>
        </w:tc>
      </w:tr>
      <w:tr w:rsidR="00807594" w:rsidRPr="006E3D3D" w14:paraId="3924E687" w14:textId="77777777" w:rsidTr="006E3D3D">
        <w:trPr>
          <w:trHeight w:val="212"/>
        </w:trPr>
        <w:tc>
          <w:tcPr>
            <w:tcW w:w="2283" w:type="dxa"/>
            <w:vMerge/>
            <w:shd w:val="clear" w:color="auto" w:fill="BFBFBF" w:themeFill="background1" w:themeFillShade="BF"/>
            <w:noWrap/>
            <w:vAlign w:val="center"/>
            <w:hideMark/>
          </w:tcPr>
          <w:p w14:paraId="7762F701" w14:textId="238C7B6D" w:rsidR="00807594" w:rsidRPr="006E3D3D" w:rsidRDefault="00807594" w:rsidP="006E3D3D">
            <w:pPr>
              <w:spacing w:after="0"/>
              <w:rPr>
                <w:rFonts w:ascii="Calibri" w:eastAsia="Times New Roman" w:hAnsi="Calibri" w:cs="Times New Roman"/>
                <w:b/>
                <w:color w:val="000000"/>
                <w:sz w:val="20"/>
                <w:szCs w:val="20"/>
              </w:rPr>
            </w:pPr>
          </w:p>
        </w:tc>
        <w:tc>
          <w:tcPr>
            <w:tcW w:w="2222" w:type="dxa"/>
            <w:vMerge/>
            <w:shd w:val="clear" w:color="auto" w:fill="BFBFBF" w:themeFill="background1" w:themeFillShade="BF"/>
            <w:vAlign w:val="bottom"/>
            <w:hideMark/>
          </w:tcPr>
          <w:p w14:paraId="2AAAD1C2" w14:textId="4C5D30E4" w:rsidR="00807594" w:rsidRPr="006E3D3D" w:rsidRDefault="00807594" w:rsidP="00EA682A">
            <w:pPr>
              <w:spacing w:after="0"/>
              <w:jc w:val="center"/>
              <w:rPr>
                <w:rFonts w:ascii="Calibri" w:eastAsia="Times New Roman" w:hAnsi="Calibri" w:cs="Times New Roman"/>
                <w:b/>
                <w:color w:val="000000"/>
                <w:sz w:val="20"/>
                <w:szCs w:val="20"/>
              </w:rPr>
            </w:pPr>
          </w:p>
        </w:tc>
        <w:tc>
          <w:tcPr>
            <w:tcW w:w="2221" w:type="dxa"/>
            <w:shd w:val="clear" w:color="auto" w:fill="BFBFBF" w:themeFill="background1" w:themeFillShade="BF"/>
            <w:noWrap/>
            <w:vAlign w:val="bottom"/>
            <w:hideMark/>
          </w:tcPr>
          <w:p w14:paraId="763DC4A2" w14:textId="77777777" w:rsidR="00807594" w:rsidRPr="006E3D3D" w:rsidRDefault="00807594" w:rsidP="00EA682A">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Mean</w:t>
            </w:r>
          </w:p>
        </w:tc>
        <w:tc>
          <w:tcPr>
            <w:tcW w:w="2221" w:type="dxa"/>
            <w:shd w:val="clear" w:color="auto" w:fill="BFBFBF" w:themeFill="background1" w:themeFillShade="BF"/>
            <w:noWrap/>
            <w:vAlign w:val="bottom"/>
          </w:tcPr>
          <w:p w14:paraId="2A59D0A6" w14:textId="77777777" w:rsidR="00807594" w:rsidRPr="006E3D3D" w:rsidRDefault="00807594" w:rsidP="00EA682A">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Median</w:t>
            </w:r>
            <w:r w:rsidRPr="006E3D3D" w:rsidDel="00CA0E69">
              <w:rPr>
                <w:rFonts w:ascii="Calibri" w:eastAsia="Times New Roman" w:hAnsi="Calibri" w:cs="Times New Roman"/>
                <w:b/>
                <w:color w:val="000000"/>
                <w:sz w:val="20"/>
                <w:szCs w:val="20"/>
              </w:rPr>
              <w:t xml:space="preserve"> </w:t>
            </w:r>
          </w:p>
        </w:tc>
      </w:tr>
      <w:tr w:rsidR="00C072C7" w:rsidRPr="006E3D3D" w14:paraId="74B3D7DD" w14:textId="77777777" w:rsidTr="006E3D3D">
        <w:trPr>
          <w:trHeight w:val="300"/>
        </w:trPr>
        <w:tc>
          <w:tcPr>
            <w:tcW w:w="2283" w:type="dxa"/>
            <w:shd w:val="clear" w:color="auto" w:fill="auto"/>
            <w:noWrap/>
            <w:vAlign w:val="center"/>
            <w:hideMark/>
          </w:tcPr>
          <w:p w14:paraId="57AC9159" w14:textId="77777777" w:rsidR="00C072C7" w:rsidRPr="006E3D3D" w:rsidRDefault="00C072C7" w:rsidP="006E3D3D">
            <w:pPr>
              <w:spacing w:after="0"/>
              <w:rPr>
                <w:rFonts w:ascii="Calibri" w:eastAsia="Times New Roman" w:hAnsi="Calibri" w:cs="Times New Roman"/>
                <w:color w:val="000000"/>
                <w:sz w:val="20"/>
                <w:szCs w:val="20"/>
              </w:rPr>
            </w:pPr>
            <w:r w:rsidRPr="006E3D3D">
              <w:rPr>
                <w:rFonts w:ascii="Calibri" w:hAnsi="Calibri"/>
                <w:color w:val="000000"/>
                <w:sz w:val="20"/>
                <w:szCs w:val="20"/>
              </w:rPr>
              <w:t>Younger than 80</w:t>
            </w:r>
          </w:p>
        </w:tc>
        <w:tc>
          <w:tcPr>
            <w:tcW w:w="2222" w:type="dxa"/>
            <w:shd w:val="clear" w:color="auto" w:fill="auto"/>
            <w:noWrap/>
            <w:vAlign w:val="center"/>
            <w:hideMark/>
          </w:tcPr>
          <w:p w14:paraId="1250E80A" w14:textId="0D66AAE3"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608</w:t>
            </w:r>
          </w:p>
        </w:tc>
        <w:tc>
          <w:tcPr>
            <w:tcW w:w="2221" w:type="dxa"/>
            <w:shd w:val="clear" w:color="auto" w:fill="auto"/>
            <w:noWrap/>
            <w:vAlign w:val="center"/>
            <w:hideMark/>
          </w:tcPr>
          <w:p w14:paraId="44E27FE7" w14:textId="12487A87"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98.61</w:t>
            </w:r>
          </w:p>
        </w:tc>
        <w:tc>
          <w:tcPr>
            <w:tcW w:w="2221" w:type="dxa"/>
            <w:shd w:val="clear" w:color="auto" w:fill="auto"/>
            <w:noWrap/>
            <w:vAlign w:val="center"/>
            <w:hideMark/>
          </w:tcPr>
          <w:p w14:paraId="18095ADD" w14:textId="4E9B7A90"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82.5</w:t>
            </w:r>
          </w:p>
        </w:tc>
      </w:tr>
      <w:tr w:rsidR="00C072C7" w:rsidRPr="006E3D3D" w14:paraId="23B34BA5" w14:textId="77777777" w:rsidTr="006E3D3D">
        <w:trPr>
          <w:trHeight w:val="300"/>
        </w:trPr>
        <w:tc>
          <w:tcPr>
            <w:tcW w:w="2283" w:type="dxa"/>
            <w:shd w:val="clear" w:color="auto" w:fill="auto"/>
            <w:noWrap/>
            <w:vAlign w:val="center"/>
            <w:hideMark/>
          </w:tcPr>
          <w:p w14:paraId="326D25C8" w14:textId="77777777" w:rsidR="00C072C7" w:rsidRPr="006E3D3D" w:rsidRDefault="00C072C7" w:rsidP="006E3D3D">
            <w:pPr>
              <w:spacing w:after="0"/>
              <w:rPr>
                <w:rFonts w:ascii="Calibri" w:eastAsia="Times New Roman" w:hAnsi="Calibri" w:cs="Times New Roman"/>
                <w:color w:val="000000"/>
                <w:sz w:val="20"/>
                <w:szCs w:val="20"/>
              </w:rPr>
            </w:pPr>
            <w:r w:rsidRPr="006E3D3D">
              <w:rPr>
                <w:rFonts w:ascii="Calibri" w:hAnsi="Calibri"/>
                <w:color w:val="000000"/>
                <w:sz w:val="20"/>
                <w:szCs w:val="20"/>
              </w:rPr>
              <w:t>80 or older</w:t>
            </w:r>
          </w:p>
        </w:tc>
        <w:tc>
          <w:tcPr>
            <w:tcW w:w="2222" w:type="dxa"/>
            <w:shd w:val="clear" w:color="auto" w:fill="auto"/>
            <w:noWrap/>
            <w:vAlign w:val="center"/>
            <w:hideMark/>
          </w:tcPr>
          <w:p w14:paraId="204F4419" w14:textId="1F2AB09D"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35</w:t>
            </w:r>
          </w:p>
        </w:tc>
        <w:tc>
          <w:tcPr>
            <w:tcW w:w="2221" w:type="dxa"/>
            <w:shd w:val="clear" w:color="auto" w:fill="auto"/>
            <w:noWrap/>
            <w:vAlign w:val="center"/>
            <w:hideMark/>
          </w:tcPr>
          <w:p w14:paraId="1BF42FC7" w14:textId="24EF2E8A"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67.23</w:t>
            </w:r>
          </w:p>
        </w:tc>
        <w:tc>
          <w:tcPr>
            <w:tcW w:w="2221" w:type="dxa"/>
            <w:shd w:val="clear" w:color="auto" w:fill="auto"/>
            <w:noWrap/>
            <w:vAlign w:val="center"/>
            <w:hideMark/>
          </w:tcPr>
          <w:p w14:paraId="148446B5" w14:textId="7FD91B6A"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64</w:t>
            </w:r>
          </w:p>
        </w:tc>
      </w:tr>
      <w:tr w:rsidR="00C072C7" w:rsidRPr="006E3D3D" w14:paraId="234B4BDF" w14:textId="77777777" w:rsidTr="006E3D3D">
        <w:trPr>
          <w:trHeight w:val="300"/>
        </w:trPr>
        <w:tc>
          <w:tcPr>
            <w:tcW w:w="2283" w:type="dxa"/>
            <w:shd w:val="clear" w:color="auto" w:fill="auto"/>
            <w:noWrap/>
            <w:vAlign w:val="center"/>
            <w:hideMark/>
          </w:tcPr>
          <w:p w14:paraId="3069BBEE" w14:textId="77777777" w:rsidR="00C072C7" w:rsidRPr="006E3D3D" w:rsidRDefault="00C072C7" w:rsidP="006E3D3D">
            <w:pPr>
              <w:spacing w:after="0"/>
              <w:rPr>
                <w:rFonts w:ascii="Calibri" w:eastAsia="Times New Roman" w:hAnsi="Calibri" w:cs="Times New Roman"/>
                <w:color w:val="000000"/>
                <w:sz w:val="20"/>
                <w:szCs w:val="20"/>
              </w:rPr>
            </w:pPr>
            <w:r w:rsidRPr="006E3D3D">
              <w:rPr>
                <w:rFonts w:ascii="Calibri" w:hAnsi="Calibri"/>
                <w:color w:val="000000"/>
                <w:sz w:val="20"/>
                <w:szCs w:val="20"/>
              </w:rPr>
              <w:t>Total</w:t>
            </w:r>
          </w:p>
        </w:tc>
        <w:tc>
          <w:tcPr>
            <w:tcW w:w="2222" w:type="dxa"/>
            <w:shd w:val="clear" w:color="auto" w:fill="auto"/>
            <w:noWrap/>
            <w:vAlign w:val="center"/>
            <w:hideMark/>
          </w:tcPr>
          <w:p w14:paraId="635B5BC5" w14:textId="4256DD27"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643</w:t>
            </w:r>
          </w:p>
        </w:tc>
        <w:tc>
          <w:tcPr>
            <w:tcW w:w="2221" w:type="dxa"/>
            <w:shd w:val="clear" w:color="auto" w:fill="auto"/>
            <w:noWrap/>
            <w:vAlign w:val="center"/>
            <w:hideMark/>
          </w:tcPr>
          <w:p w14:paraId="42DC8B41" w14:textId="4FF9C069"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96.90</w:t>
            </w:r>
          </w:p>
        </w:tc>
        <w:tc>
          <w:tcPr>
            <w:tcW w:w="2221" w:type="dxa"/>
            <w:shd w:val="clear" w:color="auto" w:fill="auto"/>
            <w:noWrap/>
            <w:vAlign w:val="center"/>
            <w:hideMark/>
          </w:tcPr>
          <w:p w14:paraId="51E7446F" w14:textId="7413629B" w:rsidR="00C072C7" w:rsidRPr="006E3D3D" w:rsidRDefault="00C072C7" w:rsidP="00314C6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80</w:t>
            </w:r>
          </w:p>
        </w:tc>
      </w:tr>
    </w:tbl>
    <w:p w14:paraId="0633843A" w14:textId="77777777" w:rsidR="00CA0E69" w:rsidRDefault="00CA0E69" w:rsidP="00751053">
      <w:pPr>
        <w:pStyle w:val="Tabletitle"/>
      </w:pPr>
    </w:p>
    <w:p w14:paraId="67D5E82D" w14:textId="2E81F136" w:rsidR="003475D6" w:rsidRDefault="003475D6" w:rsidP="00A81988">
      <w:r w:rsidRPr="00B245F1">
        <w:t xml:space="preserve">The </w:t>
      </w:r>
      <w:r>
        <w:t>median length of treatment</w:t>
      </w:r>
      <w:r w:rsidR="00A646B3">
        <w:t xml:space="preserve"> </w:t>
      </w:r>
      <w:r w:rsidR="00314C67">
        <w:t>in the trial was</w:t>
      </w:r>
      <w:r>
        <w:t xml:space="preserve"> 119 days.</w:t>
      </w:r>
      <w:r w:rsidR="005A6176">
        <w:t xml:space="preserve"> The median</w:t>
      </w:r>
      <w:r w:rsidR="00314C67">
        <w:t xml:space="preserve"> length of</w:t>
      </w:r>
      <w:r w:rsidR="005A6176">
        <w:t xml:space="preserve"> </w:t>
      </w:r>
      <w:r w:rsidR="00314C67">
        <w:t>treatment including breaks</w:t>
      </w:r>
      <w:r w:rsidR="005A6176">
        <w:t xml:space="preserve"> </w:t>
      </w:r>
      <w:r w:rsidR="00314C67">
        <w:t>was 101</w:t>
      </w:r>
      <w:r w:rsidR="005A6176">
        <w:t xml:space="preserve"> days, which is equivalent to 3.</w:t>
      </w:r>
      <w:r w:rsidR="00314C67">
        <w:t>61</w:t>
      </w:r>
      <w:r w:rsidR="005A6176">
        <w:t xml:space="preserve"> treatment cycles.</w:t>
      </w:r>
      <w:r>
        <w:t xml:space="preserve"> </w:t>
      </w:r>
      <w:r w:rsidR="00314C67">
        <w:t xml:space="preserve">Of the 643 patients included in the initiating cohort, only nine were continuing treatment at the end of the 609 day follow up. </w:t>
      </w:r>
      <w:r w:rsidR="0038375D">
        <w:t>T</w:t>
      </w:r>
      <w:r>
        <w:t xml:space="preserve">he </w:t>
      </w:r>
      <w:r w:rsidR="005A6176">
        <w:t xml:space="preserve">second calculation of </w:t>
      </w:r>
      <w:r>
        <w:t>length of treatment defines patients as stopping treatment if there is a break of 42 days</w:t>
      </w:r>
      <w:r w:rsidR="0038375D">
        <w:t xml:space="preserve"> between treatments</w:t>
      </w:r>
      <w:r>
        <w:t>.</w:t>
      </w:r>
      <w:r w:rsidR="00314C67">
        <w:t xml:space="preserve"> Of the 643 patients in the cohort, 126 (approximately 20%) had a treatment delay or break of more than 42 days and were assumed to have discontinued.</w:t>
      </w:r>
      <w:r w:rsidR="0038375D">
        <w:t xml:space="preserve"> </w:t>
      </w:r>
      <w:r w:rsidR="005E0981">
        <w:t>The median length of treatment</w:t>
      </w:r>
      <w:r w:rsidR="00314C67">
        <w:t xml:space="preserve"> in this</w:t>
      </w:r>
      <w:r w:rsidR="005E0981">
        <w:t xml:space="preserve"> analysis </w:t>
      </w:r>
      <w:r w:rsidR="00314C67">
        <w:t>wa</w:t>
      </w:r>
      <w:r w:rsidR="00A646B3">
        <w:t>s 80</w:t>
      </w:r>
      <w:r w:rsidR="00314C67">
        <w:t xml:space="preserve"> days, which </w:t>
      </w:r>
      <w:r w:rsidR="005E0981">
        <w:t>is equivalent to 2.8</w:t>
      </w:r>
      <w:r w:rsidR="00A646B3">
        <w:t>6</w:t>
      </w:r>
      <w:r w:rsidR="005E0981">
        <w:t xml:space="preserve"> 28 day cycles. </w:t>
      </w:r>
    </w:p>
    <w:p w14:paraId="28518D22" w14:textId="5BB7D555" w:rsidR="00837E53" w:rsidRDefault="003475D6" w:rsidP="00A81988">
      <w:r>
        <w:t xml:space="preserve">The </w:t>
      </w:r>
      <w:r w:rsidR="00837E53">
        <w:t>leng</w:t>
      </w:r>
      <w:r>
        <w:t>th of treatment shown in Table</w:t>
      </w:r>
      <w:r w:rsidR="005E0981">
        <w:t xml:space="preserve">s </w:t>
      </w:r>
      <w:r w:rsidR="004046AE">
        <w:t>5</w:t>
      </w:r>
      <w:r w:rsidR="005E0981">
        <w:t xml:space="preserve"> and </w:t>
      </w:r>
      <w:r w:rsidR="004046AE">
        <w:t>6</w:t>
      </w:r>
      <w:r w:rsidR="00837E53">
        <w:t xml:space="preserve"> confirms that patients are not remaining on treatment long term</w:t>
      </w:r>
      <w:r w:rsidR="005E0981">
        <w:t xml:space="preserve">, as expected from Figure </w:t>
      </w:r>
      <w:r w:rsidR="004046AE">
        <w:t>2</w:t>
      </w:r>
      <w:r w:rsidR="00837E53">
        <w:t xml:space="preserve">. Half of initiators stop treatment </w:t>
      </w:r>
      <w:r w:rsidR="00A2326A">
        <w:t xml:space="preserve">12 </w:t>
      </w:r>
      <w:r w:rsidR="00C072C7">
        <w:t>weeks after initiation and not unexpectedly older patients are treated for shorter durations than younger patients.</w:t>
      </w:r>
    </w:p>
    <w:p w14:paraId="52B25A89" w14:textId="6F7B9C29" w:rsidR="003475D6" w:rsidRDefault="0038375D" w:rsidP="00081DB7">
      <w:pPr>
        <w:pStyle w:val="Heading3"/>
      </w:pPr>
      <w:r w:rsidRPr="0038375D">
        <w:t>Dose reduction and escalation</w:t>
      </w:r>
    </w:p>
    <w:p w14:paraId="403E09E5" w14:textId="12D4F618" w:rsidR="0006365B" w:rsidRDefault="004046AE" w:rsidP="0006365B">
      <w:r>
        <w:t>Figure 3</w:t>
      </w:r>
      <w:r w:rsidR="0006365B" w:rsidRPr="0006365B">
        <w:t xml:space="preserve"> below graphs the percentage dose reduction</w:t>
      </w:r>
      <w:r w:rsidR="0006365B">
        <w:t xml:space="preserve"> or escalation</w:t>
      </w:r>
      <w:r w:rsidR="0006365B" w:rsidRPr="0006365B">
        <w:t xml:space="preserve"> from the initial dose, for all treatments </w:t>
      </w:r>
      <w:r w:rsidR="0006365B">
        <w:t>administered to this patient cohort. Initiating doses (643) and doses equal to the initiating dose (4,729) are not shown in this figure.</w:t>
      </w:r>
    </w:p>
    <w:p w14:paraId="7384CAC3" w14:textId="169A6568" w:rsidR="00577CE3" w:rsidRDefault="00577CE3" w:rsidP="0006365B">
      <w:r>
        <w:rPr>
          <w:noProof/>
        </w:rPr>
        <w:drawing>
          <wp:inline distT="0" distB="0" distL="0" distR="0" wp14:anchorId="3C30F72F" wp14:editId="4DEE6718">
            <wp:extent cx="5688419" cy="3136605"/>
            <wp:effectExtent l="0" t="0" r="26670" b="26035"/>
            <wp:docPr id="6" name="Chart 6" descr="Dose reduction or escalation from initial dose" title="Dose reduction or escalation from initial do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1DE966" w14:textId="497858B7" w:rsidR="0006365B" w:rsidRDefault="004046AE" w:rsidP="0006365B">
      <w:pPr>
        <w:pStyle w:val="Figuretitle"/>
      </w:pPr>
      <w:r>
        <w:t>Figure 3</w:t>
      </w:r>
      <w:r w:rsidR="0006365B">
        <w:t>: D</w:t>
      </w:r>
      <w:r w:rsidR="0006365B" w:rsidRPr="0006365B">
        <w:t>ose reduction or escalation from initial dose</w:t>
      </w:r>
    </w:p>
    <w:p w14:paraId="18DB431F" w14:textId="77777777" w:rsidR="00AA5878" w:rsidRDefault="00AA5878" w:rsidP="0006365B">
      <w:pPr>
        <w:pStyle w:val="Figuretitle"/>
      </w:pPr>
    </w:p>
    <w:p w14:paraId="7DF85BC4" w14:textId="5DFAD03E" w:rsidR="0038375D" w:rsidRDefault="0038375D" w:rsidP="0038375D">
      <w:r>
        <w:t>For uncensored treatm</w:t>
      </w:r>
      <w:r w:rsidR="004046AE">
        <w:t>ents, the proportions in Table 7</w:t>
      </w:r>
      <w:r>
        <w:t xml:space="preserve"> below summarises dose reduction and escalation for the </w:t>
      </w:r>
      <w:r w:rsidRPr="0038375D">
        <w:t xml:space="preserve">six month cohort </w:t>
      </w:r>
      <w:r>
        <w:t>of patients</w:t>
      </w:r>
      <w:r w:rsidRPr="0038375D">
        <w:t xml:space="preserve"> who initiated between 1 February 2015 and 31 July 2015.</w:t>
      </w:r>
      <w:r>
        <w:t xml:space="preserve"> The table summarises the </w:t>
      </w:r>
      <w:r w:rsidR="0006365B">
        <w:t xml:space="preserve">number of initiating doses, which is equal to the number of initiating </w:t>
      </w:r>
      <w:r>
        <w:t>patients, and the number of doses that were administered to these patients</w:t>
      </w:r>
      <w:r w:rsidR="0006365B">
        <w:t>, grouped by whether these doses were higher, lower, or equal to the patients’ initiating dose.</w:t>
      </w:r>
    </w:p>
    <w:p w14:paraId="0B5248A2" w14:textId="2924F44F" w:rsidR="0038375D" w:rsidRPr="0038375D" w:rsidRDefault="0038375D" w:rsidP="0006365B">
      <w:pPr>
        <w:pStyle w:val="Tabletitle"/>
      </w:pPr>
      <w:r>
        <w:lastRenderedPageBreak/>
        <w:t xml:space="preserve">Table </w:t>
      </w:r>
      <w:r w:rsidR="004046AE">
        <w:t>7</w:t>
      </w:r>
      <w:r>
        <w:t>: Dose r</w:t>
      </w:r>
      <w:r w:rsidR="005E0981">
        <w:t>eduction and escalation for all treatments received by the initiating cohort</w:t>
      </w:r>
    </w:p>
    <w:tbl>
      <w:tblPr>
        <w:tblW w:w="8804" w:type="dxa"/>
        <w:tblInd w:w="93" w:type="dxa"/>
        <w:tblLook w:val="04A0" w:firstRow="1" w:lastRow="0" w:firstColumn="1" w:lastColumn="0" w:noHBand="0" w:noVBand="1"/>
        <w:tblCaption w:val="Dose reduction and escalation for all treatments received by the initiating cohort"/>
        <w:tblDescription w:val="Dose reduction and escalation for all treatments received by the initiating cohort"/>
      </w:tblPr>
      <w:tblGrid>
        <w:gridCol w:w="5402"/>
        <w:gridCol w:w="1701"/>
        <w:gridCol w:w="1701"/>
      </w:tblGrid>
      <w:tr w:rsidR="005E0981" w:rsidRPr="006E3D3D" w14:paraId="59BE5470" w14:textId="77777777" w:rsidTr="00D9025E">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541D0FE" w14:textId="77777777" w:rsidR="0038375D" w:rsidRPr="006E3D3D" w:rsidRDefault="0038375D" w:rsidP="0038375D">
            <w:pPr>
              <w:spacing w:after="0"/>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FB5540" w14:textId="77777777" w:rsidR="0038375D" w:rsidRPr="006E3D3D" w:rsidRDefault="0038375D" w:rsidP="00D9025E">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Number</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D023BD5" w14:textId="77777777" w:rsidR="0038375D" w:rsidRPr="006E3D3D" w:rsidRDefault="0038375D" w:rsidP="00D9025E">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Percent</w:t>
            </w:r>
          </w:p>
        </w:tc>
      </w:tr>
      <w:tr w:rsidR="00D9025E" w:rsidRPr="006E3D3D" w14:paraId="74158949" w14:textId="77777777" w:rsidTr="00D9025E">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14:paraId="75BA227A" w14:textId="77777777" w:rsidR="0038375D" w:rsidRPr="006E3D3D" w:rsidRDefault="0038375D" w:rsidP="00D9025E">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Initiating doses</w:t>
            </w:r>
          </w:p>
        </w:tc>
        <w:tc>
          <w:tcPr>
            <w:tcW w:w="1701" w:type="dxa"/>
            <w:tcBorders>
              <w:top w:val="nil"/>
              <w:left w:val="nil"/>
              <w:bottom w:val="single" w:sz="4" w:space="0" w:color="auto"/>
              <w:right w:val="single" w:sz="4" w:space="0" w:color="auto"/>
            </w:tcBorders>
            <w:shd w:val="clear" w:color="auto" w:fill="auto"/>
            <w:noWrap/>
            <w:vAlign w:val="center"/>
            <w:hideMark/>
          </w:tcPr>
          <w:p w14:paraId="00C9A1B4" w14:textId="77777777" w:rsidR="0038375D" w:rsidRPr="006E3D3D" w:rsidRDefault="0038375D" w:rsidP="00D9025E">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643</w:t>
            </w:r>
          </w:p>
        </w:tc>
        <w:tc>
          <w:tcPr>
            <w:tcW w:w="1701" w:type="dxa"/>
            <w:tcBorders>
              <w:top w:val="nil"/>
              <w:left w:val="nil"/>
              <w:bottom w:val="single" w:sz="4" w:space="0" w:color="auto"/>
              <w:right w:val="single" w:sz="4" w:space="0" w:color="auto"/>
            </w:tcBorders>
            <w:shd w:val="clear" w:color="auto" w:fill="auto"/>
            <w:noWrap/>
            <w:vAlign w:val="center"/>
            <w:hideMark/>
          </w:tcPr>
          <w:p w14:paraId="524D21C6" w14:textId="77777777" w:rsidR="0038375D" w:rsidRPr="006E3D3D" w:rsidRDefault="0038375D" w:rsidP="00D9025E">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8%</w:t>
            </w:r>
          </w:p>
        </w:tc>
      </w:tr>
      <w:tr w:rsidR="00D9025E" w:rsidRPr="006E3D3D" w14:paraId="79E95486" w14:textId="77777777" w:rsidTr="00D9025E">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14:paraId="7940B173" w14:textId="743DD46B" w:rsidR="0038375D" w:rsidRPr="006E3D3D" w:rsidRDefault="0038375D" w:rsidP="00D9025E">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No change from initial dose</w:t>
            </w:r>
          </w:p>
        </w:tc>
        <w:tc>
          <w:tcPr>
            <w:tcW w:w="1701" w:type="dxa"/>
            <w:tcBorders>
              <w:top w:val="nil"/>
              <w:left w:val="nil"/>
              <w:bottom w:val="single" w:sz="4" w:space="0" w:color="auto"/>
              <w:right w:val="single" w:sz="4" w:space="0" w:color="auto"/>
            </w:tcBorders>
            <w:shd w:val="clear" w:color="auto" w:fill="auto"/>
            <w:noWrap/>
            <w:vAlign w:val="center"/>
            <w:hideMark/>
          </w:tcPr>
          <w:p w14:paraId="41E47340" w14:textId="7B58FA49" w:rsidR="0038375D" w:rsidRPr="006E3D3D" w:rsidRDefault="0038375D" w:rsidP="00D9025E">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4,729</w:t>
            </w:r>
          </w:p>
        </w:tc>
        <w:tc>
          <w:tcPr>
            <w:tcW w:w="1701" w:type="dxa"/>
            <w:tcBorders>
              <w:top w:val="nil"/>
              <w:left w:val="nil"/>
              <w:bottom w:val="single" w:sz="4" w:space="0" w:color="auto"/>
              <w:right w:val="single" w:sz="4" w:space="0" w:color="auto"/>
            </w:tcBorders>
            <w:shd w:val="clear" w:color="auto" w:fill="auto"/>
            <w:noWrap/>
            <w:vAlign w:val="center"/>
            <w:hideMark/>
          </w:tcPr>
          <w:p w14:paraId="74263C6F" w14:textId="77777777" w:rsidR="0038375D" w:rsidRPr="006E3D3D" w:rsidRDefault="0038375D" w:rsidP="00D9025E">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57%</w:t>
            </w:r>
          </w:p>
        </w:tc>
      </w:tr>
      <w:tr w:rsidR="00D9025E" w:rsidRPr="006E3D3D" w14:paraId="420258C3" w14:textId="77777777" w:rsidTr="00D9025E">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14:paraId="075C8F98" w14:textId="414348A8" w:rsidR="0038375D" w:rsidRPr="006E3D3D" w:rsidRDefault="0038375D" w:rsidP="00D9025E">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Reduction from initial dose</w:t>
            </w:r>
          </w:p>
        </w:tc>
        <w:tc>
          <w:tcPr>
            <w:tcW w:w="1701" w:type="dxa"/>
            <w:tcBorders>
              <w:top w:val="nil"/>
              <w:left w:val="nil"/>
              <w:bottom w:val="single" w:sz="4" w:space="0" w:color="auto"/>
              <w:right w:val="single" w:sz="4" w:space="0" w:color="auto"/>
            </w:tcBorders>
            <w:shd w:val="clear" w:color="auto" w:fill="auto"/>
            <w:noWrap/>
            <w:vAlign w:val="center"/>
            <w:hideMark/>
          </w:tcPr>
          <w:p w14:paraId="04FD77E3" w14:textId="1F86AAE6" w:rsidR="0038375D" w:rsidRPr="006E3D3D" w:rsidRDefault="0038375D" w:rsidP="00D9025E">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2,603</w:t>
            </w:r>
          </w:p>
        </w:tc>
        <w:tc>
          <w:tcPr>
            <w:tcW w:w="1701" w:type="dxa"/>
            <w:tcBorders>
              <w:top w:val="nil"/>
              <w:left w:val="nil"/>
              <w:bottom w:val="single" w:sz="4" w:space="0" w:color="auto"/>
              <w:right w:val="single" w:sz="4" w:space="0" w:color="auto"/>
            </w:tcBorders>
            <w:shd w:val="clear" w:color="auto" w:fill="auto"/>
            <w:noWrap/>
            <w:vAlign w:val="center"/>
            <w:hideMark/>
          </w:tcPr>
          <w:p w14:paraId="0AED05C0" w14:textId="77777777" w:rsidR="0038375D" w:rsidRPr="006E3D3D" w:rsidRDefault="0038375D" w:rsidP="00D9025E">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31%</w:t>
            </w:r>
          </w:p>
        </w:tc>
      </w:tr>
      <w:tr w:rsidR="00D9025E" w:rsidRPr="006E3D3D" w14:paraId="4A365394" w14:textId="77777777" w:rsidTr="00D9025E">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14:paraId="6F140BA6" w14:textId="3D76A2DA" w:rsidR="0038375D" w:rsidRPr="006E3D3D" w:rsidRDefault="0038375D" w:rsidP="00D9025E">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Escalation from initial dose</w:t>
            </w:r>
          </w:p>
        </w:tc>
        <w:tc>
          <w:tcPr>
            <w:tcW w:w="1701" w:type="dxa"/>
            <w:tcBorders>
              <w:top w:val="nil"/>
              <w:left w:val="nil"/>
              <w:bottom w:val="single" w:sz="4" w:space="0" w:color="auto"/>
              <w:right w:val="single" w:sz="4" w:space="0" w:color="auto"/>
            </w:tcBorders>
            <w:shd w:val="clear" w:color="auto" w:fill="auto"/>
            <w:noWrap/>
            <w:vAlign w:val="center"/>
            <w:hideMark/>
          </w:tcPr>
          <w:p w14:paraId="6F0FE533" w14:textId="77777777" w:rsidR="0038375D" w:rsidRPr="006E3D3D" w:rsidRDefault="0038375D" w:rsidP="00D9025E">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365</w:t>
            </w:r>
          </w:p>
        </w:tc>
        <w:tc>
          <w:tcPr>
            <w:tcW w:w="1701" w:type="dxa"/>
            <w:tcBorders>
              <w:top w:val="nil"/>
              <w:left w:val="nil"/>
              <w:bottom w:val="single" w:sz="4" w:space="0" w:color="auto"/>
              <w:right w:val="single" w:sz="4" w:space="0" w:color="auto"/>
            </w:tcBorders>
            <w:shd w:val="clear" w:color="auto" w:fill="auto"/>
            <w:noWrap/>
            <w:vAlign w:val="center"/>
            <w:hideMark/>
          </w:tcPr>
          <w:p w14:paraId="4FD8C625" w14:textId="77777777" w:rsidR="0038375D" w:rsidRPr="006E3D3D" w:rsidRDefault="0038375D" w:rsidP="00D9025E">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4%</w:t>
            </w:r>
          </w:p>
        </w:tc>
      </w:tr>
      <w:tr w:rsidR="00D9025E" w:rsidRPr="006E3D3D" w14:paraId="79B3A1F4" w14:textId="77777777" w:rsidTr="00D9025E">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14:paraId="21314250" w14:textId="77777777" w:rsidR="0038375D" w:rsidRPr="006E3D3D" w:rsidRDefault="0038375D" w:rsidP="00D9025E">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Total doses</w:t>
            </w:r>
          </w:p>
        </w:tc>
        <w:tc>
          <w:tcPr>
            <w:tcW w:w="1701" w:type="dxa"/>
            <w:tcBorders>
              <w:top w:val="nil"/>
              <w:left w:val="nil"/>
              <w:bottom w:val="single" w:sz="4" w:space="0" w:color="auto"/>
              <w:right w:val="single" w:sz="4" w:space="0" w:color="auto"/>
            </w:tcBorders>
            <w:shd w:val="clear" w:color="auto" w:fill="auto"/>
            <w:noWrap/>
            <w:vAlign w:val="center"/>
            <w:hideMark/>
          </w:tcPr>
          <w:p w14:paraId="79C9BFF7" w14:textId="0C56EE15" w:rsidR="0038375D" w:rsidRPr="006E3D3D" w:rsidRDefault="0038375D" w:rsidP="00D9025E">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8,340</w:t>
            </w:r>
          </w:p>
        </w:tc>
        <w:tc>
          <w:tcPr>
            <w:tcW w:w="1701" w:type="dxa"/>
            <w:tcBorders>
              <w:top w:val="nil"/>
              <w:left w:val="nil"/>
              <w:bottom w:val="single" w:sz="4" w:space="0" w:color="auto"/>
              <w:right w:val="single" w:sz="4" w:space="0" w:color="auto"/>
            </w:tcBorders>
            <w:shd w:val="clear" w:color="auto" w:fill="auto"/>
            <w:noWrap/>
            <w:vAlign w:val="center"/>
            <w:hideMark/>
          </w:tcPr>
          <w:p w14:paraId="4BD65CD1" w14:textId="77777777" w:rsidR="0038375D" w:rsidRPr="006E3D3D" w:rsidRDefault="0038375D" w:rsidP="00D9025E">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 </w:t>
            </w:r>
          </w:p>
        </w:tc>
      </w:tr>
    </w:tbl>
    <w:p w14:paraId="119A820B" w14:textId="77777777" w:rsidR="0038375D" w:rsidRDefault="0038375D" w:rsidP="00A81988">
      <w:pPr>
        <w:rPr>
          <w:highlight w:val="yellow"/>
        </w:rPr>
      </w:pPr>
    </w:p>
    <w:p w14:paraId="78DE57CC" w14:textId="19FBEB0A" w:rsidR="0006365B" w:rsidRDefault="00C072C7" w:rsidP="00704022">
      <w:r>
        <w:t>More than thirty</w:t>
      </w:r>
      <w:r w:rsidR="00704022">
        <w:t xml:space="preserve"> percent of treatments </w:t>
      </w:r>
      <w:r w:rsidR="00081DB7">
        <w:t>administered</w:t>
      </w:r>
      <w:r w:rsidR="00704022">
        <w:t xml:space="preserve"> to patients in the initiating cohort </w:t>
      </w:r>
      <w:r w:rsidR="005E0981">
        <w:t xml:space="preserve">were dose reductions. </w:t>
      </w:r>
    </w:p>
    <w:p w14:paraId="09F9D349" w14:textId="7427B89F" w:rsidR="00736041" w:rsidRDefault="00736041" w:rsidP="00CF5E22">
      <w:pPr>
        <w:pStyle w:val="Heading3"/>
      </w:pPr>
      <w:r w:rsidRPr="005E22C2">
        <w:t>Utilisation by relevant sub-populations/regions</w:t>
      </w:r>
      <w:r w:rsidR="001B5D37" w:rsidRPr="005E22C2">
        <w:t xml:space="preserve"> or patient level analysis</w:t>
      </w:r>
    </w:p>
    <w:p w14:paraId="7C2D926B" w14:textId="3BC36D73" w:rsidR="002022C4" w:rsidRPr="00090177" w:rsidRDefault="002022C4" w:rsidP="00751053">
      <w:r>
        <w:t xml:space="preserve">Table </w:t>
      </w:r>
      <w:r w:rsidR="004046AE">
        <w:t>8</w:t>
      </w:r>
      <w:r>
        <w:t xml:space="preserve"> below show</w:t>
      </w:r>
      <w:r w:rsidR="00847C76">
        <w:t>s older</w:t>
      </w:r>
      <w:r>
        <w:t xml:space="preserve"> patients </w:t>
      </w:r>
      <w:r w:rsidR="00847C76">
        <w:t>(</w:t>
      </w:r>
      <w:r>
        <w:t>over the age of 80</w:t>
      </w:r>
      <w:r w:rsidR="00847C76">
        <w:t>)</w:t>
      </w:r>
      <w:r>
        <w:t xml:space="preserve"> tend to have lower doses</w:t>
      </w:r>
      <w:r w:rsidR="00847C76">
        <w:t>, but the small numbers of these patients do not affect the overall mean or median.</w:t>
      </w:r>
    </w:p>
    <w:p w14:paraId="4FF99DA3" w14:textId="30DAF48C" w:rsidR="00C21CFF" w:rsidRPr="00C21CFF" w:rsidRDefault="004046AE" w:rsidP="00751053">
      <w:pPr>
        <w:pStyle w:val="Tabletitle"/>
        <w:keepNext/>
      </w:pPr>
      <w:r>
        <w:t>Table 8</w:t>
      </w:r>
      <w:r w:rsidR="00C21CFF">
        <w:t>: Mean and median dose for patients older and younger than 80</w:t>
      </w:r>
    </w:p>
    <w:tbl>
      <w:tblPr>
        <w:tblW w:w="8804" w:type="dxa"/>
        <w:tblInd w:w="93" w:type="dxa"/>
        <w:tblLayout w:type="fixed"/>
        <w:tblLook w:val="04A0" w:firstRow="1" w:lastRow="0" w:firstColumn="1" w:lastColumn="0" w:noHBand="0" w:noVBand="1"/>
        <w:tblCaption w:val="Mean and median dose for patients older and younger than 80"/>
        <w:tblDescription w:val="Mean and median dose for patients older and younger than 80"/>
      </w:tblPr>
      <w:tblGrid>
        <w:gridCol w:w="1008"/>
        <w:gridCol w:w="1984"/>
        <w:gridCol w:w="1453"/>
        <w:gridCol w:w="1453"/>
        <w:gridCol w:w="1453"/>
        <w:gridCol w:w="1453"/>
      </w:tblGrid>
      <w:tr w:rsidR="00C072C7" w:rsidRPr="006E3D3D" w14:paraId="3F3E1063" w14:textId="77777777" w:rsidTr="00C072C7">
        <w:trPr>
          <w:trHeight w:val="606"/>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6E78BB" w14:textId="77777777" w:rsidR="00C072C7" w:rsidRPr="006E3D3D" w:rsidRDefault="00C072C7" w:rsidP="00C21CFF">
            <w:pPr>
              <w:spacing w:after="0"/>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Year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11A72D4" w14:textId="77777777" w:rsidR="00C072C7" w:rsidRPr="006E3D3D" w:rsidRDefault="00C072C7" w:rsidP="00C21CFF">
            <w:pPr>
              <w:spacing w:after="0"/>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Age Range</w:t>
            </w:r>
          </w:p>
        </w:tc>
        <w:tc>
          <w:tcPr>
            <w:tcW w:w="145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50619D4" w14:textId="52D83FB9" w:rsidR="00C072C7" w:rsidRPr="006E3D3D" w:rsidRDefault="00C072C7">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Number patients</w:t>
            </w:r>
          </w:p>
        </w:tc>
        <w:tc>
          <w:tcPr>
            <w:tcW w:w="14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B40123" w14:textId="38147CD7" w:rsidR="00C072C7" w:rsidRPr="006E3D3D" w:rsidRDefault="00C072C7">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Number doses</w:t>
            </w:r>
          </w:p>
        </w:tc>
        <w:tc>
          <w:tcPr>
            <w:tcW w:w="14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A9C788D" w14:textId="77777777" w:rsidR="00C072C7" w:rsidRPr="006E3D3D" w:rsidRDefault="00C072C7" w:rsidP="00C21CFF">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Mean dose (mg)</w:t>
            </w:r>
          </w:p>
        </w:tc>
        <w:tc>
          <w:tcPr>
            <w:tcW w:w="14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FC99516" w14:textId="77777777" w:rsidR="00C072C7" w:rsidRPr="006E3D3D" w:rsidRDefault="00C072C7" w:rsidP="00C21CFF">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Median dose (mg)</w:t>
            </w:r>
          </w:p>
        </w:tc>
      </w:tr>
      <w:tr w:rsidR="00C072C7" w:rsidRPr="006E3D3D" w14:paraId="2C861700" w14:textId="77777777" w:rsidTr="00C072C7">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5B7376" w14:textId="77777777" w:rsidR="00C072C7" w:rsidRPr="006E3D3D" w:rsidRDefault="00C072C7" w:rsidP="00C21CFF">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2015</w:t>
            </w:r>
          </w:p>
        </w:tc>
        <w:tc>
          <w:tcPr>
            <w:tcW w:w="1984" w:type="dxa"/>
            <w:tcBorders>
              <w:top w:val="nil"/>
              <w:left w:val="nil"/>
              <w:bottom w:val="single" w:sz="4" w:space="0" w:color="auto"/>
              <w:right w:val="single" w:sz="4" w:space="0" w:color="auto"/>
            </w:tcBorders>
            <w:shd w:val="clear" w:color="auto" w:fill="auto"/>
            <w:noWrap/>
            <w:vAlign w:val="center"/>
            <w:hideMark/>
          </w:tcPr>
          <w:p w14:paraId="7F695D31" w14:textId="77777777" w:rsidR="00C072C7" w:rsidRPr="006E3D3D" w:rsidRDefault="00C072C7" w:rsidP="00C21CFF">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Younger than 80</w:t>
            </w:r>
          </w:p>
        </w:tc>
        <w:tc>
          <w:tcPr>
            <w:tcW w:w="1453" w:type="dxa"/>
            <w:tcBorders>
              <w:top w:val="single" w:sz="4" w:space="0" w:color="auto"/>
              <w:left w:val="nil"/>
              <w:bottom w:val="single" w:sz="4" w:space="0" w:color="auto"/>
              <w:right w:val="single" w:sz="4" w:space="0" w:color="auto"/>
            </w:tcBorders>
            <w:vAlign w:val="center"/>
          </w:tcPr>
          <w:p w14:paraId="3B546ABD" w14:textId="0D6513D3" w:rsidR="00C072C7" w:rsidRPr="006E3D3D" w:rsidRDefault="00C072C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 xml:space="preserve">1,503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90D3A" w14:textId="4150297D" w:rsidR="00C072C7" w:rsidRPr="006E3D3D" w:rsidRDefault="00C072C7">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14,696</w:t>
            </w:r>
          </w:p>
        </w:tc>
        <w:tc>
          <w:tcPr>
            <w:tcW w:w="1453" w:type="dxa"/>
            <w:tcBorders>
              <w:top w:val="nil"/>
              <w:left w:val="nil"/>
              <w:bottom w:val="single" w:sz="4" w:space="0" w:color="auto"/>
              <w:right w:val="single" w:sz="4" w:space="0" w:color="auto"/>
            </w:tcBorders>
            <w:shd w:val="clear" w:color="auto" w:fill="auto"/>
            <w:noWrap/>
            <w:vAlign w:val="center"/>
            <w:hideMark/>
          </w:tcPr>
          <w:p w14:paraId="29ED1741" w14:textId="77777777"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194</w:t>
            </w:r>
          </w:p>
        </w:tc>
        <w:tc>
          <w:tcPr>
            <w:tcW w:w="1453" w:type="dxa"/>
            <w:tcBorders>
              <w:top w:val="nil"/>
              <w:left w:val="nil"/>
              <w:bottom w:val="single" w:sz="4" w:space="0" w:color="auto"/>
              <w:right w:val="single" w:sz="4" w:space="0" w:color="auto"/>
            </w:tcBorders>
            <w:shd w:val="clear" w:color="auto" w:fill="auto"/>
            <w:noWrap/>
            <w:vAlign w:val="center"/>
            <w:hideMark/>
          </w:tcPr>
          <w:p w14:paraId="07A1E066" w14:textId="77777777"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200</w:t>
            </w:r>
          </w:p>
        </w:tc>
      </w:tr>
      <w:tr w:rsidR="00C072C7" w:rsidRPr="006E3D3D" w14:paraId="5FCC6CA7" w14:textId="77777777" w:rsidTr="00C072C7">
        <w:trPr>
          <w:trHeight w:val="300"/>
        </w:trPr>
        <w:tc>
          <w:tcPr>
            <w:tcW w:w="1008" w:type="dxa"/>
            <w:vMerge/>
            <w:tcBorders>
              <w:top w:val="nil"/>
              <w:left w:val="single" w:sz="4" w:space="0" w:color="auto"/>
              <w:bottom w:val="single" w:sz="4" w:space="0" w:color="auto"/>
              <w:right w:val="single" w:sz="4" w:space="0" w:color="auto"/>
            </w:tcBorders>
            <w:vAlign w:val="center"/>
            <w:hideMark/>
          </w:tcPr>
          <w:p w14:paraId="2F2D2B79" w14:textId="77777777" w:rsidR="00C072C7" w:rsidRPr="006E3D3D" w:rsidRDefault="00C072C7" w:rsidP="00C21CFF">
            <w:pPr>
              <w:spacing w:after="0"/>
              <w:rPr>
                <w:rFonts w:ascii="Calibri" w:eastAsia="Times New Roman" w:hAnsi="Calibri"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14:paraId="72E99DF1" w14:textId="77777777" w:rsidR="00C072C7" w:rsidRPr="006E3D3D" w:rsidRDefault="00C072C7" w:rsidP="00C21CFF">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80 or older</w:t>
            </w:r>
          </w:p>
        </w:tc>
        <w:tc>
          <w:tcPr>
            <w:tcW w:w="1453" w:type="dxa"/>
            <w:tcBorders>
              <w:top w:val="single" w:sz="4" w:space="0" w:color="auto"/>
              <w:left w:val="nil"/>
              <w:bottom w:val="single" w:sz="4" w:space="0" w:color="auto"/>
              <w:right w:val="single" w:sz="4" w:space="0" w:color="auto"/>
            </w:tcBorders>
            <w:vAlign w:val="center"/>
          </w:tcPr>
          <w:p w14:paraId="143A29C2" w14:textId="79B64AA8" w:rsidR="00C072C7" w:rsidRPr="006E3D3D" w:rsidRDefault="00C072C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 xml:space="preserve">99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D105A" w14:textId="308FB5B2" w:rsidR="00C072C7" w:rsidRPr="006E3D3D" w:rsidRDefault="00C072C7">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740</w:t>
            </w:r>
          </w:p>
        </w:tc>
        <w:tc>
          <w:tcPr>
            <w:tcW w:w="1453" w:type="dxa"/>
            <w:tcBorders>
              <w:top w:val="nil"/>
              <w:left w:val="nil"/>
              <w:bottom w:val="single" w:sz="4" w:space="0" w:color="auto"/>
              <w:right w:val="single" w:sz="4" w:space="0" w:color="auto"/>
            </w:tcBorders>
            <w:shd w:val="clear" w:color="auto" w:fill="auto"/>
            <w:noWrap/>
            <w:vAlign w:val="center"/>
            <w:hideMark/>
          </w:tcPr>
          <w:p w14:paraId="18491275" w14:textId="77777777"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161</w:t>
            </w:r>
          </w:p>
        </w:tc>
        <w:tc>
          <w:tcPr>
            <w:tcW w:w="1453" w:type="dxa"/>
            <w:tcBorders>
              <w:top w:val="nil"/>
              <w:left w:val="nil"/>
              <w:bottom w:val="single" w:sz="4" w:space="0" w:color="auto"/>
              <w:right w:val="single" w:sz="4" w:space="0" w:color="auto"/>
            </w:tcBorders>
            <w:shd w:val="clear" w:color="auto" w:fill="auto"/>
            <w:noWrap/>
            <w:vAlign w:val="center"/>
            <w:hideMark/>
          </w:tcPr>
          <w:p w14:paraId="4655CA1A" w14:textId="77777777"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160</w:t>
            </w:r>
          </w:p>
        </w:tc>
      </w:tr>
      <w:tr w:rsidR="00C072C7" w:rsidRPr="006E3D3D" w14:paraId="495579F3" w14:textId="77777777" w:rsidTr="00C072C7">
        <w:trPr>
          <w:trHeight w:val="300"/>
        </w:trPr>
        <w:tc>
          <w:tcPr>
            <w:tcW w:w="1008" w:type="dxa"/>
            <w:vMerge/>
            <w:tcBorders>
              <w:top w:val="nil"/>
              <w:left w:val="single" w:sz="4" w:space="0" w:color="auto"/>
              <w:bottom w:val="single" w:sz="4" w:space="0" w:color="auto"/>
              <w:right w:val="single" w:sz="4" w:space="0" w:color="auto"/>
            </w:tcBorders>
            <w:vAlign w:val="center"/>
            <w:hideMark/>
          </w:tcPr>
          <w:p w14:paraId="407132E9" w14:textId="77777777" w:rsidR="00C072C7" w:rsidRPr="006E3D3D" w:rsidRDefault="00C072C7" w:rsidP="00C21CFF">
            <w:pPr>
              <w:spacing w:after="0"/>
              <w:rPr>
                <w:rFonts w:ascii="Calibri" w:eastAsia="Times New Roman" w:hAnsi="Calibri"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14:paraId="51BAF23B" w14:textId="77777777" w:rsidR="00C072C7" w:rsidRPr="006E3D3D" w:rsidRDefault="00C072C7" w:rsidP="00C21CFF">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Total</w:t>
            </w:r>
          </w:p>
        </w:tc>
        <w:tc>
          <w:tcPr>
            <w:tcW w:w="1453" w:type="dxa"/>
            <w:tcBorders>
              <w:top w:val="single" w:sz="4" w:space="0" w:color="auto"/>
              <w:left w:val="nil"/>
              <w:bottom w:val="single" w:sz="4" w:space="0" w:color="auto"/>
              <w:right w:val="single" w:sz="4" w:space="0" w:color="auto"/>
            </w:tcBorders>
            <w:vAlign w:val="center"/>
          </w:tcPr>
          <w:p w14:paraId="196DB792" w14:textId="615B1A65" w:rsidR="00C072C7" w:rsidRPr="006E3D3D" w:rsidRDefault="00C072C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 xml:space="preserve">199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B9642" w14:textId="1660C4E1" w:rsidR="00C072C7" w:rsidRPr="006E3D3D" w:rsidRDefault="00C072C7">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15,436</w:t>
            </w:r>
          </w:p>
        </w:tc>
        <w:tc>
          <w:tcPr>
            <w:tcW w:w="1453" w:type="dxa"/>
            <w:tcBorders>
              <w:top w:val="nil"/>
              <w:left w:val="nil"/>
              <w:bottom w:val="single" w:sz="4" w:space="0" w:color="auto"/>
              <w:right w:val="single" w:sz="4" w:space="0" w:color="auto"/>
            </w:tcBorders>
            <w:shd w:val="clear" w:color="auto" w:fill="auto"/>
            <w:noWrap/>
            <w:vAlign w:val="center"/>
            <w:hideMark/>
          </w:tcPr>
          <w:p w14:paraId="67F006C4" w14:textId="77777777"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192</w:t>
            </w:r>
          </w:p>
        </w:tc>
        <w:tc>
          <w:tcPr>
            <w:tcW w:w="1453" w:type="dxa"/>
            <w:tcBorders>
              <w:top w:val="nil"/>
              <w:left w:val="nil"/>
              <w:bottom w:val="single" w:sz="4" w:space="0" w:color="auto"/>
              <w:right w:val="single" w:sz="4" w:space="0" w:color="auto"/>
            </w:tcBorders>
            <w:shd w:val="clear" w:color="auto" w:fill="auto"/>
            <w:noWrap/>
            <w:vAlign w:val="center"/>
            <w:hideMark/>
          </w:tcPr>
          <w:p w14:paraId="7E406E28" w14:textId="77777777"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200</w:t>
            </w:r>
          </w:p>
        </w:tc>
      </w:tr>
      <w:tr w:rsidR="00C072C7" w:rsidRPr="006E3D3D" w14:paraId="23715EC6" w14:textId="77777777" w:rsidTr="00C072C7">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34319F" w14:textId="77777777" w:rsidR="00C072C7" w:rsidRPr="006E3D3D" w:rsidRDefault="00C072C7" w:rsidP="00C21CFF">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2016</w:t>
            </w:r>
          </w:p>
        </w:tc>
        <w:tc>
          <w:tcPr>
            <w:tcW w:w="1984" w:type="dxa"/>
            <w:tcBorders>
              <w:top w:val="nil"/>
              <w:left w:val="nil"/>
              <w:bottom w:val="single" w:sz="4" w:space="0" w:color="auto"/>
              <w:right w:val="single" w:sz="4" w:space="0" w:color="auto"/>
            </w:tcBorders>
            <w:shd w:val="clear" w:color="auto" w:fill="auto"/>
            <w:noWrap/>
            <w:vAlign w:val="center"/>
            <w:hideMark/>
          </w:tcPr>
          <w:p w14:paraId="40609281" w14:textId="77777777" w:rsidR="00C072C7" w:rsidRPr="006E3D3D" w:rsidRDefault="00C072C7" w:rsidP="00C21CFF">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Younger than 80</w:t>
            </w:r>
          </w:p>
        </w:tc>
        <w:tc>
          <w:tcPr>
            <w:tcW w:w="1453" w:type="dxa"/>
            <w:tcBorders>
              <w:top w:val="single" w:sz="4" w:space="0" w:color="auto"/>
              <w:left w:val="nil"/>
              <w:bottom w:val="single" w:sz="4" w:space="0" w:color="auto"/>
              <w:right w:val="single" w:sz="4" w:space="0" w:color="auto"/>
            </w:tcBorders>
            <w:vAlign w:val="center"/>
          </w:tcPr>
          <w:p w14:paraId="17DF9887" w14:textId="7F108F32" w:rsidR="00C072C7" w:rsidRPr="006E3D3D" w:rsidRDefault="00C072C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 xml:space="preserve">1,602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12E5C" w14:textId="212808A0" w:rsidR="00C072C7" w:rsidRPr="006E3D3D" w:rsidRDefault="00C072C7">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15,146</w:t>
            </w:r>
          </w:p>
        </w:tc>
        <w:tc>
          <w:tcPr>
            <w:tcW w:w="1453" w:type="dxa"/>
            <w:tcBorders>
              <w:top w:val="nil"/>
              <w:left w:val="nil"/>
              <w:bottom w:val="single" w:sz="4" w:space="0" w:color="auto"/>
              <w:right w:val="single" w:sz="4" w:space="0" w:color="auto"/>
            </w:tcBorders>
            <w:shd w:val="clear" w:color="auto" w:fill="auto"/>
            <w:noWrap/>
            <w:vAlign w:val="center"/>
            <w:hideMark/>
          </w:tcPr>
          <w:p w14:paraId="00BC74EA" w14:textId="77777777"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191</w:t>
            </w:r>
          </w:p>
        </w:tc>
        <w:tc>
          <w:tcPr>
            <w:tcW w:w="1453" w:type="dxa"/>
            <w:tcBorders>
              <w:top w:val="nil"/>
              <w:left w:val="nil"/>
              <w:bottom w:val="single" w:sz="4" w:space="0" w:color="auto"/>
              <w:right w:val="single" w:sz="4" w:space="0" w:color="auto"/>
            </w:tcBorders>
            <w:shd w:val="clear" w:color="auto" w:fill="auto"/>
            <w:noWrap/>
            <w:vAlign w:val="center"/>
            <w:hideMark/>
          </w:tcPr>
          <w:p w14:paraId="58DDE14A" w14:textId="77777777"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195</w:t>
            </w:r>
          </w:p>
        </w:tc>
      </w:tr>
      <w:tr w:rsidR="00C072C7" w:rsidRPr="006E3D3D" w14:paraId="6FC26C1F" w14:textId="77777777" w:rsidTr="00C072C7">
        <w:trPr>
          <w:trHeight w:val="300"/>
        </w:trPr>
        <w:tc>
          <w:tcPr>
            <w:tcW w:w="1008" w:type="dxa"/>
            <w:vMerge/>
            <w:tcBorders>
              <w:top w:val="nil"/>
              <w:left w:val="single" w:sz="4" w:space="0" w:color="auto"/>
              <w:bottom w:val="single" w:sz="4" w:space="0" w:color="auto"/>
              <w:right w:val="single" w:sz="4" w:space="0" w:color="auto"/>
            </w:tcBorders>
            <w:vAlign w:val="center"/>
            <w:hideMark/>
          </w:tcPr>
          <w:p w14:paraId="4F4D85DB" w14:textId="77777777" w:rsidR="00C072C7" w:rsidRPr="006E3D3D" w:rsidRDefault="00C072C7" w:rsidP="00C21CFF">
            <w:pPr>
              <w:spacing w:after="0"/>
              <w:rPr>
                <w:rFonts w:ascii="Calibri" w:eastAsia="Times New Roman" w:hAnsi="Calibri"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14:paraId="6C14F7AD" w14:textId="77777777" w:rsidR="00C072C7" w:rsidRPr="006E3D3D" w:rsidRDefault="00C072C7" w:rsidP="00C21CFF">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80 or older</w:t>
            </w:r>
          </w:p>
        </w:tc>
        <w:tc>
          <w:tcPr>
            <w:tcW w:w="1453" w:type="dxa"/>
            <w:tcBorders>
              <w:top w:val="single" w:sz="4" w:space="0" w:color="auto"/>
              <w:left w:val="nil"/>
              <w:bottom w:val="single" w:sz="4" w:space="0" w:color="auto"/>
              <w:right w:val="single" w:sz="4" w:space="0" w:color="auto"/>
            </w:tcBorders>
            <w:vAlign w:val="center"/>
          </w:tcPr>
          <w:p w14:paraId="1273D687" w14:textId="2ABA15FC" w:rsidR="00C072C7" w:rsidRPr="006E3D3D" w:rsidRDefault="00C072C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 xml:space="preserve">112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E8EDF" w14:textId="77EB2192" w:rsidR="00C072C7" w:rsidRPr="006E3D3D" w:rsidRDefault="00C072C7">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828</w:t>
            </w:r>
          </w:p>
        </w:tc>
        <w:tc>
          <w:tcPr>
            <w:tcW w:w="1453" w:type="dxa"/>
            <w:tcBorders>
              <w:top w:val="nil"/>
              <w:left w:val="nil"/>
              <w:bottom w:val="single" w:sz="4" w:space="0" w:color="auto"/>
              <w:right w:val="single" w:sz="4" w:space="0" w:color="auto"/>
            </w:tcBorders>
            <w:shd w:val="clear" w:color="auto" w:fill="auto"/>
            <w:noWrap/>
            <w:vAlign w:val="center"/>
            <w:hideMark/>
          </w:tcPr>
          <w:p w14:paraId="5B6BF7EC" w14:textId="77777777"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163</w:t>
            </w:r>
          </w:p>
        </w:tc>
        <w:tc>
          <w:tcPr>
            <w:tcW w:w="1453" w:type="dxa"/>
            <w:tcBorders>
              <w:top w:val="nil"/>
              <w:left w:val="nil"/>
              <w:bottom w:val="single" w:sz="4" w:space="0" w:color="auto"/>
              <w:right w:val="single" w:sz="4" w:space="0" w:color="auto"/>
            </w:tcBorders>
            <w:shd w:val="clear" w:color="auto" w:fill="auto"/>
            <w:noWrap/>
            <w:vAlign w:val="center"/>
            <w:hideMark/>
          </w:tcPr>
          <w:p w14:paraId="5812FCC3" w14:textId="77777777"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165</w:t>
            </w:r>
          </w:p>
        </w:tc>
      </w:tr>
      <w:tr w:rsidR="00C072C7" w:rsidRPr="006E3D3D" w14:paraId="1D57B48C" w14:textId="77777777" w:rsidTr="00C072C7">
        <w:trPr>
          <w:trHeight w:val="300"/>
        </w:trPr>
        <w:tc>
          <w:tcPr>
            <w:tcW w:w="1008" w:type="dxa"/>
            <w:vMerge/>
            <w:tcBorders>
              <w:top w:val="nil"/>
              <w:left w:val="single" w:sz="4" w:space="0" w:color="auto"/>
              <w:bottom w:val="single" w:sz="4" w:space="0" w:color="auto"/>
              <w:right w:val="single" w:sz="4" w:space="0" w:color="auto"/>
            </w:tcBorders>
            <w:vAlign w:val="center"/>
            <w:hideMark/>
          </w:tcPr>
          <w:p w14:paraId="10BAC7C4" w14:textId="77777777" w:rsidR="00C072C7" w:rsidRPr="006E3D3D" w:rsidRDefault="00C072C7" w:rsidP="00C21CFF">
            <w:pPr>
              <w:spacing w:after="0"/>
              <w:rPr>
                <w:rFonts w:ascii="Calibri" w:eastAsia="Times New Roman" w:hAnsi="Calibri"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14:paraId="688E7042" w14:textId="77777777" w:rsidR="00C072C7" w:rsidRPr="006E3D3D" w:rsidRDefault="00C072C7" w:rsidP="00C21CFF">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Total</w:t>
            </w:r>
          </w:p>
        </w:tc>
        <w:tc>
          <w:tcPr>
            <w:tcW w:w="1453" w:type="dxa"/>
            <w:tcBorders>
              <w:top w:val="single" w:sz="4" w:space="0" w:color="auto"/>
              <w:left w:val="nil"/>
              <w:bottom w:val="single" w:sz="4" w:space="0" w:color="auto"/>
              <w:right w:val="single" w:sz="4" w:space="0" w:color="auto"/>
            </w:tcBorders>
            <w:vAlign w:val="center"/>
          </w:tcPr>
          <w:p w14:paraId="05CF36D2" w14:textId="3FEA3CAA" w:rsidR="00C072C7" w:rsidRPr="006E3D3D" w:rsidRDefault="00C072C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 xml:space="preserve">1,708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58DD0" w14:textId="00F9AF85" w:rsidR="00C072C7" w:rsidRPr="006E3D3D" w:rsidRDefault="00C072C7">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15,974</w:t>
            </w:r>
          </w:p>
        </w:tc>
        <w:tc>
          <w:tcPr>
            <w:tcW w:w="1453" w:type="dxa"/>
            <w:tcBorders>
              <w:top w:val="nil"/>
              <w:left w:val="nil"/>
              <w:bottom w:val="single" w:sz="4" w:space="0" w:color="auto"/>
              <w:right w:val="single" w:sz="4" w:space="0" w:color="auto"/>
            </w:tcBorders>
            <w:shd w:val="clear" w:color="auto" w:fill="auto"/>
            <w:noWrap/>
            <w:vAlign w:val="center"/>
            <w:hideMark/>
          </w:tcPr>
          <w:p w14:paraId="27CE2561" w14:textId="77777777"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189</w:t>
            </w:r>
          </w:p>
        </w:tc>
        <w:tc>
          <w:tcPr>
            <w:tcW w:w="1453" w:type="dxa"/>
            <w:tcBorders>
              <w:top w:val="nil"/>
              <w:left w:val="nil"/>
              <w:bottom w:val="single" w:sz="4" w:space="0" w:color="auto"/>
              <w:right w:val="single" w:sz="4" w:space="0" w:color="auto"/>
            </w:tcBorders>
            <w:shd w:val="clear" w:color="auto" w:fill="auto"/>
            <w:noWrap/>
            <w:vAlign w:val="center"/>
            <w:hideMark/>
          </w:tcPr>
          <w:p w14:paraId="2A7CB249" w14:textId="77777777"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193</w:t>
            </w:r>
          </w:p>
        </w:tc>
      </w:tr>
      <w:tr w:rsidR="00C072C7" w:rsidRPr="006E3D3D" w14:paraId="6D92B427" w14:textId="77777777" w:rsidTr="00C072C7">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139C" w14:textId="0C94E087" w:rsidR="00C072C7" w:rsidRPr="006E3D3D" w:rsidRDefault="00C072C7" w:rsidP="00C21CFF">
            <w:pPr>
              <w:spacing w:after="0"/>
              <w:rPr>
                <w:rFonts w:ascii="Calibri" w:eastAsia="Times New Roman" w:hAnsi="Calibri" w:cs="Times New Roman"/>
                <w:color w:val="000000"/>
                <w:sz w:val="20"/>
                <w:szCs w:val="20"/>
                <w:vertAlign w:val="superscript"/>
              </w:rPr>
            </w:pPr>
            <w:r w:rsidRPr="006E3D3D">
              <w:rPr>
                <w:rFonts w:ascii="Calibri" w:eastAsia="Times New Roman" w:hAnsi="Calibri" w:cs="Times New Roman"/>
                <w:color w:val="000000"/>
                <w:sz w:val="20"/>
                <w:szCs w:val="20"/>
              </w:rPr>
              <w:t>Total</w:t>
            </w:r>
            <w:r w:rsidRPr="006E3D3D">
              <w:rPr>
                <w:rFonts w:ascii="Calibri" w:eastAsia="Times New Roman" w:hAnsi="Calibri" w:cs="Times New Roman"/>
                <w:color w:val="000000"/>
                <w:sz w:val="20"/>
                <w:szCs w:val="20"/>
                <w:vertAlign w:val="superscript"/>
              </w:rPr>
              <w:t>a</w:t>
            </w:r>
          </w:p>
        </w:tc>
        <w:tc>
          <w:tcPr>
            <w:tcW w:w="1984" w:type="dxa"/>
            <w:tcBorders>
              <w:top w:val="nil"/>
              <w:left w:val="nil"/>
              <w:bottom w:val="single" w:sz="4" w:space="0" w:color="auto"/>
              <w:right w:val="single" w:sz="4" w:space="0" w:color="auto"/>
            </w:tcBorders>
            <w:shd w:val="clear" w:color="auto" w:fill="auto"/>
            <w:noWrap/>
            <w:vAlign w:val="center"/>
            <w:hideMark/>
          </w:tcPr>
          <w:p w14:paraId="0C1B1CB8" w14:textId="464D44FA" w:rsidR="00C072C7" w:rsidRPr="006E3D3D" w:rsidRDefault="00C072C7" w:rsidP="00C21CFF">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Younger than 80</w:t>
            </w:r>
          </w:p>
        </w:tc>
        <w:tc>
          <w:tcPr>
            <w:tcW w:w="1453" w:type="dxa"/>
            <w:tcBorders>
              <w:top w:val="single" w:sz="4" w:space="0" w:color="auto"/>
              <w:left w:val="nil"/>
              <w:bottom w:val="single" w:sz="4" w:space="0" w:color="auto"/>
              <w:right w:val="single" w:sz="4" w:space="0" w:color="auto"/>
            </w:tcBorders>
            <w:vAlign w:val="center"/>
          </w:tcPr>
          <w:p w14:paraId="5B6115CF" w14:textId="6C936B6E" w:rsidR="00C072C7" w:rsidRPr="006E3D3D" w:rsidRDefault="00C072C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 xml:space="preserve">3,074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9788B" w14:textId="6E8D3E17" w:rsidR="00C072C7" w:rsidRPr="006E3D3D" w:rsidRDefault="00C072C7">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35,388</w:t>
            </w:r>
          </w:p>
        </w:tc>
        <w:tc>
          <w:tcPr>
            <w:tcW w:w="1453" w:type="dxa"/>
            <w:tcBorders>
              <w:top w:val="nil"/>
              <w:left w:val="nil"/>
              <w:bottom w:val="single" w:sz="4" w:space="0" w:color="auto"/>
              <w:right w:val="single" w:sz="4" w:space="0" w:color="auto"/>
            </w:tcBorders>
            <w:shd w:val="clear" w:color="auto" w:fill="auto"/>
            <w:noWrap/>
            <w:vAlign w:val="center"/>
            <w:hideMark/>
          </w:tcPr>
          <w:p w14:paraId="5D021ABA" w14:textId="3B93DE2F"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192</w:t>
            </w:r>
          </w:p>
        </w:tc>
        <w:tc>
          <w:tcPr>
            <w:tcW w:w="1453" w:type="dxa"/>
            <w:tcBorders>
              <w:top w:val="nil"/>
              <w:left w:val="nil"/>
              <w:bottom w:val="single" w:sz="4" w:space="0" w:color="auto"/>
              <w:right w:val="single" w:sz="4" w:space="0" w:color="auto"/>
            </w:tcBorders>
            <w:shd w:val="clear" w:color="auto" w:fill="auto"/>
            <w:noWrap/>
            <w:vAlign w:val="center"/>
            <w:hideMark/>
          </w:tcPr>
          <w:p w14:paraId="34C82E2F" w14:textId="32BF8538"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200</w:t>
            </w:r>
          </w:p>
        </w:tc>
      </w:tr>
      <w:tr w:rsidR="00C072C7" w:rsidRPr="006E3D3D" w14:paraId="3017C258" w14:textId="77777777" w:rsidTr="00C072C7">
        <w:trPr>
          <w:trHeight w:val="300"/>
        </w:trPr>
        <w:tc>
          <w:tcPr>
            <w:tcW w:w="1008" w:type="dxa"/>
            <w:vMerge/>
            <w:tcBorders>
              <w:top w:val="nil"/>
              <w:left w:val="single" w:sz="4" w:space="0" w:color="auto"/>
              <w:bottom w:val="single" w:sz="4" w:space="0" w:color="auto"/>
              <w:right w:val="single" w:sz="4" w:space="0" w:color="auto"/>
            </w:tcBorders>
            <w:vAlign w:val="center"/>
            <w:hideMark/>
          </w:tcPr>
          <w:p w14:paraId="30161F26" w14:textId="77777777" w:rsidR="00C072C7" w:rsidRPr="006E3D3D" w:rsidRDefault="00C072C7" w:rsidP="00C21CFF">
            <w:pPr>
              <w:spacing w:after="0"/>
              <w:rPr>
                <w:rFonts w:ascii="Calibri" w:eastAsia="Times New Roman" w:hAnsi="Calibri"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14:paraId="5BB5CCB2" w14:textId="74A7F2D5" w:rsidR="00C072C7" w:rsidRPr="006E3D3D" w:rsidRDefault="00C072C7" w:rsidP="00C21CFF">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80 or older</w:t>
            </w:r>
          </w:p>
        </w:tc>
        <w:tc>
          <w:tcPr>
            <w:tcW w:w="1453" w:type="dxa"/>
            <w:tcBorders>
              <w:top w:val="single" w:sz="4" w:space="0" w:color="auto"/>
              <w:left w:val="nil"/>
              <w:bottom w:val="single" w:sz="4" w:space="0" w:color="auto"/>
              <w:right w:val="single" w:sz="4" w:space="0" w:color="auto"/>
            </w:tcBorders>
            <w:vAlign w:val="center"/>
          </w:tcPr>
          <w:p w14:paraId="15CCBA8C" w14:textId="47A9F4A3" w:rsidR="00C072C7" w:rsidRPr="006E3D3D" w:rsidRDefault="00C072C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 xml:space="preserve">223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AA4F9" w14:textId="5E1AFD8F" w:rsidR="00C072C7" w:rsidRPr="006E3D3D" w:rsidRDefault="00C072C7">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1,837</w:t>
            </w:r>
          </w:p>
        </w:tc>
        <w:tc>
          <w:tcPr>
            <w:tcW w:w="1453" w:type="dxa"/>
            <w:tcBorders>
              <w:top w:val="nil"/>
              <w:left w:val="nil"/>
              <w:bottom w:val="single" w:sz="4" w:space="0" w:color="auto"/>
              <w:right w:val="single" w:sz="4" w:space="0" w:color="auto"/>
            </w:tcBorders>
            <w:shd w:val="clear" w:color="auto" w:fill="auto"/>
            <w:noWrap/>
            <w:vAlign w:val="center"/>
            <w:hideMark/>
          </w:tcPr>
          <w:p w14:paraId="4417DC44" w14:textId="4C7E49D0"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163</w:t>
            </w:r>
          </w:p>
        </w:tc>
        <w:tc>
          <w:tcPr>
            <w:tcW w:w="1453" w:type="dxa"/>
            <w:tcBorders>
              <w:top w:val="nil"/>
              <w:left w:val="nil"/>
              <w:bottom w:val="single" w:sz="4" w:space="0" w:color="auto"/>
              <w:right w:val="single" w:sz="4" w:space="0" w:color="auto"/>
            </w:tcBorders>
            <w:shd w:val="clear" w:color="auto" w:fill="auto"/>
            <w:noWrap/>
            <w:vAlign w:val="center"/>
            <w:hideMark/>
          </w:tcPr>
          <w:p w14:paraId="626A078D" w14:textId="23E29BDD"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170</w:t>
            </w:r>
          </w:p>
        </w:tc>
      </w:tr>
      <w:tr w:rsidR="00C072C7" w:rsidRPr="006E3D3D" w14:paraId="1DCCF176" w14:textId="77777777" w:rsidTr="00C072C7">
        <w:trPr>
          <w:trHeight w:val="300"/>
        </w:trPr>
        <w:tc>
          <w:tcPr>
            <w:tcW w:w="1008" w:type="dxa"/>
            <w:vMerge/>
            <w:tcBorders>
              <w:top w:val="nil"/>
              <w:left w:val="single" w:sz="4" w:space="0" w:color="auto"/>
              <w:bottom w:val="single" w:sz="4" w:space="0" w:color="auto"/>
              <w:right w:val="single" w:sz="4" w:space="0" w:color="auto"/>
            </w:tcBorders>
            <w:vAlign w:val="center"/>
            <w:hideMark/>
          </w:tcPr>
          <w:p w14:paraId="1A877BF1" w14:textId="77777777" w:rsidR="00C072C7" w:rsidRPr="006E3D3D" w:rsidRDefault="00C072C7" w:rsidP="00C21CFF">
            <w:pPr>
              <w:spacing w:after="0"/>
              <w:rPr>
                <w:rFonts w:ascii="Calibri" w:eastAsia="Times New Roman" w:hAnsi="Calibri"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14:paraId="5AAA9B73" w14:textId="6D1466DB" w:rsidR="00C072C7" w:rsidRPr="006E3D3D" w:rsidRDefault="00C072C7" w:rsidP="00C21CFF">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Total</w:t>
            </w:r>
          </w:p>
        </w:tc>
        <w:tc>
          <w:tcPr>
            <w:tcW w:w="1453" w:type="dxa"/>
            <w:tcBorders>
              <w:top w:val="single" w:sz="4" w:space="0" w:color="auto"/>
              <w:left w:val="nil"/>
              <w:bottom w:val="single" w:sz="4" w:space="0" w:color="auto"/>
              <w:right w:val="single" w:sz="4" w:space="0" w:color="auto"/>
            </w:tcBorders>
            <w:vAlign w:val="center"/>
          </w:tcPr>
          <w:p w14:paraId="7FB2AF7B" w14:textId="11CE9F90" w:rsidR="00C072C7" w:rsidRPr="006E3D3D" w:rsidRDefault="00C072C7">
            <w:pPr>
              <w:spacing w:after="0"/>
              <w:jc w:val="right"/>
              <w:rPr>
                <w:rFonts w:ascii="Calibri" w:eastAsia="Times New Roman" w:hAnsi="Calibri" w:cs="Times New Roman"/>
                <w:color w:val="000000"/>
                <w:sz w:val="20"/>
                <w:szCs w:val="20"/>
              </w:rPr>
            </w:pPr>
            <w:r w:rsidRPr="006E3D3D">
              <w:rPr>
                <w:rFonts w:ascii="Calibri" w:hAnsi="Calibri"/>
                <w:color w:val="000000"/>
                <w:sz w:val="20"/>
                <w:szCs w:val="20"/>
              </w:rPr>
              <w:t xml:space="preserve">3,284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A6EE1" w14:textId="3ECC204B" w:rsidR="00C072C7" w:rsidRPr="006E3D3D" w:rsidRDefault="00C072C7">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37,225</w:t>
            </w:r>
          </w:p>
        </w:tc>
        <w:tc>
          <w:tcPr>
            <w:tcW w:w="1453" w:type="dxa"/>
            <w:tcBorders>
              <w:top w:val="nil"/>
              <w:left w:val="nil"/>
              <w:bottom w:val="single" w:sz="4" w:space="0" w:color="auto"/>
              <w:right w:val="single" w:sz="4" w:space="0" w:color="auto"/>
            </w:tcBorders>
            <w:shd w:val="clear" w:color="auto" w:fill="auto"/>
            <w:noWrap/>
            <w:vAlign w:val="center"/>
            <w:hideMark/>
          </w:tcPr>
          <w:p w14:paraId="371CA15A" w14:textId="37FFB3F0"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191</w:t>
            </w:r>
          </w:p>
        </w:tc>
        <w:tc>
          <w:tcPr>
            <w:tcW w:w="1453" w:type="dxa"/>
            <w:tcBorders>
              <w:top w:val="nil"/>
              <w:left w:val="nil"/>
              <w:bottom w:val="single" w:sz="4" w:space="0" w:color="auto"/>
              <w:right w:val="single" w:sz="4" w:space="0" w:color="auto"/>
            </w:tcBorders>
            <w:shd w:val="clear" w:color="auto" w:fill="auto"/>
            <w:noWrap/>
            <w:vAlign w:val="center"/>
            <w:hideMark/>
          </w:tcPr>
          <w:p w14:paraId="6066DDF3" w14:textId="67A6DE18" w:rsidR="00C072C7" w:rsidRPr="006E3D3D" w:rsidRDefault="00C072C7" w:rsidP="00C21CFF">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200</w:t>
            </w:r>
          </w:p>
        </w:tc>
      </w:tr>
    </w:tbl>
    <w:p w14:paraId="0AB735BF" w14:textId="3EF36BC6" w:rsidR="00AE6A7D" w:rsidRPr="00081DB7" w:rsidRDefault="00847C76" w:rsidP="00081DB7">
      <w:pPr>
        <w:pStyle w:val="Notes"/>
      </w:pPr>
      <w:r w:rsidRPr="00081DB7">
        <w:t xml:space="preserve">Note: </w:t>
      </w:r>
      <w:r w:rsidR="00C24821" w:rsidRPr="00081DB7">
        <w:t>A</w:t>
      </w:r>
      <w:r w:rsidRPr="00081DB7">
        <w:t>s age is determined by the date of supply of the medicine, patients may be counted more than once in each year and therefore numbers of patients older and younger than 80 will be larger than the total number.</w:t>
      </w:r>
      <w:r w:rsidR="00C072C7">
        <w:t xml:space="preserve"> Patients treated in </w:t>
      </w:r>
      <w:r w:rsidR="00E86FE8">
        <w:t>both 2015 and 2016 are counted in each year and cannot be summed.</w:t>
      </w:r>
      <w:r w:rsidR="00E86FE8">
        <w:br/>
        <w:t xml:space="preserve">a: </w:t>
      </w:r>
      <w:r w:rsidR="00C072C7">
        <w:t>Total includes patients treated in November and December 2014 and</w:t>
      </w:r>
      <w:r w:rsidR="00AE6A7D" w:rsidRPr="00081DB7">
        <w:t xml:space="preserve"> </w:t>
      </w:r>
      <w:r w:rsidR="00C072C7">
        <w:t xml:space="preserve">January </w:t>
      </w:r>
      <w:r w:rsidR="00AE6A7D" w:rsidRPr="00081DB7">
        <w:t>to March</w:t>
      </w:r>
      <w:r w:rsidR="00E86FE8">
        <w:t xml:space="preserve"> </w:t>
      </w:r>
      <w:r w:rsidR="00E86FE8" w:rsidRPr="00081DB7">
        <w:t>2017</w:t>
      </w:r>
      <w:r w:rsidR="00AE6A7D" w:rsidRPr="00081DB7">
        <w:t>.</w:t>
      </w:r>
    </w:p>
    <w:p w14:paraId="5F22B4D8" w14:textId="6F2E1437" w:rsidR="00736041" w:rsidRPr="005E22C2" w:rsidRDefault="00D151EB" w:rsidP="00E86FE8">
      <w:pPr>
        <w:pStyle w:val="Heading2"/>
        <w:keepNext/>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09F4F731" w14:textId="1B7E12B8" w:rsidR="00105EB7" w:rsidRDefault="00566ACA" w:rsidP="00A35800">
      <w:r>
        <w:t>Between PBAC recommendation</w:t>
      </w:r>
      <w:r w:rsidR="003B6315">
        <w:t xml:space="preserve"> and PBS listing</w:t>
      </w:r>
      <w:r>
        <w:t xml:space="preserve">, </w:t>
      </w:r>
      <w:r w:rsidR="00105EB7" w:rsidRPr="00105EB7">
        <w:t xml:space="preserve">the </w:t>
      </w:r>
      <w:r w:rsidR="00F560F2">
        <w:t xml:space="preserve">submission’s </w:t>
      </w:r>
      <w:r w:rsidR="00105EB7" w:rsidRPr="00105EB7">
        <w:t xml:space="preserve">estimates </w:t>
      </w:r>
      <w:r w:rsidR="00E86FE8">
        <w:t xml:space="preserve">were updated </w:t>
      </w:r>
      <w:r w:rsidR="00105EB7" w:rsidRPr="00105EB7">
        <w:t xml:space="preserve">to </w:t>
      </w:r>
      <w:r w:rsidR="003B6315">
        <w:t xml:space="preserve">reflect the recommendation of the </w:t>
      </w:r>
      <w:r w:rsidR="00D806C7">
        <w:t>PBAC. Patients with</w:t>
      </w:r>
      <w:r w:rsidR="00105EB7" w:rsidRPr="00105EB7">
        <w:t xml:space="preserve"> locally advanced unresectable cancer and patients with ECOG status of 3</w:t>
      </w:r>
      <w:r w:rsidR="00D806C7">
        <w:t xml:space="preserve"> were excluded from the estimates</w:t>
      </w:r>
      <w:r>
        <w:t xml:space="preserve">, and </w:t>
      </w:r>
      <w:r w:rsidR="00D806C7">
        <w:t>the estimate of vials was changed to</w:t>
      </w:r>
      <w:r>
        <w:t xml:space="preserve"> account </w:t>
      </w:r>
      <w:r w:rsidR="00D806C7">
        <w:t>for the 250 </w:t>
      </w:r>
      <w:r w:rsidR="003B6315">
        <w:t>mg vial not being listed</w:t>
      </w:r>
      <w:r w:rsidR="00105EB7" w:rsidRPr="00105EB7">
        <w:t>.</w:t>
      </w:r>
      <w:r>
        <w:t xml:space="preserve"> </w:t>
      </w:r>
    </w:p>
    <w:p w14:paraId="25A5811E" w14:textId="7F37DD78" w:rsidR="008C64D9" w:rsidRDefault="008C64D9" w:rsidP="00A35800">
      <w:r>
        <w:t>Nab-paclitaxel was listed with a special pricing arrangement, with the effective price</w:t>
      </w:r>
      <w:r w:rsidR="007A6200">
        <w:t xml:space="preserve"> </w:t>
      </w:r>
      <w:r w:rsidR="007A6200" w:rsidRPr="007A6200">
        <w:rPr>
          <w:highlight w:val="black"/>
        </w:rPr>
        <w:t>’’’’’’’’’</w:t>
      </w:r>
      <w:r>
        <w:t xml:space="preserve"> lower than the published DPMQ. </w:t>
      </w:r>
      <w:r w:rsidR="00B07768">
        <w:t xml:space="preserve">Expenditure caps are in place, </w:t>
      </w:r>
      <w:r>
        <w:t xml:space="preserve">which have not been reached. A 5% statutory price reduction was applied to nab-paclitaxel on 1 April 2016. The special pricing arrangement was not changed, so the effective price </w:t>
      </w:r>
      <w:r w:rsidR="00104974">
        <w:t>was also reduced by 5%.</w:t>
      </w:r>
      <w:r>
        <w:t xml:space="preserve"> </w:t>
      </w:r>
    </w:p>
    <w:p w14:paraId="7CBD185E" w14:textId="771D9B60" w:rsidR="001C6278" w:rsidRDefault="004046AE" w:rsidP="001C6278">
      <w:pPr>
        <w:pStyle w:val="Tabletitle"/>
      </w:pPr>
      <w:r>
        <w:lastRenderedPageBreak/>
        <w:t>Table 9</w:t>
      </w:r>
      <w:r w:rsidR="001C6278">
        <w:t xml:space="preserve">: Analysis of actual versus predicted utilisation of nab-paclitaxel for </w:t>
      </w:r>
      <w:r w:rsidR="001C6278" w:rsidRPr="001C6278">
        <w:t>adenocarcinoma of the pancreas</w:t>
      </w:r>
    </w:p>
    <w:tbl>
      <w:tblPr>
        <w:tblW w:w="8662" w:type="dxa"/>
        <w:tblInd w:w="93" w:type="dxa"/>
        <w:tblLayout w:type="fixed"/>
        <w:tblLook w:val="04A0" w:firstRow="1" w:lastRow="0" w:firstColumn="1" w:lastColumn="0" w:noHBand="0" w:noVBand="1"/>
        <w:tblCaption w:val="Analysis of actual versus predicted utilisation of nab-paclitaxel for adenocarcinoma of the pancreas"/>
        <w:tblDescription w:val="Analysis of actual versus predicted utilisation of nab-paclitaxel for adenocarcinoma of the pancreas"/>
      </w:tblPr>
      <w:tblGrid>
        <w:gridCol w:w="1320"/>
        <w:gridCol w:w="1956"/>
        <w:gridCol w:w="1346"/>
        <w:gridCol w:w="1347"/>
        <w:gridCol w:w="1346"/>
        <w:gridCol w:w="1347"/>
      </w:tblGrid>
      <w:tr w:rsidR="001C6278" w:rsidRPr="001C6278" w14:paraId="492AB1B5" w14:textId="77777777" w:rsidTr="00807594">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EFDDA36" w14:textId="77777777" w:rsidR="001C6278" w:rsidRPr="001C6278" w:rsidRDefault="001C6278" w:rsidP="00807594">
            <w:pPr>
              <w:spacing w:after="0"/>
              <w:rPr>
                <w:rFonts w:ascii="Calibri" w:eastAsia="Times New Roman" w:hAnsi="Calibri" w:cs="Times New Roman"/>
                <w:b/>
                <w:color w:val="000000"/>
                <w:sz w:val="20"/>
                <w:szCs w:val="20"/>
              </w:rPr>
            </w:pPr>
            <w:r w:rsidRPr="001C6278">
              <w:rPr>
                <w:rFonts w:ascii="Calibri" w:eastAsia="Times New Roman" w:hAnsi="Calibri" w:cs="Times New Roman"/>
                <w:b/>
                <w:color w:val="000000"/>
                <w:sz w:val="20"/>
                <w:szCs w:val="20"/>
              </w:rPr>
              <w:t> </w:t>
            </w:r>
          </w:p>
        </w:tc>
        <w:tc>
          <w:tcPr>
            <w:tcW w:w="195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BA91B25" w14:textId="77777777" w:rsidR="001C6278" w:rsidRPr="001C6278" w:rsidRDefault="001C6278" w:rsidP="00807594">
            <w:pPr>
              <w:spacing w:after="0"/>
              <w:rPr>
                <w:rFonts w:ascii="Calibri" w:eastAsia="Times New Roman" w:hAnsi="Calibri" w:cs="Times New Roman"/>
                <w:b/>
                <w:color w:val="000000"/>
                <w:sz w:val="20"/>
                <w:szCs w:val="20"/>
              </w:rPr>
            </w:pPr>
            <w:r w:rsidRPr="001C6278">
              <w:rPr>
                <w:rFonts w:ascii="Calibri" w:eastAsia="Times New Roman" w:hAnsi="Calibri" w:cs="Times New Roman"/>
                <w:b/>
                <w:color w:val="000000"/>
                <w:sz w:val="20"/>
                <w:szCs w:val="20"/>
              </w:rPr>
              <w:t> </w:t>
            </w:r>
          </w:p>
        </w:tc>
        <w:tc>
          <w:tcPr>
            <w:tcW w:w="13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182FF87" w14:textId="77777777" w:rsidR="001C6278" w:rsidRPr="001C6278" w:rsidRDefault="001C6278" w:rsidP="00807594">
            <w:pPr>
              <w:spacing w:after="0"/>
              <w:jc w:val="center"/>
              <w:rPr>
                <w:rFonts w:ascii="Calibri" w:eastAsia="Times New Roman" w:hAnsi="Calibri" w:cs="Times New Roman"/>
                <w:b/>
                <w:color w:val="000000"/>
                <w:sz w:val="20"/>
                <w:szCs w:val="20"/>
              </w:rPr>
            </w:pPr>
            <w:r w:rsidRPr="001C6278">
              <w:rPr>
                <w:rFonts w:ascii="Calibri" w:eastAsia="Times New Roman" w:hAnsi="Calibri" w:cs="Times New Roman"/>
                <w:b/>
                <w:color w:val="000000"/>
                <w:sz w:val="20"/>
                <w:szCs w:val="20"/>
              </w:rPr>
              <w:t>2014</w:t>
            </w:r>
          </w:p>
        </w:tc>
        <w:tc>
          <w:tcPr>
            <w:tcW w:w="134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991DAE0" w14:textId="77777777" w:rsidR="001C6278" w:rsidRPr="001C6278" w:rsidRDefault="001C6278" w:rsidP="00807594">
            <w:pPr>
              <w:spacing w:after="0"/>
              <w:jc w:val="center"/>
              <w:rPr>
                <w:rFonts w:ascii="Calibri" w:eastAsia="Times New Roman" w:hAnsi="Calibri" w:cs="Times New Roman"/>
                <w:b/>
                <w:color w:val="000000"/>
                <w:sz w:val="20"/>
                <w:szCs w:val="20"/>
              </w:rPr>
            </w:pPr>
            <w:r w:rsidRPr="001C6278">
              <w:rPr>
                <w:rFonts w:ascii="Calibri" w:eastAsia="Times New Roman" w:hAnsi="Calibri" w:cs="Times New Roman"/>
                <w:b/>
                <w:color w:val="000000"/>
                <w:sz w:val="20"/>
                <w:szCs w:val="20"/>
              </w:rPr>
              <w:t>2015</w:t>
            </w:r>
          </w:p>
        </w:tc>
        <w:tc>
          <w:tcPr>
            <w:tcW w:w="13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B868E60" w14:textId="77777777" w:rsidR="001C6278" w:rsidRPr="001C6278" w:rsidRDefault="001C6278" w:rsidP="00807594">
            <w:pPr>
              <w:spacing w:after="0"/>
              <w:jc w:val="center"/>
              <w:rPr>
                <w:rFonts w:ascii="Calibri" w:eastAsia="Times New Roman" w:hAnsi="Calibri" w:cs="Times New Roman"/>
                <w:b/>
                <w:color w:val="000000"/>
                <w:sz w:val="20"/>
                <w:szCs w:val="20"/>
              </w:rPr>
            </w:pPr>
            <w:r w:rsidRPr="001C6278">
              <w:rPr>
                <w:rFonts w:ascii="Calibri" w:eastAsia="Times New Roman" w:hAnsi="Calibri" w:cs="Times New Roman"/>
                <w:b/>
                <w:color w:val="000000"/>
                <w:sz w:val="20"/>
                <w:szCs w:val="20"/>
              </w:rPr>
              <w:t>2016</w:t>
            </w:r>
          </w:p>
        </w:tc>
        <w:tc>
          <w:tcPr>
            <w:tcW w:w="134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410F242" w14:textId="77777777" w:rsidR="001C6278" w:rsidRPr="001C6278" w:rsidRDefault="001C6278" w:rsidP="00807594">
            <w:pPr>
              <w:spacing w:after="0"/>
              <w:jc w:val="center"/>
              <w:rPr>
                <w:rFonts w:ascii="Calibri" w:eastAsia="Times New Roman" w:hAnsi="Calibri" w:cs="Times New Roman"/>
                <w:b/>
                <w:color w:val="000000"/>
                <w:sz w:val="20"/>
                <w:szCs w:val="20"/>
              </w:rPr>
            </w:pPr>
            <w:r w:rsidRPr="001C6278">
              <w:rPr>
                <w:rFonts w:ascii="Calibri" w:eastAsia="Times New Roman" w:hAnsi="Calibri" w:cs="Times New Roman"/>
                <w:b/>
                <w:color w:val="000000"/>
                <w:sz w:val="20"/>
                <w:szCs w:val="20"/>
              </w:rPr>
              <w:t>2017</w:t>
            </w:r>
          </w:p>
        </w:tc>
      </w:tr>
      <w:tr w:rsidR="001C6278" w:rsidRPr="001C6278" w14:paraId="182FAAC3" w14:textId="77777777" w:rsidTr="00807594">
        <w:trPr>
          <w:trHeight w:val="300"/>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F03D9B" w14:textId="77777777" w:rsidR="001C6278" w:rsidRPr="001C6278" w:rsidRDefault="001C6278" w:rsidP="00807594">
            <w:pPr>
              <w:spacing w:after="0"/>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Patients</w:t>
            </w:r>
          </w:p>
        </w:tc>
        <w:tc>
          <w:tcPr>
            <w:tcW w:w="1956" w:type="dxa"/>
            <w:tcBorders>
              <w:top w:val="nil"/>
              <w:left w:val="nil"/>
              <w:bottom w:val="single" w:sz="4" w:space="0" w:color="auto"/>
              <w:right w:val="single" w:sz="4" w:space="0" w:color="auto"/>
            </w:tcBorders>
            <w:shd w:val="clear" w:color="auto" w:fill="auto"/>
            <w:noWrap/>
            <w:vAlign w:val="center"/>
            <w:hideMark/>
          </w:tcPr>
          <w:p w14:paraId="6C781668" w14:textId="77777777" w:rsidR="001C6278" w:rsidRPr="001C6278" w:rsidRDefault="001C6278" w:rsidP="00807594">
            <w:pPr>
              <w:spacing w:after="0"/>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 xml:space="preserve">Predicted </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56008F56" w14:textId="77777777" w:rsidR="001C6278" w:rsidRPr="001C6278" w:rsidRDefault="001C627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1,508</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6E87C44F" w14:textId="77777777" w:rsidR="001C6278" w:rsidRPr="001C6278" w:rsidRDefault="001C627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1,499</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69830461" w14:textId="77777777" w:rsidR="001C6278" w:rsidRPr="001C6278" w:rsidRDefault="001C627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1,550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624BFCD7" w14:textId="77777777" w:rsidR="001C6278" w:rsidRPr="001C6278" w:rsidRDefault="001C627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1,594</w:t>
            </w:r>
          </w:p>
        </w:tc>
      </w:tr>
      <w:tr w:rsidR="001C6278" w:rsidRPr="001C6278" w14:paraId="660E521B" w14:textId="77777777" w:rsidTr="00807594">
        <w:trPr>
          <w:trHeight w:val="300"/>
        </w:trPr>
        <w:tc>
          <w:tcPr>
            <w:tcW w:w="1320" w:type="dxa"/>
            <w:vMerge/>
            <w:tcBorders>
              <w:top w:val="nil"/>
              <w:left w:val="single" w:sz="4" w:space="0" w:color="auto"/>
              <w:bottom w:val="single" w:sz="4" w:space="0" w:color="auto"/>
              <w:right w:val="single" w:sz="4" w:space="0" w:color="auto"/>
            </w:tcBorders>
            <w:vAlign w:val="center"/>
            <w:hideMark/>
          </w:tcPr>
          <w:p w14:paraId="77B6A878" w14:textId="77777777" w:rsidR="001C6278" w:rsidRPr="001C6278" w:rsidRDefault="001C6278" w:rsidP="00807594">
            <w:pPr>
              <w:spacing w:after="0"/>
              <w:rPr>
                <w:rFonts w:ascii="Calibri" w:eastAsia="Times New Roman" w:hAnsi="Calibri" w:cs="Times New Roman"/>
                <w:color w:val="000000"/>
                <w:sz w:val="20"/>
                <w:szCs w:val="20"/>
              </w:rPr>
            </w:pPr>
          </w:p>
        </w:tc>
        <w:tc>
          <w:tcPr>
            <w:tcW w:w="1956" w:type="dxa"/>
            <w:tcBorders>
              <w:top w:val="nil"/>
              <w:left w:val="nil"/>
              <w:bottom w:val="single" w:sz="4" w:space="0" w:color="auto"/>
              <w:right w:val="single" w:sz="4" w:space="0" w:color="auto"/>
            </w:tcBorders>
            <w:shd w:val="clear" w:color="auto" w:fill="auto"/>
            <w:noWrap/>
            <w:vAlign w:val="center"/>
            <w:hideMark/>
          </w:tcPr>
          <w:p w14:paraId="3569F530" w14:textId="77777777" w:rsidR="001C6278" w:rsidRPr="001C6278" w:rsidRDefault="001C6278" w:rsidP="00807594">
            <w:pPr>
              <w:spacing w:after="0"/>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Actual</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3CEFF400" w14:textId="77777777" w:rsidR="001C6278" w:rsidRPr="001C6278" w:rsidRDefault="001C627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414</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5C707B5D" w14:textId="16692292" w:rsidR="001C6278" w:rsidRPr="001C6278" w:rsidRDefault="001C627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1</w:t>
            </w:r>
            <w:r w:rsidR="003E6CFC">
              <w:rPr>
                <w:rFonts w:ascii="Calibri" w:eastAsia="Times New Roman" w:hAnsi="Calibri" w:cs="Times New Roman"/>
                <w:color w:val="000000"/>
                <w:sz w:val="20"/>
                <w:szCs w:val="20"/>
              </w:rPr>
              <w:t>,</w:t>
            </w:r>
            <w:r w:rsidRPr="001C6278">
              <w:rPr>
                <w:rFonts w:ascii="Calibri" w:eastAsia="Times New Roman" w:hAnsi="Calibri" w:cs="Times New Roman"/>
                <w:color w:val="000000"/>
                <w:sz w:val="20"/>
                <w:szCs w:val="20"/>
              </w:rPr>
              <w:t>599</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6239970B" w14:textId="28BA8410" w:rsidR="001C6278" w:rsidRPr="001C6278" w:rsidRDefault="001C627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1</w:t>
            </w:r>
            <w:r w:rsidR="003E6CFC">
              <w:rPr>
                <w:rFonts w:ascii="Calibri" w:eastAsia="Times New Roman" w:hAnsi="Calibri" w:cs="Times New Roman"/>
                <w:color w:val="000000"/>
                <w:sz w:val="20"/>
                <w:szCs w:val="20"/>
              </w:rPr>
              <w:t>,</w:t>
            </w:r>
            <w:r w:rsidRPr="001C6278">
              <w:rPr>
                <w:rFonts w:ascii="Calibri" w:eastAsia="Times New Roman" w:hAnsi="Calibri" w:cs="Times New Roman"/>
                <w:color w:val="000000"/>
                <w:sz w:val="20"/>
                <w:szCs w:val="20"/>
              </w:rPr>
              <w:t>708</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56646F4A" w14:textId="2F7316ED" w:rsidR="001C6278" w:rsidRPr="001C6278" w:rsidRDefault="00751053" w:rsidP="00807594">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771</w:t>
            </w:r>
          </w:p>
        </w:tc>
      </w:tr>
      <w:tr w:rsidR="001C6278" w:rsidRPr="001C6278" w14:paraId="5789EDB5" w14:textId="77777777" w:rsidTr="00807594">
        <w:trPr>
          <w:trHeight w:val="300"/>
        </w:trPr>
        <w:tc>
          <w:tcPr>
            <w:tcW w:w="1320" w:type="dxa"/>
            <w:vMerge/>
            <w:tcBorders>
              <w:top w:val="nil"/>
              <w:left w:val="single" w:sz="4" w:space="0" w:color="auto"/>
              <w:bottom w:val="single" w:sz="4" w:space="0" w:color="auto"/>
              <w:right w:val="single" w:sz="4" w:space="0" w:color="auto"/>
            </w:tcBorders>
            <w:vAlign w:val="center"/>
            <w:hideMark/>
          </w:tcPr>
          <w:p w14:paraId="4E70C90C" w14:textId="77777777" w:rsidR="001C6278" w:rsidRPr="001C6278" w:rsidRDefault="001C6278" w:rsidP="00807594">
            <w:pPr>
              <w:spacing w:after="0"/>
              <w:rPr>
                <w:rFonts w:ascii="Calibri" w:eastAsia="Times New Roman" w:hAnsi="Calibri" w:cs="Times New Roman"/>
                <w:color w:val="000000"/>
                <w:sz w:val="20"/>
                <w:szCs w:val="20"/>
              </w:rPr>
            </w:pPr>
          </w:p>
        </w:tc>
        <w:tc>
          <w:tcPr>
            <w:tcW w:w="1956" w:type="dxa"/>
            <w:tcBorders>
              <w:top w:val="nil"/>
              <w:left w:val="nil"/>
              <w:bottom w:val="single" w:sz="4" w:space="0" w:color="auto"/>
              <w:right w:val="single" w:sz="4" w:space="0" w:color="auto"/>
            </w:tcBorders>
            <w:shd w:val="clear" w:color="auto" w:fill="auto"/>
            <w:noWrap/>
            <w:vAlign w:val="center"/>
            <w:hideMark/>
          </w:tcPr>
          <w:p w14:paraId="57DDB922" w14:textId="75A349E4" w:rsidR="001C6278" w:rsidRPr="001C6278" w:rsidRDefault="00E86FE8" w:rsidP="00807594">
            <w:pPr>
              <w:spacing w:after="0"/>
              <w:rPr>
                <w:rFonts w:ascii="Calibri" w:eastAsia="Times New Roman" w:hAnsi="Calibri" w:cs="Times New Roman"/>
                <w:color w:val="000000"/>
                <w:sz w:val="20"/>
                <w:szCs w:val="20"/>
              </w:rPr>
            </w:pPr>
            <w:r w:rsidRPr="00E86FE8">
              <w:rPr>
                <w:rFonts w:ascii="Calibri" w:eastAsia="Times New Roman" w:hAnsi="Calibri" w:cs="Times New Roman"/>
                <w:color w:val="000000"/>
                <w:sz w:val="20"/>
                <w:szCs w:val="20"/>
              </w:rPr>
              <w:t>% Difference (A-P)/P</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70143D24" w14:textId="5C0A98F7" w:rsidR="001C6278" w:rsidRPr="001C6278" w:rsidRDefault="001C6278" w:rsidP="00807594">
            <w:pPr>
              <w:spacing w:after="0"/>
              <w:jc w:val="right"/>
              <w:rPr>
                <w:rFonts w:ascii="Calibri" w:eastAsia="Times New Roman" w:hAnsi="Calibri" w:cs="Times New Roman"/>
                <w:color w:val="000000"/>
                <w:sz w:val="20"/>
                <w:szCs w:val="20"/>
              </w:rPr>
            </w:pP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537A8E94" w14:textId="359A48B5" w:rsidR="001C6278" w:rsidRPr="001C6278" w:rsidRDefault="0015287C" w:rsidP="00807594">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001C6278" w:rsidRPr="001C6278">
              <w:rPr>
                <w:rFonts w:ascii="Calibri" w:eastAsia="Times New Roman" w:hAnsi="Calibri" w:cs="Times New Roman"/>
                <w:color w:val="000000"/>
                <w:sz w:val="20"/>
                <w:szCs w:val="20"/>
              </w:rPr>
              <w:t>7%</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1FBCB163" w14:textId="17C648CC" w:rsidR="001C6278" w:rsidRPr="001C6278" w:rsidRDefault="0015287C" w:rsidP="00807594">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001C6278" w:rsidRPr="001C6278">
              <w:rPr>
                <w:rFonts w:ascii="Calibri" w:eastAsia="Times New Roman" w:hAnsi="Calibri" w:cs="Times New Roman"/>
                <w:color w:val="000000"/>
                <w:sz w:val="20"/>
                <w:szCs w:val="20"/>
              </w:rPr>
              <w:t>10%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24EDF2D7" w14:textId="215412F8" w:rsidR="001C6278" w:rsidRPr="001C6278" w:rsidRDefault="001C6278" w:rsidP="00807594">
            <w:pPr>
              <w:spacing w:after="0"/>
              <w:jc w:val="right"/>
              <w:rPr>
                <w:rFonts w:ascii="Calibri" w:eastAsia="Times New Roman" w:hAnsi="Calibri" w:cs="Times New Roman"/>
                <w:color w:val="000000"/>
                <w:sz w:val="20"/>
                <w:szCs w:val="20"/>
              </w:rPr>
            </w:pPr>
          </w:p>
        </w:tc>
      </w:tr>
      <w:tr w:rsidR="001C6278" w:rsidRPr="001C6278" w14:paraId="225F2EDF" w14:textId="77777777" w:rsidTr="00807594">
        <w:trPr>
          <w:trHeight w:val="300"/>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711D28" w14:textId="77777777" w:rsidR="001C6278" w:rsidRPr="001C6278" w:rsidRDefault="001C6278" w:rsidP="00807594">
            <w:pPr>
              <w:spacing w:after="0"/>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Prescriptions</w:t>
            </w:r>
          </w:p>
        </w:tc>
        <w:tc>
          <w:tcPr>
            <w:tcW w:w="1956" w:type="dxa"/>
            <w:tcBorders>
              <w:top w:val="nil"/>
              <w:left w:val="nil"/>
              <w:bottom w:val="single" w:sz="4" w:space="0" w:color="auto"/>
              <w:right w:val="single" w:sz="4" w:space="0" w:color="auto"/>
            </w:tcBorders>
            <w:shd w:val="clear" w:color="auto" w:fill="auto"/>
            <w:noWrap/>
            <w:vAlign w:val="center"/>
            <w:hideMark/>
          </w:tcPr>
          <w:p w14:paraId="4B7870A8" w14:textId="77777777" w:rsidR="001C6278" w:rsidRPr="001C6278" w:rsidRDefault="001C6278" w:rsidP="00807594">
            <w:pPr>
              <w:spacing w:after="0"/>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 xml:space="preserve">Predicted </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6686B0CD" w14:textId="77777777" w:rsidR="001C6278" w:rsidRPr="001C6278" w:rsidRDefault="001C627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20,151</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58398528" w14:textId="77777777" w:rsidR="001C6278" w:rsidRPr="001C6278" w:rsidRDefault="001C627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20,208</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31B643D2" w14:textId="77777777" w:rsidR="001C6278" w:rsidRPr="001C6278" w:rsidRDefault="001C627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20,895</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3854A588" w14:textId="77777777" w:rsidR="001C6278" w:rsidRPr="001C6278" w:rsidRDefault="001C627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21,484</w:t>
            </w:r>
          </w:p>
        </w:tc>
      </w:tr>
      <w:tr w:rsidR="001C6278" w:rsidRPr="001C6278" w14:paraId="040DC3C2" w14:textId="77777777" w:rsidTr="00807594">
        <w:trPr>
          <w:trHeight w:val="300"/>
        </w:trPr>
        <w:tc>
          <w:tcPr>
            <w:tcW w:w="1320" w:type="dxa"/>
            <w:vMerge/>
            <w:tcBorders>
              <w:top w:val="nil"/>
              <w:left w:val="single" w:sz="4" w:space="0" w:color="auto"/>
              <w:bottom w:val="single" w:sz="4" w:space="0" w:color="auto"/>
              <w:right w:val="single" w:sz="4" w:space="0" w:color="auto"/>
            </w:tcBorders>
            <w:vAlign w:val="center"/>
            <w:hideMark/>
          </w:tcPr>
          <w:p w14:paraId="3895DA08" w14:textId="77777777" w:rsidR="001C6278" w:rsidRPr="001C6278" w:rsidRDefault="001C6278" w:rsidP="00807594">
            <w:pPr>
              <w:spacing w:after="0"/>
              <w:rPr>
                <w:rFonts w:ascii="Calibri" w:eastAsia="Times New Roman" w:hAnsi="Calibri" w:cs="Times New Roman"/>
                <w:color w:val="000000"/>
                <w:sz w:val="20"/>
                <w:szCs w:val="20"/>
              </w:rPr>
            </w:pPr>
          </w:p>
        </w:tc>
        <w:tc>
          <w:tcPr>
            <w:tcW w:w="1956" w:type="dxa"/>
            <w:tcBorders>
              <w:top w:val="nil"/>
              <w:left w:val="nil"/>
              <w:bottom w:val="single" w:sz="4" w:space="0" w:color="auto"/>
              <w:right w:val="single" w:sz="4" w:space="0" w:color="auto"/>
            </w:tcBorders>
            <w:shd w:val="clear" w:color="auto" w:fill="auto"/>
            <w:noWrap/>
            <w:vAlign w:val="center"/>
            <w:hideMark/>
          </w:tcPr>
          <w:p w14:paraId="67DA4783" w14:textId="77777777" w:rsidR="001C6278" w:rsidRPr="001C6278" w:rsidRDefault="001C6278" w:rsidP="00807594">
            <w:pPr>
              <w:spacing w:after="0"/>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Actual</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3BF647EE" w14:textId="41C11E77" w:rsidR="001C6278" w:rsidRPr="001C6278" w:rsidRDefault="001C627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1</w:t>
            </w:r>
            <w:r w:rsidR="003E6CFC">
              <w:rPr>
                <w:rFonts w:ascii="Calibri" w:eastAsia="Times New Roman" w:hAnsi="Calibri" w:cs="Times New Roman"/>
                <w:color w:val="000000"/>
                <w:sz w:val="20"/>
                <w:szCs w:val="20"/>
              </w:rPr>
              <w:t>,</w:t>
            </w:r>
            <w:r w:rsidRPr="001C6278">
              <w:rPr>
                <w:rFonts w:ascii="Calibri" w:eastAsia="Times New Roman" w:hAnsi="Calibri" w:cs="Times New Roman"/>
                <w:color w:val="000000"/>
                <w:sz w:val="20"/>
                <w:szCs w:val="20"/>
              </w:rPr>
              <w:t>656</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7232390B" w14:textId="250EBEF9" w:rsidR="001C6278" w:rsidRPr="001C6278" w:rsidRDefault="001C627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15</w:t>
            </w:r>
            <w:r w:rsidR="003E6CFC">
              <w:rPr>
                <w:rFonts w:ascii="Calibri" w:eastAsia="Times New Roman" w:hAnsi="Calibri" w:cs="Times New Roman"/>
                <w:color w:val="000000"/>
                <w:sz w:val="20"/>
                <w:szCs w:val="20"/>
              </w:rPr>
              <w:t>,</w:t>
            </w:r>
            <w:r w:rsidRPr="001C6278">
              <w:rPr>
                <w:rFonts w:ascii="Calibri" w:eastAsia="Times New Roman" w:hAnsi="Calibri" w:cs="Times New Roman"/>
                <w:color w:val="000000"/>
                <w:sz w:val="20"/>
                <w:szCs w:val="20"/>
              </w:rPr>
              <w:t>436</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0BC3550F" w14:textId="675E3B1D" w:rsidR="001C6278" w:rsidRPr="001C6278" w:rsidRDefault="001C627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15</w:t>
            </w:r>
            <w:r w:rsidR="003E6CFC">
              <w:rPr>
                <w:rFonts w:ascii="Calibri" w:eastAsia="Times New Roman" w:hAnsi="Calibri" w:cs="Times New Roman"/>
                <w:color w:val="000000"/>
                <w:sz w:val="20"/>
                <w:szCs w:val="20"/>
              </w:rPr>
              <w:t>,</w:t>
            </w:r>
            <w:r w:rsidRPr="001C6278">
              <w:rPr>
                <w:rFonts w:ascii="Calibri" w:eastAsia="Times New Roman" w:hAnsi="Calibri" w:cs="Times New Roman"/>
                <w:color w:val="000000"/>
                <w:sz w:val="20"/>
                <w:szCs w:val="20"/>
              </w:rPr>
              <w:t>974</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5FA2CFE1" w14:textId="5A5FFCD3" w:rsidR="001C6278" w:rsidRPr="001C6278" w:rsidRDefault="003E6CFC" w:rsidP="00807594">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4,159</w:t>
            </w:r>
          </w:p>
        </w:tc>
      </w:tr>
      <w:tr w:rsidR="00E86FE8" w:rsidRPr="001C6278" w14:paraId="67E0D645" w14:textId="77777777" w:rsidTr="00807594">
        <w:trPr>
          <w:trHeight w:val="300"/>
        </w:trPr>
        <w:tc>
          <w:tcPr>
            <w:tcW w:w="1320" w:type="dxa"/>
            <w:vMerge/>
            <w:tcBorders>
              <w:top w:val="nil"/>
              <w:left w:val="single" w:sz="4" w:space="0" w:color="auto"/>
              <w:bottom w:val="single" w:sz="4" w:space="0" w:color="auto"/>
              <w:right w:val="single" w:sz="4" w:space="0" w:color="auto"/>
            </w:tcBorders>
            <w:vAlign w:val="center"/>
            <w:hideMark/>
          </w:tcPr>
          <w:p w14:paraId="1F1B94DD" w14:textId="77777777" w:rsidR="00E86FE8" w:rsidRPr="001C6278" w:rsidRDefault="00E86FE8" w:rsidP="00807594">
            <w:pPr>
              <w:spacing w:after="0"/>
              <w:rPr>
                <w:rFonts w:ascii="Calibri" w:eastAsia="Times New Roman" w:hAnsi="Calibri" w:cs="Times New Roman"/>
                <w:color w:val="000000"/>
                <w:sz w:val="20"/>
                <w:szCs w:val="20"/>
              </w:rPr>
            </w:pPr>
          </w:p>
        </w:tc>
        <w:tc>
          <w:tcPr>
            <w:tcW w:w="1956" w:type="dxa"/>
            <w:tcBorders>
              <w:top w:val="nil"/>
              <w:left w:val="nil"/>
              <w:bottom w:val="single" w:sz="4" w:space="0" w:color="auto"/>
              <w:right w:val="single" w:sz="4" w:space="0" w:color="auto"/>
            </w:tcBorders>
            <w:shd w:val="clear" w:color="auto" w:fill="auto"/>
            <w:noWrap/>
            <w:vAlign w:val="center"/>
            <w:hideMark/>
          </w:tcPr>
          <w:p w14:paraId="002A9C49" w14:textId="07F175C3" w:rsidR="00E86FE8" w:rsidRPr="001C6278" w:rsidRDefault="00E86FE8" w:rsidP="00807594">
            <w:pPr>
              <w:spacing w:after="0"/>
              <w:rPr>
                <w:rFonts w:ascii="Calibri" w:eastAsia="Times New Roman" w:hAnsi="Calibri" w:cs="Times New Roman"/>
                <w:color w:val="000000"/>
                <w:sz w:val="20"/>
                <w:szCs w:val="20"/>
              </w:rPr>
            </w:pPr>
            <w:r w:rsidRPr="00E86FE8">
              <w:rPr>
                <w:rFonts w:ascii="Calibri" w:eastAsia="Times New Roman" w:hAnsi="Calibri" w:cs="Times New Roman"/>
                <w:color w:val="000000"/>
                <w:sz w:val="20"/>
                <w:szCs w:val="20"/>
              </w:rPr>
              <w:t>% Difference (A-P)/P</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7DBA4042" w14:textId="5BD9219B" w:rsidR="00E86FE8" w:rsidRPr="001C6278" w:rsidRDefault="00E86FE8" w:rsidP="00807594">
            <w:pPr>
              <w:spacing w:after="0"/>
              <w:jc w:val="right"/>
              <w:rPr>
                <w:rFonts w:ascii="Calibri" w:eastAsia="Times New Roman" w:hAnsi="Calibri" w:cs="Times New Roman"/>
                <w:color w:val="000000"/>
                <w:sz w:val="20"/>
                <w:szCs w:val="20"/>
              </w:rPr>
            </w:pP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6D401677" w14:textId="77777777" w:rsidR="00E86FE8" w:rsidRPr="001C6278" w:rsidRDefault="00E86FE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-24%</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4EAAD06F" w14:textId="77777777" w:rsidR="00E86FE8" w:rsidRPr="001C6278" w:rsidRDefault="00E86FE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-24%</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0A0B203F" w14:textId="0DF276DC" w:rsidR="00E86FE8" w:rsidRPr="001C6278" w:rsidRDefault="00E86FE8" w:rsidP="00807594">
            <w:pPr>
              <w:spacing w:after="0"/>
              <w:jc w:val="right"/>
              <w:rPr>
                <w:rFonts w:ascii="Calibri" w:eastAsia="Times New Roman" w:hAnsi="Calibri" w:cs="Times New Roman"/>
                <w:color w:val="000000"/>
                <w:sz w:val="20"/>
                <w:szCs w:val="20"/>
              </w:rPr>
            </w:pPr>
          </w:p>
        </w:tc>
      </w:tr>
      <w:tr w:rsidR="00E86FE8" w:rsidRPr="001C6278" w14:paraId="631B7B0A" w14:textId="77777777" w:rsidTr="00807594">
        <w:trPr>
          <w:trHeight w:val="300"/>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8F68D" w14:textId="77777777" w:rsidR="00E86FE8" w:rsidRPr="001C6278" w:rsidRDefault="00E86FE8" w:rsidP="00807594">
            <w:pPr>
              <w:spacing w:after="0"/>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Vials (100 mg)</w:t>
            </w:r>
          </w:p>
        </w:tc>
        <w:tc>
          <w:tcPr>
            <w:tcW w:w="1956" w:type="dxa"/>
            <w:tcBorders>
              <w:top w:val="nil"/>
              <w:left w:val="nil"/>
              <w:bottom w:val="single" w:sz="4" w:space="0" w:color="auto"/>
              <w:right w:val="single" w:sz="4" w:space="0" w:color="auto"/>
            </w:tcBorders>
            <w:shd w:val="clear" w:color="auto" w:fill="auto"/>
            <w:noWrap/>
            <w:vAlign w:val="center"/>
            <w:hideMark/>
          </w:tcPr>
          <w:p w14:paraId="1C673EC4" w14:textId="77777777" w:rsidR="00E86FE8" w:rsidRPr="001C6278" w:rsidRDefault="00E86FE8" w:rsidP="00807594">
            <w:pPr>
              <w:spacing w:after="0"/>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 xml:space="preserve">Predicted </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3FDF99E1" w14:textId="77777777" w:rsidR="00E86FE8" w:rsidRPr="001C6278" w:rsidRDefault="00E86FE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54,101</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001F1AD1" w14:textId="77777777" w:rsidR="00E86FE8" w:rsidRPr="001C6278" w:rsidRDefault="00E86FE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54,576</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445481BE" w14:textId="77777777" w:rsidR="00E86FE8" w:rsidRPr="001C6278" w:rsidRDefault="00E86FE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56,432</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79022A3E" w14:textId="77777777" w:rsidR="00E86FE8" w:rsidRPr="001C6278" w:rsidRDefault="00E86FE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58,022</w:t>
            </w:r>
          </w:p>
        </w:tc>
      </w:tr>
      <w:tr w:rsidR="00E86FE8" w:rsidRPr="001C6278" w14:paraId="6E8DC52B" w14:textId="77777777" w:rsidTr="00807594">
        <w:trPr>
          <w:trHeight w:val="30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304C2BD7" w14:textId="77777777" w:rsidR="00E86FE8" w:rsidRPr="001C6278" w:rsidRDefault="00E86FE8" w:rsidP="00807594">
            <w:pPr>
              <w:spacing w:after="0"/>
              <w:rPr>
                <w:rFonts w:ascii="Calibri" w:eastAsia="Times New Roman" w:hAnsi="Calibri" w:cs="Times New Roman"/>
                <w:color w:val="000000"/>
                <w:sz w:val="20"/>
                <w:szCs w:val="20"/>
              </w:rPr>
            </w:pPr>
          </w:p>
        </w:tc>
        <w:tc>
          <w:tcPr>
            <w:tcW w:w="1956" w:type="dxa"/>
            <w:tcBorders>
              <w:top w:val="nil"/>
              <w:left w:val="nil"/>
              <w:bottom w:val="single" w:sz="4" w:space="0" w:color="auto"/>
              <w:right w:val="single" w:sz="4" w:space="0" w:color="auto"/>
            </w:tcBorders>
            <w:shd w:val="clear" w:color="auto" w:fill="auto"/>
            <w:noWrap/>
            <w:vAlign w:val="center"/>
            <w:hideMark/>
          </w:tcPr>
          <w:p w14:paraId="753A9E96" w14:textId="77777777" w:rsidR="00E86FE8" w:rsidRPr="001C6278" w:rsidRDefault="00E86FE8" w:rsidP="00807594">
            <w:pPr>
              <w:spacing w:after="0"/>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Actual</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64E2C545" w14:textId="7F29D30D" w:rsidR="00E86FE8" w:rsidRPr="001C6278" w:rsidRDefault="00E86FE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 xml:space="preserve"> 3,909 </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6AB6CDBE" w14:textId="0292A0AC" w:rsidR="00E86FE8" w:rsidRPr="001C6278" w:rsidRDefault="00E86FE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 xml:space="preserve">35,618 </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01FFDE86" w14:textId="4E2A9F34" w:rsidR="00E86FE8" w:rsidRPr="001C6278" w:rsidRDefault="00E86FE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 xml:space="preserve">36,929 </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50086EC1" w14:textId="542A7AFD" w:rsidR="00E86FE8" w:rsidRPr="001C6278" w:rsidRDefault="00E86FE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 xml:space="preserve">9,601 </w:t>
            </w:r>
          </w:p>
        </w:tc>
      </w:tr>
      <w:tr w:rsidR="00E86FE8" w:rsidRPr="001C6278" w14:paraId="60FB6961" w14:textId="77777777" w:rsidTr="00807594">
        <w:trPr>
          <w:trHeight w:val="30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4FD1F868" w14:textId="77777777" w:rsidR="00E86FE8" w:rsidRPr="001C6278" w:rsidRDefault="00E86FE8" w:rsidP="00807594">
            <w:pPr>
              <w:spacing w:after="0"/>
              <w:rPr>
                <w:rFonts w:ascii="Calibri" w:eastAsia="Times New Roman" w:hAnsi="Calibri" w:cs="Times New Roman"/>
                <w:color w:val="000000"/>
                <w:sz w:val="20"/>
                <w:szCs w:val="20"/>
              </w:rPr>
            </w:pPr>
          </w:p>
        </w:tc>
        <w:tc>
          <w:tcPr>
            <w:tcW w:w="1956" w:type="dxa"/>
            <w:tcBorders>
              <w:top w:val="single" w:sz="4" w:space="0" w:color="auto"/>
              <w:left w:val="nil"/>
              <w:bottom w:val="single" w:sz="4" w:space="0" w:color="auto"/>
              <w:right w:val="single" w:sz="4" w:space="0" w:color="auto"/>
            </w:tcBorders>
            <w:shd w:val="clear" w:color="auto" w:fill="auto"/>
            <w:noWrap/>
            <w:vAlign w:val="center"/>
            <w:hideMark/>
          </w:tcPr>
          <w:p w14:paraId="45339C4D" w14:textId="575594EE" w:rsidR="00E86FE8" w:rsidRPr="001C6278" w:rsidRDefault="00E86FE8" w:rsidP="00807594">
            <w:pPr>
              <w:spacing w:after="0"/>
              <w:rPr>
                <w:rFonts w:ascii="Calibri" w:eastAsia="Times New Roman" w:hAnsi="Calibri" w:cs="Times New Roman"/>
                <w:color w:val="000000"/>
                <w:sz w:val="20"/>
                <w:szCs w:val="20"/>
              </w:rPr>
            </w:pPr>
            <w:r w:rsidRPr="00E86FE8">
              <w:rPr>
                <w:rFonts w:ascii="Calibri" w:eastAsia="Times New Roman" w:hAnsi="Calibri" w:cs="Times New Roman"/>
                <w:color w:val="000000"/>
                <w:sz w:val="20"/>
                <w:szCs w:val="20"/>
              </w:rPr>
              <w:t>% Difference (A-P)/P</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68000CBD" w14:textId="31686B8B" w:rsidR="00E86FE8" w:rsidRPr="001C6278" w:rsidRDefault="00E86FE8" w:rsidP="00807594">
            <w:pPr>
              <w:spacing w:after="0"/>
              <w:jc w:val="right"/>
              <w:rPr>
                <w:rFonts w:ascii="Calibri" w:eastAsia="Times New Roman" w:hAnsi="Calibri" w:cs="Times New Roman"/>
                <w:color w:val="000000"/>
                <w:sz w:val="20"/>
                <w:szCs w:val="20"/>
              </w:rPr>
            </w:pP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64F59589" w14:textId="77777777" w:rsidR="00E86FE8" w:rsidRPr="001C6278" w:rsidRDefault="00E86FE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-35%</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3C7691AB" w14:textId="77777777" w:rsidR="00E86FE8" w:rsidRPr="001C6278" w:rsidRDefault="00E86FE8" w:rsidP="00807594">
            <w:pPr>
              <w:spacing w:after="0"/>
              <w:jc w:val="right"/>
              <w:rPr>
                <w:rFonts w:ascii="Calibri" w:eastAsia="Times New Roman" w:hAnsi="Calibri" w:cs="Times New Roman"/>
                <w:color w:val="000000"/>
                <w:sz w:val="20"/>
                <w:szCs w:val="20"/>
              </w:rPr>
            </w:pPr>
            <w:r w:rsidRPr="001C6278">
              <w:rPr>
                <w:rFonts w:ascii="Calibri" w:eastAsia="Times New Roman" w:hAnsi="Calibri" w:cs="Times New Roman"/>
                <w:color w:val="000000"/>
                <w:sz w:val="20"/>
                <w:szCs w:val="20"/>
              </w:rPr>
              <w:t>-35%</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2BBF325A" w14:textId="23CD976E" w:rsidR="00E86FE8" w:rsidRPr="001C6278" w:rsidRDefault="00E86FE8" w:rsidP="00807594">
            <w:pPr>
              <w:spacing w:after="0"/>
              <w:jc w:val="right"/>
              <w:rPr>
                <w:rFonts w:ascii="Calibri" w:eastAsia="Times New Roman" w:hAnsi="Calibri" w:cs="Times New Roman"/>
                <w:color w:val="000000"/>
                <w:sz w:val="20"/>
                <w:szCs w:val="20"/>
              </w:rPr>
            </w:pPr>
          </w:p>
        </w:tc>
      </w:tr>
    </w:tbl>
    <w:p w14:paraId="4C507FA6" w14:textId="77777777" w:rsidR="00105EB7" w:rsidRDefault="00105EB7" w:rsidP="00A35800"/>
    <w:p w14:paraId="619C0B64" w14:textId="0579F714" w:rsidR="008C64D9" w:rsidRDefault="003E6CFC" w:rsidP="003E6CFC">
      <w:r>
        <w:t xml:space="preserve">Patient numbers in 2015 and 2016 were </w:t>
      </w:r>
      <w:r w:rsidR="003C6191">
        <w:t>similar to estimated numbers</w:t>
      </w:r>
      <w:r>
        <w:t xml:space="preserve">. The number of treatments these patients were supplied were much lower than predicted, and the number of vials supplied were lower again. </w:t>
      </w:r>
    </w:p>
    <w:p w14:paraId="473DE682" w14:textId="47AC3BB4" w:rsidR="00105EB7" w:rsidRDefault="00CA6CA5" w:rsidP="00E86FE8">
      <w:pPr>
        <w:pStyle w:val="Heading3"/>
        <w:keepNext/>
      </w:pPr>
      <w:r>
        <w:t>Vials and wastage</w:t>
      </w:r>
    </w:p>
    <w:p w14:paraId="182F22D6" w14:textId="79DC1172" w:rsidR="009435C4" w:rsidRDefault="009435C4" w:rsidP="00AD3ED8">
      <w:r>
        <w:t>When recommending the 100 mg vial of nab-paclitaxel, the PBAC noted that only the 100 </w:t>
      </w:r>
      <w:r w:rsidRPr="009435C4">
        <w:t xml:space="preserve">mg vial of nab-paclitaxel has been approved by the TGA, and considered that the absence of the 250 mg vial may increase wastage. </w:t>
      </w:r>
    </w:p>
    <w:p w14:paraId="13899A88" w14:textId="095A3259" w:rsidR="00566ACA" w:rsidRPr="009435C4" w:rsidRDefault="00566ACA" w:rsidP="00AD3ED8">
      <w:pPr>
        <w:pStyle w:val="Tabletitle"/>
      </w:pPr>
      <w:r>
        <w:t xml:space="preserve">Table </w:t>
      </w:r>
      <w:r w:rsidR="004046AE">
        <w:t>10</w:t>
      </w:r>
      <w:r>
        <w:t>: Vials and wastage of nab-paclitaxel with and without a 250 mg vial listed</w:t>
      </w:r>
    </w:p>
    <w:tbl>
      <w:tblPr>
        <w:tblW w:w="8662" w:type="dxa"/>
        <w:tblInd w:w="93" w:type="dxa"/>
        <w:tblLayout w:type="fixed"/>
        <w:tblLook w:val="04A0" w:firstRow="1" w:lastRow="0" w:firstColumn="1" w:lastColumn="0" w:noHBand="0" w:noVBand="1"/>
        <w:tblCaption w:val="Vials and wastage of nab-paclitaxel with and without a 250 mg vial listed"/>
        <w:tblDescription w:val="Vials and wastage of nab-paclitaxel with and without a 250 mg vial listed"/>
      </w:tblPr>
      <w:tblGrid>
        <w:gridCol w:w="2220"/>
        <w:gridCol w:w="1840"/>
        <w:gridCol w:w="1150"/>
        <w:gridCol w:w="1151"/>
        <w:gridCol w:w="1150"/>
        <w:gridCol w:w="1151"/>
      </w:tblGrid>
      <w:tr w:rsidR="001224D8" w:rsidRPr="006E3D3D" w14:paraId="18CF2D26" w14:textId="77777777" w:rsidTr="00807594">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652B2FE" w14:textId="77777777" w:rsidR="001224D8" w:rsidRPr="006E3D3D" w:rsidRDefault="001224D8" w:rsidP="001224D8">
            <w:pPr>
              <w:spacing w:after="0"/>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 </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DA9862C" w14:textId="77777777" w:rsidR="001224D8" w:rsidRPr="006E3D3D" w:rsidRDefault="001224D8" w:rsidP="001224D8">
            <w:pPr>
              <w:spacing w:after="0"/>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Year</w:t>
            </w:r>
          </w:p>
        </w:tc>
        <w:tc>
          <w:tcPr>
            <w:tcW w:w="11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8D4642" w14:textId="77777777" w:rsidR="001224D8" w:rsidRPr="006E3D3D" w:rsidRDefault="001224D8" w:rsidP="00807594">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2014</w:t>
            </w:r>
          </w:p>
        </w:tc>
        <w:tc>
          <w:tcPr>
            <w:tcW w:w="11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5CD50FB" w14:textId="77777777" w:rsidR="001224D8" w:rsidRPr="006E3D3D" w:rsidRDefault="001224D8" w:rsidP="00807594">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2015</w:t>
            </w:r>
          </w:p>
        </w:tc>
        <w:tc>
          <w:tcPr>
            <w:tcW w:w="11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A88287" w14:textId="77777777" w:rsidR="001224D8" w:rsidRPr="006E3D3D" w:rsidRDefault="001224D8" w:rsidP="00807594">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2016</w:t>
            </w:r>
          </w:p>
        </w:tc>
        <w:tc>
          <w:tcPr>
            <w:tcW w:w="11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A44A9C" w14:textId="77777777" w:rsidR="001224D8" w:rsidRPr="006E3D3D" w:rsidRDefault="001224D8" w:rsidP="00807594">
            <w:pPr>
              <w:spacing w:after="0"/>
              <w:jc w:val="center"/>
              <w:rPr>
                <w:rFonts w:ascii="Calibri" w:eastAsia="Times New Roman" w:hAnsi="Calibri" w:cs="Times New Roman"/>
                <w:b/>
                <w:color w:val="000000"/>
                <w:sz w:val="20"/>
                <w:szCs w:val="20"/>
              </w:rPr>
            </w:pPr>
            <w:r w:rsidRPr="006E3D3D">
              <w:rPr>
                <w:rFonts w:ascii="Calibri" w:eastAsia="Times New Roman" w:hAnsi="Calibri" w:cs="Times New Roman"/>
                <w:b/>
                <w:color w:val="000000"/>
                <w:sz w:val="20"/>
                <w:szCs w:val="20"/>
              </w:rPr>
              <w:t>2017</w:t>
            </w:r>
          </w:p>
        </w:tc>
      </w:tr>
      <w:tr w:rsidR="001224D8" w:rsidRPr="006E3D3D" w14:paraId="1BE6A63D" w14:textId="77777777" w:rsidTr="00807594">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5F03C2A0" w14:textId="77777777" w:rsidR="001224D8" w:rsidRPr="006E3D3D" w:rsidRDefault="001224D8" w:rsidP="001224D8">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With 100 mg vial</w:t>
            </w:r>
          </w:p>
        </w:tc>
        <w:tc>
          <w:tcPr>
            <w:tcW w:w="1840" w:type="dxa"/>
            <w:tcBorders>
              <w:top w:val="nil"/>
              <w:left w:val="nil"/>
              <w:bottom w:val="single" w:sz="4" w:space="0" w:color="auto"/>
              <w:right w:val="single" w:sz="4" w:space="0" w:color="auto"/>
            </w:tcBorders>
            <w:shd w:val="clear" w:color="auto" w:fill="auto"/>
            <w:noWrap/>
            <w:vAlign w:val="center"/>
            <w:hideMark/>
          </w:tcPr>
          <w:p w14:paraId="2E4E5A54" w14:textId="77777777" w:rsidR="001224D8" w:rsidRPr="006E3D3D" w:rsidRDefault="001224D8" w:rsidP="001224D8">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Vials</w:t>
            </w:r>
          </w:p>
        </w:tc>
        <w:tc>
          <w:tcPr>
            <w:tcW w:w="1150" w:type="dxa"/>
            <w:tcBorders>
              <w:top w:val="nil"/>
              <w:left w:val="nil"/>
              <w:bottom w:val="single" w:sz="4" w:space="0" w:color="auto"/>
              <w:right w:val="single" w:sz="4" w:space="0" w:color="auto"/>
            </w:tcBorders>
            <w:shd w:val="clear" w:color="auto" w:fill="auto"/>
            <w:noWrap/>
            <w:vAlign w:val="bottom"/>
            <w:hideMark/>
          </w:tcPr>
          <w:p w14:paraId="0EEC1911" w14:textId="2A95CE7C"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3,909</w:t>
            </w:r>
          </w:p>
        </w:tc>
        <w:tc>
          <w:tcPr>
            <w:tcW w:w="1151" w:type="dxa"/>
            <w:tcBorders>
              <w:top w:val="nil"/>
              <w:left w:val="nil"/>
              <w:bottom w:val="single" w:sz="4" w:space="0" w:color="auto"/>
              <w:right w:val="single" w:sz="4" w:space="0" w:color="auto"/>
            </w:tcBorders>
            <w:shd w:val="clear" w:color="auto" w:fill="auto"/>
            <w:noWrap/>
            <w:vAlign w:val="bottom"/>
            <w:hideMark/>
          </w:tcPr>
          <w:p w14:paraId="128A5EC5" w14:textId="0CA82B67"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35,618</w:t>
            </w:r>
          </w:p>
        </w:tc>
        <w:tc>
          <w:tcPr>
            <w:tcW w:w="1150" w:type="dxa"/>
            <w:tcBorders>
              <w:top w:val="nil"/>
              <w:left w:val="nil"/>
              <w:bottom w:val="single" w:sz="4" w:space="0" w:color="auto"/>
              <w:right w:val="single" w:sz="4" w:space="0" w:color="auto"/>
            </w:tcBorders>
            <w:shd w:val="clear" w:color="auto" w:fill="auto"/>
            <w:noWrap/>
            <w:vAlign w:val="bottom"/>
            <w:hideMark/>
          </w:tcPr>
          <w:p w14:paraId="61626AE1" w14:textId="671E3370"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36,929</w:t>
            </w:r>
          </w:p>
        </w:tc>
        <w:tc>
          <w:tcPr>
            <w:tcW w:w="1151" w:type="dxa"/>
            <w:tcBorders>
              <w:top w:val="nil"/>
              <w:left w:val="nil"/>
              <w:bottom w:val="single" w:sz="4" w:space="0" w:color="auto"/>
              <w:right w:val="single" w:sz="4" w:space="0" w:color="auto"/>
            </w:tcBorders>
            <w:shd w:val="clear" w:color="auto" w:fill="auto"/>
            <w:noWrap/>
            <w:vAlign w:val="bottom"/>
            <w:hideMark/>
          </w:tcPr>
          <w:p w14:paraId="17AB263D" w14:textId="0960F185"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9,601</w:t>
            </w:r>
          </w:p>
        </w:tc>
      </w:tr>
      <w:tr w:rsidR="001224D8" w:rsidRPr="006E3D3D" w14:paraId="1C974F89" w14:textId="77777777" w:rsidTr="00807594">
        <w:trPr>
          <w:trHeight w:val="300"/>
        </w:trPr>
        <w:tc>
          <w:tcPr>
            <w:tcW w:w="2220" w:type="dxa"/>
            <w:vMerge/>
            <w:tcBorders>
              <w:top w:val="nil"/>
              <w:left w:val="single" w:sz="4" w:space="0" w:color="auto"/>
              <w:bottom w:val="single" w:sz="4" w:space="0" w:color="auto"/>
              <w:right w:val="single" w:sz="4" w:space="0" w:color="auto"/>
            </w:tcBorders>
            <w:vAlign w:val="center"/>
            <w:hideMark/>
          </w:tcPr>
          <w:p w14:paraId="7A842ED9" w14:textId="77777777" w:rsidR="001224D8" w:rsidRPr="006E3D3D" w:rsidRDefault="001224D8">
            <w:pPr>
              <w:spacing w:after="0"/>
              <w:rPr>
                <w:rFonts w:ascii="Calibri" w:eastAsia="Times New Roman" w:hAnsi="Calibri" w:cs="Times New Roman"/>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3C063FFB" w14:textId="6639AADD" w:rsidR="001224D8" w:rsidRPr="006E3D3D" w:rsidRDefault="001224D8">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Wastage (mg)</w:t>
            </w:r>
          </w:p>
        </w:tc>
        <w:tc>
          <w:tcPr>
            <w:tcW w:w="1150" w:type="dxa"/>
            <w:tcBorders>
              <w:top w:val="nil"/>
              <w:left w:val="nil"/>
              <w:bottom w:val="single" w:sz="4" w:space="0" w:color="auto"/>
              <w:right w:val="single" w:sz="4" w:space="0" w:color="auto"/>
            </w:tcBorders>
            <w:shd w:val="clear" w:color="auto" w:fill="auto"/>
            <w:noWrap/>
            <w:vAlign w:val="bottom"/>
            <w:hideMark/>
          </w:tcPr>
          <w:p w14:paraId="56D1517B" w14:textId="4287777E"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65,422</w:t>
            </w:r>
          </w:p>
        </w:tc>
        <w:tc>
          <w:tcPr>
            <w:tcW w:w="1151" w:type="dxa"/>
            <w:tcBorders>
              <w:top w:val="nil"/>
              <w:left w:val="nil"/>
              <w:bottom w:val="single" w:sz="4" w:space="0" w:color="auto"/>
              <w:right w:val="single" w:sz="4" w:space="0" w:color="auto"/>
            </w:tcBorders>
            <w:shd w:val="clear" w:color="auto" w:fill="auto"/>
            <w:noWrap/>
            <w:vAlign w:val="bottom"/>
            <w:hideMark/>
          </w:tcPr>
          <w:p w14:paraId="372FB898" w14:textId="61FFE2D4"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596,274</w:t>
            </w:r>
          </w:p>
        </w:tc>
        <w:tc>
          <w:tcPr>
            <w:tcW w:w="1150" w:type="dxa"/>
            <w:tcBorders>
              <w:top w:val="nil"/>
              <w:left w:val="nil"/>
              <w:bottom w:val="single" w:sz="4" w:space="0" w:color="auto"/>
              <w:right w:val="single" w:sz="4" w:space="0" w:color="auto"/>
            </w:tcBorders>
            <w:shd w:val="clear" w:color="auto" w:fill="auto"/>
            <w:noWrap/>
            <w:vAlign w:val="bottom"/>
            <w:hideMark/>
          </w:tcPr>
          <w:p w14:paraId="3CC9820D" w14:textId="30ADD8DA"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667,018</w:t>
            </w:r>
          </w:p>
        </w:tc>
        <w:tc>
          <w:tcPr>
            <w:tcW w:w="1151" w:type="dxa"/>
            <w:tcBorders>
              <w:top w:val="nil"/>
              <w:left w:val="nil"/>
              <w:bottom w:val="single" w:sz="4" w:space="0" w:color="auto"/>
              <w:right w:val="single" w:sz="4" w:space="0" w:color="auto"/>
            </w:tcBorders>
            <w:shd w:val="clear" w:color="auto" w:fill="auto"/>
            <w:noWrap/>
            <w:vAlign w:val="bottom"/>
            <w:hideMark/>
          </w:tcPr>
          <w:p w14:paraId="198EF69B" w14:textId="1864E403"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167,118</w:t>
            </w:r>
          </w:p>
        </w:tc>
      </w:tr>
      <w:tr w:rsidR="001224D8" w:rsidRPr="006E3D3D" w14:paraId="2B39599F" w14:textId="77777777" w:rsidTr="00807594">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73D2E939" w14:textId="77777777" w:rsidR="001224D8" w:rsidRPr="006E3D3D" w:rsidRDefault="001224D8" w:rsidP="001224D8">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With 100 mg and 250 mg vials</w:t>
            </w:r>
          </w:p>
        </w:tc>
        <w:tc>
          <w:tcPr>
            <w:tcW w:w="1840" w:type="dxa"/>
            <w:tcBorders>
              <w:top w:val="nil"/>
              <w:left w:val="nil"/>
              <w:bottom w:val="single" w:sz="4" w:space="0" w:color="auto"/>
              <w:right w:val="single" w:sz="4" w:space="0" w:color="auto"/>
            </w:tcBorders>
            <w:shd w:val="clear" w:color="auto" w:fill="auto"/>
            <w:noWrap/>
            <w:vAlign w:val="center"/>
            <w:hideMark/>
          </w:tcPr>
          <w:p w14:paraId="7D4A2138" w14:textId="77777777" w:rsidR="001224D8" w:rsidRPr="006E3D3D" w:rsidRDefault="001224D8" w:rsidP="001224D8">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100 mg vials</w:t>
            </w:r>
          </w:p>
        </w:tc>
        <w:tc>
          <w:tcPr>
            <w:tcW w:w="1150" w:type="dxa"/>
            <w:tcBorders>
              <w:top w:val="nil"/>
              <w:left w:val="nil"/>
              <w:bottom w:val="single" w:sz="4" w:space="0" w:color="auto"/>
              <w:right w:val="single" w:sz="4" w:space="0" w:color="auto"/>
            </w:tcBorders>
            <w:shd w:val="clear" w:color="auto" w:fill="auto"/>
            <w:noWrap/>
            <w:vAlign w:val="bottom"/>
            <w:hideMark/>
          </w:tcPr>
          <w:p w14:paraId="1FE968BE" w14:textId="718BFF22"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2,026</w:t>
            </w:r>
          </w:p>
        </w:tc>
        <w:tc>
          <w:tcPr>
            <w:tcW w:w="1151" w:type="dxa"/>
            <w:tcBorders>
              <w:top w:val="nil"/>
              <w:left w:val="nil"/>
              <w:bottom w:val="single" w:sz="4" w:space="0" w:color="auto"/>
              <w:right w:val="single" w:sz="4" w:space="0" w:color="auto"/>
            </w:tcBorders>
            <w:shd w:val="clear" w:color="auto" w:fill="auto"/>
            <w:noWrap/>
            <w:vAlign w:val="bottom"/>
            <w:hideMark/>
          </w:tcPr>
          <w:p w14:paraId="5863FD31" w14:textId="501F2A23"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20,630</w:t>
            </w:r>
          </w:p>
        </w:tc>
        <w:tc>
          <w:tcPr>
            <w:tcW w:w="1150" w:type="dxa"/>
            <w:tcBorders>
              <w:top w:val="nil"/>
              <w:left w:val="nil"/>
              <w:bottom w:val="single" w:sz="4" w:space="0" w:color="auto"/>
              <w:right w:val="single" w:sz="4" w:space="0" w:color="auto"/>
            </w:tcBorders>
            <w:shd w:val="clear" w:color="auto" w:fill="auto"/>
            <w:noWrap/>
            <w:vAlign w:val="bottom"/>
            <w:hideMark/>
          </w:tcPr>
          <w:p w14:paraId="0EF5152C" w14:textId="56A0584E"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21,130</w:t>
            </w:r>
          </w:p>
        </w:tc>
        <w:tc>
          <w:tcPr>
            <w:tcW w:w="1151" w:type="dxa"/>
            <w:tcBorders>
              <w:top w:val="nil"/>
              <w:left w:val="nil"/>
              <w:bottom w:val="single" w:sz="4" w:space="0" w:color="auto"/>
              <w:right w:val="single" w:sz="4" w:space="0" w:color="auto"/>
            </w:tcBorders>
            <w:shd w:val="clear" w:color="auto" w:fill="auto"/>
            <w:noWrap/>
            <w:vAlign w:val="bottom"/>
            <w:hideMark/>
          </w:tcPr>
          <w:p w14:paraId="6B3A00B0" w14:textId="11FBF133"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5,535</w:t>
            </w:r>
          </w:p>
        </w:tc>
      </w:tr>
      <w:tr w:rsidR="001224D8" w:rsidRPr="006E3D3D" w14:paraId="6DFC680C" w14:textId="77777777" w:rsidTr="00807594">
        <w:trPr>
          <w:trHeight w:val="300"/>
        </w:trPr>
        <w:tc>
          <w:tcPr>
            <w:tcW w:w="2220" w:type="dxa"/>
            <w:vMerge/>
            <w:tcBorders>
              <w:top w:val="nil"/>
              <w:left w:val="single" w:sz="4" w:space="0" w:color="auto"/>
              <w:bottom w:val="single" w:sz="4" w:space="0" w:color="auto"/>
              <w:right w:val="single" w:sz="4" w:space="0" w:color="auto"/>
            </w:tcBorders>
            <w:vAlign w:val="center"/>
            <w:hideMark/>
          </w:tcPr>
          <w:p w14:paraId="52300200" w14:textId="77777777" w:rsidR="001224D8" w:rsidRPr="006E3D3D" w:rsidRDefault="001224D8">
            <w:pPr>
              <w:spacing w:after="0"/>
              <w:rPr>
                <w:rFonts w:ascii="Calibri" w:eastAsia="Times New Roman" w:hAnsi="Calibri" w:cs="Times New Roman"/>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16C9A0A8" w14:textId="77777777" w:rsidR="001224D8" w:rsidRPr="006E3D3D" w:rsidRDefault="001224D8">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250 mg vials</w:t>
            </w:r>
          </w:p>
        </w:tc>
        <w:tc>
          <w:tcPr>
            <w:tcW w:w="1150" w:type="dxa"/>
            <w:tcBorders>
              <w:top w:val="nil"/>
              <w:left w:val="nil"/>
              <w:bottom w:val="single" w:sz="4" w:space="0" w:color="auto"/>
              <w:right w:val="single" w:sz="4" w:space="0" w:color="auto"/>
            </w:tcBorders>
            <w:shd w:val="clear" w:color="auto" w:fill="auto"/>
            <w:noWrap/>
            <w:vAlign w:val="bottom"/>
            <w:hideMark/>
          </w:tcPr>
          <w:p w14:paraId="5024FAA9" w14:textId="77777777"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650</w:t>
            </w:r>
          </w:p>
        </w:tc>
        <w:tc>
          <w:tcPr>
            <w:tcW w:w="1151" w:type="dxa"/>
            <w:tcBorders>
              <w:top w:val="nil"/>
              <w:left w:val="nil"/>
              <w:bottom w:val="single" w:sz="4" w:space="0" w:color="auto"/>
              <w:right w:val="single" w:sz="4" w:space="0" w:color="auto"/>
            </w:tcBorders>
            <w:shd w:val="clear" w:color="auto" w:fill="auto"/>
            <w:noWrap/>
            <w:vAlign w:val="bottom"/>
            <w:hideMark/>
          </w:tcPr>
          <w:p w14:paraId="35B116FD" w14:textId="77777777"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5212</w:t>
            </w:r>
          </w:p>
        </w:tc>
        <w:tc>
          <w:tcPr>
            <w:tcW w:w="1150" w:type="dxa"/>
            <w:tcBorders>
              <w:top w:val="nil"/>
              <w:left w:val="nil"/>
              <w:bottom w:val="single" w:sz="4" w:space="0" w:color="auto"/>
              <w:right w:val="single" w:sz="4" w:space="0" w:color="auto"/>
            </w:tcBorders>
            <w:shd w:val="clear" w:color="auto" w:fill="auto"/>
            <w:noWrap/>
            <w:vAlign w:val="bottom"/>
            <w:hideMark/>
          </w:tcPr>
          <w:p w14:paraId="65CBA978" w14:textId="77777777"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5519</w:t>
            </w:r>
          </w:p>
        </w:tc>
        <w:tc>
          <w:tcPr>
            <w:tcW w:w="1151" w:type="dxa"/>
            <w:tcBorders>
              <w:top w:val="nil"/>
              <w:left w:val="nil"/>
              <w:bottom w:val="single" w:sz="4" w:space="0" w:color="auto"/>
              <w:right w:val="single" w:sz="4" w:space="0" w:color="auto"/>
            </w:tcBorders>
            <w:shd w:val="clear" w:color="auto" w:fill="auto"/>
            <w:noWrap/>
            <w:vAlign w:val="bottom"/>
            <w:hideMark/>
          </w:tcPr>
          <w:p w14:paraId="51315E53" w14:textId="2B2DAABD"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1,403</w:t>
            </w:r>
          </w:p>
        </w:tc>
      </w:tr>
      <w:tr w:rsidR="001224D8" w:rsidRPr="006E3D3D" w14:paraId="5EB72564" w14:textId="77777777" w:rsidTr="00807594">
        <w:trPr>
          <w:trHeight w:val="300"/>
        </w:trPr>
        <w:tc>
          <w:tcPr>
            <w:tcW w:w="2220" w:type="dxa"/>
            <w:vMerge/>
            <w:tcBorders>
              <w:top w:val="nil"/>
              <w:left w:val="single" w:sz="4" w:space="0" w:color="auto"/>
              <w:bottom w:val="single" w:sz="4" w:space="0" w:color="auto"/>
              <w:right w:val="single" w:sz="4" w:space="0" w:color="auto"/>
            </w:tcBorders>
            <w:vAlign w:val="center"/>
            <w:hideMark/>
          </w:tcPr>
          <w:p w14:paraId="073082A8" w14:textId="77777777" w:rsidR="001224D8" w:rsidRPr="006E3D3D" w:rsidRDefault="001224D8">
            <w:pPr>
              <w:spacing w:after="0"/>
              <w:rPr>
                <w:rFonts w:ascii="Calibri" w:eastAsia="Times New Roman" w:hAnsi="Calibri" w:cs="Times New Roman"/>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6B1128E4" w14:textId="2DF334B4" w:rsidR="001224D8" w:rsidRPr="006E3D3D" w:rsidRDefault="001224D8">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Wastage (mg)</w:t>
            </w:r>
          </w:p>
        </w:tc>
        <w:tc>
          <w:tcPr>
            <w:tcW w:w="1150" w:type="dxa"/>
            <w:tcBorders>
              <w:top w:val="nil"/>
              <w:left w:val="nil"/>
              <w:bottom w:val="single" w:sz="4" w:space="0" w:color="auto"/>
              <w:right w:val="single" w:sz="4" w:space="0" w:color="auto"/>
            </w:tcBorders>
            <w:shd w:val="clear" w:color="auto" w:fill="auto"/>
            <w:noWrap/>
            <w:vAlign w:val="bottom"/>
            <w:hideMark/>
          </w:tcPr>
          <w:p w14:paraId="0C5AA612" w14:textId="22C7B676"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39,622</w:t>
            </w:r>
          </w:p>
        </w:tc>
        <w:tc>
          <w:tcPr>
            <w:tcW w:w="1151" w:type="dxa"/>
            <w:tcBorders>
              <w:top w:val="nil"/>
              <w:left w:val="nil"/>
              <w:bottom w:val="single" w:sz="4" w:space="0" w:color="auto"/>
              <w:right w:val="single" w:sz="4" w:space="0" w:color="auto"/>
            </w:tcBorders>
            <w:shd w:val="clear" w:color="auto" w:fill="auto"/>
            <w:noWrap/>
            <w:vAlign w:val="bottom"/>
            <w:hideMark/>
          </w:tcPr>
          <w:p w14:paraId="0CA1C1F4" w14:textId="62AF9120"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400,474</w:t>
            </w:r>
          </w:p>
        </w:tc>
        <w:tc>
          <w:tcPr>
            <w:tcW w:w="1150" w:type="dxa"/>
            <w:tcBorders>
              <w:top w:val="nil"/>
              <w:left w:val="nil"/>
              <w:bottom w:val="single" w:sz="4" w:space="0" w:color="auto"/>
              <w:right w:val="single" w:sz="4" w:space="0" w:color="auto"/>
            </w:tcBorders>
            <w:shd w:val="clear" w:color="auto" w:fill="auto"/>
            <w:noWrap/>
            <w:vAlign w:val="bottom"/>
            <w:hideMark/>
          </w:tcPr>
          <w:p w14:paraId="349A7712" w14:textId="045F64AD"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466,868</w:t>
            </w:r>
          </w:p>
        </w:tc>
        <w:tc>
          <w:tcPr>
            <w:tcW w:w="1151" w:type="dxa"/>
            <w:tcBorders>
              <w:top w:val="nil"/>
              <w:left w:val="nil"/>
              <w:bottom w:val="single" w:sz="4" w:space="0" w:color="auto"/>
              <w:right w:val="single" w:sz="4" w:space="0" w:color="auto"/>
            </w:tcBorders>
            <w:shd w:val="clear" w:color="auto" w:fill="auto"/>
            <w:noWrap/>
            <w:vAlign w:val="bottom"/>
            <w:hideMark/>
          </w:tcPr>
          <w:p w14:paraId="24D6C7AE" w14:textId="5AA5F17A"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111,268</w:t>
            </w:r>
          </w:p>
        </w:tc>
      </w:tr>
      <w:tr w:rsidR="001224D8" w:rsidRPr="006E3D3D" w14:paraId="7EFDB411" w14:textId="77777777" w:rsidTr="00807594">
        <w:trPr>
          <w:trHeight w:val="300"/>
        </w:trPr>
        <w:tc>
          <w:tcPr>
            <w:tcW w:w="4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1374C" w14:textId="44F60A3A" w:rsidR="001224D8" w:rsidRPr="006E3D3D" w:rsidRDefault="001224D8" w:rsidP="001224D8">
            <w:pPr>
              <w:spacing w:after="0"/>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Wastage difference (mg)</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37C317DB" w14:textId="65F1FB2A"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25,800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14:paraId="5276FDB5" w14:textId="0F3D785E"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195,800</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39EFD7BB" w14:textId="443F5629"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200,150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14:paraId="4133E5A5" w14:textId="4CD93C95" w:rsidR="001224D8" w:rsidRPr="006E3D3D" w:rsidRDefault="001224D8" w:rsidP="001224D8">
            <w:pPr>
              <w:spacing w:after="0"/>
              <w:jc w:val="right"/>
              <w:rPr>
                <w:rFonts w:ascii="Calibri" w:eastAsia="Times New Roman" w:hAnsi="Calibri" w:cs="Times New Roman"/>
                <w:color w:val="000000"/>
                <w:sz w:val="20"/>
                <w:szCs w:val="20"/>
              </w:rPr>
            </w:pPr>
            <w:r w:rsidRPr="006E3D3D">
              <w:rPr>
                <w:rFonts w:ascii="Calibri" w:eastAsia="Times New Roman" w:hAnsi="Calibri" w:cs="Times New Roman"/>
                <w:color w:val="000000"/>
                <w:sz w:val="20"/>
                <w:szCs w:val="20"/>
              </w:rPr>
              <w:t>55,850</w:t>
            </w:r>
          </w:p>
        </w:tc>
      </w:tr>
    </w:tbl>
    <w:p w14:paraId="0F569E76" w14:textId="77777777" w:rsidR="00CA6CA5" w:rsidRDefault="00CA6CA5" w:rsidP="00A35800">
      <w:pPr>
        <w:rPr>
          <w:highlight w:val="yellow"/>
        </w:rPr>
      </w:pPr>
    </w:p>
    <w:p w14:paraId="04C0FA6A" w14:textId="2BECEF83" w:rsidR="00EE66CD" w:rsidRDefault="00EE66CD" w:rsidP="00A35800">
      <w:pPr>
        <w:rPr>
          <w:highlight w:val="yellow"/>
        </w:rPr>
      </w:pPr>
      <w:r>
        <w:t>This analysis confirms that drug wastage would be less if the 250 mg vial had been listed.</w:t>
      </w:r>
    </w:p>
    <w:p w14:paraId="3555DFBA" w14:textId="60E8E761" w:rsidR="00591512" w:rsidRDefault="00AB3733" w:rsidP="00F73113">
      <w:pPr>
        <w:pStyle w:val="Heading1"/>
      </w:pPr>
      <w:r>
        <w:t>D</w:t>
      </w:r>
      <w:r w:rsidR="007346C7" w:rsidRPr="005E22C2">
        <w:t>iscussion</w:t>
      </w:r>
    </w:p>
    <w:p w14:paraId="5619B50E" w14:textId="7949B8E7" w:rsidR="00CB4687" w:rsidRDefault="00C97A9B" w:rsidP="00E86FE8">
      <w:pPr>
        <w:tabs>
          <w:tab w:val="left" w:pos="3550"/>
        </w:tabs>
      </w:pPr>
      <w:r>
        <w:t xml:space="preserve">Pancreatic adenocarcinoma is often not diagnosed until it has spread to other organs and is classified as stage IV (metastatic) adenocarcinoma of the pancreas. </w:t>
      </w:r>
      <w:r w:rsidR="007408E6" w:rsidRPr="004F2FFA">
        <w:t xml:space="preserve">The </w:t>
      </w:r>
      <w:r w:rsidR="00B832E3" w:rsidRPr="004F2FFA">
        <w:t xml:space="preserve">number of treated patients was similar to expected. The </w:t>
      </w:r>
      <w:r w:rsidR="00DD0CE2" w:rsidRPr="004F2FFA">
        <w:t xml:space="preserve">use of </w:t>
      </w:r>
      <w:r w:rsidR="007408E6" w:rsidRPr="004F2FFA">
        <w:t xml:space="preserve">Australian cancer </w:t>
      </w:r>
      <w:r w:rsidR="00DD0CE2" w:rsidRPr="004F2FFA">
        <w:t xml:space="preserve">incidence </w:t>
      </w:r>
      <w:r w:rsidR="007408E6" w:rsidRPr="004F2FFA">
        <w:t xml:space="preserve">projections from the AIHW </w:t>
      </w:r>
      <w:r w:rsidR="00B832E3" w:rsidRPr="004F2FFA">
        <w:t xml:space="preserve">therefore </w:t>
      </w:r>
      <w:r w:rsidR="00DD0CE2" w:rsidRPr="004F2FFA">
        <w:t xml:space="preserve">appears to have been a reasonable and accurate source of </w:t>
      </w:r>
      <w:r w:rsidR="007408E6" w:rsidRPr="004F2FFA">
        <w:t xml:space="preserve">likely </w:t>
      </w:r>
      <w:r w:rsidR="00DD0CE2" w:rsidRPr="004F2FFA">
        <w:t>patient numbers.</w:t>
      </w:r>
      <w:r w:rsidR="007408E6" w:rsidRPr="004F2FFA">
        <w:t xml:space="preserve"> </w:t>
      </w:r>
      <w:r w:rsidRPr="004F2FFA">
        <w:t>The number of prevalent</w:t>
      </w:r>
      <w:r>
        <w:t xml:space="preserve"> treated patients does not appear to be growing, which is to be expected in metastatic disease</w:t>
      </w:r>
      <w:r w:rsidR="00E86FE8">
        <w:t xml:space="preserve"> with poor prognosis</w:t>
      </w:r>
      <w:r>
        <w:t>.</w:t>
      </w:r>
    </w:p>
    <w:p w14:paraId="45CA2A2C" w14:textId="2FA723FC" w:rsidR="00DD0CE2" w:rsidRDefault="00DD0CE2" w:rsidP="00E86FE8">
      <w:pPr>
        <w:tabs>
          <w:tab w:val="left" w:pos="3550"/>
        </w:tabs>
      </w:pPr>
      <w:r>
        <w:lastRenderedPageBreak/>
        <w:t xml:space="preserve">The high and rapid uptake of </w:t>
      </w:r>
      <w:r w:rsidR="003E72E1">
        <w:t xml:space="preserve">PBS listed </w:t>
      </w:r>
      <w:r>
        <w:t xml:space="preserve">nab-paclitaxel within the pancreatic cancer market </w:t>
      </w:r>
      <w:r w:rsidR="004F2FFA">
        <w:t>i</w:t>
      </w:r>
      <w:r w:rsidR="007408E6">
        <w:t xml:space="preserve">s reasonable given the lack of other available treatments for pancreatic cancer, and the estimated number of patients receiving treatment through the access program at the time of listing. </w:t>
      </w:r>
    </w:p>
    <w:p w14:paraId="5C9AF0AE" w14:textId="19329234" w:rsidR="003E72E1" w:rsidRDefault="00E86FE8" w:rsidP="003E72E1">
      <w:r>
        <w:t>The data indicates a substantial proportion of use is at reduced dose. One third of subsequent doses</w:t>
      </w:r>
      <w:r w:rsidR="003E72E1" w:rsidRPr="00AA6B01">
        <w:t xml:space="preserve"> were </w:t>
      </w:r>
      <w:r w:rsidR="003E72E1">
        <w:t>lower than the initiating dose</w:t>
      </w:r>
      <w:r w:rsidR="003E72E1" w:rsidRPr="00AA6B01">
        <w:t xml:space="preserve">. </w:t>
      </w:r>
      <w:r w:rsidR="003E72E1" w:rsidRPr="0073402E">
        <w:t xml:space="preserve">The submission noted that the trial allowed patients to dose reduce, however the format of the submission estimates make it difficult to compare the number of patients who </w:t>
      </w:r>
      <w:r>
        <w:t>required dose reductions</w:t>
      </w:r>
      <w:r w:rsidR="003E72E1" w:rsidRPr="0073402E">
        <w:t xml:space="preserve"> or the amount of the dose reductions.</w:t>
      </w:r>
      <w:r w:rsidR="003E72E1">
        <w:t xml:space="preserve"> </w:t>
      </w:r>
    </w:p>
    <w:p w14:paraId="3C84BF65" w14:textId="05A936C3" w:rsidR="003E72E1" w:rsidRDefault="003E72E1" w:rsidP="003E72E1">
      <w:r>
        <w:t xml:space="preserve">The graph of time to resupply suggests patients are mostly following the recommended dosing schedule of receiving treatments on days 1, 8, and 15 of each 28 day cycle. Where treatments are administered later than 7 or 14 days, the highest occurrence is treatments 21 and 28 days after the last supply. This is likely due to patients being treated on the same day of the week, but </w:t>
      </w:r>
      <w:r w:rsidR="006E3D3D">
        <w:t>with a delay of</w:t>
      </w:r>
      <w:r>
        <w:t xml:space="preserve"> one or two weeks. </w:t>
      </w:r>
      <w:r w:rsidR="006E3D3D">
        <w:t>This pattern could also be due to differences between the date the prescription was dispensed by the pharmacy and the date the medicine was administered to the patient.</w:t>
      </w:r>
    </w:p>
    <w:p w14:paraId="1217CE44" w14:textId="2CF40D42" w:rsidR="003E72E1" w:rsidRDefault="003E72E1" w:rsidP="003E72E1">
      <w:r>
        <w:t>The</w:t>
      </w:r>
      <w:r w:rsidRPr="0038375D">
        <w:t xml:space="preserve"> median number of doses administered in the nab-paclitaxel/gemcitabine arm </w:t>
      </w:r>
      <w:r>
        <w:t xml:space="preserve">of the trial </w:t>
      </w:r>
      <w:r w:rsidRPr="0038375D">
        <w:t>was 12 doses</w:t>
      </w:r>
      <w:r>
        <w:t>, which is equivalent to</w:t>
      </w:r>
      <w:r w:rsidRPr="0038375D">
        <w:t xml:space="preserve"> four full treatment cycles</w:t>
      </w:r>
      <w:r>
        <w:t>. The median length of treatment in the trial was 119 days</w:t>
      </w:r>
      <w:r w:rsidR="00B832E3">
        <w:t>, which is equivalent to 4.25 28 day treatment cycles</w:t>
      </w:r>
      <w:r>
        <w:t xml:space="preserve">. </w:t>
      </w:r>
    </w:p>
    <w:p w14:paraId="08815BDE" w14:textId="3753C8DC" w:rsidR="003E72E1" w:rsidRDefault="003E72E1" w:rsidP="003E72E1">
      <w:r>
        <w:t xml:space="preserve">In the PBS data, when breaks were included, the treatment duration was similar to the duration predicted by the trial. </w:t>
      </w:r>
      <w:r w:rsidR="00B832E3">
        <w:t>W</w:t>
      </w:r>
      <w:r>
        <w:t xml:space="preserve">hen discontinuation was assumed to have occurred after a break of more than 42 days, 20% of patients were assumed to have stopped treatment earlier, and the median length of treatment decreased by three weeks. </w:t>
      </w:r>
    </w:p>
    <w:p w14:paraId="4BAF5CFC" w14:textId="20556A13" w:rsidR="003E72E1" w:rsidRDefault="003E72E1" w:rsidP="003E72E1">
      <w:r>
        <w:t>The proportion of patients with dose delays</w:t>
      </w:r>
      <w:r w:rsidR="00B832E3">
        <w:t xml:space="preserve"> longer than 42 days</w:t>
      </w:r>
      <w:r>
        <w:t xml:space="preserve"> (20%) </w:t>
      </w:r>
      <w:r w:rsidR="00B832E3">
        <w:t xml:space="preserve">and the proportion of treatments which are dose reductions (30%) </w:t>
      </w:r>
      <w:r>
        <w:t xml:space="preserve">may explain the </w:t>
      </w:r>
      <w:r w:rsidR="0015287C">
        <w:t>lower than predicted number of prescriptions (24%) and lower than predicted number of vials (35%)</w:t>
      </w:r>
      <w:r>
        <w:t xml:space="preserve"> </w:t>
      </w:r>
      <w:r w:rsidR="0015287C">
        <w:t xml:space="preserve">in 2015 and 2016. It is likely dose reductions are due to </w:t>
      </w:r>
      <w:r w:rsidR="00B832E3">
        <w:t xml:space="preserve">drug related </w:t>
      </w:r>
      <w:r w:rsidR="0015287C">
        <w:t>adverse events, such as neutropenia and thrombocytopenia</w:t>
      </w:r>
      <w:r w:rsidR="00B832E3">
        <w:t>,</w:t>
      </w:r>
      <w:r w:rsidR="0015287C">
        <w:t xml:space="preserve"> as outlined in the PI. </w:t>
      </w:r>
      <w:r>
        <w:t xml:space="preserve">Dose delays or treatment breaks may be due to drug related adverse events, other </w:t>
      </w:r>
      <w:r w:rsidR="0015287C">
        <w:t>disease related</w:t>
      </w:r>
      <w:r>
        <w:t xml:space="preserve"> events, or other reasons. It is not possible to determine the reason from PBS data. </w:t>
      </w:r>
    </w:p>
    <w:p w14:paraId="7D590DEA" w14:textId="71BD39E9" w:rsidR="00CB4687" w:rsidRDefault="0015287C" w:rsidP="00F1132C">
      <w:r>
        <w:t xml:space="preserve">Given the course of the disease, it is likely future use </w:t>
      </w:r>
      <w:r w:rsidR="006E3D3D">
        <w:t xml:space="preserve">for pancreatic cancer </w:t>
      </w:r>
      <w:r>
        <w:t>will remain at or close to the current level. Use may be displaced if new therapies</w:t>
      </w:r>
      <w:r w:rsidR="006E3D3D">
        <w:t xml:space="preserve"> </w:t>
      </w:r>
      <w:r>
        <w:t xml:space="preserve">are </w:t>
      </w:r>
      <w:r w:rsidR="009C5E21">
        <w:t xml:space="preserve">PBS </w:t>
      </w:r>
      <w:r>
        <w:t>listed</w:t>
      </w:r>
      <w:r w:rsidR="009C5E21">
        <w:t>. This possibility is likely several years away</w:t>
      </w:r>
      <w:r w:rsidR="004F2FFA">
        <w:t xml:space="preserve">, </w:t>
      </w:r>
      <w:r w:rsidR="009C5E21">
        <w:t>as</w:t>
      </w:r>
      <w:r w:rsidR="004F2FFA">
        <w:t xml:space="preserve"> investigation </w:t>
      </w:r>
      <w:r w:rsidR="006E3D3D">
        <w:t>into several</w:t>
      </w:r>
      <w:r w:rsidR="00EE0C01">
        <w:t xml:space="preserve"> to be named drugs </w:t>
      </w:r>
      <w:r w:rsidR="00B356FA">
        <w:t xml:space="preserve">do not appear to have reached </w:t>
      </w:r>
      <w:r w:rsidR="00EE0C01">
        <w:t>phase II</w:t>
      </w:r>
      <w:r w:rsidR="00B356FA">
        <w:t>I</w:t>
      </w:r>
      <w:r w:rsidR="00EE0C01">
        <w:t xml:space="preserve"> of clinical trials</w:t>
      </w:r>
      <w:r w:rsidR="009C5E21">
        <w:t>.</w:t>
      </w:r>
      <w:r w:rsidR="009C5E21">
        <w:rPr>
          <w:rStyle w:val="FootnoteReference"/>
        </w:rPr>
        <w:footnoteReference w:id="4"/>
      </w:r>
      <w:r>
        <w:t xml:space="preserve"> </w:t>
      </w:r>
    </w:p>
    <w:p w14:paraId="40311CA8" w14:textId="77777777" w:rsidR="009E14DF" w:rsidRDefault="009E14DF" w:rsidP="009E14DF">
      <w:pPr>
        <w:pStyle w:val="Heading1"/>
      </w:pPr>
      <w:r>
        <w:lastRenderedPageBreak/>
        <w:t>DUSC consideration</w:t>
      </w:r>
    </w:p>
    <w:p w14:paraId="658B107E" w14:textId="77777777" w:rsidR="00AB71AA" w:rsidRDefault="00AB71AA" w:rsidP="00AB71AA">
      <w:r>
        <w:t xml:space="preserve">DUSC noted the number of prevalent patients had stabilised after 6 months of listing. DUSC commented it was expected that for most patients there would not be long term or ongoing treatment due to the poor prognosis of pancreatic cancer. </w:t>
      </w:r>
    </w:p>
    <w:p w14:paraId="00F111C3" w14:textId="77777777" w:rsidR="00AB71AA" w:rsidRDefault="00AB71AA" w:rsidP="00AB71AA">
      <w:r>
        <w:t>DUSC noted the report found that the number of patients was very similar to predicted, but the number of vials and prescriptions were lower than predicted. DUSC noted the analysis of dose reductions presented in the report and agreed dose reductions are likely related to side effects or disease related issues. DUSC considered that dose reductions may explain some of the differences between predicted and actual use. DUSC noted the length of treatment analysis showed peaks of prescription refill at 21 and 29 days and considered that this is likely due to toxicity and treatment breaks before further supply. DUSC commented that PBS patients are likely to be older and sicker than the clinical trial patients, and considered these results make sense in the context of treating pancreatic cancer in practice.</w:t>
      </w:r>
    </w:p>
    <w:p w14:paraId="187406FF" w14:textId="77777777" w:rsidR="00AB71AA" w:rsidRDefault="00AB71AA" w:rsidP="00AB71AA">
      <w:r>
        <w:t>DUSC considered that the risk of use outside of the PBS restriction, for example in patients with an ECOG performance status greater than 2, was very small, as patients would need to be reasonably fit to be treated with dual therapy.</w:t>
      </w:r>
    </w:p>
    <w:p w14:paraId="64E65343" w14:textId="77777777" w:rsidR="00AB71AA" w:rsidRDefault="00AB71AA" w:rsidP="00AB71AA">
      <w:r>
        <w:t>DUSC noted that not all components of standard first line aggressive treatment for pancreatic cancer, FOLIFIRINOX (folinic acid, fluorouracil, irinotecan and oxaliplatin), were subsidised through the PBS for pancreatic cancer at the time that nab-paclitaxel was being considered for listing on the PBS. Since this time these listings have become unrestricted and may be prescribed through the PBS for pancreatic cancer. DUSC considered use may be affected by the changing of chemotherapy restrictions to unrestricted listings. However, DUSC noted patients treated with FOLIFIRINOX (folinic acid, fluorouracil, irinotecan and oxaliplatin) would not be able to access PBS nab-paclitaxel in second line. DUSC noted there are no other new drugs that are close to Phase III trials.</w:t>
      </w:r>
    </w:p>
    <w:p w14:paraId="4CDD60B7" w14:textId="2D1A0C65" w:rsidR="00AB71AA" w:rsidRPr="00286C3A" w:rsidRDefault="00AB71AA" w:rsidP="009E14DF">
      <w:r>
        <w:t>DUSC noted the wastage analysis presented in the report, which calculated a 250 mg vial would result in approximately a third less wastage. DUSC considered this was an issue as the large vial size was expected at the time of listing.</w:t>
      </w:r>
    </w:p>
    <w:p w14:paraId="11B54067" w14:textId="1724E559" w:rsidR="009E14DF" w:rsidRDefault="009E14DF" w:rsidP="009E14DF">
      <w:pPr>
        <w:pStyle w:val="Heading1"/>
      </w:pPr>
      <w:r>
        <w:t>DUSC actions</w:t>
      </w:r>
    </w:p>
    <w:p w14:paraId="6FB73D8B" w14:textId="77777777" w:rsidR="00AB71AA" w:rsidRPr="00AB71AA" w:rsidRDefault="00AB71AA" w:rsidP="00AB71AA">
      <w:pPr>
        <w:pStyle w:val="ListParagraph"/>
        <w:numPr>
          <w:ilvl w:val="0"/>
          <w:numId w:val="6"/>
        </w:numPr>
        <w:spacing w:after="0"/>
      </w:pPr>
      <w:r w:rsidRPr="00AB71AA">
        <w:t xml:space="preserve">DUSC requested that the report be provided to the PBAC. </w:t>
      </w:r>
    </w:p>
    <w:p w14:paraId="5B5A52C2" w14:textId="0479CCD0" w:rsidR="00AB71AA" w:rsidRPr="00AB71AA" w:rsidRDefault="00AB71AA" w:rsidP="00AB71AA">
      <w:pPr>
        <w:pStyle w:val="ListParagraph"/>
        <w:numPr>
          <w:ilvl w:val="0"/>
          <w:numId w:val="6"/>
        </w:numPr>
        <w:spacing w:after="0"/>
      </w:pPr>
      <w:r w:rsidRPr="00AB71AA">
        <w:t xml:space="preserve">DUSC requested the PBAC should consider whether to refer the matter of the lack of a 250 mg vial leading to wastage to the Department to address with the sponsor. </w:t>
      </w:r>
    </w:p>
    <w:p w14:paraId="39D85FE9" w14:textId="77777777" w:rsidR="009E14DF" w:rsidRDefault="009E14DF" w:rsidP="009E14DF">
      <w:pPr>
        <w:pStyle w:val="Heading1"/>
      </w:pPr>
      <w:r w:rsidRPr="0092516A">
        <w:t>Context for analysis</w:t>
      </w:r>
    </w:p>
    <w:p w14:paraId="3CE44B4E" w14:textId="77777777" w:rsidR="009E14DF" w:rsidRDefault="009E14DF" w:rsidP="009E14DF">
      <w:r>
        <w:t>The DUSC is a Sub Committee of the Pharmaceutical Benefits Advisory Committee (PBAC). The DUSC assesses estimates on projected usage and financial cost of medicines.</w:t>
      </w:r>
    </w:p>
    <w:p w14:paraId="1D29CB20" w14:textId="77777777" w:rsidR="009E14DF" w:rsidRDefault="009E14DF" w:rsidP="009E14DF">
      <w:r>
        <w:lastRenderedPageBreak/>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676251A8" w14:textId="77777777" w:rsidR="009E14DF" w:rsidRDefault="009E14DF" w:rsidP="009E14DF">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41E37B5D" w14:textId="77777777" w:rsidR="009E14DF" w:rsidRDefault="009E14DF" w:rsidP="009E14DF">
      <w:r>
        <w:t>The utilisation analysis report was provided to the pharmaceutical sponsors of each drug and comments on the report were provided to DUSC prior to its consideration of the analysis.</w:t>
      </w:r>
    </w:p>
    <w:p w14:paraId="4F0076C0" w14:textId="77777777" w:rsidR="009E14DF" w:rsidRDefault="009E14DF" w:rsidP="009E14DF">
      <w:pPr>
        <w:pStyle w:val="Heading1"/>
      </w:pPr>
      <w:r>
        <w:t>Sponsor</w:t>
      </w:r>
      <w:r w:rsidRPr="0092516A">
        <w:t>s</w:t>
      </w:r>
      <w:r>
        <w:t>’</w:t>
      </w:r>
      <w:r w:rsidRPr="0092516A">
        <w:t xml:space="preserve"> comments</w:t>
      </w:r>
    </w:p>
    <w:p w14:paraId="5FD88707" w14:textId="1E68FFED" w:rsidR="009E14DF" w:rsidRDefault="004876F9" w:rsidP="009E14DF">
      <w:r w:rsidRPr="004876F9">
        <w:t>Specialised</w:t>
      </w:r>
      <w:r>
        <w:t xml:space="preserve"> Therapeutics Australia Pty Ltd:</w:t>
      </w:r>
      <w:r w:rsidR="00EB2D7A">
        <w:t xml:space="preserve"> </w:t>
      </w:r>
      <w:r w:rsidR="00EB2D7A" w:rsidRPr="00EB2D7A">
        <w:t>The sponsor has no comment</w:t>
      </w:r>
      <w:r w:rsidR="00EB2D7A">
        <w:t>.</w:t>
      </w:r>
    </w:p>
    <w:p w14:paraId="10C10B3C" w14:textId="77777777" w:rsidR="009E14DF" w:rsidRDefault="009E14DF" w:rsidP="009E14DF">
      <w:pPr>
        <w:pStyle w:val="Heading1"/>
      </w:pPr>
      <w:r w:rsidRPr="00A4020E">
        <w:t>Disclaimer</w:t>
      </w:r>
    </w:p>
    <w:p w14:paraId="58D8C1A8" w14:textId="77777777" w:rsidR="009E14DF" w:rsidRDefault="009E14DF" w:rsidP="009E14DF">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0E8A211A" w14:textId="77777777" w:rsidR="009E14DF" w:rsidRDefault="009E14DF" w:rsidP="009E14DF">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64249877" w14:textId="77777777" w:rsidR="009E14DF" w:rsidRDefault="009E14DF" w:rsidP="009E14DF">
      <w:r>
        <w:t xml:space="preserve">To the extent provided by law, DoH makes no warranties or representations as to accuracy or completeness of information contained in this report. </w:t>
      </w:r>
    </w:p>
    <w:p w14:paraId="30F7386A" w14:textId="54F608C7" w:rsidR="00336816" w:rsidRPr="0033504C" w:rsidRDefault="009E14DF" w:rsidP="004876F9">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sectPr w:rsidR="00336816" w:rsidRPr="0033504C" w:rsidSect="00DD188C">
      <w:footerReference w:type="even" r:id="rId17"/>
      <w:footerReference w:type="default" r:id="rId18"/>
      <w:footerReference w:type="first" r:id="rId19"/>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9E14DF" w:rsidRDefault="009E14DF" w:rsidP="00A35800">
      <w:r>
        <w:separator/>
      </w:r>
    </w:p>
  </w:endnote>
  <w:endnote w:type="continuationSeparator" w:id="0">
    <w:p w14:paraId="45A4A8C8" w14:textId="77777777" w:rsidR="009E14DF" w:rsidRDefault="009E14DF"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9E14DF" w:rsidRDefault="009E14DF"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9E14DF" w:rsidRDefault="009E14DF"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0682B98" w14:textId="3A47E799" w:rsidR="009E14DF" w:rsidRPr="000E72C6" w:rsidRDefault="009E14DF" w:rsidP="000E72C6">
            <w:pPr>
              <w:pStyle w:val="Footer"/>
              <w:jc w:val="center"/>
              <w:rPr>
                <w:i/>
                <w:sz w:val="20"/>
              </w:rPr>
            </w:pPr>
            <w:r w:rsidRPr="009E14DF">
              <w:rPr>
                <w:i/>
                <w:sz w:val="20"/>
              </w:rPr>
              <w:t xml:space="preserve">Public Release Document, </w:t>
            </w:r>
            <w:r>
              <w:rPr>
                <w:i/>
                <w:sz w:val="20"/>
              </w:rPr>
              <w:t>September 2017</w:t>
            </w:r>
            <w:r w:rsidRPr="009E14DF">
              <w:rPr>
                <w:i/>
                <w:sz w:val="20"/>
              </w:rPr>
              <w:t xml:space="preserve"> DUSC Meeting</w:t>
            </w:r>
          </w:p>
          <w:p w14:paraId="10292A9A" w14:textId="30D9EF26" w:rsidR="009E14DF" w:rsidRDefault="009E14DF"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3E64A8">
              <w:rPr>
                <w:bCs/>
                <w:i/>
                <w:noProof/>
                <w:sz w:val="20"/>
              </w:rPr>
              <w:t>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3E64A8">
              <w:rPr>
                <w:bCs/>
                <w:i/>
                <w:noProof/>
                <w:sz w:val="20"/>
              </w:rPr>
              <w:t>15</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22E1F" w14:textId="77777777" w:rsidR="009E14DF" w:rsidRDefault="009E14DF" w:rsidP="007A5733">
    <w:pPr>
      <w:pStyle w:val="Footer"/>
      <w:jc w:val="center"/>
      <w:rPr>
        <w:rStyle w:val="PageNumber"/>
      </w:rPr>
    </w:pPr>
    <w:r>
      <w:rPr>
        <w:rStyle w:val="PageNumber"/>
      </w:rPr>
      <w:t>Committee-in-Confidence</w:t>
    </w:r>
  </w:p>
  <w:p w14:paraId="3CE6880B" w14:textId="77777777" w:rsidR="009E14DF" w:rsidRDefault="009E14DF"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9E14DF" w:rsidRDefault="009E14DF" w:rsidP="00A35800">
      <w:r>
        <w:separator/>
      </w:r>
    </w:p>
  </w:footnote>
  <w:footnote w:type="continuationSeparator" w:id="0">
    <w:p w14:paraId="7E2CA1E4" w14:textId="77777777" w:rsidR="009E14DF" w:rsidRDefault="009E14DF" w:rsidP="00A35800">
      <w:r>
        <w:continuationSeparator/>
      </w:r>
    </w:p>
  </w:footnote>
  <w:footnote w:id="1">
    <w:p w14:paraId="0B03AA35" w14:textId="411B5BD4" w:rsidR="009E14DF" w:rsidRDefault="009E14DF">
      <w:pPr>
        <w:pStyle w:val="FootnoteText"/>
      </w:pPr>
      <w:r>
        <w:rPr>
          <w:rStyle w:val="FootnoteReference"/>
        </w:rPr>
        <w:footnoteRef/>
      </w:r>
      <w:r>
        <w:t xml:space="preserve"> </w:t>
      </w:r>
      <w:r w:rsidRPr="003267E7">
        <w:t>National Cancer In</w:t>
      </w:r>
      <w:r>
        <w:t xml:space="preserve">stitute, updated 23 December 2016, accessed 19 July2017. Available from: </w:t>
      </w:r>
      <w:hyperlink r:id="rId1" w:history="1">
        <w:r w:rsidRPr="002630DF">
          <w:rPr>
            <w:rStyle w:val="Hyperlink"/>
          </w:rPr>
          <w:t>https://www.cancer.gov</w:t>
        </w:r>
      </w:hyperlink>
      <w:r>
        <w:t xml:space="preserve"> </w:t>
      </w:r>
    </w:p>
  </w:footnote>
  <w:footnote w:id="2">
    <w:p w14:paraId="29F4212E" w14:textId="676BAF27" w:rsidR="009E14DF" w:rsidRDefault="009E14DF">
      <w:pPr>
        <w:pStyle w:val="FootnoteText"/>
      </w:pPr>
      <w:r>
        <w:rPr>
          <w:rStyle w:val="FootnoteReference"/>
        </w:rPr>
        <w:footnoteRef/>
      </w:r>
      <w:r>
        <w:t xml:space="preserve"> Abraxane® (n</w:t>
      </w:r>
      <w:r w:rsidRPr="00B40519">
        <w:t>anopa</w:t>
      </w:r>
      <w:r>
        <w:t xml:space="preserve">rticle albumin-bound paclitaxel), Public Summary Document, March 2014, </w:t>
      </w:r>
      <w:hyperlink r:id="rId2" w:history="1">
        <w:r w:rsidRPr="00E037FC">
          <w:rPr>
            <w:rStyle w:val="Hyperlink"/>
          </w:rPr>
          <w:t>http://www.pbs.gov.au/info/industry/listing/elements/pbac-meetings/psd/2014-03/paclitaxel-nanoparticle-albumin-bound-psd-03-2014</w:t>
        </w:r>
      </w:hyperlink>
      <w:r>
        <w:t xml:space="preserve"> </w:t>
      </w:r>
    </w:p>
  </w:footnote>
  <w:footnote w:id="3">
    <w:p w14:paraId="763A7D2F" w14:textId="48097438" w:rsidR="009E14DF" w:rsidRDefault="009E14DF">
      <w:pPr>
        <w:pStyle w:val="FootnoteText"/>
      </w:pPr>
      <w:r>
        <w:rPr>
          <w:rStyle w:val="FootnoteReference"/>
        </w:rPr>
        <w:footnoteRef/>
      </w:r>
      <w:r>
        <w:t xml:space="preserve"> Abraxane® (n</w:t>
      </w:r>
      <w:r w:rsidRPr="00B40519">
        <w:t>anopa</w:t>
      </w:r>
      <w:r>
        <w:t xml:space="preserve">rticle albumin-bound paclitaxel), </w:t>
      </w:r>
      <w:r>
        <w:rPr>
          <w:szCs w:val="18"/>
        </w:rPr>
        <w:t xml:space="preserve">Australian Approved </w:t>
      </w:r>
      <w:r w:rsidRPr="00B40519">
        <w:t>Product Information</w:t>
      </w:r>
      <w:r>
        <w:t>, East Kew VIC:</w:t>
      </w:r>
      <w:r w:rsidRPr="003267E7">
        <w:t xml:space="preserve"> </w:t>
      </w:r>
      <w:r w:rsidRPr="00B40519">
        <w:t>Abraxis BioScience Australia Pty Ltd</w:t>
      </w:r>
      <w:r>
        <w:t>. Approved</w:t>
      </w:r>
      <w:r w:rsidRPr="003267E7">
        <w:t xml:space="preserve"> 17 October 2008</w:t>
      </w:r>
      <w:r>
        <w:t xml:space="preserve">, updated </w:t>
      </w:r>
      <w:r w:rsidRPr="00B40519">
        <w:t>3 September 2015</w:t>
      </w:r>
      <w:r>
        <w:t xml:space="preserve">. Available from </w:t>
      </w:r>
      <w:hyperlink r:id="rId3" w:history="1">
        <w:r w:rsidRPr="002630DF">
          <w:rPr>
            <w:rStyle w:val="Hyperlink"/>
          </w:rPr>
          <w:t>https://www.ebs.tga.gov.au/ebs/picmi/picmirepository.nsf/pdf?OpenAgent&amp;id=CP-2009-PI-01102-3&amp;d=2017071916114622483</w:t>
        </w:r>
      </w:hyperlink>
    </w:p>
  </w:footnote>
  <w:footnote w:id="4">
    <w:p w14:paraId="62DE84A9" w14:textId="6AA40B01" w:rsidR="009E14DF" w:rsidRDefault="009E14DF">
      <w:pPr>
        <w:pStyle w:val="FootnoteText"/>
      </w:pPr>
      <w:r>
        <w:rPr>
          <w:rStyle w:val="FootnoteReference"/>
        </w:rPr>
        <w:footnoteRef/>
      </w:r>
      <w:r>
        <w:t xml:space="preserve"> </w:t>
      </w:r>
      <w:r w:rsidRPr="009C5E21">
        <w:t>National Library of Medicine (NLM)</w:t>
      </w:r>
      <w:r>
        <w:t xml:space="preserve">, </w:t>
      </w:r>
      <w:hyperlink r:id="rId4" w:history="1">
        <w:r w:rsidRPr="008311E2">
          <w:rPr>
            <w:rStyle w:val="Hyperlink"/>
          </w:rPr>
          <w:t>https://clinicaltrials.gov/ct2/results?cond=adenocarcinoma+of+the+pancreas&amp;term=&amp;cntry1=&amp;state1=&amp;Search=Search</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A7787"/>
    <w:multiLevelType w:val="hybridMultilevel"/>
    <w:tmpl w:val="9AEAAB0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D0A02AC"/>
    <w:multiLevelType w:val="hybridMultilevel"/>
    <w:tmpl w:val="5254D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60AC7BCF"/>
    <w:multiLevelType w:val="hybridMultilevel"/>
    <w:tmpl w:val="F9082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7E85"/>
    <w:rsid w:val="00013465"/>
    <w:rsid w:val="00015BBB"/>
    <w:rsid w:val="000226B3"/>
    <w:rsid w:val="00024549"/>
    <w:rsid w:val="00034CF5"/>
    <w:rsid w:val="00035B1E"/>
    <w:rsid w:val="0004762B"/>
    <w:rsid w:val="000544B6"/>
    <w:rsid w:val="000604AF"/>
    <w:rsid w:val="0006365B"/>
    <w:rsid w:val="000700E7"/>
    <w:rsid w:val="00081DB7"/>
    <w:rsid w:val="0008305B"/>
    <w:rsid w:val="00086C11"/>
    <w:rsid w:val="00090177"/>
    <w:rsid w:val="00093B2C"/>
    <w:rsid w:val="00094DCF"/>
    <w:rsid w:val="000A64DE"/>
    <w:rsid w:val="000A6CFD"/>
    <w:rsid w:val="000B088A"/>
    <w:rsid w:val="000B0982"/>
    <w:rsid w:val="000B796C"/>
    <w:rsid w:val="000C46BB"/>
    <w:rsid w:val="000C4D9D"/>
    <w:rsid w:val="000C5851"/>
    <w:rsid w:val="000C7C4B"/>
    <w:rsid w:val="000C7D8B"/>
    <w:rsid w:val="000D4067"/>
    <w:rsid w:val="000D7C29"/>
    <w:rsid w:val="000E09C7"/>
    <w:rsid w:val="000E485D"/>
    <w:rsid w:val="000E5A34"/>
    <w:rsid w:val="000E72C6"/>
    <w:rsid w:val="000F1893"/>
    <w:rsid w:val="000F2F51"/>
    <w:rsid w:val="00104974"/>
    <w:rsid w:val="00105EB7"/>
    <w:rsid w:val="00113CF8"/>
    <w:rsid w:val="00113D74"/>
    <w:rsid w:val="00117C5C"/>
    <w:rsid w:val="00122482"/>
    <w:rsid w:val="001224D8"/>
    <w:rsid w:val="00125D62"/>
    <w:rsid w:val="0012644C"/>
    <w:rsid w:val="001310AE"/>
    <w:rsid w:val="001420B3"/>
    <w:rsid w:val="00143307"/>
    <w:rsid w:val="001460C4"/>
    <w:rsid w:val="0015287C"/>
    <w:rsid w:val="0015691C"/>
    <w:rsid w:val="001621F7"/>
    <w:rsid w:val="001624D7"/>
    <w:rsid w:val="001639AB"/>
    <w:rsid w:val="00177B86"/>
    <w:rsid w:val="00182585"/>
    <w:rsid w:val="00185B38"/>
    <w:rsid w:val="00191182"/>
    <w:rsid w:val="0019664D"/>
    <w:rsid w:val="001A08FE"/>
    <w:rsid w:val="001A3358"/>
    <w:rsid w:val="001A6103"/>
    <w:rsid w:val="001B122D"/>
    <w:rsid w:val="001B5D37"/>
    <w:rsid w:val="001C2940"/>
    <w:rsid w:val="001C4016"/>
    <w:rsid w:val="001C5424"/>
    <w:rsid w:val="001C548D"/>
    <w:rsid w:val="001C6278"/>
    <w:rsid w:val="001C6A5D"/>
    <w:rsid w:val="001E31A6"/>
    <w:rsid w:val="001E42C7"/>
    <w:rsid w:val="001E4CAB"/>
    <w:rsid w:val="001E5628"/>
    <w:rsid w:val="001F0A4E"/>
    <w:rsid w:val="001F2F3E"/>
    <w:rsid w:val="001F4906"/>
    <w:rsid w:val="001F6C10"/>
    <w:rsid w:val="001F7C4A"/>
    <w:rsid w:val="002022C4"/>
    <w:rsid w:val="0020578A"/>
    <w:rsid w:val="00207631"/>
    <w:rsid w:val="00213C4D"/>
    <w:rsid w:val="00214013"/>
    <w:rsid w:val="00220FC1"/>
    <w:rsid w:val="00222E9A"/>
    <w:rsid w:val="0023179D"/>
    <w:rsid w:val="00240AC6"/>
    <w:rsid w:val="00245A62"/>
    <w:rsid w:val="0025389D"/>
    <w:rsid w:val="00254E02"/>
    <w:rsid w:val="0025754A"/>
    <w:rsid w:val="0026265F"/>
    <w:rsid w:val="00286C3A"/>
    <w:rsid w:val="00292205"/>
    <w:rsid w:val="002930F5"/>
    <w:rsid w:val="002A06B7"/>
    <w:rsid w:val="002C2459"/>
    <w:rsid w:val="002C6E0C"/>
    <w:rsid w:val="002D0F53"/>
    <w:rsid w:val="002D144A"/>
    <w:rsid w:val="002D2BD5"/>
    <w:rsid w:val="002E19A3"/>
    <w:rsid w:val="002E212B"/>
    <w:rsid w:val="002E3337"/>
    <w:rsid w:val="002E6D03"/>
    <w:rsid w:val="002F2C1E"/>
    <w:rsid w:val="002F49A8"/>
    <w:rsid w:val="002F5E66"/>
    <w:rsid w:val="002F61CA"/>
    <w:rsid w:val="0030010D"/>
    <w:rsid w:val="00303C23"/>
    <w:rsid w:val="00314C67"/>
    <w:rsid w:val="00321512"/>
    <w:rsid w:val="00322C8C"/>
    <w:rsid w:val="003267E7"/>
    <w:rsid w:val="00333EB0"/>
    <w:rsid w:val="00334A6C"/>
    <w:rsid w:val="0033504C"/>
    <w:rsid w:val="00336816"/>
    <w:rsid w:val="003370D0"/>
    <w:rsid w:val="00337355"/>
    <w:rsid w:val="00337738"/>
    <w:rsid w:val="003402E4"/>
    <w:rsid w:val="00340F95"/>
    <w:rsid w:val="003475D6"/>
    <w:rsid w:val="003531ED"/>
    <w:rsid w:val="00360B9A"/>
    <w:rsid w:val="00361D98"/>
    <w:rsid w:val="003779B8"/>
    <w:rsid w:val="0038375D"/>
    <w:rsid w:val="0039017F"/>
    <w:rsid w:val="00394AEE"/>
    <w:rsid w:val="00395D8C"/>
    <w:rsid w:val="003B6315"/>
    <w:rsid w:val="003C2098"/>
    <w:rsid w:val="003C2D98"/>
    <w:rsid w:val="003C6191"/>
    <w:rsid w:val="003D0598"/>
    <w:rsid w:val="003D3A96"/>
    <w:rsid w:val="003D3B9C"/>
    <w:rsid w:val="003D3D2A"/>
    <w:rsid w:val="003D6600"/>
    <w:rsid w:val="003E64A8"/>
    <w:rsid w:val="003E6CFC"/>
    <w:rsid w:val="003E72E1"/>
    <w:rsid w:val="003F2D30"/>
    <w:rsid w:val="004046AE"/>
    <w:rsid w:val="00404F03"/>
    <w:rsid w:val="00412051"/>
    <w:rsid w:val="00422FBE"/>
    <w:rsid w:val="00423B94"/>
    <w:rsid w:val="00433E6A"/>
    <w:rsid w:val="004479EB"/>
    <w:rsid w:val="00454038"/>
    <w:rsid w:val="00456B69"/>
    <w:rsid w:val="00463731"/>
    <w:rsid w:val="0046400A"/>
    <w:rsid w:val="00467B25"/>
    <w:rsid w:val="00471D87"/>
    <w:rsid w:val="00481108"/>
    <w:rsid w:val="004876F9"/>
    <w:rsid w:val="0049042B"/>
    <w:rsid w:val="00495473"/>
    <w:rsid w:val="004A458E"/>
    <w:rsid w:val="004A5E23"/>
    <w:rsid w:val="004B1287"/>
    <w:rsid w:val="004B23E7"/>
    <w:rsid w:val="004B306F"/>
    <w:rsid w:val="004C3186"/>
    <w:rsid w:val="004C3534"/>
    <w:rsid w:val="004C5042"/>
    <w:rsid w:val="004E4422"/>
    <w:rsid w:val="004F2FFA"/>
    <w:rsid w:val="004F48E1"/>
    <w:rsid w:val="00503998"/>
    <w:rsid w:val="0050623B"/>
    <w:rsid w:val="00523181"/>
    <w:rsid w:val="00524D13"/>
    <w:rsid w:val="005339F6"/>
    <w:rsid w:val="00540BDC"/>
    <w:rsid w:val="00552675"/>
    <w:rsid w:val="005613FE"/>
    <w:rsid w:val="00566ACA"/>
    <w:rsid w:val="00571888"/>
    <w:rsid w:val="0057538C"/>
    <w:rsid w:val="005761CA"/>
    <w:rsid w:val="00576B18"/>
    <w:rsid w:val="00577CE3"/>
    <w:rsid w:val="00587724"/>
    <w:rsid w:val="005905B2"/>
    <w:rsid w:val="00591512"/>
    <w:rsid w:val="005A6176"/>
    <w:rsid w:val="005B2D91"/>
    <w:rsid w:val="005B48B4"/>
    <w:rsid w:val="005C6661"/>
    <w:rsid w:val="005C6E3B"/>
    <w:rsid w:val="005D0E0D"/>
    <w:rsid w:val="005D474B"/>
    <w:rsid w:val="005E085C"/>
    <w:rsid w:val="005E0981"/>
    <w:rsid w:val="005E147D"/>
    <w:rsid w:val="005E22C2"/>
    <w:rsid w:val="005E57BB"/>
    <w:rsid w:val="005F0017"/>
    <w:rsid w:val="006014F1"/>
    <w:rsid w:val="0061357B"/>
    <w:rsid w:val="00614A7D"/>
    <w:rsid w:val="0063631C"/>
    <w:rsid w:val="0063757B"/>
    <w:rsid w:val="006377CE"/>
    <w:rsid w:val="0064111F"/>
    <w:rsid w:val="006464ED"/>
    <w:rsid w:val="006537D9"/>
    <w:rsid w:val="00660ECA"/>
    <w:rsid w:val="00664A48"/>
    <w:rsid w:val="00665DEF"/>
    <w:rsid w:val="00675BB1"/>
    <w:rsid w:val="006775F1"/>
    <w:rsid w:val="00680715"/>
    <w:rsid w:val="006858DE"/>
    <w:rsid w:val="00692AA7"/>
    <w:rsid w:val="00697FEC"/>
    <w:rsid w:val="006A175F"/>
    <w:rsid w:val="006A44F5"/>
    <w:rsid w:val="006B4537"/>
    <w:rsid w:val="006B5F85"/>
    <w:rsid w:val="006B6929"/>
    <w:rsid w:val="006B709B"/>
    <w:rsid w:val="006C54AF"/>
    <w:rsid w:val="006D3093"/>
    <w:rsid w:val="006E0181"/>
    <w:rsid w:val="006E3D3D"/>
    <w:rsid w:val="006E5D40"/>
    <w:rsid w:val="00700C0E"/>
    <w:rsid w:val="00704022"/>
    <w:rsid w:val="00705DAD"/>
    <w:rsid w:val="007247B9"/>
    <w:rsid w:val="00727D85"/>
    <w:rsid w:val="007346C7"/>
    <w:rsid w:val="00736041"/>
    <w:rsid w:val="007408C7"/>
    <w:rsid w:val="007408E6"/>
    <w:rsid w:val="007447B5"/>
    <w:rsid w:val="007465DA"/>
    <w:rsid w:val="00751053"/>
    <w:rsid w:val="00751A5A"/>
    <w:rsid w:val="00752C7F"/>
    <w:rsid w:val="00766E9D"/>
    <w:rsid w:val="00767220"/>
    <w:rsid w:val="00776598"/>
    <w:rsid w:val="00792948"/>
    <w:rsid w:val="00796E84"/>
    <w:rsid w:val="007A3ADE"/>
    <w:rsid w:val="007A5733"/>
    <w:rsid w:val="007A5774"/>
    <w:rsid w:val="007A6200"/>
    <w:rsid w:val="007B539F"/>
    <w:rsid w:val="007D1453"/>
    <w:rsid w:val="007F735E"/>
    <w:rsid w:val="00801E74"/>
    <w:rsid w:val="00803D94"/>
    <w:rsid w:val="0080485E"/>
    <w:rsid w:val="00807594"/>
    <w:rsid w:val="008142B4"/>
    <w:rsid w:val="0081455B"/>
    <w:rsid w:val="0081540C"/>
    <w:rsid w:val="00832324"/>
    <w:rsid w:val="00835337"/>
    <w:rsid w:val="00837E53"/>
    <w:rsid w:val="00846DCD"/>
    <w:rsid w:val="00847C76"/>
    <w:rsid w:val="00851D85"/>
    <w:rsid w:val="00860CCB"/>
    <w:rsid w:val="008740A3"/>
    <w:rsid w:val="0089297B"/>
    <w:rsid w:val="008C2230"/>
    <w:rsid w:val="008C36CA"/>
    <w:rsid w:val="008C64D9"/>
    <w:rsid w:val="008E3F8C"/>
    <w:rsid w:val="008E7057"/>
    <w:rsid w:val="00900186"/>
    <w:rsid w:val="00902FD0"/>
    <w:rsid w:val="009053D3"/>
    <w:rsid w:val="0090691F"/>
    <w:rsid w:val="0093111F"/>
    <w:rsid w:val="00935689"/>
    <w:rsid w:val="009435C4"/>
    <w:rsid w:val="009521A0"/>
    <w:rsid w:val="0095303B"/>
    <w:rsid w:val="00962105"/>
    <w:rsid w:val="009663B6"/>
    <w:rsid w:val="00970EB3"/>
    <w:rsid w:val="00974A47"/>
    <w:rsid w:val="00980286"/>
    <w:rsid w:val="00990DCF"/>
    <w:rsid w:val="009910CD"/>
    <w:rsid w:val="009A2414"/>
    <w:rsid w:val="009A4CD6"/>
    <w:rsid w:val="009A537C"/>
    <w:rsid w:val="009B54B8"/>
    <w:rsid w:val="009C0886"/>
    <w:rsid w:val="009C19EE"/>
    <w:rsid w:val="009C28D0"/>
    <w:rsid w:val="009C35F2"/>
    <w:rsid w:val="009C5BDA"/>
    <w:rsid w:val="009C5E21"/>
    <w:rsid w:val="009C7782"/>
    <w:rsid w:val="009D1ED5"/>
    <w:rsid w:val="009D4C13"/>
    <w:rsid w:val="009D636E"/>
    <w:rsid w:val="009E14DF"/>
    <w:rsid w:val="009E21A7"/>
    <w:rsid w:val="00A00740"/>
    <w:rsid w:val="00A035E1"/>
    <w:rsid w:val="00A04DD5"/>
    <w:rsid w:val="00A103ED"/>
    <w:rsid w:val="00A13C60"/>
    <w:rsid w:val="00A15134"/>
    <w:rsid w:val="00A225D2"/>
    <w:rsid w:val="00A2326A"/>
    <w:rsid w:val="00A30C53"/>
    <w:rsid w:val="00A341A3"/>
    <w:rsid w:val="00A35800"/>
    <w:rsid w:val="00A35E10"/>
    <w:rsid w:val="00A52918"/>
    <w:rsid w:val="00A547B3"/>
    <w:rsid w:val="00A646B3"/>
    <w:rsid w:val="00A67B3B"/>
    <w:rsid w:val="00A70E82"/>
    <w:rsid w:val="00A81988"/>
    <w:rsid w:val="00A83F66"/>
    <w:rsid w:val="00A84CAD"/>
    <w:rsid w:val="00A9037C"/>
    <w:rsid w:val="00A90E50"/>
    <w:rsid w:val="00A95FA5"/>
    <w:rsid w:val="00A96D92"/>
    <w:rsid w:val="00AA5683"/>
    <w:rsid w:val="00AA5878"/>
    <w:rsid w:val="00AA6B01"/>
    <w:rsid w:val="00AB199C"/>
    <w:rsid w:val="00AB3733"/>
    <w:rsid w:val="00AB4C80"/>
    <w:rsid w:val="00AB588C"/>
    <w:rsid w:val="00AB71AA"/>
    <w:rsid w:val="00AB7897"/>
    <w:rsid w:val="00AC16B0"/>
    <w:rsid w:val="00AC26A0"/>
    <w:rsid w:val="00AC5054"/>
    <w:rsid w:val="00AD1045"/>
    <w:rsid w:val="00AD3ED8"/>
    <w:rsid w:val="00AE4BAC"/>
    <w:rsid w:val="00AE6A7D"/>
    <w:rsid w:val="00AF3577"/>
    <w:rsid w:val="00B034FC"/>
    <w:rsid w:val="00B05310"/>
    <w:rsid w:val="00B07768"/>
    <w:rsid w:val="00B10A0B"/>
    <w:rsid w:val="00B15CD9"/>
    <w:rsid w:val="00B30D85"/>
    <w:rsid w:val="00B356FA"/>
    <w:rsid w:val="00B35A4A"/>
    <w:rsid w:val="00B40519"/>
    <w:rsid w:val="00B453CF"/>
    <w:rsid w:val="00B4557C"/>
    <w:rsid w:val="00B6226B"/>
    <w:rsid w:val="00B63FD7"/>
    <w:rsid w:val="00B66DB0"/>
    <w:rsid w:val="00B816D9"/>
    <w:rsid w:val="00B832E3"/>
    <w:rsid w:val="00B9120F"/>
    <w:rsid w:val="00B91F1A"/>
    <w:rsid w:val="00B9216C"/>
    <w:rsid w:val="00B924A4"/>
    <w:rsid w:val="00B925CA"/>
    <w:rsid w:val="00B96DA5"/>
    <w:rsid w:val="00BB0D1A"/>
    <w:rsid w:val="00BB1223"/>
    <w:rsid w:val="00BB1D3B"/>
    <w:rsid w:val="00BC35ED"/>
    <w:rsid w:val="00BC77AC"/>
    <w:rsid w:val="00BD1370"/>
    <w:rsid w:val="00BE205A"/>
    <w:rsid w:val="00BE3802"/>
    <w:rsid w:val="00BF238E"/>
    <w:rsid w:val="00BF2F4A"/>
    <w:rsid w:val="00BF3E0A"/>
    <w:rsid w:val="00BF544D"/>
    <w:rsid w:val="00BF7894"/>
    <w:rsid w:val="00C0076F"/>
    <w:rsid w:val="00C0119C"/>
    <w:rsid w:val="00C0301C"/>
    <w:rsid w:val="00C050B6"/>
    <w:rsid w:val="00C072C7"/>
    <w:rsid w:val="00C10F12"/>
    <w:rsid w:val="00C21CFF"/>
    <w:rsid w:val="00C245EA"/>
    <w:rsid w:val="00C24821"/>
    <w:rsid w:val="00C256F6"/>
    <w:rsid w:val="00C3097E"/>
    <w:rsid w:val="00C35ECC"/>
    <w:rsid w:val="00C361A8"/>
    <w:rsid w:val="00C41246"/>
    <w:rsid w:val="00C43BFE"/>
    <w:rsid w:val="00C45E5F"/>
    <w:rsid w:val="00C46291"/>
    <w:rsid w:val="00C52CE5"/>
    <w:rsid w:val="00C63412"/>
    <w:rsid w:val="00C714D0"/>
    <w:rsid w:val="00C81612"/>
    <w:rsid w:val="00C90EF4"/>
    <w:rsid w:val="00C97A9B"/>
    <w:rsid w:val="00CA015A"/>
    <w:rsid w:val="00CA0E69"/>
    <w:rsid w:val="00CA6CA5"/>
    <w:rsid w:val="00CB4687"/>
    <w:rsid w:val="00CC1AA3"/>
    <w:rsid w:val="00CD4486"/>
    <w:rsid w:val="00CD5420"/>
    <w:rsid w:val="00CE34F7"/>
    <w:rsid w:val="00CF2EBA"/>
    <w:rsid w:val="00CF5E22"/>
    <w:rsid w:val="00D06A44"/>
    <w:rsid w:val="00D151EB"/>
    <w:rsid w:val="00D300E0"/>
    <w:rsid w:val="00D32FBA"/>
    <w:rsid w:val="00D374CD"/>
    <w:rsid w:val="00D63FFE"/>
    <w:rsid w:val="00D650CE"/>
    <w:rsid w:val="00D676CD"/>
    <w:rsid w:val="00D71719"/>
    <w:rsid w:val="00D776DA"/>
    <w:rsid w:val="00D806C7"/>
    <w:rsid w:val="00D8644D"/>
    <w:rsid w:val="00D8758B"/>
    <w:rsid w:val="00D9025E"/>
    <w:rsid w:val="00D92647"/>
    <w:rsid w:val="00D942B3"/>
    <w:rsid w:val="00D94863"/>
    <w:rsid w:val="00DA1C4E"/>
    <w:rsid w:val="00DA4093"/>
    <w:rsid w:val="00DA7D09"/>
    <w:rsid w:val="00DC2630"/>
    <w:rsid w:val="00DC49E9"/>
    <w:rsid w:val="00DC55E4"/>
    <w:rsid w:val="00DC7D71"/>
    <w:rsid w:val="00DD0CE2"/>
    <w:rsid w:val="00DD188C"/>
    <w:rsid w:val="00DD29A3"/>
    <w:rsid w:val="00DD48EE"/>
    <w:rsid w:val="00DD5ADB"/>
    <w:rsid w:val="00DD6E7E"/>
    <w:rsid w:val="00DE0B96"/>
    <w:rsid w:val="00DE10B9"/>
    <w:rsid w:val="00DE11ED"/>
    <w:rsid w:val="00DE3048"/>
    <w:rsid w:val="00DF0B13"/>
    <w:rsid w:val="00DF2EB8"/>
    <w:rsid w:val="00DF4A94"/>
    <w:rsid w:val="00DF6003"/>
    <w:rsid w:val="00E00095"/>
    <w:rsid w:val="00E066C3"/>
    <w:rsid w:val="00E10D8C"/>
    <w:rsid w:val="00E1353A"/>
    <w:rsid w:val="00E1564B"/>
    <w:rsid w:val="00E208A0"/>
    <w:rsid w:val="00E21F8F"/>
    <w:rsid w:val="00E250EC"/>
    <w:rsid w:val="00E25B49"/>
    <w:rsid w:val="00E371EA"/>
    <w:rsid w:val="00E40487"/>
    <w:rsid w:val="00E44566"/>
    <w:rsid w:val="00E47230"/>
    <w:rsid w:val="00E50199"/>
    <w:rsid w:val="00E51560"/>
    <w:rsid w:val="00E60D69"/>
    <w:rsid w:val="00E62224"/>
    <w:rsid w:val="00E64429"/>
    <w:rsid w:val="00E677DD"/>
    <w:rsid w:val="00E7594B"/>
    <w:rsid w:val="00E86FE8"/>
    <w:rsid w:val="00E9059C"/>
    <w:rsid w:val="00EA0837"/>
    <w:rsid w:val="00EA682A"/>
    <w:rsid w:val="00EB1630"/>
    <w:rsid w:val="00EB2D7A"/>
    <w:rsid w:val="00EB4688"/>
    <w:rsid w:val="00EB50A2"/>
    <w:rsid w:val="00EB5EAB"/>
    <w:rsid w:val="00EB6C07"/>
    <w:rsid w:val="00EC028D"/>
    <w:rsid w:val="00ED633B"/>
    <w:rsid w:val="00EE0C01"/>
    <w:rsid w:val="00EE2BBB"/>
    <w:rsid w:val="00EE478C"/>
    <w:rsid w:val="00EE66CD"/>
    <w:rsid w:val="00F1132C"/>
    <w:rsid w:val="00F15DD5"/>
    <w:rsid w:val="00F17D4B"/>
    <w:rsid w:val="00F22A22"/>
    <w:rsid w:val="00F23139"/>
    <w:rsid w:val="00F560F2"/>
    <w:rsid w:val="00F62D0F"/>
    <w:rsid w:val="00F66CD5"/>
    <w:rsid w:val="00F67A9A"/>
    <w:rsid w:val="00F70F4E"/>
    <w:rsid w:val="00F73113"/>
    <w:rsid w:val="00F75FC4"/>
    <w:rsid w:val="00F85981"/>
    <w:rsid w:val="00F87263"/>
    <w:rsid w:val="00F93725"/>
    <w:rsid w:val="00FA4890"/>
    <w:rsid w:val="00FB77FA"/>
    <w:rsid w:val="00FC057F"/>
    <w:rsid w:val="00FC3C70"/>
    <w:rsid w:val="00FC3FB8"/>
    <w:rsid w:val="00FC4A73"/>
    <w:rsid w:val="00FC559C"/>
    <w:rsid w:val="00FC7F0D"/>
    <w:rsid w:val="00FD7D81"/>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customStyle="1" w:styleId="TableText">
    <w:name w:val="TableText"/>
    <w:basedOn w:val="Normal"/>
    <w:link w:val="TableTextChar"/>
    <w:qFormat/>
    <w:rsid w:val="00FC3FB8"/>
    <w:pPr>
      <w:keepNext/>
      <w:spacing w:before="40" w:after="40" w:line="360" w:lineRule="auto"/>
      <w:jc w:val="both"/>
    </w:pPr>
    <w:rPr>
      <w:rFonts w:ascii="Arial Narrow" w:eastAsia="Times New Roman" w:hAnsi="Arial Narrow" w:cs="Arial Narrow"/>
      <w:sz w:val="20"/>
      <w:szCs w:val="20"/>
      <w:lang w:eastAsia="en-US"/>
    </w:rPr>
  </w:style>
  <w:style w:type="character" w:customStyle="1" w:styleId="TableTextChar">
    <w:name w:val="TableText Char"/>
    <w:basedOn w:val="DefaultParagraphFont"/>
    <w:link w:val="TableText"/>
    <w:rsid w:val="00FC3FB8"/>
    <w:rPr>
      <w:rFonts w:ascii="Arial Narrow" w:eastAsia="Times New Roman" w:hAnsi="Arial Narrow" w:cs="Arial Narrow"/>
      <w:sz w:val="20"/>
      <w:szCs w:val="20"/>
      <w:lang w:eastAsia="en-US"/>
    </w:rPr>
  </w:style>
  <w:style w:type="paragraph" w:styleId="Revision">
    <w:name w:val="Revision"/>
    <w:hidden/>
    <w:uiPriority w:val="99"/>
    <w:semiHidden/>
    <w:rsid w:val="00B6226B"/>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customStyle="1" w:styleId="TableText">
    <w:name w:val="TableText"/>
    <w:basedOn w:val="Normal"/>
    <w:link w:val="TableTextChar"/>
    <w:qFormat/>
    <w:rsid w:val="00FC3FB8"/>
    <w:pPr>
      <w:keepNext/>
      <w:spacing w:before="40" w:after="40" w:line="360" w:lineRule="auto"/>
      <w:jc w:val="both"/>
    </w:pPr>
    <w:rPr>
      <w:rFonts w:ascii="Arial Narrow" w:eastAsia="Times New Roman" w:hAnsi="Arial Narrow" w:cs="Arial Narrow"/>
      <w:sz w:val="20"/>
      <w:szCs w:val="20"/>
      <w:lang w:eastAsia="en-US"/>
    </w:rPr>
  </w:style>
  <w:style w:type="character" w:customStyle="1" w:styleId="TableTextChar">
    <w:name w:val="TableText Char"/>
    <w:basedOn w:val="DefaultParagraphFont"/>
    <w:link w:val="TableText"/>
    <w:rsid w:val="00FC3FB8"/>
    <w:rPr>
      <w:rFonts w:ascii="Arial Narrow" w:eastAsia="Times New Roman" w:hAnsi="Arial Narrow" w:cs="Arial Narrow"/>
      <w:sz w:val="20"/>
      <w:szCs w:val="20"/>
      <w:lang w:eastAsia="en-US"/>
    </w:rPr>
  </w:style>
  <w:style w:type="paragraph" w:styleId="Revision">
    <w:name w:val="Revision"/>
    <w:hidden/>
    <w:uiPriority w:val="99"/>
    <w:semiHidden/>
    <w:rsid w:val="00B6226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994">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28836792">
      <w:bodyDiv w:val="1"/>
      <w:marLeft w:val="0"/>
      <w:marRight w:val="0"/>
      <w:marTop w:val="0"/>
      <w:marBottom w:val="0"/>
      <w:divBdr>
        <w:top w:val="none" w:sz="0" w:space="0" w:color="auto"/>
        <w:left w:val="none" w:sz="0" w:space="0" w:color="auto"/>
        <w:bottom w:val="none" w:sz="0" w:space="0" w:color="auto"/>
        <w:right w:val="none" w:sz="0" w:space="0" w:color="auto"/>
      </w:divBdr>
    </w:div>
    <w:div w:id="614219157">
      <w:bodyDiv w:val="1"/>
      <w:marLeft w:val="0"/>
      <w:marRight w:val="0"/>
      <w:marTop w:val="0"/>
      <w:marBottom w:val="0"/>
      <w:divBdr>
        <w:top w:val="none" w:sz="0" w:space="0" w:color="auto"/>
        <w:left w:val="none" w:sz="0" w:space="0" w:color="auto"/>
        <w:bottom w:val="none" w:sz="0" w:space="0" w:color="auto"/>
        <w:right w:val="none" w:sz="0" w:space="0" w:color="auto"/>
      </w:divBdr>
    </w:div>
    <w:div w:id="627013963">
      <w:bodyDiv w:val="1"/>
      <w:marLeft w:val="0"/>
      <w:marRight w:val="0"/>
      <w:marTop w:val="0"/>
      <w:marBottom w:val="0"/>
      <w:divBdr>
        <w:top w:val="none" w:sz="0" w:space="0" w:color="auto"/>
        <w:left w:val="none" w:sz="0" w:space="0" w:color="auto"/>
        <w:bottom w:val="none" w:sz="0" w:space="0" w:color="auto"/>
        <w:right w:val="none" w:sz="0" w:space="0" w:color="auto"/>
      </w:divBdr>
    </w:div>
    <w:div w:id="642781226">
      <w:bodyDiv w:val="1"/>
      <w:marLeft w:val="0"/>
      <w:marRight w:val="0"/>
      <w:marTop w:val="0"/>
      <w:marBottom w:val="0"/>
      <w:divBdr>
        <w:top w:val="none" w:sz="0" w:space="0" w:color="auto"/>
        <w:left w:val="none" w:sz="0" w:space="0" w:color="auto"/>
        <w:bottom w:val="none" w:sz="0" w:space="0" w:color="auto"/>
        <w:right w:val="none" w:sz="0" w:space="0" w:color="auto"/>
      </w:divBdr>
    </w:div>
    <w:div w:id="682510840">
      <w:bodyDiv w:val="1"/>
      <w:marLeft w:val="0"/>
      <w:marRight w:val="0"/>
      <w:marTop w:val="0"/>
      <w:marBottom w:val="0"/>
      <w:divBdr>
        <w:top w:val="none" w:sz="0" w:space="0" w:color="auto"/>
        <w:left w:val="none" w:sz="0" w:space="0" w:color="auto"/>
        <w:bottom w:val="none" w:sz="0" w:space="0" w:color="auto"/>
        <w:right w:val="none" w:sz="0" w:space="0" w:color="auto"/>
      </w:divBdr>
    </w:div>
    <w:div w:id="700324798">
      <w:bodyDiv w:val="1"/>
      <w:marLeft w:val="0"/>
      <w:marRight w:val="0"/>
      <w:marTop w:val="0"/>
      <w:marBottom w:val="0"/>
      <w:divBdr>
        <w:top w:val="none" w:sz="0" w:space="0" w:color="auto"/>
        <w:left w:val="none" w:sz="0" w:space="0" w:color="auto"/>
        <w:bottom w:val="none" w:sz="0" w:space="0" w:color="auto"/>
        <w:right w:val="none" w:sz="0" w:space="0" w:color="auto"/>
      </w:divBdr>
    </w:div>
    <w:div w:id="1080521332">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92569546">
      <w:bodyDiv w:val="1"/>
      <w:marLeft w:val="0"/>
      <w:marRight w:val="0"/>
      <w:marTop w:val="0"/>
      <w:marBottom w:val="0"/>
      <w:divBdr>
        <w:top w:val="none" w:sz="0" w:space="0" w:color="auto"/>
        <w:left w:val="none" w:sz="0" w:space="0" w:color="auto"/>
        <w:bottom w:val="none" w:sz="0" w:space="0" w:color="auto"/>
        <w:right w:val="none" w:sz="0" w:space="0" w:color="auto"/>
      </w:divBdr>
    </w:div>
    <w:div w:id="1675378549">
      <w:bodyDiv w:val="1"/>
      <w:marLeft w:val="0"/>
      <w:marRight w:val="0"/>
      <w:marTop w:val="0"/>
      <w:marBottom w:val="0"/>
      <w:divBdr>
        <w:top w:val="none" w:sz="0" w:space="0" w:color="auto"/>
        <w:left w:val="none" w:sz="0" w:space="0" w:color="auto"/>
        <w:bottom w:val="none" w:sz="0" w:space="0" w:color="auto"/>
        <w:right w:val="none" w:sz="0" w:space="0" w:color="auto"/>
      </w:divBdr>
    </w:div>
    <w:div w:id="1816793805">
      <w:bodyDiv w:val="1"/>
      <w:marLeft w:val="0"/>
      <w:marRight w:val="0"/>
      <w:marTop w:val="0"/>
      <w:marBottom w:val="0"/>
      <w:divBdr>
        <w:top w:val="none" w:sz="0" w:space="0" w:color="auto"/>
        <w:left w:val="none" w:sz="0" w:space="0" w:color="auto"/>
        <w:bottom w:val="none" w:sz="0" w:space="0" w:color="auto"/>
        <w:right w:val="none" w:sz="0" w:space="0" w:color="auto"/>
      </w:divBdr>
    </w:div>
    <w:div w:id="1885947165">
      <w:bodyDiv w:val="1"/>
      <w:marLeft w:val="0"/>
      <w:marRight w:val="0"/>
      <w:marTop w:val="0"/>
      <w:marBottom w:val="0"/>
      <w:divBdr>
        <w:top w:val="none" w:sz="0" w:space="0" w:color="auto"/>
        <w:left w:val="none" w:sz="0" w:space="0" w:color="auto"/>
        <w:bottom w:val="none" w:sz="0" w:space="0" w:color="auto"/>
        <w:right w:val="none" w:sz="0" w:space="0" w:color="auto"/>
      </w:divBdr>
    </w:div>
    <w:div w:id="189315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info/industry/listing/elements/pbac-meetings/psd/2014-03/paclitaxel-nanoparticle-albumin-bound-psd-03-201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entral.health\DFSGroupData\Sites\CO1\CO\PBD\PEB\EVAL\DUSC\DUSC%20Documents\Predicted%20vs%20actual%20usage\pbs.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pbs/home"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http://www.tga.gov.au/consumers/information-medicines-cmi.ht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tga.gov.au/hp/information-medicines-pi.htm" TargetMode="Externa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s://www.ebs.tga.gov.au/ebs/picmi/picmirepository.nsf/pdf?OpenAgent&amp;id=CP-2009-PI-01102-3&amp;d=2017071916114622483" TargetMode="External"/><Relationship Id="rId2" Type="http://schemas.openxmlformats.org/officeDocument/2006/relationships/hyperlink" Target="http://www.pbs.gov.au/info/industry/listing/elements/pbac-meetings/psd/2014-03/paclitaxel-nanoparticle-albumin-bound-psd-03-2014" TargetMode="External"/><Relationship Id="rId1" Type="http://schemas.openxmlformats.org/officeDocument/2006/relationships/hyperlink" Target="https://www.cancer.gov" TargetMode="External"/><Relationship Id="rId4" Type="http://schemas.openxmlformats.org/officeDocument/2006/relationships/hyperlink" Target="https://clinicaltrials.gov/ct2/results?cond=adenocarcinoma+of+the+pancreas&amp;term=&amp;cntry1=&amp;state1=&amp;Search=Search"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7\D1024%20-%20Pancreatic%20cancer%20nab-paclitaxel\Nab-paclitaxel%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7\D1024%20-%20Pancreatic%20cancer%20nab-paclitaxel\Nab-paclitaxel%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7\D1024%20-%20Pancreatic%20cancer%20nab-paclitaxel\Nab-paclitaxel%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[Nab-paclitaxel data.xlsx]Sheet4!PivotTable1</c:name>
    <c:fmtId val="18"/>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s>
    <c:plotArea>
      <c:layout/>
      <c:lineChart>
        <c:grouping val="standard"/>
        <c:varyColors val="0"/>
        <c:ser>
          <c:idx val="0"/>
          <c:order val="0"/>
          <c:tx>
            <c:strRef>
              <c:f>Sheet4!$B$3</c:f>
              <c:strCache>
                <c:ptCount val="1"/>
                <c:pt idx="0">
                  <c:v>Incident Patients</c:v>
                </c:pt>
              </c:strCache>
            </c:strRef>
          </c:tx>
          <c:marker>
            <c:symbol val="none"/>
          </c:marker>
          <c:cat>
            <c:strRef>
              <c:f>Sheet4!$A$4:$A$33</c:f>
              <c:strCache>
                <c:ptCount val="29"/>
                <c:pt idx="0">
                  <c:v>201411</c:v>
                </c:pt>
                <c:pt idx="1">
                  <c:v>201412</c:v>
                </c:pt>
                <c:pt idx="2">
                  <c:v>201501</c:v>
                </c:pt>
                <c:pt idx="3">
                  <c:v>201502</c:v>
                </c:pt>
                <c:pt idx="4">
                  <c:v>201503</c:v>
                </c:pt>
                <c:pt idx="5">
                  <c:v>201504</c:v>
                </c:pt>
                <c:pt idx="6">
                  <c:v>201505</c:v>
                </c:pt>
                <c:pt idx="7">
                  <c:v>201506</c:v>
                </c:pt>
                <c:pt idx="8">
                  <c:v>201507</c:v>
                </c:pt>
                <c:pt idx="9">
                  <c:v>201508</c:v>
                </c:pt>
                <c:pt idx="10">
                  <c:v>201509</c:v>
                </c:pt>
                <c:pt idx="11">
                  <c:v>201510</c:v>
                </c:pt>
                <c:pt idx="12">
                  <c:v>201511</c:v>
                </c:pt>
                <c:pt idx="13">
                  <c:v>201512</c:v>
                </c:pt>
                <c:pt idx="14">
                  <c:v>201601</c:v>
                </c:pt>
                <c:pt idx="15">
                  <c:v>201602</c:v>
                </c:pt>
                <c:pt idx="16">
                  <c:v>201603</c:v>
                </c:pt>
                <c:pt idx="17">
                  <c:v>201604</c:v>
                </c:pt>
                <c:pt idx="18">
                  <c:v>201605</c:v>
                </c:pt>
                <c:pt idx="19">
                  <c:v>201606</c:v>
                </c:pt>
                <c:pt idx="20">
                  <c:v>201607</c:v>
                </c:pt>
                <c:pt idx="21">
                  <c:v>201608</c:v>
                </c:pt>
                <c:pt idx="22">
                  <c:v>201609</c:v>
                </c:pt>
                <c:pt idx="23">
                  <c:v>201610</c:v>
                </c:pt>
                <c:pt idx="24">
                  <c:v>201611</c:v>
                </c:pt>
                <c:pt idx="25">
                  <c:v>201612</c:v>
                </c:pt>
                <c:pt idx="26">
                  <c:v>201701</c:v>
                </c:pt>
                <c:pt idx="27">
                  <c:v>201702</c:v>
                </c:pt>
                <c:pt idx="28">
                  <c:v>201703</c:v>
                </c:pt>
              </c:strCache>
            </c:strRef>
          </c:cat>
          <c:val>
            <c:numRef>
              <c:f>Sheet4!$B$4:$B$33</c:f>
              <c:numCache>
                <c:formatCode>General</c:formatCode>
                <c:ptCount val="29"/>
                <c:pt idx="0">
                  <c:v>275</c:v>
                </c:pt>
                <c:pt idx="1">
                  <c:v>139</c:v>
                </c:pt>
                <c:pt idx="2">
                  <c:v>117</c:v>
                </c:pt>
                <c:pt idx="3">
                  <c:v>104</c:v>
                </c:pt>
                <c:pt idx="4">
                  <c:v>123</c:v>
                </c:pt>
                <c:pt idx="5">
                  <c:v>94</c:v>
                </c:pt>
                <c:pt idx="6">
                  <c:v>103</c:v>
                </c:pt>
                <c:pt idx="7">
                  <c:v>115</c:v>
                </c:pt>
                <c:pt idx="8">
                  <c:v>104</c:v>
                </c:pt>
                <c:pt idx="9">
                  <c:v>101</c:v>
                </c:pt>
                <c:pt idx="10">
                  <c:v>116</c:v>
                </c:pt>
                <c:pt idx="11">
                  <c:v>103</c:v>
                </c:pt>
                <c:pt idx="12">
                  <c:v>113</c:v>
                </c:pt>
                <c:pt idx="13">
                  <c:v>100</c:v>
                </c:pt>
                <c:pt idx="14">
                  <c:v>88</c:v>
                </c:pt>
                <c:pt idx="15">
                  <c:v>94</c:v>
                </c:pt>
                <c:pt idx="16">
                  <c:v>104</c:v>
                </c:pt>
                <c:pt idx="17">
                  <c:v>91</c:v>
                </c:pt>
                <c:pt idx="18">
                  <c:v>126</c:v>
                </c:pt>
                <c:pt idx="19">
                  <c:v>115</c:v>
                </c:pt>
                <c:pt idx="20">
                  <c:v>104</c:v>
                </c:pt>
                <c:pt idx="21">
                  <c:v>100</c:v>
                </c:pt>
                <c:pt idx="22">
                  <c:v>99</c:v>
                </c:pt>
                <c:pt idx="23">
                  <c:v>114</c:v>
                </c:pt>
                <c:pt idx="24">
                  <c:v>108</c:v>
                </c:pt>
                <c:pt idx="25">
                  <c:v>78</c:v>
                </c:pt>
                <c:pt idx="26">
                  <c:v>124</c:v>
                </c:pt>
                <c:pt idx="27">
                  <c:v>105</c:v>
                </c:pt>
                <c:pt idx="28">
                  <c:v>124</c:v>
                </c:pt>
              </c:numCache>
            </c:numRef>
          </c:val>
          <c:smooth val="0"/>
        </c:ser>
        <c:ser>
          <c:idx val="1"/>
          <c:order val="1"/>
          <c:tx>
            <c:strRef>
              <c:f>Sheet4!$C$3</c:f>
              <c:strCache>
                <c:ptCount val="1"/>
                <c:pt idx="0">
                  <c:v>Treated Patients</c:v>
                </c:pt>
              </c:strCache>
            </c:strRef>
          </c:tx>
          <c:marker>
            <c:symbol val="none"/>
          </c:marker>
          <c:cat>
            <c:strRef>
              <c:f>Sheet4!$A$4:$A$33</c:f>
              <c:strCache>
                <c:ptCount val="29"/>
                <c:pt idx="0">
                  <c:v>201411</c:v>
                </c:pt>
                <c:pt idx="1">
                  <c:v>201412</c:v>
                </c:pt>
                <c:pt idx="2">
                  <c:v>201501</c:v>
                </c:pt>
                <c:pt idx="3">
                  <c:v>201502</c:v>
                </c:pt>
                <c:pt idx="4">
                  <c:v>201503</c:v>
                </c:pt>
                <c:pt idx="5">
                  <c:v>201504</c:v>
                </c:pt>
                <c:pt idx="6">
                  <c:v>201505</c:v>
                </c:pt>
                <c:pt idx="7">
                  <c:v>201506</c:v>
                </c:pt>
                <c:pt idx="8">
                  <c:v>201507</c:v>
                </c:pt>
                <c:pt idx="9">
                  <c:v>201508</c:v>
                </c:pt>
                <c:pt idx="10">
                  <c:v>201509</c:v>
                </c:pt>
                <c:pt idx="11">
                  <c:v>201510</c:v>
                </c:pt>
                <c:pt idx="12">
                  <c:v>201511</c:v>
                </c:pt>
                <c:pt idx="13">
                  <c:v>201512</c:v>
                </c:pt>
                <c:pt idx="14">
                  <c:v>201601</c:v>
                </c:pt>
                <c:pt idx="15">
                  <c:v>201602</c:v>
                </c:pt>
                <c:pt idx="16">
                  <c:v>201603</c:v>
                </c:pt>
                <c:pt idx="17">
                  <c:v>201604</c:v>
                </c:pt>
                <c:pt idx="18">
                  <c:v>201605</c:v>
                </c:pt>
                <c:pt idx="19">
                  <c:v>201606</c:v>
                </c:pt>
                <c:pt idx="20">
                  <c:v>201607</c:v>
                </c:pt>
                <c:pt idx="21">
                  <c:v>201608</c:v>
                </c:pt>
                <c:pt idx="22">
                  <c:v>201609</c:v>
                </c:pt>
                <c:pt idx="23">
                  <c:v>201610</c:v>
                </c:pt>
                <c:pt idx="24">
                  <c:v>201611</c:v>
                </c:pt>
                <c:pt idx="25">
                  <c:v>201612</c:v>
                </c:pt>
                <c:pt idx="26">
                  <c:v>201701</c:v>
                </c:pt>
                <c:pt idx="27">
                  <c:v>201702</c:v>
                </c:pt>
                <c:pt idx="28">
                  <c:v>201703</c:v>
                </c:pt>
              </c:strCache>
            </c:strRef>
          </c:cat>
          <c:val>
            <c:numRef>
              <c:f>Sheet4!$C$4:$C$33</c:f>
              <c:numCache>
                <c:formatCode>General</c:formatCode>
                <c:ptCount val="29"/>
                <c:pt idx="0">
                  <c:v>275</c:v>
                </c:pt>
                <c:pt idx="1">
                  <c:v>348</c:v>
                </c:pt>
                <c:pt idx="2">
                  <c:v>404</c:v>
                </c:pt>
                <c:pt idx="3">
                  <c:v>427</c:v>
                </c:pt>
                <c:pt idx="4">
                  <c:v>461</c:v>
                </c:pt>
                <c:pt idx="5">
                  <c:v>455</c:v>
                </c:pt>
                <c:pt idx="6">
                  <c:v>452</c:v>
                </c:pt>
                <c:pt idx="7">
                  <c:v>491</c:v>
                </c:pt>
                <c:pt idx="8">
                  <c:v>498</c:v>
                </c:pt>
                <c:pt idx="9">
                  <c:v>491</c:v>
                </c:pt>
                <c:pt idx="10">
                  <c:v>521</c:v>
                </c:pt>
                <c:pt idx="11">
                  <c:v>515</c:v>
                </c:pt>
                <c:pt idx="12">
                  <c:v>545</c:v>
                </c:pt>
                <c:pt idx="13">
                  <c:v>508</c:v>
                </c:pt>
                <c:pt idx="14">
                  <c:v>488</c:v>
                </c:pt>
                <c:pt idx="15">
                  <c:v>489</c:v>
                </c:pt>
                <c:pt idx="16">
                  <c:v>489</c:v>
                </c:pt>
                <c:pt idx="17">
                  <c:v>479</c:v>
                </c:pt>
                <c:pt idx="18">
                  <c:v>508</c:v>
                </c:pt>
                <c:pt idx="19">
                  <c:v>520</c:v>
                </c:pt>
                <c:pt idx="20">
                  <c:v>510</c:v>
                </c:pt>
                <c:pt idx="21">
                  <c:v>519</c:v>
                </c:pt>
                <c:pt idx="22">
                  <c:v>512</c:v>
                </c:pt>
                <c:pt idx="23">
                  <c:v>507</c:v>
                </c:pt>
                <c:pt idx="24">
                  <c:v>547</c:v>
                </c:pt>
                <c:pt idx="25">
                  <c:v>485</c:v>
                </c:pt>
                <c:pt idx="26">
                  <c:v>503</c:v>
                </c:pt>
                <c:pt idx="27">
                  <c:v>511</c:v>
                </c:pt>
                <c:pt idx="28">
                  <c:v>543</c:v>
                </c:pt>
              </c:numCache>
            </c:numRef>
          </c:val>
          <c:smooth val="0"/>
        </c:ser>
        <c:dLbls>
          <c:showLegendKey val="0"/>
          <c:showVal val="0"/>
          <c:showCatName val="0"/>
          <c:showSerName val="0"/>
          <c:showPercent val="0"/>
          <c:showBubbleSize val="0"/>
        </c:dLbls>
        <c:marker val="1"/>
        <c:smooth val="0"/>
        <c:axId val="734504064"/>
        <c:axId val="736038912"/>
      </c:lineChart>
      <c:catAx>
        <c:axId val="734504064"/>
        <c:scaling>
          <c:orientation val="minMax"/>
        </c:scaling>
        <c:delete val="0"/>
        <c:axPos val="b"/>
        <c:title>
          <c:tx>
            <c:rich>
              <a:bodyPr/>
              <a:lstStyle/>
              <a:p>
                <a:pPr>
                  <a:defRPr/>
                </a:pPr>
                <a:r>
                  <a:rPr lang="en-AU"/>
                  <a:t>Month and year of supply</a:t>
                </a:r>
              </a:p>
            </c:rich>
          </c:tx>
          <c:layout/>
          <c:overlay val="0"/>
        </c:title>
        <c:majorTickMark val="out"/>
        <c:minorTickMark val="none"/>
        <c:tickLblPos val="nextTo"/>
        <c:crossAx val="736038912"/>
        <c:crosses val="autoZero"/>
        <c:auto val="1"/>
        <c:lblAlgn val="ctr"/>
        <c:lblOffset val="100"/>
        <c:noMultiLvlLbl val="0"/>
      </c:catAx>
      <c:valAx>
        <c:axId val="736038912"/>
        <c:scaling>
          <c:orientation val="minMax"/>
        </c:scaling>
        <c:delete val="0"/>
        <c:axPos val="l"/>
        <c:majorGridlines/>
        <c:numFmt formatCode="General" sourceLinked="1"/>
        <c:majorTickMark val="out"/>
        <c:minorTickMark val="none"/>
        <c:tickLblPos val="nextTo"/>
        <c:crossAx val="734504064"/>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[Nab-paclitaxel data.xlsx]refill graph less than 42!PivotTable4</c:name>
    <c:fmtId val="4"/>
  </c:pivotSource>
  <c:chart>
    <c:autoTitleDeleted val="1"/>
    <c:pivotFmts>
      <c:pivotFmt>
        <c:idx val="0"/>
        <c:marker>
          <c:symbol val="none"/>
        </c:marker>
      </c:pivotFmt>
      <c:pivotFmt>
        <c:idx val="1"/>
        <c:marker>
          <c:symbol val="none"/>
        </c:marker>
      </c:pivotFmt>
      <c:pivotFmt>
        <c:idx val="2"/>
        <c:marker>
          <c:symbol val="none"/>
        </c:marker>
      </c:pivotFmt>
    </c:pivotFmts>
    <c:plotArea>
      <c:layout/>
      <c:lineChart>
        <c:grouping val="standard"/>
        <c:varyColors val="0"/>
        <c:ser>
          <c:idx val="0"/>
          <c:order val="0"/>
          <c:tx>
            <c:strRef>
              <c:f>'refill graph less than 42'!$H$27</c:f>
              <c:strCache>
                <c:ptCount val="1"/>
                <c:pt idx="0">
                  <c:v>Total</c:v>
                </c:pt>
              </c:strCache>
            </c:strRef>
          </c:tx>
          <c:marker>
            <c:symbol val="none"/>
          </c:marker>
          <c:cat>
            <c:strRef>
              <c:f>'refill graph less than 42'!$G$28:$G$72</c:f>
              <c:strCache>
                <c:ptCount val="44"/>
                <c:pt idx="0">
                  <c:v>.</c:v>
                </c:pt>
                <c:pt idx="1">
                  <c:v>0</c:v>
                </c:pt>
                <c:pt idx="2">
                  <c:v>1</c:v>
                </c:pt>
                <c:pt idx="3">
                  <c:v>2</c:v>
                </c:pt>
                <c:pt idx="4">
                  <c:v>3</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19</c:v>
                </c:pt>
                <c:pt idx="21">
                  <c:v>20</c:v>
                </c:pt>
                <c:pt idx="22">
                  <c:v>21</c:v>
                </c:pt>
                <c:pt idx="23">
                  <c:v>22</c:v>
                </c:pt>
                <c:pt idx="24">
                  <c:v>23</c:v>
                </c:pt>
                <c:pt idx="25">
                  <c:v>24</c:v>
                </c:pt>
                <c:pt idx="26">
                  <c:v>25</c:v>
                </c:pt>
                <c:pt idx="27">
                  <c:v>26</c:v>
                </c:pt>
                <c:pt idx="28">
                  <c:v>27</c:v>
                </c:pt>
                <c:pt idx="29">
                  <c:v>28</c:v>
                </c:pt>
                <c:pt idx="30">
                  <c:v>29</c:v>
                </c:pt>
                <c:pt idx="31">
                  <c:v>30</c:v>
                </c:pt>
                <c:pt idx="32">
                  <c:v>31</c:v>
                </c:pt>
                <c:pt idx="33">
                  <c:v>32</c:v>
                </c:pt>
                <c:pt idx="34">
                  <c:v>33</c:v>
                </c:pt>
                <c:pt idx="35">
                  <c:v>34</c:v>
                </c:pt>
                <c:pt idx="36">
                  <c:v>35</c:v>
                </c:pt>
                <c:pt idx="37">
                  <c:v>36</c:v>
                </c:pt>
                <c:pt idx="38">
                  <c:v>37</c:v>
                </c:pt>
                <c:pt idx="39">
                  <c:v>38</c:v>
                </c:pt>
                <c:pt idx="40">
                  <c:v>39</c:v>
                </c:pt>
                <c:pt idx="41">
                  <c:v>40</c:v>
                </c:pt>
                <c:pt idx="42">
                  <c:v>41</c:v>
                </c:pt>
                <c:pt idx="43">
                  <c:v>42</c:v>
                </c:pt>
              </c:strCache>
            </c:strRef>
          </c:cat>
          <c:val>
            <c:numRef>
              <c:f>'refill graph less than 42'!$H$28:$H$72</c:f>
              <c:numCache>
                <c:formatCode>General</c:formatCode>
                <c:ptCount val="44"/>
                <c:pt idx="0">
                  <c:v>643</c:v>
                </c:pt>
                <c:pt idx="1">
                  <c:v>489</c:v>
                </c:pt>
                <c:pt idx="2">
                  <c:v>136</c:v>
                </c:pt>
                <c:pt idx="3">
                  <c:v>107</c:v>
                </c:pt>
                <c:pt idx="4">
                  <c:v>131</c:v>
                </c:pt>
                <c:pt idx="5">
                  <c:v>144</c:v>
                </c:pt>
                <c:pt idx="6">
                  <c:v>153</c:v>
                </c:pt>
                <c:pt idx="7">
                  <c:v>501</c:v>
                </c:pt>
                <c:pt idx="8">
                  <c:v>2496</c:v>
                </c:pt>
                <c:pt idx="9">
                  <c:v>446</c:v>
                </c:pt>
                <c:pt idx="10">
                  <c:v>134</c:v>
                </c:pt>
                <c:pt idx="11">
                  <c:v>117</c:v>
                </c:pt>
                <c:pt idx="12">
                  <c:v>101</c:v>
                </c:pt>
                <c:pt idx="13">
                  <c:v>118</c:v>
                </c:pt>
                <c:pt idx="14">
                  <c:v>262</c:v>
                </c:pt>
                <c:pt idx="15">
                  <c:v>1159</c:v>
                </c:pt>
                <c:pt idx="16">
                  <c:v>236</c:v>
                </c:pt>
                <c:pt idx="17">
                  <c:v>63</c:v>
                </c:pt>
                <c:pt idx="18">
                  <c:v>53</c:v>
                </c:pt>
                <c:pt idx="19">
                  <c:v>40</c:v>
                </c:pt>
                <c:pt idx="20">
                  <c:v>37</c:v>
                </c:pt>
                <c:pt idx="21">
                  <c:v>53</c:v>
                </c:pt>
                <c:pt idx="22">
                  <c:v>202</c:v>
                </c:pt>
                <c:pt idx="23">
                  <c:v>36</c:v>
                </c:pt>
                <c:pt idx="24">
                  <c:v>26</c:v>
                </c:pt>
                <c:pt idx="25">
                  <c:v>15</c:v>
                </c:pt>
                <c:pt idx="26">
                  <c:v>21</c:v>
                </c:pt>
                <c:pt idx="27">
                  <c:v>16</c:v>
                </c:pt>
                <c:pt idx="28">
                  <c:v>13</c:v>
                </c:pt>
                <c:pt idx="29">
                  <c:v>54</c:v>
                </c:pt>
                <c:pt idx="30">
                  <c:v>15</c:v>
                </c:pt>
                <c:pt idx="31">
                  <c:v>7</c:v>
                </c:pt>
                <c:pt idx="32">
                  <c:v>3</c:v>
                </c:pt>
                <c:pt idx="33">
                  <c:v>11</c:v>
                </c:pt>
                <c:pt idx="34">
                  <c:v>9</c:v>
                </c:pt>
                <c:pt idx="35">
                  <c:v>9</c:v>
                </c:pt>
                <c:pt idx="36">
                  <c:v>20</c:v>
                </c:pt>
                <c:pt idx="37">
                  <c:v>11</c:v>
                </c:pt>
                <c:pt idx="38">
                  <c:v>3</c:v>
                </c:pt>
                <c:pt idx="39">
                  <c:v>6</c:v>
                </c:pt>
                <c:pt idx="40">
                  <c:v>2</c:v>
                </c:pt>
                <c:pt idx="41">
                  <c:v>5</c:v>
                </c:pt>
                <c:pt idx="42">
                  <c:v>4</c:v>
                </c:pt>
                <c:pt idx="43">
                  <c:v>18</c:v>
                </c:pt>
              </c:numCache>
            </c:numRef>
          </c:val>
          <c:smooth val="0"/>
        </c:ser>
        <c:dLbls>
          <c:showLegendKey val="0"/>
          <c:showVal val="0"/>
          <c:showCatName val="0"/>
          <c:showSerName val="0"/>
          <c:showPercent val="0"/>
          <c:showBubbleSize val="0"/>
        </c:dLbls>
        <c:marker val="1"/>
        <c:smooth val="0"/>
        <c:axId val="721334272"/>
        <c:axId val="721336192"/>
      </c:lineChart>
      <c:catAx>
        <c:axId val="721334272"/>
        <c:scaling>
          <c:orientation val="minMax"/>
        </c:scaling>
        <c:delete val="0"/>
        <c:axPos val="b"/>
        <c:title>
          <c:tx>
            <c:rich>
              <a:bodyPr/>
              <a:lstStyle/>
              <a:p>
                <a:pPr>
                  <a:defRPr/>
                </a:pPr>
                <a:r>
                  <a:rPr lang="en-AU"/>
                  <a:t>Days from last supply</a:t>
                </a:r>
              </a:p>
            </c:rich>
          </c:tx>
          <c:layout/>
          <c:overlay val="0"/>
        </c:title>
        <c:majorTickMark val="out"/>
        <c:minorTickMark val="none"/>
        <c:tickLblPos val="nextTo"/>
        <c:crossAx val="721336192"/>
        <c:crosses val="autoZero"/>
        <c:auto val="1"/>
        <c:lblAlgn val="ctr"/>
        <c:lblOffset val="100"/>
        <c:noMultiLvlLbl val="0"/>
      </c:catAx>
      <c:valAx>
        <c:axId val="721336192"/>
        <c:scaling>
          <c:orientation val="minMax"/>
        </c:scaling>
        <c:delete val="0"/>
        <c:axPos val="l"/>
        <c:majorGridlines/>
        <c:numFmt formatCode="General" sourceLinked="1"/>
        <c:majorTickMark val="out"/>
        <c:minorTickMark val="none"/>
        <c:tickLblPos val="nextTo"/>
        <c:crossAx val="721334272"/>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[Nab-paclitaxel data.xlsx]dose red % uncensored!PivotTable8</c:name>
    <c:fmtId val="12"/>
  </c:pivotSource>
  <c:chart>
    <c:autoTitleDeleted val="1"/>
    <c:pivotFmts>
      <c:pivotFmt>
        <c:idx val="0"/>
        <c:marker>
          <c:symbol val="none"/>
        </c:marker>
      </c:pivotFmt>
      <c:pivotFmt>
        <c:idx val="1"/>
        <c:marker>
          <c:symbol val="none"/>
        </c:marker>
      </c:pivotFmt>
      <c:pivotFmt>
        <c:idx val="2"/>
        <c:marker>
          <c:symbol val="none"/>
        </c:marker>
      </c:pivotFmt>
    </c:pivotFmts>
    <c:plotArea>
      <c:layout/>
      <c:lineChart>
        <c:grouping val="standard"/>
        <c:varyColors val="0"/>
        <c:ser>
          <c:idx val="0"/>
          <c:order val="0"/>
          <c:tx>
            <c:strRef>
              <c:f>'dose red % uncensored'!$H$27</c:f>
              <c:strCache>
                <c:ptCount val="1"/>
                <c:pt idx="0">
                  <c:v>Total</c:v>
                </c:pt>
              </c:strCache>
            </c:strRef>
          </c:tx>
          <c:marker>
            <c:symbol val="none"/>
          </c:marker>
          <c:cat>
            <c:strRef>
              <c:f>'dose red % uncensored'!$G$28:$G$110</c:f>
              <c:strCache>
                <c:ptCount val="82"/>
                <c:pt idx="0">
                  <c:v>-67</c:v>
                </c:pt>
                <c:pt idx="1">
                  <c:v>-65</c:v>
                </c:pt>
                <c:pt idx="2">
                  <c:v>-63</c:v>
                </c:pt>
                <c:pt idx="3">
                  <c:v>-60</c:v>
                </c:pt>
                <c:pt idx="4">
                  <c:v>-57</c:v>
                </c:pt>
                <c:pt idx="5">
                  <c:v>-55</c:v>
                </c:pt>
                <c:pt idx="6">
                  <c:v>-54</c:v>
                </c:pt>
                <c:pt idx="7">
                  <c:v>-51</c:v>
                </c:pt>
                <c:pt idx="8">
                  <c:v>-50</c:v>
                </c:pt>
                <c:pt idx="9">
                  <c:v>-49</c:v>
                </c:pt>
                <c:pt idx="10">
                  <c:v>-48</c:v>
                </c:pt>
                <c:pt idx="11">
                  <c:v>-45</c:v>
                </c:pt>
                <c:pt idx="12">
                  <c:v>-44</c:v>
                </c:pt>
                <c:pt idx="13">
                  <c:v>-43</c:v>
                </c:pt>
                <c:pt idx="14">
                  <c:v>-42</c:v>
                </c:pt>
                <c:pt idx="15">
                  <c:v>-40</c:v>
                </c:pt>
                <c:pt idx="16">
                  <c:v>-38</c:v>
                </c:pt>
                <c:pt idx="17">
                  <c:v>-37</c:v>
                </c:pt>
                <c:pt idx="18">
                  <c:v>-36</c:v>
                </c:pt>
                <c:pt idx="19">
                  <c:v>-35</c:v>
                </c:pt>
                <c:pt idx="20">
                  <c:v>-34</c:v>
                </c:pt>
                <c:pt idx="21">
                  <c:v>-33</c:v>
                </c:pt>
                <c:pt idx="22">
                  <c:v>-32</c:v>
                </c:pt>
                <c:pt idx="23">
                  <c:v>-31</c:v>
                </c:pt>
                <c:pt idx="24">
                  <c:v>-30</c:v>
                </c:pt>
                <c:pt idx="25">
                  <c:v>-29</c:v>
                </c:pt>
                <c:pt idx="26">
                  <c:v>-28</c:v>
                </c:pt>
                <c:pt idx="27">
                  <c:v>-27</c:v>
                </c:pt>
                <c:pt idx="28">
                  <c:v>-26</c:v>
                </c:pt>
                <c:pt idx="29">
                  <c:v>-25</c:v>
                </c:pt>
                <c:pt idx="30">
                  <c:v>-24</c:v>
                </c:pt>
                <c:pt idx="31">
                  <c:v>-23</c:v>
                </c:pt>
                <c:pt idx="32">
                  <c:v>-22</c:v>
                </c:pt>
                <c:pt idx="33">
                  <c:v>-21</c:v>
                </c:pt>
                <c:pt idx="34">
                  <c:v>-20</c:v>
                </c:pt>
                <c:pt idx="35">
                  <c:v>-19</c:v>
                </c:pt>
                <c:pt idx="36">
                  <c:v>-18</c:v>
                </c:pt>
                <c:pt idx="37">
                  <c:v>-17</c:v>
                </c:pt>
                <c:pt idx="38">
                  <c:v>-16</c:v>
                </c:pt>
                <c:pt idx="39">
                  <c:v>-15</c:v>
                </c:pt>
                <c:pt idx="40">
                  <c:v>-14</c:v>
                </c:pt>
                <c:pt idx="41">
                  <c:v>-13</c:v>
                </c:pt>
                <c:pt idx="42">
                  <c:v>-12</c:v>
                </c:pt>
                <c:pt idx="43">
                  <c:v>-11</c:v>
                </c:pt>
                <c:pt idx="44">
                  <c:v>-10</c:v>
                </c:pt>
                <c:pt idx="45">
                  <c:v>-9</c:v>
                </c:pt>
                <c:pt idx="46">
                  <c:v>-8</c:v>
                </c:pt>
                <c:pt idx="47">
                  <c:v>-7</c:v>
                </c:pt>
                <c:pt idx="48">
                  <c:v>-6</c:v>
                </c:pt>
                <c:pt idx="49">
                  <c:v>-5</c:v>
                </c:pt>
                <c:pt idx="50">
                  <c:v>-4</c:v>
                </c:pt>
                <c:pt idx="51">
                  <c:v>-2</c:v>
                </c:pt>
                <c:pt idx="52">
                  <c:v>-1</c:v>
                </c:pt>
                <c:pt idx="53">
                  <c:v>1</c:v>
                </c:pt>
                <c:pt idx="54">
                  <c:v>2</c:v>
                </c:pt>
                <c:pt idx="55">
                  <c:v>3</c:v>
                </c:pt>
                <c:pt idx="56">
                  <c:v>4</c:v>
                </c:pt>
                <c:pt idx="57">
                  <c:v>5</c:v>
                </c:pt>
                <c:pt idx="58">
                  <c:v>6</c:v>
                </c:pt>
                <c:pt idx="59">
                  <c:v>7</c:v>
                </c:pt>
                <c:pt idx="60">
                  <c:v>8</c:v>
                </c:pt>
                <c:pt idx="61">
                  <c:v>10</c:v>
                </c:pt>
                <c:pt idx="62">
                  <c:v>11</c:v>
                </c:pt>
                <c:pt idx="63">
                  <c:v>12</c:v>
                </c:pt>
                <c:pt idx="64">
                  <c:v>13</c:v>
                </c:pt>
                <c:pt idx="65">
                  <c:v>14</c:v>
                </c:pt>
                <c:pt idx="66">
                  <c:v>15</c:v>
                </c:pt>
                <c:pt idx="67">
                  <c:v>18</c:v>
                </c:pt>
                <c:pt idx="68">
                  <c:v>20</c:v>
                </c:pt>
                <c:pt idx="69">
                  <c:v>22</c:v>
                </c:pt>
                <c:pt idx="70">
                  <c:v>23</c:v>
                </c:pt>
                <c:pt idx="71">
                  <c:v>25</c:v>
                </c:pt>
                <c:pt idx="72">
                  <c:v>27</c:v>
                </c:pt>
                <c:pt idx="73">
                  <c:v>28</c:v>
                </c:pt>
                <c:pt idx="74">
                  <c:v>29</c:v>
                </c:pt>
                <c:pt idx="75">
                  <c:v>33</c:v>
                </c:pt>
                <c:pt idx="76">
                  <c:v>34</c:v>
                </c:pt>
                <c:pt idx="77">
                  <c:v>35</c:v>
                </c:pt>
                <c:pt idx="78">
                  <c:v>43</c:v>
                </c:pt>
                <c:pt idx="79">
                  <c:v>46</c:v>
                </c:pt>
                <c:pt idx="80">
                  <c:v>50</c:v>
                </c:pt>
                <c:pt idx="81">
                  <c:v>57</c:v>
                </c:pt>
              </c:strCache>
            </c:strRef>
          </c:cat>
          <c:val>
            <c:numRef>
              <c:f>'dose red % uncensored'!$H$28:$H$110</c:f>
              <c:numCache>
                <c:formatCode>General</c:formatCode>
                <c:ptCount val="82"/>
                <c:pt idx="0">
                  <c:v>12</c:v>
                </c:pt>
                <c:pt idx="1">
                  <c:v>1</c:v>
                </c:pt>
                <c:pt idx="2">
                  <c:v>1</c:v>
                </c:pt>
                <c:pt idx="3">
                  <c:v>7</c:v>
                </c:pt>
                <c:pt idx="4">
                  <c:v>2</c:v>
                </c:pt>
                <c:pt idx="5">
                  <c:v>1</c:v>
                </c:pt>
                <c:pt idx="6">
                  <c:v>10</c:v>
                </c:pt>
                <c:pt idx="7">
                  <c:v>31</c:v>
                </c:pt>
                <c:pt idx="8">
                  <c:v>70</c:v>
                </c:pt>
                <c:pt idx="9">
                  <c:v>12</c:v>
                </c:pt>
                <c:pt idx="10">
                  <c:v>11</c:v>
                </c:pt>
                <c:pt idx="11">
                  <c:v>38</c:v>
                </c:pt>
                <c:pt idx="12">
                  <c:v>19</c:v>
                </c:pt>
                <c:pt idx="13">
                  <c:v>24</c:v>
                </c:pt>
                <c:pt idx="14">
                  <c:v>10</c:v>
                </c:pt>
                <c:pt idx="15">
                  <c:v>103</c:v>
                </c:pt>
                <c:pt idx="16">
                  <c:v>26</c:v>
                </c:pt>
                <c:pt idx="17">
                  <c:v>8</c:v>
                </c:pt>
                <c:pt idx="18">
                  <c:v>29</c:v>
                </c:pt>
                <c:pt idx="19">
                  <c:v>40</c:v>
                </c:pt>
                <c:pt idx="20">
                  <c:v>17</c:v>
                </c:pt>
                <c:pt idx="21">
                  <c:v>53</c:v>
                </c:pt>
                <c:pt idx="22">
                  <c:v>34</c:v>
                </c:pt>
                <c:pt idx="23">
                  <c:v>23</c:v>
                </c:pt>
                <c:pt idx="24">
                  <c:v>56</c:v>
                </c:pt>
                <c:pt idx="25">
                  <c:v>25</c:v>
                </c:pt>
                <c:pt idx="26">
                  <c:v>23</c:v>
                </c:pt>
                <c:pt idx="27">
                  <c:v>25</c:v>
                </c:pt>
                <c:pt idx="28">
                  <c:v>49</c:v>
                </c:pt>
                <c:pt idx="29">
                  <c:v>185</c:v>
                </c:pt>
                <c:pt idx="30">
                  <c:v>67</c:v>
                </c:pt>
                <c:pt idx="31">
                  <c:v>79</c:v>
                </c:pt>
                <c:pt idx="32">
                  <c:v>93</c:v>
                </c:pt>
                <c:pt idx="33">
                  <c:v>38</c:v>
                </c:pt>
                <c:pt idx="34">
                  <c:v>577</c:v>
                </c:pt>
                <c:pt idx="35">
                  <c:v>104</c:v>
                </c:pt>
                <c:pt idx="36">
                  <c:v>66</c:v>
                </c:pt>
                <c:pt idx="37">
                  <c:v>37</c:v>
                </c:pt>
                <c:pt idx="38">
                  <c:v>30</c:v>
                </c:pt>
                <c:pt idx="39">
                  <c:v>87</c:v>
                </c:pt>
                <c:pt idx="40">
                  <c:v>24</c:v>
                </c:pt>
                <c:pt idx="41">
                  <c:v>69</c:v>
                </c:pt>
                <c:pt idx="42">
                  <c:v>12</c:v>
                </c:pt>
                <c:pt idx="43">
                  <c:v>18</c:v>
                </c:pt>
                <c:pt idx="44">
                  <c:v>156</c:v>
                </c:pt>
                <c:pt idx="45">
                  <c:v>32</c:v>
                </c:pt>
                <c:pt idx="46">
                  <c:v>25</c:v>
                </c:pt>
                <c:pt idx="47">
                  <c:v>12</c:v>
                </c:pt>
                <c:pt idx="48">
                  <c:v>9</c:v>
                </c:pt>
                <c:pt idx="49">
                  <c:v>56</c:v>
                </c:pt>
                <c:pt idx="50">
                  <c:v>25</c:v>
                </c:pt>
                <c:pt idx="51">
                  <c:v>22</c:v>
                </c:pt>
                <c:pt idx="52">
                  <c:v>20</c:v>
                </c:pt>
                <c:pt idx="53">
                  <c:v>27</c:v>
                </c:pt>
                <c:pt idx="54">
                  <c:v>14</c:v>
                </c:pt>
                <c:pt idx="55">
                  <c:v>6</c:v>
                </c:pt>
                <c:pt idx="56">
                  <c:v>2</c:v>
                </c:pt>
                <c:pt idx="57">
                  <c:v>7</c:v>
                </c:pt>
                <c:pt idx="58">
                  <c:v>6</c:v>
                </c:pt>
                <c:pt idx="59">
                  <c:v>3</c:v>
                </c:pt>
                <c:pt idx="60">
                  <c:v>16</c:v>
                </c:pt>
                <c:pt idx="61">
                  <c:v>17</c:v>
                </c:pt>
                <c:pt idx="62">
                  <c:v>10</c:v>
                </c:pt>
                <c:pt idx="63">
                  <c:v>4</c:v>
                </c:pt>
                <c:pt idx="64">
                  <c:v>10</c:v>
                </c:pt>
                <c:pt idx="65">
                  <c:v>6</c:v>
                </c:pt>
                <c:pt idx="66">
                  <c:v>18</c:v>
                </c:pt>
                <c:pt idx="67">
                  <c:v>1</c:v>
                </c:pt>
                <c:pt idx="68">
                  <c:v>12</c:v>
                </c:pt>
                <c:pt idx="69">
                  <c:v>9</c:v>
                </c:pt>
                <c:pt idx="70">
                  <c:v>56</c:v>
                </c:pt>
                <c:pt idx="71">
                  <c:v>20</c:v>
                </c:pt>
                <c:pt idx="72">
                  <c:v>7</c:v>
                </c:pt>
                <c:pt idx="73">
                  <c:v>6</c:v>
                </c:pt>
                <c:pt idx="74">
                  <c:v>9</c:v>
                </c:pt>
                <c:pt idx="75">
                  <c:v>43</c:v>
                </c:pt>
                <c:pt idx="76">
                  <c:v>1</c:v>
                </c:pt>
                <c:pt idx="77">
                  <c:v>14</c:v>
                </c:pt>
                <c:pt idx="78">
                  <c:v>3</c:v>
                </c:pt>
                <c:pt idx="79">
                  <c:v>4</c:v>
                </c:pt>
                <c:pt idx="80">
                  <c:v>25</c:v>
                </c:pt>
                <c:pt idx="81">
                  <c:v>9</c:v>
                </c:pt>
              </c:numCache>
            </c:numRef>
          </c:val>
          <c:smooth val="0"/>
        </c:ser>
        <c:dLbls>
          <c:showLegendKey val="0"/>
          <c:showVal val="0"/>
          <c:showCatName val="0"/>
          <c:showSerName val="0"/>
          <c:showPercent val="0"/>
          <c:showBubbleSize val="0"/>
        </c:dLbls>
        <c:marker val="1"/>
        <c:smooth val="0"/>
        <c:axId val="731056384"/>
        <c:axId val="732819840"/>
      </c:lineChart>
      <c:catAx>
        <c:axId val="731056384"/>
        <c:scaling>
          <c:orientation val="minMax"/>
        </c:scaling>
        <c:delete val="0"/>
        <c:axPos val="b"/>
        <c:title>
          <c:tx>
            <c:rich>
              <a:bodyPr/>
              <a:lstStyle/>
              <a:p>
                <a:pPr>
                  <a:defRPr/>
                </a:pPr>
                <a:r>
                  <a:rPr lang="en-US"/>
                  <a:t>Dose percentage change from</a:t>
                </a:r>
                <a:r>
                  <a:rPr lang="en-US" baseline="0"/>
                  <a:t> initial dose</a:t>
                </a:r>
                <a:endParaRPr lang="en-US"/>
              </a:p>
            </c:rich>
          </c:tx>
          <c:layout/>
          <c:overlay val="0"/>
        </c:title>
        <c:majorTickMark val="out"/>
        <c:minorTickMark val="none"/>
        <c:tickLblPos val="nextTo"/>
        <c:crossAx val="732819840"/>
        <c:crosses val="autoZero"/>
        <c:auto val="1"/>
        <c:lblAlgn val="ctr"/>
        <c:lblOffset val="100"/>
        <c:noMultiLvlLbl val="0"/>
      </c:catAx>
      <c:valAx>
        <c:axId val="732819840"/>
        <c:scaling>
          <c:orientation val="minMax"/>
        </c:scaling>
        <c:delete val="0"/>
        <c:axPos val="l"/>
        <c:majorGridlines/>
        <c:numFmt formatCode="General" sourceLinked="1"/>
        <c:majorTickMark val="out"/>
        <c:minorTickMark val="none"/>
        <c:tickLblPos val="nextTo"/>
        <c:crossAx val="731056384"/>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1A696-056D-4E97-B09C-D675A3C6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4719</Words>
  <Characters>26901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2018-01-16T03:04:00Z</dcterms:created>
  <dcterms:modified xsi:type="dcterms:W3CDTF">2018-02-08T01:32:00Z</dcterms:modified>
</cp:coreProperties>
</file>