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C130" w14:textId="090AEB88" w:rsidR="00832324" w:rsidRDefault="00BE1EEB" w:rsidP="00FE645A">
      <w:pPr>
        <w:pStyle w:val="Title"/>
      </w:pPr>
      <w:r>
        <w:t>Cetuximab, panitumumab and bevacizumab for metastatic colorectal cancer</w:t>
      </w:r>
    </w:p>
    <w:p w14:paraId="68F00614" w14:textId="799F8740" w:rsidR="00736041" w:rsidRDefault="009053D3" w:rsidP="00A35800">
      <w:pPr>
        <w:pStyle w:val="Heading1"/>
      </w:pPr>
      <w:r>
        <w:t>D</w:t>
      </w:r>
      <w:r w:rsidR="00832324" w:rsidRPr="0063631C">
        <w:t xml:space="preserve">rug utilisation sub-committee </w:t>
      </w:r>
      <w:r w:rsidR="00832324">
        <w:t>(DUSC)</w:t>
      </w:r>
    </w:p>
    <w:p w14:paraId="00A134DE" w14:textId="4ADFCE7A" w:rsidR="00BE1EEB" w:rsidRPr="00BE1EEB" w:rsidRDefault="00A538EA" w:rsidP="00BE1EEB">
      <w:pPr>
        <w:pStyle w:val="Heading2"/>
      </w:pPr>
      <w:r>
        <w:t>February 2018</w:t>
      </w:r>
    </w:p>
    <w:p w14:paraId="1494B8AD" w14:textId="77777777" w:rsidR="005C6661" w:rsidRDefault="005C6661" w:rsidP="005C6661">
      <w:pPr>
        <w:pStyle w:val="Heading3"/>
      </w:pPr>
      <w:r>
        <w:t>Abstract</w:t>
      </w:r>
    </w:p>
    <w:p w14:paraId="287D7939" w14:textId="77777777" w:rsidR="005C6661" w:rsidRDefault="005C6661" w:rsidP="005C6661">
      <w:pPr>
        <w:pStyle w:val="Heading2"/>
      </w:pPr>
      <w:r>
        <w:t>Purpose</w:t>
      </w:r>
    </w:p>
    <w:p w14:paraId="60DEAE27" w14:textId="642ECC89" w:rsidR="00734D22" w:rsidRPr="0074528B" w:rsidRDefault="00ED7530" w:rsidP="006B5F85">
      <w:r>
        <w:t>T</w:t>
      </w:r>
      <w:r w:rsidR="00A575CB">
        <w:t xml:space="preserve">o assess the utilisation of targeted therapies for </w:t>
      </w:r>
      <w:r>
        <w:t xml:space="preserve">metastatic colorectal cancer (mCRC) </w:t>
      </w:r>
      <w:r w:rsidR="00A575CB">
        <w:t xml:space="preserve">including </w:t>
      </w:r>
      <w:r>
        <w:t xml:space="preserve">PBS listed </w:t>
      </w:r>
      <w:r w:rsidR="00A575CB">
        <w:t xml:space="preserve">bevacizumab, cetuximab and panitumumab. </w:t>
      </w:r>
    </w:p>
    <w:p w14:paraId="378E50B7" w14:textId="60AD36D3" w:rsidR="002D144A" w:rsidRDefault="00734D22" w:rsidP="00A064D6">
      <w:pPr>
        <w:pStyle w:val="Heading2"/>
      </w:pPr>
      <w:r>
        <w:t>Listing</w:t>
      </w:r>
      <w:r w:rsidR="00220298">
        <w:t>s</w:t>
      </w:r>
      <w:r w:rsidR="002D144A">
        <w:t xml:space="preserve"> on the P</w:t>
      </w:r>
      <w:r w:rsidR="00A95FA5">
        <w:t xml:space="preserve">harmaceutical </w:t>
      </w:r>
      <w:r w:rsidR="002D144A">
        <w:t>B</w:t>
      </w:r>
      <w:r w:rsidR="00A95FA5">
        <w:t xml:space="preserve">enefits </w:t>
      </w:r>
      <w:r w:rsidR="002D144A">
        <w:t>S</w:t>
      </w:r>
      <w:r w:rsidR="00A95FA5">
        <w:t>cheme (PBS)</w:t>
      </w:r>
    </w:p>
    <w:tbl>
      <w:tblPr>
        <w:tblStyle w:val="TableGrid"/>
        <w:tblW w:w="4965" w:type="pct"/>
        <w:tblLook w:val="04A0" w:firstRow="1" w:lastRow="0" w:firstColumn="1" w:lastColumn="0" w:noHBand="0" w:noVBand="1"/>
        <w:tblCaption w:val="PBS listing details"/>
        <w:tblDescription w:val="Dates for key listing changes on the PBS for melanoma drugs"/>
      </w:tblPr>
      <w:tblGrid>
        <w:gridCol w:w="1809"/>
        <w:gridCol w:w="7300"/>
      </w:tblGrid>
      <w:tr w:rsidR="008736E2" w14:paraId="6D401B83" w14:textId="77777777" w:rsidTr="005E154A">
        <w:trPr>
          <w:tblHeader/>
        </w:trPr>
        <w:tc>
          <w:tcPr>
            <w:tcW w:w="993" w:type="pct"/>
            <w:shd w:val="clear" w:color="auto" w:fill="BFBFBF" w:themeFill="background1" w:themeFillShade="BF"/>
          </w:tcPr>
          <w:p w14:paraId="2BC4C420" w14:textId="701D2300" w:rsidR="008736E2" w:rsidRPr="001F2C82" w:rsidRDefault="008736E2" w:rsidP="00963AFF">
            <w:pPr>
              <w:rPr>
                <w:rFonts w:cs="Arial"/>
                <w:b/>
                <w:sz w:val="20"/>
                <w:szCs w:val="20"/>
              </w:rPr>
            </w:pPr>
            <w:r w:rsidRPr="001F2C82">
              <w:rPr>
                <w:rFonts w:cs="Arial"/>
                <w:b/>
                <w:sz w:val="20"/>
                <w:szCs w:val="20"/>
              </w:rPr>
              <w:t>First listing date</w:t>
            </w:r>
            <w:r w:rsidR="00734D22">
              <w:rPr>
                <w:rFonts w:cs="Arial"/>
                <w:b/>
                <w:sz w:val="20"/>
                <w:szCs w:val="20"/>
              </w:rPr>
              <w:t xml:space="preserve"> or </w:t>
            </w:r>
            <w:r w:rsidR="00220298">
              <w:rPr>
                <w:rFonts w:cs="Arial"/>
                <w:b/>
                <w:sz w:val="20"/>
                <w:szCs w:val="20"/>
              </w:rPr>
              <w:t xml:space="preserve">date of </w:t>
            </w:r>
            <w:r w:rsidR="00734D22">
              <w:rPr>
                <w:rFonts w:cs="Arial"/>
                <w:b/>
                <w:sz w:val="20"/>
                <w:szCs w:val="20"/>
              </w:rPr>
              <w:t>listing amendment(s)</w:t>
            </w:r>
          </w:p>
        </w:tc>
        <w:tc>
          <w:tcPr>
            <w:tcW w:w="4007" w:type="pct"/>
            <w:shd w:val="clear" w:color="auto" w:fill="BFBFBF" w:themeFill="background1" w:themeFillShade="BF"/>
          </w:tcPr>
          <w:p w14:paraId="36A4D9B1" w14:textId="38F433EC" w:rsidR="008736E2" w:rsidRPr="001F2C82" w:rsidRDefault="008736E2" w:rsidP="00963AFF">
            <w:pPr>
              <w:rPr>
                <w:rFonts w:cs="Arial"/>
                <w:b/>
                <w:sz w:val="20"/>
                <w:szCs w:val="20"/>
              </w:rPr>
            </w:pPr>
            <w:r w:rsidRPr="001F2C82">
              <w:rPr>
                <w:rFonts w:cs="Arial"/>
                <w:b/>
                <w:sz w:val="20"/>
                <w:szCs w:val="20"/>
              </w:rPr>
              <w:t>Listing details</w:t>
            </w:r>
            <w:r w:rsidR="00DD0E0C">
              <w:rPr>
                <w:rFonts w:cs="Arial"/>
                <w:b/>
                <w:sz w:val="20"/>
                <w:szCs w:val="20"/>
              </w:rPr>
              <w:t xml:space="preserve"> (abridged)</w:t>
            </w:r>
          </w:p>
        </w:tc>
      </w:tr>
      <w:tr w:rsidR="008736E2" w14:paraId="36AB3FF5" w14:textId="77777777" w:rsidTr="007F16DA">
        <w:tc>
          <w:tcPr>
            <w:tcW w:w="993" w:type="pct"/>
          </w:tcPr>
          <w:p w14:paraId="4F6C63FB" w14:textId="54ED8A0E" w:rsidR="008736E2" w:rsidRPr="001F2C82" w:rsidRDefault="008736E2" w:rsidP="00963AFF">
            <w:pPr>
              <w:rPr>
                <w:rFonts w:cs="Arial"/>
                <w:sz w:val="20"/>
                <w:szCs w:val="20"/>
              </w:rPr>
            </w:pPr>
            <w:r w:rsidRPr="001F2C82">
              <w:rPr>
                <w:rFonts w:cs="Arial"/>
                <w:sz w:val="20"/>
                <w:szCs w:val="20"/>
              </w:rPr>
              <w:t>1 July 2009</w:t>
            </w:r>
          </w:p>
        </w:tc>
        <w:tc>
          <w:tcPr>
            <w:tcW w:w="4007" w:type="pct"/>
          </w:tcPr>
          <w:p w14:paraId="0C446389" w14:textId="381B5792" w:rsidR="008736E2" w:rsidRPr="001F2C82" w:rsidRDefault="008736E2" w:rsidP="00963AFF">
            <w:pPr>
              <w:rPr>
                <w:rFonts w:cs="Arial"/>
                <w:sz w:val="20"/>
                <w:szCs w:val="20"/>
              </w:rPr>
            </w:pPr>
            <w:r w:rsidRPr="001F2C82">
              <w:rPr>
                <w:rFonts w:cs="Arial"/>
                <w:sz w:val="20"/>
                <w:szCs w:val="20"/>
              </w:rPr>
              <w:t xml:space="preserve">Bevacizumab in combination </w:t>
            </w:r>
            <w:r w:rsidRPr="009D5A5B">
              <w:rPr>
                <w:rFonts w:cs="Arial"/>
                <w:sz w:val="20"/>
                <w:szCs w:val="20"/>
              </w:rPr>
              <w:t>with first-line chemotherapy</w:t>
            </w:r>
            <w:r w:rsidR="00D64C63" w:rsidRPr="001F2C82">
              <w:rPr>
                <w:rFonts w:cs="Arial"/>
                <w:sz w:val="20"/>
                <w:szCs w:val="20"/>
              </w:rPr>
              <w:t xml:space="preserve"> of a </w:t>
            </w:r>
            <w:r w:rsidR="0014330B">
              <w:rPr>
                <w:rFonts w:cs="Arial"/>
                <w:sz w:val="20"/>
                <w:szCs w:val="20"/>
              </w:rPr>
              <w:t>patient</w:t>
            </w:r>
            <w:r w:rsidR="00D64C63" w:rsidRPr="001F2C82">
              <w:rPr>
                <w:rFonts w:cs="Arial"/>
                <w:sz w:val="20"/>
                <w:szCs w:val="20"/>
              </w:rPr>
              <w:t xml:space="preserve"> with</w:t>
            </w:r>
            <w:r w:rsidR="009C581A" w:rsidRPr="001F2C82">
              <w:rPr>
                <w:rFonts w:cs="Arial"/>
                <w:sz w:val="20"/>
                <w:szCs w:val="20"/>
              </w:rPr>
              <w:t xml:space="preserve"> previously untreated metastatic colorectal cancer with a WHO performance status of 0 or 1.</w:t>
            </w:r>
          </w:p>
        </w:tc>
      </w:tr>
      <w:tr w:rsidR="008736E2" w14:paraId="6040C3EF" w14:textId="77777777" w:rsidTr="007F16DA">
        <w:tc>
          <w:tcPr>
            <w:tcW w:w="993" w:type="pct"/>
          </w:tcPr>
          <w:p w14:paraId="62C174E4" w14:textId="2494954E" w:rsidR="008736E2" w:rsidRPr="001F2C82" w:rsidRDefault="008736E2" w:rsidP="00963AFF">
            <w:pPr>
              <w:rPr>
                <w:rFonts w:cs="Arial"/>
                <w:sz w:val="20"/>
                <w:szCs w:val="20"/>
              </w:rPr>
            </w:pPr>
            <w:r w:rsidRPr="001F2C82">
              <w:rPr>
                <w:rFonts w:cs="Arial"/>
                <w:sz w:val="20"/>
                <w:szCs w:val="20"/>
              </w:rPr>
              <w:t>1 September 2011</w:t>
            </w:r>
          </w:p>
        </w:tc>
        <w:tc>
          <w:tcPr>
            <w:tcW w:w="4007" w:type="pct"/>
          </w:tcPr>
          <w:p w14:paraId="32AE3555" w14:textId="34EE0823" w:rsidR="00901AFF" w:rsidRPr="001F2C82" w:rsidRDefault="008736E2" w:rsidP="00963AFF">
            <w:pPr>
              <w:rPr>
                <w:rFonts w:cs="Arial"/>
                <w:sz w:val="20"/>
                <w:szCs w:val="20"/>
              </w:rPr>
            </w:pPr>
            <w:r w:rsidRPr="001F2C82">
              <w:rPr>
                <w:rFonts w:cs="Arial"/>
                <w:sz w:val="20"/>
                <w:szCs w:val="20"/>
              </w:rPr>
              <w:t>Cetuximab</w:t>
            </w:r>
            <w:r w:rsidRPr="001F2C82">
              <w:rPr>
                <w:rFonts w:cs="Arial"/>
                <w:b/>
                <w:sz w:val="20"/>
                <w:szCs w:val="20"/>
              </w:rPr>
              <w:t xml:space="preserve"> </w:t>
            </w:r>
            <w:r w:rsidR="00901AFF" w:rsidRPr="001F2C82">
              <w:rPr>
                <w:rFonts w:cs="Arial"/>
                <w:sz w:val="20"/>
                <w:szCs w:val="20"/>
              </w:rPr>
              <w:t xml:space="preserve">as monotherapy or in combination with an irinotecan based therapy, of a </w:t>
            </w:r>
            <w:r w:rsidR="0014330B">
              <w:rPr>
                <w:rFonts w:cs="Arial"/>
                <w:sz w:val="20"/>
                <w:szCs w:val="20"/>
              </w:rPr>
              <w:t>patient</w:t>
            </w:r>
            <w:r w:rsidR="00901AFF" w:rsidRPr="001F2C82">
              <w:rPr>
                <w:rFonts w:cs="Arial"/>
                <w:sz w:val="20"/>
                <w:szCs w:val="20"/>
              </w:rPr>
              <w:t xml:space="preserve"> with a WHO performance</w:t>
            </w:r>
            <w:r w:rsidR="00E631CF" w:rsidRPr="001F2C82">
              <w:rPr>
                <w:rFonts w:cs="Arial"/>
                <w:sz w:val="20"/>
                <w:szCs w:val="20"/>
              </w:rPr>
              <w:t xml:space="preserve"> status of 2 or less and with K</w:t>
            </w:r>
            <w:r w:rsidR="00901AFF" w:rsidRPr="001F2C82">
              <w:rPr>
                <w:rFonts w:cs="Arial"/>
                <w:sz w:val="20"/>
                <w:szCs w:val="20"/>
              </w:rPr>
              <w:t xml:space="preserve">RAS wild type metastatic colorectal cancer </w:t>
            </w:r>
            <w:r w:rsidR="00901AFF" w:rsidRPr="009D5A5B">
              <w:rPr>
                <w:rFonts w:cs="Arial"/>
                <w:sz w:val="20"/>
                <w:szCs w:val="20"/>
              </w:rPr>
              <w:t>after failure of first-line chemotherapy</w:t>
            </w:r>
            <w:r w:rsidR="00901AFF" w:rsidRPr="001F2C82">
              <w:rPr>
                <w:rFonts w:cs="Arial"/>
                <w:sz w:val="20"/>
                <w:szCs w:val="20"/>
              </w:rPr>
              <w:t>.</w:t>
            </w:r>
          </w:p>
        </w:tc>
      </w:tr>
      <w:tr w:rsidR="008736E2" w14:paraId="65EE7CA9" w14:textId="77777777" w:rsidTr="007F16DA">
        <w:tc>
          <w:tcPr>
            <w:tcW w:w="993" w:type="pct"/>
          </w:tcPr>
          <w:p w14:paraId="2FA9A1A9" w14:textId="0000492E" w:rsidR="008736E2" w:rsidRPr="001F2C82" w:rsidRDefault="00727D7D" w:rsidP="00963AFF">
            <w:pPr>
              <w:rPr>
                <w:rFonts w:cs="Arial"/>
                <w:sz w:val="20"/>
                <w:szCs w:val="20"/>
              </w:rPr>
            </w:pPr>
            <w:r w:rsidRPr="001F2C82">
              <w:rPr>
                <w:rFonts w:cs="Arial"/>
                <w:sz w:val="20"/>
                <w:szCs w:val="20"/>
              </w:rPr>
              <w:t>1 April 2014</w:t>
            </w:r>
          </w:p>
        </w:tc>
        <w:tc>
          <w:tcPr>
            <w:tcW w:w="4007" w:type="pct"/>
          </w:tcPr>
          <w:p w14:paraId="19AB9136" w14:textId="182DA0EA" w:rsidR="008736E2" w:rsidRPr="001F2C82" w:rsidRDefault="007B76E6" w:rsidP="00963AFF">
            <w:pPr>
              <w:rPr>
                <w:rFonts w:cs="Arial"/>
                <w:sz w:val="20"/>
                <w:szCs w:val="20"/>
              </w:rPr>
            </w:pPr>
            <w:r w:rsidRPr="001F2C82">
              <w:rPr>
                <w:rFonts w:cs="Arial"/>
                <w:sz w:val="20"/>
                <w:szCs w:val="20"/>
              </w:rPr>
              <w:t xml:space="preserve">Panitumumab </w:t>
            </w:r>
            <w:r w:rsidR="00E631CF" w:rsidRPr="001F2C82">
              <w:rPr>
                <w:rFonts w:cs="Arial"/>
                <w:sz w:val="20"/>
                <w:szCs w:val="20"/>
              </w:rPr>
              <w:t xml:space="preserve">as monotherapy or in combination with an irinotecan based therapy, </w:t>
            </w:r>
            <w:r w:rsidRPr="001F2C82">
              <w:rPr>
                <w:rFonts w:cs="Arial"/>
                <w:sz w:val="20"/>
                <w:szCs w:val="20"/>
              </w:rPr>
              <w:t xml:space="preserve">of a </w:t>
            </w:r>
            <w:r w:rsidR="0014330B">
              <w:rPr>
                <w:rFonts w:cs="Arial"/>
                <w:sz w:val="20"/>
                <w:szCs w:val="20"/>
              </w:rPr>
              <w:t>patient</w:t>
            </w:r>
            <w:r w:rsidRPr="001F2C82">
              <w:rPr>
                <w:rFonts w:cs="Arial"/>
                <w:sz w:val="20"/>
                <w:szCs w:val="20"/>
              </w:rPr>
              <w:t xml:space="preserve"> with a WHO performance status of 2 or less and with KRAS wild-type</w:t>
            </w:r>
            <w:r w:rsidR="00E631CF" w:rsidRPr="001F2C82">
              <w:rPr>
                <w:rFonts w:cs="Arial"/>
                <w:sz w:val="20"/>
                <w:szCs w:val="20"/>
              </w:rPr>
              <w:t xml:space="preserve"> metastatic colorectal cancer </w:t>
            </w:r>
            <w:r w:rsidR="00E631CF" w:rsidRPr="009D5A5B">
              <w:rPr>
                <w:rFonts w:cs="Arial"/>
                <w:sz w:val="20"/>
                <w:szCs w:val="20"/>
              </w:rPr>
              <w:t>after failure of first-line chemotherapy</w:t>
            </w:r>
            <w:r w:rsidR="00E631CF" w:rsidRPr="001F2C82">
              <w:rPr>
                <w:rFonts w:cs="Arial"/>
                <w:sz w:val="20"/>
                <w:szCs w:val="20"/>
              </w:rPr>
              <w:t>.</w:t>
            </w:r>
          </w:p>
        </w:tc>
      </w:tr>
      <w:tr w:rsidR="00734D22" w14:paraId="4B7BD358" w14:textId="77777777" w:rsidTr="007F16DA">
        <w:tc>
          <w:tcPr>
            <w:tcW w:w="993" w:type="pct"/>
          </w:tcPr>
          <w:p w14:paraId="1628DB17" w14:textId="6867A185" w:rsidR="00734D22" w:rsidRDefault="00734D22" w:rsidP="00963AFF">
            <w:pPr>
              <w:rPr>
                <w:rFonts w:cs="Arial"/>
                <w:sz w:val="20"/>
                <w:szCs w:val="20"/>
              </w:rPr>
            </w:pPr>
            <w:r>
              <w:rPr>
                <w:rFonts w:cs="Arial"/>
                <w:sz w:val="20"/>
                <w:szCs w:val="20"/>
              </w:rPr>
              <w:t>1 January 2015</w:t>
            </w:r>
          </w:p>
        </w:tc>
        <w:tc>
          <w:tcPr>
            <w:tcW w:w="4007" w:type="pct"/>
          </w:tcPr>
          <w:p w14:paraId="3869BCC6" w14:textId="0DCC6FE2" w:rsidR="00734D22" w:rsidRPr="00561689" w:rsidRDefault="00734D22" w:rsidP="00963AFF">
            <w:pPr>
              <w:rPr>
                <w:sz w:val="20"/>
                <w:szCs w:val="20"/>
              </w:rPr>
            </w:pPr>
            <w:r w:rsidRPr="00561689">
              <w:rPr>
                <w:sz w:val="20"/>
                <w:szCs w:val="20"/>
              </w:rPr>
              <w:t xml:space="preserve">Amendment to the restrictions for panitumumab and cetuximab to include only </w:t>
            </w:r>
            <w:r w:rsidR="0014330B">
              <w:rPr>
                <w:sz w:val="20"/>
                <w:szCs w:val="20"/>
              </w:rPr>
              <w:t>patients</w:t>
            </w:r>
            <w:r w:rsidRPr="00561689">
              <w:rPr>
                <w:sz w:val="20"/>
                <w:szCs w:val="20"/>
              </w:rPr>
              <w:t xml:space="preserve"> with </w:t>
            </w:r>
            <w:r w:rsidRPr="00561689">
              <w:rPr>
                <w:snapToGrid w:val="0"/>
                <w:sz w:val="20"/>
                <w:szCs w:val="20"/>
                <w:lang w:eastAsia="en-US"/>
              </w:rPr>
              <w:t>rat sarcoma proto-oncogene wild type (</w:t>
            </w:r>
            <w:r w:rsidRPr="00561689">
              <w:rPr>
                <w:i/>
                <w:snapToGrid w:val="0"/>
                <w:sz w:val="20"/>
                <w:szCs w:val="20"/>
                <w:u w:val="single"/>
                <w:lang w:eastAsia="en-US"/>
              </w:rPr>
              <w:t>RAS</w:t>
            </w:r>
            <w:r w:rsidRPr="00561689">
              <w:rPr>
                <w:snapToGrid w:val="0"/>
                <w:sz w:val="20"/>
                <w:szCs w:val="20"/>
                <w:u w:val="single"/>
                <w:lang w:eastAsia="en-US"/>
              </w:rPr>
              <w:t xml:space="preserve"> WT</w:t>
            </w:r>
            <w:r w:rsidRPr="00561689">
              <w:rPr>
                <w:snapToGrid w:val="0"/>
                <w:sz w:val="20"/>
                <w:szCs w:val="20"/>
                <w:lang w:eastAsia="en-US"/>
              </w:rPr>
              <w:t xml:space="preserve">) status rather than Kirsten </w:t>
            </w:r>
            <w:r w:rsidRPr="00561689">
              <w:rPr>
                <w:i/>
                <w:snapToGrid w:val="0"/>
                <w:sz w:val="20"/>
                <w:szCs w:val="20"/>
                <w:lang w:eastAsia="en-US"/>
              </w:rPr>
              <w:t>RAS</w:t>
            </w:r>
            <w:r w:rsidRPr="00561689">
              <w:rPr>
                <w:snapToGrid w:val="0"/>
                <w:sz w:val="20"/>
                <w:szCs w:val="20"/>
                <w:lang w:eastAsia="en-US"/>
              </w:rPr>
              <w:t xml:space="preserve"> wild type (</w:t>
            </w:r>
            <w:r w:rsidRPr="00561689">
              <w:rPr>
                <w:i/>
                <w:snapToGrid w:val="0"/>
                <w:sz w:val="20"/>
                <w:szCs w:val="20"/>
                <w:u w:val="single"/>
                <w:lang w:eastAsia="en-US"/>
              </w:rPr>
              <w:t>KRAS</w:t>
            </w:r>
            <w:r w:rsidRPr="00561689">
              <w:rPr>
                <w:snapToGrid w:val="0"/>
                <w:sz w:val="20"/>
                <w:szCs w:val="20"/>
                <w:u w:val="single"/>
                <w:lang w:eastAsia="en-US"/>
              </w:rPr>
              <w:t xml:space="preserve"> WT</w:t>
            </w:r>
            <w:r w:rsidRPr="00561689">
              <w:rPr>
                <w:snapToGrid w:val="0"/>
                <w:sz w:val="20"/>
                <w:szCs w:val="20"/>
                <w:lang w:eastAsia="en-US"/>
              </w:rPr>
              <w:t>) status</w:t>
            </w:r>
            <w:r w:rsidRPr="00561689">
              <w:rPr>
                <w:sz w:val="20"/>
                <w:szCs w:val="20"/>
              </w:rPr>
              <w:t xml:space="preserve">. This was in response to evidence which indicated that continuing the current restrictions based on identifying KRAS wild-type </w:t>
            </w:r>
            <w:r w:rsidR="001F23E4">
              <w:rPr>
                <w:sz w:val="20"/>
                <w:szCs w:val="20"/>
              </w:rPr>
              <w:t>patients</w:t>
            </w:r>
            <w:r w:rsidRPr="00561689">
              <w:rPr>
                <w:sz w:val="20"/>
                <w:szCs w:val="20"/>
              </w:rPr>
              <w:t xml:space="preserve"> may expose some of </w:t>
            </w:r>
            <w:r w:rsidR="001F23E4">
              <w:rPr>
                <w:sz w:val="20"/>
                <w:szCs w:val="20"/>
              </w:rPr>
              <w:t>patients</w:t>
            </w:r>
            <w:r w:rsidRPr="00561689">
              <w:rPr>
                <w:sz w:val="20"/>
                <w:szCs w:val="20"/>
              </w:rPr>
              <w:t xml:space="preserve"> to worse health outcomes.</w:t>
            </w:r>
          </w:p>
        </w:tc>
      </w:tr>
      <w:tr w:rsidR="00734D22" w14:paraId="0A285D8A" w14:textId="77777777" w:rsidTr="007F16DA">
        <w:tc>
          <w:tcPr>
            <w:tcW w:w="993" w:type="pct"/>
          </w:tcPr>
          <w:p w14:paraId="02B21CE8" w14:textId="49992A27" w:rsidR="00734D22" w:rsidRPr="001F2C82" w:rsidRDefault="00734D22" w:rsidP="00963AFF">
            <w:pPr>
              <w:rPr>
                <w:rFonts w:cs="Arial"/>
                <w:sz w:val="20"/>
                <w:szCs w:val="20"/>
              </w:rPr>
            </w:pPr>
            <w:r>
              <w:rPr>
                <w:rFonts w:cs="Arial"/>
                <w:sz w:val="20"/>
                <w:szCs w:val="20"/>
              </w:rPr>
              <w:t>1 February 2015</w:t>
            </w:r>
          </w:p>
        </w:tc>
        <w:tc>
          <w:tcPr>
            <w:tcW w:w="4007" w:type="pct"/>
          </w:tcPr>
          <w:p w14:paraId="060BB4EB" w14:textId="6D65795E" w:rsidR="00734D22" w:rsidRPr="001F2C82" w:rsidRDefault="00734D22" w:rsidP="00963AFF">
            <w:pPr>
              <w:rPr>
                <w:rFonts w:cs="Arial"/>
                <w:sz w:val="20"/>
                <w:szCs w:val="20"/>
              </w:rPr>
            </w:pPr>
            <w:r w:rsidRPr="00561689">
              <w:rPr>
                <w:sz w:val="20"/>
                <w:szCs w:val="20"/>
              </w:rPr>
              <w:t xml:space="preserve">The listings for bevacizumab, cetuximab and panitumumab </w:t>
            </w:r>
            <w:r>
              <w:rPr>
                <w:sz w:val="20"/>
                <w:szCs w:val="20"/>
              </w:rPr>
              <w:t xml:space="preserve">on the </w:t>
            </w:r>
            <w:r w:rsidRPr="00561689">
              <w:rPr>
                <w:sz w:val="20"/>
                <w:szCs w:val="20"/>
              </w:rPr>
              <w:t xml:space="preserve">Section 100 – Efficient Funding of Chemotherapy (Private Hospital/Private Clinic) Schedule </w:t>
            </w:r>
            <w:r>
              <w:rPr>
                <w:sz w:val="20"/>
                <w:szCs w:val="20"/>
              </w:rPr>
              <w:t xml:space="preserve">were changed </w:t>
            </w:r>
            <w:r w:rsidRPr="00561689">
              <w:rPr>
                <w:sz w:val="20"/>
                <w:szCs w:val="20"/>
              </w:rPr>
              <w:t>from Authority required to Authority required (STREAMLINED). This was to make the listings consistent with the Authority required (STREAMLINED) items for prescribers in public hospitals.</w:t>
            </w:r>
          </w:p>
        </w:tc>
      </w:tr>
      <w:tr w:rsidR="008736E2" w14:paraId="069F7071" w14:textId="77777777" w:rsidTr="007F16DA">
        <w:tc>
          <w:tcPr>
            <w:tcW w:w="993" w:type="pct"/>
          </w:tcPr>
          <w:p w14:paraId="09315A81" w14:textId="6C08C94C" w:rsidR="008736E2" w:rsidRPr="001F2C82" w:rsidRDefault="00F46A86" w:rsidP="00963AFF">
            <w:pPr>
              <w:rPr>
                <w:rFonts w:cs="Arial"/>
                <w:sz w:val="20"/>
                <w:szCs w:val="20"/>
              </w:rPr>
            </w:pPr>
            <w:r w:rsidRPr="001F2C82">
              <w:rPr>
                <w:rFonts w:cs="Arial"/>
                <w:sz w:val="20"/>
                <w:szCs w:val="20"/>
              </w:rPr>
              <w:t>1 June 2015</w:t>
            </w:r>
          </w:p>
        </w:tc>
        <w:tc>
          <w:tcPr>
            <w:tcW w:w="4007" w:type="pct"/>
          </w:tcPr>
          <w:p w14:paraId="0643080E" w14:textId="0CD9AF08" w:rsidR="009C2803" w:rsidRDefault="009C2803" w:rsidP="00963AFF">
            <w:pPr>
              <w:contextualSpacing/>
              <w:jc w:val="both"/>
              <w:rPr>
                <w:sz w:val="20"/>
                <w:szCs w:val="20"/>
              </w:rPr>
            </w:pPr>
            <w:r w:rsidRPr="0085635B">
              <w:rPr>
                <w:sz w:val="20"/>
                <w:szCs w:val="20"/>
              </w:rPr>
              <w:t xml:space="preserve">Cetuximab </w:t>
            </w:r>
            <w:r w:rsidR="00B90A68">
              <w:rPr>
                <w:sz w:val="20"/>
                <w:szCs w:val="20"/>
              </w:rPr>
              <w:t>for</w:t>
            </w:r>
            <w:r>
              <w:rPr>
                <w:sz w:val="20"/>
                <w:szCs w:val="20"/>
              </w:rPr>
              <w:t xml:space="preserve"> first-line treatment for</w:t>
            </w:r>
            <w:r w:rsidR="000A2DFE">
              <w:rPr>
                <w:sz w:val="20"/>
                <w:szCs w:val="20"/>
              </w:rPr>
              <w:t xml:space="preserve"> metastatic colorectal cancer in combination with first-line chemotherapy.</w:t>
            </w:r>
          </w:p>
          <w:p w14:paraId="7D41F08B" w14:textId="77777777" w:rsidR="00A9644F" w:rsidRPr="009C2803" w:rsidRDefault="00A9644F" w:rsidP="00963AFF">
            <w:pPr>
              <w:contextualSpacing/>
              <w:jc w:val="both"/>
              <w:rPr>
                <w:sz w:val="20"/>
                <w:szCs w:val="20"/>
              </w:rPr>
            </w:pPr>
          </w:p>
          <w:p w14:paraId="4569CB0C" w14:textId="72D008E8" w:rsidR="008736E2" w:rsidRPr="001F2C82" w:rsidRDefault="005B68E0" w:rsidP="00963AFF">
            <w:pPr>
              <w:rPr>
                <w:rFonts w:cs="Arial"/>
                <w:sz w:val="20"/>
                <w:szCs w:val="20"/>
              </w:rPr>
            </w:pPr>
            <w:r w:rsidRPr="001F2C82">
              <w:rPr>
                <w:rFonts w:cs="Arial"/>
                <w:sz w:val="20"/>
                <w:szCs w:val="20"/>
              </w:rPr>
              <w:t xml:space="preserve">Bevacizumab in combination </w:t>
            </w:r>
            <w:r w:rsidRPr="009D5A5B">
              <w:rPr>
                <w:rFonts w:cs="Arial"/>
                <w:sz w:val="20"/>
                <w:szCs w:val="20"/>
              </w:rPr>
              <w:t>with second-line chemotherapy</w:t>
            </w:r>
            <w:r w:rsidRPr="001F2C82">
              <w:rPr>
                <w:rFonts w:cs="Arial"/>
                <w:sz w:val="20"/>
                <w:szCs w:val="20"/>
              </w:rPr>
              <w:t xml:space="preserve"> </w:t>
            </w:r>
            <w:r w:rsidR="006573ED" w:rsidRPr="001F2C82">
              <w:rPr>
                <w:rFonts w:cs="Arial"/>
                <w:sz w:val="20"/>
                <w:szCs w:val="20"/>
              </w:rPr>
              <w:t xml:space="preserve">of a </w:t>
            </w:r>
            <w:r w:rsidR="0014330B">
              <w:rPr>
                <w:rFonts w:cs="Arial"/>
                <w:sz w:val="20"/>
                <w:szCs w:val="20"/>
              </w:rPr>
              <w:t>patient</w:t>
            </w:r>
            <w:r w:rsidR="006573ED" w:rsidRPr="001F2C82">
              <w:rPr>
                <w:rFonts w:cs="Arial"/>
                <w:sz w:val="20"/>
                <w:szCs w:val="20"/>
              </w:rPr>
              <w:t xml:space="preserve"> with RAS wild type metastatic colorectal cancer with a WHO performance status of 0 or 1 after failure of first-line anti-EGFR antibodies.</w:t>
            </w:r>
          </w:p>
        </w:tc>
      </w:tr>
      <w:tr w:rsidR="00685C0C" w14:paraId="03B7FB68" w14:textId="77777777" w:rsidTr="007F16DA">
        <w:tc>
          <w:tcPr>
            <w:tcW w:w="993" w:type="pct"/>
          </w:tcPr>
          <w:p w14:paraId="547D3195" w14:textId="44346E11" w:rsidR="00685C0C" w:rsidRPr="001F2C82" w:rsidRDefault="00685C0C" w:rsidP="00963AFF">
            <w:pPr>
              <w:rPr>
                <w:rFonts w:cs="Arial"/>
                <w:sz w:val="20"/>
                <w:szCs w:val="20"/>
              </w:rPr>
            </w:pPr>
            <w:r w:rsidRPr="001F2C82">
              <w:rPr>
                <w:rFonts w:cs="Arial"/>
                <w:sz w:val="20"/>
                <w:szCs w:val="20"/>
              </w:rPr>
              <w:t>1 October 2015</w:t>
            </w:r>
          </w:p>
        </w:tc>
        <w:tc>
          <w:tcPr>
            <w:tcW w:w="4007" w:type="pct"/>
          </w:tcPr>
          <w:p w14:paraId="61E4059B" w14:textId="28BD9E0C" w:rsidR="00685C0C" w:rsidRPr="001F2C82" w:rsidRDefault="00023F5A" w:rsidP="00963AFF">
            <w:pPr>
              <w:rPr>
                <w:rFonts w:cs="Arial"/>
                <w:sz w:val="20"/>
                <w:szCs w:val="20"/>
              </w:rPr>
            </w:pPr>
            <w:r w:rsidRPr="001F2C82">
              <w:rPr>
                <w:rFonts w:cs="Arial"/>
                <w:sz w:val="20"/>
                <w:szCs w:val="20"/>
              </w:rPr>
              <w:t xml:space="preserve">Panitumumab in combination </w:t>
            </w:r>
            <w:r w:rsidRPr="009D5A5B">
              <w:rPr>
                <w:rFonts w:cs="Arial"/>
                <w:sz w:val="20"/>
                <w:szCs w:val="20"/>
              </w:rPr>
              <w:t>with first-line chemotherapy</w:t>
            </w:r>
            <w:r w:rsidRPr="001F2C82">
              <w:rPr>
                <w:rFonts w:cs="Arial"/>
                <w:sz w:val="20"/>
                <w:szCs w:val="20"/>
              </w:rPr>
              <w:t xml:space="preserve"> of a </w:t>
            </w:r>
            <w:r w:rsidR="0014330B">
              <w:rPr>
                <w:rFonts w:cs="Arial"/>
                <w:sz w:val="20"/>
                <w:szCs w:val="20"/>
              </w:rPr>
              <w:t>patient</w:t>
            </w:r>
            <w:r w:rsidRPr="001F2C82">
              <w:rPr>
                <w:rFonts w:cs="Arial"/>
                <w:sz w:val="20"/>
                <w:szCs w:val="20"/>
              </w:rPr>
              <w:t xml:space="preserve"> with RAS wild-type metastatic colorectal cancer with a WHO performance status of </w:t>
            </w:r>
            <w:r w:rsidR="00B5663A" w:rsidRPr="001F2C82">
              <w:rPr>
                <w:rFonts w:cs="Arial"/>
                <w:sz w:val="20"/>
                <w:szCs w:val="20"/>
              </w:rPr>
              <w:t>0 or 1.</w:t>
            </w:r>
          </w:p>
        </w:tc>
      </w:tr>
    </w:tbl>
    <w:p w14:paraId="526743BB" w14:textId="77777777" w:rsidR="005C6661" w:rsidRDefault="005C6661" w:rsidP="005C6661">
      <w:pPr>
        <w:pStyle w:val="Heading2"/>
      </w:pPr>
      <w:r>
        <w:lastRenderedPageBreak/>
        <w:t>Data Source / methodology</w:t>
      </w:r>
    </w:p>
    <w:p w14:paraId="159D787B" w14:textId="67DFE088" w:rsidR="005F07E0" w:rsidRDefault="005F07E0" w:rsidP="005F07E0">
      <w:r>
        <w:t>Data to assess utilisation was obtained from the Department of Human Services (</w:t>
      </w:r>
      <w:r w:rsidRPr="00CB12A0">
        <w:t>DHS</w:t>
      </w:r>
      <w:r>
        <w:t>)</w:t>
      </w:r>
      <w:r w:rsidRPr="00CB12A0">
        <w:t xml:space="preserve"> </w:t>
      </w:r>
      <w:r>
        <w:t xml:space="preserve">PBS </w:t>
      </w:r>
      <w:r w:rsidRPr="00CB12A0">
        <w:t xml:space="preserve">prescription </w:t>
      </w:r>
      <w:r>
        <w:t xml:space="preserve">claims </w:t>
      </w:r>
      <w:r w:rsidRPr="00CB12A0">
        <w:t>data</w:t>
      </w:r>
      <w:r>
        <w:t>base</w:t>
      </w:r>
      <w:r w:rsidR="006A4706">
        <w:t>.</w:t>
      </w:r>
      <w:r>
        <w:t xml:space="preserve"> </w:t>
      </w:r>
    </w:p>
    <w:p w14:paraId="7599E7C1" w14:textId="5523B1B1" w:rsidR="005C6661" w:rsidRDefault="005C6661" w:rsidP="005C6661">
      <w:pPr>
        <w:pStyle w:val="Heading2"/>
      </w:pPr>
      <w:r>
        <w:t>Key Findings</w:t>
      </w:r>
    </w:p>
    <w:p w14:paraId="62F8875A" w14:textId="72698147" w:rsidR="0011395E" w:rsidRDefault="0011395E" w:rsidP="0011395E">
      <w:pPr>
        <w:pStyle w:val="ListParagraph"/>
        <w:numPr>
          <w:ilvl w:val="0"/>
          <w:numId w:val="20"/>
        </w:numPr>
        <w:spacing w:after="0"/>
        <w:rPr>
          <w:rFonts w:ascii="Calibri" w:hAnsi="Calibri"/>
        </w:rPr>
      </w:pPr>
      <w:r w:rsidRPr="003924D2">
        <w:rPr>
          <w:rFonts w:ascii="Calibri" w:hAnsi="Calibri"/>
        </w:rPr>
        <w:t>The overall utilisation of bevacizumab, cetuximab and panitumumab had stabilised</w:t>
      </w:r>
      <w:r>
        <w:rPr>
          <w:rFonts w:ascii="Calibri" w:hAnsi="Calibri"/>
        </w:rPr>
        <w:t xml:space="preserve"> by 2016</w:t>
      </w:r>
      <w:r w:rsidRPr="003924D2">
        <w:rPr>
          <w:rFonts w:ascii="Calibri" w:hAnsi="Calibri"/>
        </w:rPr>
        <w:t xml:space="preserve">. In 2016, a total of 5,177 patients were treated for metastatic colorectal cancer with these medicines. </w:t>
      </w:r>
      <w:r>
        <w:rPr>
          <w:rFonts w:ascii="Calibri" w:hAnsi="Calibri"/>
        </w:rPr>
        <w:t xml:space="preserve">Of these, the number of patients first initiating </w:t>
      </w:r>
      <w:r w:rsidR="00E81897">
        <w:rPr>
          <w:rFonts w:ascii="Calibri" w:hAnsi="Calibri"/>
        </w:rPr>
        <w:t>targeted therapy</w:t>
      </w:r>
      <w:r w:rsidR="008D3526">
        <w:rPr>
          <w:rFonts w:ascii="Calibri" w:hAnsi="Calibri"/>
        </w:rPr>
        <w:t xml:space="preserve"> was 2,479</w:t>
      </w:r>
      <w:r w:rsidRPr="003924D2">
        <w:rPr>
          <w:rFonts w:ascii="Calibri" w:hAnsi="Calibri"/>
        </w:rPr>
        <w:t>.</w:t>
      </w:r>
    </w:p>
    <w:p w14:paraId="2CFCC73D" w14:textId="7864391F" w:rsidR="00ED35F9" w:rsidRPr="003924D2" w:rsidRDefault="00ED35F9" w:rsidP="0011395E">
      <w:pPr>
        <w:pStyle w:val="ListParagraph"/>
        <w:numPr>
          <w:ilvl w:val="0"/>
          <w:numId w:val="20"/>
        </w:numPr>
        <w:spacing w:after="0"/>
        <w:rPr>
          <w:rFonts w:ascii="Calibri" w:hAnsi="Calibri"/>
        </w:rPr>
      </w:pPr>
      <w:r>
        <w:rPr>
          <w:rFonts w:ascii="Calibri" w:hAnsi="Calibri"/>
        </w:rPr>
        <w:t xml:space="preserve">The time on treatment with bevacizumab in first-line </w:t>
      </w:r>
      <w:r w:rsidR="000B19EA">
        <w:rPr>
          <w:rFonts w:ascii="Calibri" w:hAnsi="Calibri"/>
        </w:rPr>
        <w:t>(~427</w:t>
      </w:r>
      <w:r w:rsidR="005A4284">
        <w:rPr>
          <w:rFonts w:ascii="Calibri" w:hAnsi="Calibri"/>
        </w:rPr>
        <w:t xml:space="preserve"> days) </w:t>
      </w:r>
      <w:r>
        <w:rPr>
          <w:rFonts w:ascii="Calibri" w:hAnsi="Calibri"/>
        </w:rPr>
        <w:t>was longer than the progression-free survival reported in key clinical trials</w:t>
      </w:r>
      <w:r w:rsidR="005A4284">
        <w:rPr>
          <w:rFonts w:ascii="Calibri" w:hAnsi="Calibri"/>
        </w:rPr>
        <w:t xml:space="preserve"> (~340 days). Further, around 11</w:t>
      </w:r>
      <w:r>
        <w:rPr>
          <w:rFonts w:ascii="Calibri" w:hAnsi="Calibri"/>
        </w:rPr>
        <w:t xml:space="preserve"> percent of patients were identified as having been supplied bevacizumab with different chemotherapy partners. These findings suggest that there may have been some use of bevacizumab in patients with progressive disease.</w:t>
      </w:r>
    </w:p>
    <w:p w14:paraId="26026148" w14:textId="77777777" w:rsidR="0011395E" w:rsidRPr="003924D2" w:rsidRDefault="0011395E" w:rsidP="0011395E">
      <w:pPr>
        <w:pStyle w:val="ListParagraph"/>
        <w:numPr>
          <w:ilvl w:val="0"/>
          <w:numId w:val="20"/>
        </w:numPr>
        <w:spacing w:after="0"/>
        <w:rPr>
          <w:rFonts w:ascii="Calibri" w:hAnsi="Calibri"/>
        </w:rPr>
      </w:pPr>
      <w:r w:rsidRPr="003924D2">
        <w:rPr>
          <w:rFonts w:ascii="Calibri" w:hAnsi="Calibri"/>
        </w:rPr>
        <w:t>There were no cases identified where bevacizumab, cetuximab or panitumumab were potentially co-administered with each other.</w:t>
      </w:r>
    </w:p>
    <w:p w14:paraId="0A74453C" w14:textId="2990CBB7" w:rsidR="00F57C12" w:rsidRDefault="00F57C12">
      <w:pPr>
        <w:spacing w:line="276" w:lineRule="auto"/>
      </w:pPr>
      <w:r>
        <w:br w:type="page"/>
      </w:r>
    </w:p>
    <w:p w14:paraId="5B262047" w14:textId="525241DC" w:rsidR="00E677DD" w:rsidRPr="00A84F91" w:rsidRDefault="00E677DD" w:rsidP="00A84F91">
      <w:pPr>
        <w:pStyle w:val="Heading1"/>
        <w:rPr>
          <w:sz w:val="32"/>
          <w:szCs w:val="32"/>
        </w:rPr>
      </w:pPr>
      <w:r w:rsidRPr="00A84F91">
        <w:rPr>
          <w:sz w:val="32"/>
          <w:szCs w:val="32"/>
        </w:rPr>
        <w:lastRenderedPageBreak/>
        <w:t xml:space="preserve">Purpose of </w:t>
      </w:r>
      <w:r w:rsidR="00D151EB" w:rsidRPr="00A84F91">
        <w:rPr>
          <w:sz w:val="32"/>
          <w:szCs w:val="32"/>
        </w:rPr>
        <w:t>analysis</w:t>
      </w:r>
    </w:p>
    <w:p w14:paraId="575F556E" w14:textId="54917501" w:rsidR="00903D9F" w:rsidRPr="0074528B" w:rsidRDefault="00903D9F" w:rsidP="00903D9F">
      <w:r>
        <w:t xml:space="preserve">To assess the utilisation of targeted therapies for metastatic colorectal cancer (mCRC) including PBS listed bevacizumab, cetuximab and panitumumab. </w:t>
      </w:r>
    </w:p>
    <w:p w14:paraId="0A7F0B57" w14:textId="034D22D5" w:rsidR="006537D9" w:rsidRPr="00A84F91" w:rsidRDefault="00736041" w:rsidP="005641F4">
      <w:pPr>
        <w:pStyle w:val="Heading1"/>
        <w:spacing w:before="240"/>
        <w:rPr>
          <w:sz w:val="32"/>
          <w:szCs w:val="32"/>
        </w:rPr>
      </w:pPr>
      <w:r w:rsidRPr="00A84F91">
        <w:rPr>
          <w:sz w:val="32"/>
          <w:szCs w:val="32"/>
        </w:rPr>
        <w:t>Background</w:t>
      </w:r>
    </w:p>
    <w:p w14:paraId="569BFF5C" w14:textId="77777777" w:rsidR="0014330B" w:rsidRPr="00A84F91" w:rsidRDefault="0014330B" w:rsidP="00A84F91">
      <w:pPr>
        <w:pStyle w:val="Heading2"/>
        <w:rPr>
          <w:i w:val="0"/>
          <w:sz w:val="28"/>
          <w:szCs w:val="28"/>
        </w:rPr>
      </w:pPr>
      <w:r w:rsidRPr="00A84F91">
        <w:rPr>
          <w:i w:val="0"/>
          <w:sz w:val="28"/>
          <w:szCs w:val="28"/>
        </w:rPr>
        <w:t>Clinical situation</w:t>
      </w:r>
    </w:p>
    <w:p w14:paraId="39A05FF6" w14:textId="7EA5CFBC" w:rsidR="0014330B" w:rsidRDefault="0014330B" w:rsidP="0014330B">
      <w:pPr>
        <w:spacing w:after="0"/>
      </w:pPr>
      <w:r>
        <w:t>Colorectal cancer is the second most common cause of cancer-related death in Australia</w:t>
      </w:r>
      <w:r w:rsidR="003038FF">
        <w:t>.</w:t>
      </w:r>
      <w:r>
        <w:rPr>
          <w:vertAlign w:val="superscript"/>
        </w:rPr>
        <w:t>3</w:t>
      </w:r>
      <w:r>
        <w:t xml:space="preserve"> There are over 50,000 Australians living with colorectal cancer with an estimated 16,500 new cases each year</w:t>
      </w:r>
      <w:r w:rsidR="003038FF">
        <w:t>.</w:t>
      </w:r>
      <w:r>
        <w:rPr>
          <w:rStyle w:val="FootnoteReference"/>
        </w:rPr>
        <w:footnoteReference w:id="1"/>
      </w:r>
      <w:r>
        <w:t xml:space="preserve">  </w:t>
      </w:r>
      <w:r>
        <w:rPr>
          <w:color w:val="000000"/>
          <w:shd w:val="clear" w:color="auto" w:fill="FFFFFF"/>
        </w:rPr>
        <w:t xml:space="preserve">Approximately 20% of </w:t>
      </w:r>
      <w:r w:rsidR="004561F4">
        <w:rPr>
          <w:color w:val="000000"/>
          <w:shd w:val="clear" w:color="auto" w:fill="FFFFFF"/>
        </w:rPr>
        <w:t>people</w:t>
      </w:r>
      <w:r>
        <w:rPr>
          <w:color w:val="000000"/>
          <w:shd w:val="clear" w:color="auto" w:fill="FFFFFF"/>
        </w:rPr>
        <w:t xml:space="preserve"> with colorectal cancer have metastatic disease at the time of initial diagnosis</w:t>
      </w:r>
      <w:r w:rsidR="003038FF">
        <w:rPr>
          <w:color w:val="000000"/>
          <w:shd w:val="clear" w:color="auto" w:fill="FFFFFF"/>
        </w:rPr>
        <w:t>.</w:t>
      </w:r>
      <w:r>
        <w:rPr>
          <w:rStyle w:val="FootnoteReference"/>
          <w:color w:val="000000"/>
          <w:shd w:val="clear" w:color="auto" w:fill="FFFFFF"/>
        </w:rPr>
        <w:footnoteReference w:id="2"/>
      </w:r>
      <w:r>
        <w:t xml:space="preserve"> </w:t>
      </w:r>
      <w:r w:rsidR="001F23E4">
        <w:t>Patients</w:t>
      </w:r>
      <w:r>
        <w:t xml:space="preserve"> diagnosed with c</w:t>
      </w:r>
      <w:r w:rsidR="009D108A">
        <w:t>olorectal cancer have about a</w:t>
      </w:r>
      <w:r w:rsidR="00FF6E9B">
        <w:t>n</w:t>
      </w:r>
      <w:r w:rsidR="009D108A">
        <w:t xml:space="preserve"> 8</w:t>
      </w:r>
      <w:r>
        <w:t>% chance of surviving for five years</w:t>
      </w:r>
      <w:r w:rsidR="003038FF">
        <w:t>.</w:t>
      </w:r>
      <w:r>
        <w:rPr>
          <w:vertAlign w:val="superscript"/>
        </w:rPr>
        <w:t>3</w:t>
      </w:r>
      <w:r>
        <w:t xml:space="preserve"> </w:t>
      </w:r>
    </w:p>
    <w:p w14:paraId="588E3DA7" w14:textId="77777777" w:rsidR="0014330B" w:rsidRDefault="0014330B" w:rsidP="0014330B">
      <w:pPr>
        <w:spacing w:after="0"/>
      </w:pPr>
    </w:p>
    <w:p w14:paraId="63E00EFA" w14:textId="2DBC2749" w:rsidR="0014330B" w:rsidRDefault="0014330B" w:rsidP="0014330B">
      <w:pPr>
        <w:spacing w:after="0"/>
        <w:rPr>
          <w:color w:val="000000"/>
          <w:shd w:val="clear" w:color="auto" w:fill="FFFFFF"/>
        </w:rPr>
      </w:pPr>
      <w:r>
        <w:t>There are several c</w:t>
      </w:r>
      <w:r w:rsidRPr="00A331EA">
        <w:t>linical practice guidelin</w:t>
      </w:r>
      <w:r>
        <w:t xml:space="preserve">es available for the management of </w:t>
      </w:r>
      <w:r w:rsidRPr="00A331EA">
        <w:t xml:space="preserve">colorectal cancer. These include guides from the </w:t>
      </w:r>
      <w:hyperlink r:id="rId9" w:history="1">
        <w:r w:rsidRPr="009C5E7E">
          <w:rPr>
            <w:rStyle w:val="Hyperlink"/>
          </w:rPr>
          <w:t>National Comprehensive Cancer Network</w:t>
        </w:r>
      </w:hyperlink>
      <w:r>
        <w:t xml:space="preserve"> (NCCN)</w:t>
      </w:r>
      <w:r w:rsidRPr="00A331EA">
        <w:t xml:space="preserve">, </w:t>
      </w:r>
      <w:hyperlink r:id="rId10" w:history="1">
        <w:r w:rsidRPr="00880579">
          <w:rPr>
            <w:rStyle w:val="Hyperlink"/>
          </w:rPr>
          <w:t>National Institute for Health and Care Excellence </w:t>
        </w:r>
      </w:hyperlink>
      <w:r>
        <w:t xml:space="preserve">(NICE) </w:t>
      </w:r>
      <w:r w:rsidRPr="00A331EA">
        <w:t xml:space="preserve">and </w:t>
      </w:r>
      <w:hyperlink r:id="rId11" w:history="1">
        <w:r w:rsidRPr="003E715A">
          <w:rPr>
            <w:rStyle w:val="Hyperlink"/>
          </w:rPr>
          <w:t>European Society for Medical Oncology</w:t>
        </w:r>
      </w:hyperlink>
      <w:r>
        <w:t xml:space="preserve"> (ESMO)</w:t>
      </w:r>
      <w:r w:rsidRPr="00A331EA">
        <w:t xml:space="preserve">. </w:t>
      </w:r>
      <w:r>
        <w:t xml:space="preserve">At the time of preparing this review, </w:t>
      </w:r>
      <w:r>
        <w:rPr>
          <w:color w:val="000000"/>
          <w:shd w:val="clear" w:color="auto" w:fill="FFFFFF"/>
        </w:rPr>
        <w:t>g</w:t>
      </w:r>
      <w:r w:rsidRPr="00A331EA">
        <w:rPr>
          <w:color w:val="000000"/>
          <w:shd w:val="clear" w:color="auto" w:fill="FFFFFF"/>
        </w:rPr>
        <w:t xml:space="preserve">uidelines were being developed by </w:t>
      </w:r>
      <w:r>
        <w:rPr>
          <w:color w:val="000000"/>
          <w:shd w:val="clear" w:color="auto" w:fill="FFFFFF"/>
        </w:rPr>
        <w:t xml:space="preserve">the </w:t>
      </w:r>
      <w:r w:rsidRPr="00A331EA">
        <w:rPr>
          <w:color w:val="000000"/>
          <w:shd w:val="clear" w:color="auto" w:fill="FFFFFF"/>
        </w:rPr>
        <w:t xml:space="preserve">Cancer Council Australia for the detection, prevention and management of colorectal cancer. </w:t>
      </w:r>
    </w:p>
    <w:p w14:paraId="25AB6876" w14:textId="77777777" w:rsidR="0014330B" w:rsidRDefault="0014330B" w:rsidP="0014330B">
      <w:pPr>
        <w:spacing w:after="0"/>
        <w:rPr>
          <w:color w:val="000000"/>
          <w:shd w:val="clear" w:color="auto" w:fill="FFFFFF"/>
        </w:rPr>
      </w:pPr>
    </w:p>
    <w:p w14:paraId="3BD32FF7" w14:textId="77777777" w:rsidR="0014330B" w:rsidRDefault="0014330B" w:rsidP="0014330B">
      <w:pPr>
        <w:spacing w:after="0"/>
        <w:rPr>
          <w:color w:val="000000"/>
          <w:shd w:val="clear" w:color="auto" w:fill="FFFFFF"/>
        </w:rPr>
      </w:pPr>
      <w:r w:rsidRPr="001376A1">
        <w:rPr>
          <w:color w:val="000000"/>
          <w:shd w:val="clear" w:color="auto" w:fill="FFFFFF"/>
        </w:rPr>
        <w:t xml:space="preserve">Early stage colorectal cancer can be </w:t>
      </w:r>
      <w:r>
        <w:rPr>
          <w:color w:val="000000"/>
          <w:shd w:val="clear" w:color="auto" w:fill="FFFFFF"/>
        </w:rPr>
        <w:t xml:space="preserve">effectively </w:t>
      </w:r>
      <w:r w:rsidRPr="001376A1">
        <w:rPr>
          <w:color w:val="000000"/>
          <w:shd w:val="clear" w:color="auto" w:fill="FFFFFF"/>
        </w:rPr>
        <w:t>treated</w:t>
      </w:r>
      <w:r>
        <w:rPr>
          <w:color w:val="000000"/>
          <w:shd w:val="clear" w:color="auto" w:fill="FFFFFF"/>
        </w:rPr>
        <w:t xml:space="preserve"> by removing the cancer from the bowel lining or healthy tissue through a surgical procedure known as</w:t>
      </w:r>
      <w:r w:rsidRPr="001376A1">
        <w:rPr>
          <w:color w:val="000000"/>
          <w:shd w:val="clear" w:color="auto" w:fill="FFFFFF"/>
        </w:rPr>
        <w:t xml:space="preserve"> local resection. </w:t>
      </w:r>
      <w:r>
        <w:rPr>
          <w:color w:val="000000"/>
          <w:shd w:val="clear" w:color="auto" w:fill="FFFFFF"/>
        </w:rPr>
        <w:t>Advanced cases may require the removal of a section of the bowel (called a ‘colectomy’). Chemotherapy and radiotherapy may be used to shrink the cancer before surgery. Chemotherapy may also be used after surgery to help kill any remaining cancer cells. Therapies which target the cancerous cells may also be used, discussed further below.</w:t>
      </w:r>
    </w:p>
    <w:p w14:paraId="2FE3D9F1" w14:textId="77777777" w:rsidR="0014330B" w:rsidRDefault="0014330B" w:rsidP="0014330B">
      <w:pPr>
        <w:spacing w:after="0"/>
        <w:rPr>
          <w:color w:val="000000"/>
          <w:shd w:val="clear" w:color="auto" w:fill="FFFFFF"/>
        </w:rPr>
      </w:pPr>
    </w:p>
    <w:p w14:paraId="532CC9C4" w14:textId="3A1F669E" w:rsidR="0014330B" w:rsidRDefault="0014330B" w:rsidP="0014330B">
      <w:pPr>
        <w:spacing w:after="0"/>
        <w:rPr>
          <w:color w:val="000000"/>
          <w:shd w:val="clear" w:color="auto" w:fill="FFFFFF"/>
        </w:rPr>
      </w:pPr>
      <w:r>
        <w:rPr>
          <w:color w:val="000000"/>
          <w:shd w:val="clear" w:color="auto" w:fill="FFFFFF"/>
        </w:rPr>
        <w:t xml:space="preserve">Drug therapy for metastatic colorectal cancer can involve a single drug or a combination of drugs. The choice of therapy depends on several considerations, including a </w:t>
      </w:r>
      <w:r w:rsidR="001F23E4">
        <w:rPr>
          <w:color w:val="000000"/>
          <w:shd w:val="clear" w:color="auto" w:fill="FFFFFF"/>
        </w:rPr>
        <w:t>patient</w:t>
      </w:r>
      <w:r>
        <w:rPr>
          <w:color w:val="000000"/>
          <w:shd w:val="clear" w:color="auto" w:fill="FFFFFF"/>
        </w:rPr>
        <w:t>’s likely tolerance of the drug(s), prior therapy used and mutations within the tumour</w:t>
      </w:r>
      <w:r w:rsidR="003038FF">
        <w:rPr>
          <w:color w:val="000000"/>
          <w:shd w:val="clear" w:color="auto" w:fill="FFFFFF"/>
        </w:rPr>
        <w:t>.</w:t>
      </w:r>
      <w:r>
        <w:rPr>
          <w:rStyle w:val="FootnoteReference"/>
          <w:color w:val="000000"/>
          <w:shd w:val="clear" w:color="auto" w:fill="FFFFFF"/>
        </w:rPr>
        <w:footnoteReference w:id="3"/>
      </w:r>
      <w:r>
        <w:rPr>
          <w:color w:val="000000"/>
          <w:shd w:val="clear" w:color="auto" w:fill="FFFFFF"/>
        </w:rPr>
        <w:t xml:space="preserve"> Current therapies have various mechanisms of action to stop or slow tumour growth. These include: </w:t>
      </w:r>
    </w:p>
    <w:p w14:paraId="78454E86" w14:textId="77777777" w:rsidR="0014330B" w:rsidRPr="00D1665F" w:rsidRDefault="0014330B" w:rsidP="0014330B">
      <w:pPr>
        <w:pStyle w:val="ListParagraph"/>
        <w:numPr>
          <w:ilvl w:val="0"/>
          <w:numId w:val="12"/>
        </w:numPr>
        <w:spacing w:after="0"/>
        <w:ind w:left="357" w:hanging="357"/>
        <w:rPr>
          <w:color w:val="000000"/>
          <w:shd w:val="clear" w:color="auto" w:fill="FFFFFF"/>
        </w:rPr>
      </w:pPr>
      <w:r w:rsidRPr="00CB5F52">
        <w:rPr>
          <w:color w:val="000000"/>
          <w:shd w:val="clear" w:color="auto" w:fill="FFFFFF"/>
        </w:rPr>
        <w:t>deoxyribonucleic acid</w:t>
      </w:r>
      <w:r>
        <w:rPr>
          <w:rFonts w:ascii="Arial" w:hAnsi="Arial" w:cs="Arial"/>
          <w:color w:val="222222"/>
          <w:shd w:val="clear" w:color="auto" w:fill="FFFFFF"/>
        </w:rPr>
        <w:t xml:space="preserve"> (</w:t>
      </w:r>
      <w:r w:rsidRPr="006B40E3">
        <w:rPr>
          <w:color w:val="000000"/>
          <w:shd w:val="clear" w:color="auto" w:fill="FFFFFF"/>
        </w:rPr>
        <w:t>DNA</w:t>
      </w:r>
      <w:r>
        <w:rPr>
          <w:color w:val="000000"/>
          <w:shd w:val="clear" w:color="auto" w:fill="FFFFFF"/>
        </w:rPr>
        <w:t>)</w:t>
      </w:r>
      <w:r w:rsidRPr="006B40E3">
        <w:rPr>
          <w:color w:val="000000"/>
          <w:shd w:val="clear" w:color="auto" w:fill="FFFFFF"/>
        </w:rPr>
        <w:t xml:space="preserve"> repair inhibitors.</w:t>
      </w:r>
      <w:r>
        <w:rPr>
          <w:color w:val="000000"/>
          <w:shd w:val="clear" w:color="auto" w:fill="FFFFFF"/>
        </w:rPr>
        <w:t xml:space="preserve"> </w:t>
      </w:r>
      <w:r w:rsidRPr="00D1665F">
        <w:rPr>
          <w:color w:val="000000"/>
          <w:shd w:val="clear" w:color="auto" w:fill="FFFFFF"/>
        </w:rPr>
        <w:t xml:space="preserve">Disruptions to DNA repair pathways can cause damage to DNA sequences in cells. As </w:t>
      </w:r>
      <w:r>
        <w:rPr>
          <w:color w:val="000000"/>
          <w:shd w:val="clear" w:color="auto" w:fill="FFFFFF"/>
        </w:rPr>
        <w:t xml:space="preserve">a </w:t>
      </w:r>
      <w:r w:rsidRPr="00D1665F">
        <w:rPr>
          <w:color w:val="000000"/>
          <w:shd w:val="clear" w:color="auto" w:fill="FFFFFF"/>
        </w:rPr>
        <w:t xml:space="preserve">cancer progresses, tumours accumulate more mutations in DNA repair proteins. DNA repair inhibitors interrupt DNA repair to induce cancer cell death. </w:t>
      </w:r>
    </w:p>
    <w:p w14:paraId="15E26138" w14:textId="590DB240" w:rsidR="0014330B" w:rsidRPr="00D1665F" w:rsidRDefault="0014330B" w:rsidP="0014330B">
      <w:pPr>
        <w:pStyle w:val="ListParagraph"/>
        <w:numPr>
          <w:ilvl w:val="0"/>
          <w:numId w:val="12"/>
        </w:numPr>
        <w:spacing w:after="0"/>
        <w:ind w:left="357" w:hanging="357"/>
        <w:rPr>
          <w:color w:val="000000"/>
          <w:shd w:val="clear" w:color="auto" w:fill="FFFFFF"/>
        </w:rPr>
      </w:pPr>
      <w:r w:rsidRPr="006B40E3">
        <w:rPr>
          <w:color w:val="000000"/>
          <w:shd w:val="clear" w:color="auto" w:fill="FFFFFF"/>
        </w:rPr>
        <w:t>Vascular endothelial growth factor (VEGF) inhibitors</w:t>
      </w:r>
      <w:r>
        <w:rPr>
          <w:color w:val="000000"/>
          <w:shd w:val="clear" w:color="auto" w:fill="FFFFFF"/>
        </w:rPr>
        <w:t>. B</w:t>
      </w:r>
      <w:r w:rsidRPr="00D1665F">
        <w:rPr>
          <w:color w:val="000000"/>
          <w:shd w:val="clear" w:color="auto" w:fill="FFFFFF"/>
        </w:rPr>
        <w:t xml:space="preserve">y preventing the actions of </w:t>
      </w:r>
      <w:r w:rsidR="003038FF">
        <w:rPr>
          <w:color w:val="000000"/>
          <w:shd w:val="clear" w:color="auto" w:fill="FFFFFF"/>
        </w:rPr>
        <w:t>VEGF</w:t>
      </w:r>
      <w:r>
        <w:rPr>
          <w:color w:val="000000"/>
          <w:shd w:val="clear" w:color="auto" w:fill="FFFFFF"/>
        </w:rPr>
        <w:t xml:space="preserve">, </w:t>
      </w:r>
      <w:r w:rsidR="003038FF">
        <w:rPr>
          <w:color w:val="000000"/>
          <w:shd w:val="clear" w:color="auto" w:fill="FFFFFF"/>
        </w:rPr>
        <w:t xml:space="preserve">these </w:t>
      </w:r>
      <w:r>
        <w:rPr>
          <w:color w:val="000000"/>
          <w:shd w:val="clear" w:color="auto" w:fill="FFFFFF"/>
        </w:rPr>
        <w:t>inhibitors</w:t>
      </w:r>
      <w:r w:rsidR="003038FF">
        <w:rPr>
          <w:color w:val="000000"/>
          <w:shd w:val="clear" w:color="auto" w:fill="FFFFFF"/>
        </w:rPr>
        <w:t>,</w:t>
      </w:r>
      <w:r w:rsidR="00397007">
        <w:rPr>
          <w:color w:val="000000"/>
          <w:shd w:val="clear" w:color="auto" w:fill="FFFFFF"/>
        </w:rPr>
        <w:t xml:space="preserve"> such as bevacizumab</w:t>
      </w:r>
      <w:r w:rsidR="003038FF">
        <w:rPr>
          <w:color w:val="000000"/>
          <w:shd w:val="clear" w:color="auto" w:fill="FFFFFF"/>
        </w:rPr>
        <w:t>,</w:t>
      </w:r>
      <w:r>
        <w:rPr>
          <w:color w:val="000000"/>
          <w:shd w:val="clear" w:color="auto" w:fill="FFFFFF"/>
        </w:rPr>
        <w:t xml:space="preserve"> interrupt</w:t>
      </w:r>
      <w:r w:rsidRPr="00D1665F">
        <w:rPr>
          <w:color w:val="000000"/>
          <w:shd w:val="clear" w:color="auto" w:fill="FFFFFF"/>
        </w:rPr>
        <w:t xml:space="preserve"> the growth of blood vessels </w:t>
      </w:r>
      <w:r>
        <w:rPr>
          <w:color w:val="000000"/>
          <w:shd w:val="clear" w:color="auto" w:fill="FFFFFF"/>
        </w:rPr>
        <w:t xml:space="preserve">that </w:t>
      </w:r>
      <w:r w:rsidRPr="00D1665F">
        <w:rPr>
          <w:color w:val="000000"/>
          <w:shd w:val="clear" w:color="auto" w:fill="FFFFFF"/>
        </w:rPr>
        <w:t>supply nutrients and oxygen to tumours</w:t>
      </w:r>
      <w:r>
        <w:rPr>
          <w:color w:val="000000"/>
          <w:shd w:val="clear" w:color="auto" w:fill="FFFFFF"/>
        </w:rPr>
        <w:t>.</w:t>
      </w:r>
      <w:r w:rsidRPr="00D1665F">
        <w:rPr>
          <w:color w:val="000000"/>
          <w:shd w:val="clear" w:color="auto" w:fill="FFFFFF"/>
        </w:rPr>
        <w:t xml:space="preserve"> </w:t>
      </w:r>
    </w:p>
    <w:p w14:paraId="28B86275" w14:textId="7D7C329D" w:rsidR="0014330B" w:rsidRDefault="0014330B" w:rsidP="0014330B">
      <w:pPr>
        <w:pStyle w:val="ListParagraph"/>
        <w:numPr>
          <w:ilvl w:val="0"/>
          <w:numId w:val="12"/>
        </w:numPr>
        <w:spacing w:after="0"/>
        <w:ind w:left="357" w:hanging="357"/>
        <w:rPr>
          <w:color w:val="000000"/>
          <w:shd w:val="clear" w:color="auto" w:fill="FFFFFF"/>
        </w:rPr>
      </w:pPr>
      <w:r w:rsidRPr="006B40E3">
        <w:lastRenderedPageBreak/>
        <w:t>Epidermal growth factor receptor (EGFR) inhibitors.</w:t>
      </w:r>
      <w:r>
        <w:t xml:space="preserve"> Deficient signally of the </w:t>
      </w:r>
      <w:r w:rsidR="003038FF">
        <w:t>EGFR</w:t>
      </w:r>
      <w:r>
        <w:t xml:space="preserve"> can cause the development of tumours. EGFR inhibitors, such as cetuximab and panitumumab, interrupt signalling errors from the receptor to affect the growth of EGFR-expressing tumours. </w:t>
      </w:r>
    </w:p>
    <w:p w14:paraId="44A5F66C" w14:textId="77777777" w:rsidR="0014330B" w:rsidRDefault="0014330B" w:rsidP="0014330B">
      <w:pPr>
        <w:pStyle w:val="ListParagraph"/>
        <w:spacing w:after="0"/>
        <w:ind w:left="357"/>
        <w:rPr>
          <w:b/>
        </w:rPr>
      </w:pPr>
    </w:p>
    <w:p w14:paraId="7CB85D68" w14:textId="63B24C1C" w:rsidR="00397007" w:rsidRDefault="0014330B" w:rsidP="004663AE">
      <w:pPr>
        <w:pStyle w:val="ListParagraph"/>
        <w:spacing w:after="0"/>
        <w:ind w:left="0"/>
        <w:rPr>
          <w:rStyle w:val="apple-converted-space"/>
          <w:color w:val="000000"/>
          <w:sz w:val="28"/>
          <w:szCs w:val="28"/>
          <w:shd w:val="clear" w:color="auto" w:fill="FFFFFF"/>
        </w:rPr>
      </w:pPr>
      <w:r>
        <w:rPr>
          <w:color w:val="000000"/>
          <w:shd w:val="clear" w:color="auto" w:fill="FFFFFF"/>
        </w:rPr>
        <w:t xml:space="preserve">The outcomes of drug therapy may also depend on whether a colon </w:t>
      </w:r>
      <w:r>
        <w:t xml:space="preserve">cancer has mutations in the rat sarcoma (RAS) oncogene. The RAS oncogene is involved in cell growth and overactive signalling of this gene can cause cancer. Around half of </w:t>
      </w:r>
      <w:r w:rsidR="00A659A5">
        <w:t xml:space="preserve">patients </w:t>
      </w:r>
      <w:r>
        <w:t xml:space="preserve">with colorectal cancer </w:t>
      </w:r>
      <w:r w:rsidRPr="00C56192">
        <w:t xml:space="preserve">have the mutant version of the </w:t>
      </w:r>
      <w:r>
        <w:t>RAS onco</w:t>
      </w:r>
      <w:r w:rsidRPr="00C56192">
        <w:t>gene</w:t>
      </w:r>
      <w:r w:rsidR="009C2D13">
        <w:t xml:space="preserve"> (Sorich et al., 2015)</w:t>
      </w:r>
      <w:r>
        <w:t xml:space="preserve">. Identifying mutations in the RAS oncogene has important implications for therapy outcomes as they are a predictor of non-response in some therapies, such as </w:t>
      </w:r>
      <w:r w:rsidRPr="00B00668">
        <w:t>cetuximab and panitumumab.</w:t>
      </w:r>
      <w:r>
        <w:rPr>
          <w:rStyle w:val="apple-converted-space"/>
          <w:color w:val="000000"/>
          <w:sz w:val="28"/>
          <w:szCs w:val="28"/>
          <w:shd w:val="clear" w:color="auto" w:fill="FFFFFF"/>
        </w:rPr>
        <w:t> </w:t>
      </w:r>
    </w:p>
    <w:p w14:paraId="4A1EBAAB" w14:textId="77777777" w:rsidR="004663AE" w:rsidRPr="004663AE" w:rsidRDefault="004663AE" w:rsidP="004663AE">
      <w:pPr>
        <w:pStyle w:val="ListParagraph"/>
        <w:spacing w:after="0"/>
        <w:ind w:left="0"/>
        <w:rPr>
          <w:color w:val="000000"/>
          <w:sz w:val="28"/>
          <w:szCs w:val="28"/>
          <w:shd w:val="clear" w:color="auto" w:fill="FFFFFF"/>
        </w:rPr>
      </w:pPr>
    </w:p>
    <w:p w14:paraId="71AB2C35" w14:textId="5447DB3B" w:rsidR="00397007" w:rsidRPr="004663AE" w:rsidRDefault="00397007" w:rsidP="004663AE">
      <w:pPr>
        <w:rPr>
          <w:rStyle w:val="apple-converted-space"/>
        </w:rPr>
      </w:pPr>
      <w:r>
        <w:t xml:space="preserve">Panitumumab is used to treat colon cancer in patients whose tumours have no mutation in the RAS genes. For patients who are treated with bevacizumab or cetuximab after receiving prior treatment with another therapy, these drugs are used where the person has a mutation in the RAS wild-type gene. </w:t>
      </w:r>
    </w:p>
    <w:p w14:paraId="64D1B3E4" w14:textId="20AEAA6C" w:rsidR="009F0039" w:rsidRPr="007247B9" w:rsidRDefault="00F5028B" w:rsidP="004663AE">
      <w:pPr>
        <w:pStyle w:val="ListParagraph"/>
        <w:spacing w:after="0"/>
        <w:ind w:left="0"/>
      </w:pPr>
      <w:r w:rsidRPr="00F5028B">
        <w:t xml:space="preserve">A </w:t>
      </w:r>
      <w:hyperlink r:id="rId12" w:history="1">
        <w:r w:rsidRPr="00F5028B">
          <w:rPr>
            <w:rStyle w:val="Hyperlink"/>
          </w:rPr>
          <w:t>Medicare Benefits Schedule</w:t>
        </w:r>
      </w:hyperlink>
      <w:r w:rsidRPr="00F5028B">
        <w:t xml:space="preserve"> (MBS) service is available to undertake the required testing to determine the RAS status (MBS item 73338) to access PBS subsidised cetuximab and panitumumab.</w:t>
      </w:r>
    </w:p>
    <w:p w14:paraId="6AC18C88" w14:textId="7A398934" w:rsidR="001420B3" w:rsidRPr="00A84F91" w:rsidRDefault="00A52918" w:rsidP="005641F4">
      <w:pPr>
        <w:pStyle w:val="Heading1"/>
        <w:spacing w:before="240"/>
        <w:rPr>
          <w:sz w:val="32"/>
          <w:szCs w:val="32"/>
        </w:rPr>
      </w:pPr>
      <w:r w:rsidRPr="00A84F91">
        <w:rPr>
          <w:sz w:val="32"/>
          <w:szCs w:val="32"/>
        </w:rPr>
        <w:t>Therapeutic Goods Administration (</w:t>
      </w:r>
      <w:r w:rsidR="001420B3" w:rsidRPr="00A84F91">
        <w:rPr>
          <w:sz w:val="32"/>
          <w:szCs w:val="32"/>
        </w:rPr>
        <w:t>TGA</w:t>
      </w:r>
      <w:r w:rsidRPr="00A84F91">
        <w:rPr>
          <w:sz w:val="32"/>
          <w:szCs w:val="32"/>
        </w:rPr>
        <w:t>)</w:t>
      </w:r>
      <w:r w:rsidR="001420B3" w:rsidRPr="00A84F91">
        <w:rPr>
          <w:sz w:val="32"/>
          <w:szCs w:val="32"/>
        </w:rPr>
        <w:t xml:space="preserve"> approved indications</w:t>
      </w:r>
    </w:p>
    <w:p w14:paraId="716981F4" w14:textId="695F7174" w:rsidR="007F593A" w:rsidRPr="005641F4" w:rsidRDefault="009A5346" w:rsidP="005641F4">
      <w:pPr>
        <w:rPr>
          <w:b/>
        </w:rPr>
      </w:pPr>
      <w:r w:rsidRPr="00A84F91">
        <w:rPr>
          <w:b/>
        </w:rPr>
        <w:t>Bevacizumab</w:t>
      </w:r>
    </w:p>
    <w:p w14:paraId="6C0A74C7" w14:textId="04661EE6" w:rsidR="009A5346" w:rsidRDefault="009A5346" w:rsidP="00AB6FEB">
      <w:pPr>
        <w:spacing w:after="0"/>
        <w:jc w:val="both"/>
      </w:pPr>
      <w:r>
        <w:t xml:space="preserve">Bevacizumab is registered for use in combination with fluoropyrimidine-based chemotherapy for the treatment of </w:t>
      </w:r>
      <w:r w:rsidR="001F23E4">
        <w:t>patients</w:t>
      </w:r>
      <w:r>
        <w:t xml:space="preserve"> with metastatic colorectal cancer. </w:t>
      </w:r>
    </w:p>
    <w:p w14:paraId="1249CFF9" w14:textId="77777777" w:rsidR="009A5346" w:rsidRDefault="009A5346" w:rsidP="00AB6FEB">
      <w:pPr>
        <w:spacing w:after="0"/>
        <w:jc w:val="both"/>
      </w:pPr>
    </w:p>
    <w:p w14:paraId="34BC31B0" w14:textId="323A2D2E" w:rsidR="009A5346" w:rsidRDefault="009A5346" w:rsidP="00AB6FEB">
      <w:pPr>
        <w:spacing w:after="0"/>
        <w:jc w:val="both"/>
      </w:pPr>
      <w:r>
        <w:t>Bevacizumab is also registered for several other indications, including:</w:t>
      </w:r>
    </w:p>
    <w:p w14:paraId="52BB827B" w14:textId="4C8A9495" w:rsidR="009A5346" w:rsidRPr="009A5346" w:rsidRDefault="009A5346" w:rsidP="009A5346">
      <w:pPr>
        <w:pStyle w:val="ListParagraph"/>
        <w:numPr>
          <w:ilvl w:val="0"/>
          <w:numId w:val="10"/>
        </w:numPr>
        <w:spacing w:after="0"/>
        <w:rPr>
          <w:rFonts w:ascii="Calibri" w:hAnsi="Calibri"/>
        </w:rPr>
      </w:pPr>
      <w:r w:rsidRPr="009A5346">
        <w:rPr>
          <w:rFonts w:ascii="Calibri" w:hAnsi="Calibri"/>
        </w:rPr>
        <w:t>Locally recurrent or metastatic breast cancer</w:t>
      </w:r>
      <w:r w:rsidR="0084514B">
        <w:rPr>
          <w:rFonts w:ascii="Calibri" w:hAnsi="Calibri"/>
        </w:rPr>
        <w:t>;</w:t>
      </w:r>
    </w:p>
    <w:p w14:paraId="7E898F42" w14:textId="0676E937" w:rsidR="009A5346" w:rsidRPr="009A5346" w:rsidRDefault="009A5346" w:rsidP="009A5346">
      <w:pPr>
        <w:pStyle w:val="ListParagraph"/>
        <w:numPr>
          <w:ilvl w:val="0"/>
          <w:numId w:val="10"/>
        </w:numPr>
        <w:spacing w:after="0"/>
        <w:rPr>
          <w:rFonts w:ascii="Calibri" w:hAnsi="Calibri"/>
        </w:rPr>
      </w:pPr>
      <w:r w:rsidRPr="009A5346">
        <w:rPr>
          <w:rFonts w:ascii="Calibri" w:hAnsi="Calibri"/>
        </w:rPr>
        <w:t>Advanced, metastatic or recurrent non-squamous non-small cell lung cancer (NSCLC)</w:t>
      </w:r>
      <w:r w:rsidR="0084514B">
        <w:rPr>
          <w:rFonts w:ascii="Calibri" w:hAnsi="Calibri"/>
        </w:rPr>
        <w:t>;</w:t>
      </w:r>
    </w:p>
    <w:p w14:paraId="7E49CA5D" w14:textId="409A26EB" w:rsidR="009A5346" w:rsidRPr="009A5346" w:rsidRDefault="009A5346" w:rsidP="009A5346">
      <w:pPr>
        <w:pStyle w:val="ListParagraph"/>
        <w:numPr>
          <w:ilvl w:val="0"/>
          <w:numId w:val="10"/>
        </w:numPr>
        <w:spacing w:after="0"/>
        <w:rPr>
          <w:rFonts w:ascii="Calibri" w:hAnsi="Calibri"/>
        </w:rPr>
      </w:pPr>
      <w:r w:rsidRPr="009A5346">
        <w:rPr>
          <w:rFonts w:ascii="Calibri" w:hAnsi="Calibri"/>
        </w:rPr>
        <w:t>Advanced and/or metastatic renal cell cancer</w:t>
      </w:r>
      <w:r w:rsidR="0084514B">
        <w:rPr>
          <w:rFonts w:ascii="Calibri" w:hAnsi="Calibri"/>
        </w:rPr>
        <w:t>;</w:t>
      </w:r>
    </w:p>
    <w:p w14:paraId="6FE5477F" w14:textId="007FDCC6" w:rsidR="009A5346" w:rsidRPr="009A5346" w:rsidRDefault="009A5346" w:rsidP="009A5346">
      <w:pPr>
        <w:pStyle w:val="ListParagraph"/>
        <w:numPr>
          <w:ilvl w:val="0"/>
          <w:numId w:val="10"/>
        </w:numPr>
        <w:spacing w:after="0"/>
        <w:rPr>
          <w:rFonts w:ascii="Calibri" w:hAnsi="Calibri"/>
        </w:rPr>
      </w:pPr>
      <w:r w:rsidRPr="009A5346">
        <w:rPr>
          <w:rFonts w:ascii="Calibri" w:hAnsi="Calibri"/>
        </w:rPr>
        <w:t>Grade IV glioma</w:t>
      </w:r>
      <w:r w:rsidR="0084514B">
        <w:rPr>
          <w:rFonts w:ascii="Calibri" w:hAnsi="Calibri"/>
        </w:rPr>
        <w:t>;</w:t>
      </w:r>
    </w:p>
    <w:p w14:paraId="49F4BAC3" w14:textId="31FA5FFD" w:rsidR="009A5346" w:rsidRPr="009A5346" w:rsidRDefault="009A5346" w:rsidP="009A5346">
      <w:pPr>
        <w:pStyle w:val="ListParagraph"/>
        <w:numPr>
          <w:ilvl w:val="0"/>
          <w:numId w:val="10"/>
        </w:numPr>
        <w:spacing w:after="0"/>
        <w:rPr>
          <w:rFonts w:ascii="Calibri" w:hAnsi="Calibri"/>
        </w:rPr>
      </w:pPr>
      <w:r w:rsidRPr="009A5346">
        <w:rPr>
          <w:rFonts w:ascii="Calibri" w:hAnsi="Calibri"/>
        </w:rPr>
        <w:t>Ovarian, fallopian tube or primary peritoneal cancer</w:t>
      </w:r>
      <w:r w:rsidR="0084514B">
        <w:rPr>
          <w:rFonts w:ascii="Calibri" w:hAnsi="Calibri"/>
        </w:rPr>
        <w:t>; and</w:t>
      </w:r>
    </w:p>
    <w:p w14:paraId="4CADACC5" w14:textId="77777777" w:rsidR="009A5346" w:rsidRPr="009A5346" w:rsidRDefault="009A5346" w:rsidP="009A5346">
      <w:pPr>
        <w:pStyle w:val="ListParagraph"/>
        <w:numPr>
          <w:ilvl w:val="0"/>
          <w:numId w:val="10"/>
        </w:numPr>
        <w:spacing w:after="0"/>
        <w:rPr>
          <w:rFonts w:ascii="Calibri" w:hAnsi="Calibri"/>
        </w:rPr>
      </w:pPr>
      <w:r w:rsidRPr="009A5346">
        <w:rPr>
          <w:rFonts w:ascii="Calibri" w:hAnsi="Calibri"/>
        </w:rPr>
        <w:t>Cervical cancer.</w:t>
      </w:r>
    </w:p>
    <w:p w14:paraId="32CB098D" w14:textId="77777777" w:rsidR="009A5346" w:rsidRDefault="009A5346" w:rsidP="00AB6FEB">
      <w:pPr>
        <w:spacing w:after="0"/>
        <w:jc w:val="both"/>
      </w:pPr>
    </w:p>
    <w:p w14:paraId="5C27C302" w14:textId="35BA9B69" w:rsidR="009A5346" w:rsidRPr="00BC3A2A" w:rsidRDefault="001C2622" w:rsidP="00AB6FEB">
      <w:pPr>
        <w:spacing w:after="0"/>
        <w:jc w:val="both"/>
        <w:rPr>
          <w:b/>
        </w:rPr>
      </w:pPr>
      <w:r>
        <w:t xml:space="preserve">Further information about the </w:t>
      </w:r>
      <w:r w:rsidR="00BC3A2A" w:rsidRPr="002F61CA">
        <w:t xml:space="preserve">current </w:t>
      </w:r>
      <w:r w:rsidR="00BC3A2A">
        <w:t>TGA approved indications</w:t>
      </w:r>
      <w:r w:rsidR="00BC3A2A" w:rsidRPr="002F61CA">
        <w:t xml:space="preserve"> </w:t>
      </w:r>
      <w:r>
        <w:t xml:space="preserve">for bevacizumab </w:t>
      </w:r>
      <w:r w:rsidR="00D34646">
        <w:t>is</w:t>
      </w:r>
      <w:r w:rsidR="00BC3A2A" w:rsidRPr="002F61CA">
        <w:t xml:space="preserve"> available from</w:t>
      </w:r>
      <w:r w:rsidR="004E55B7">
        <w:t xml:space="preserve"> the</w:t>
      </w:r>
      <w:r w:rsidR="00BC3A2A" w:rsidRPr="002F61CA">
        <w:t xml:space="preserve"> </w:t>
      </w:r>
      <w:hyperlink r:id="rId13" w:history="1">
        <w:r w:rsidR="00BC3A2A">
          <w:rPr>
            <w:rStyle w:val="Hyperlink"/>
          </w:rPr>
          <w:t>Australian Register of Therapeutic Goods.</w:t>
        </w:r>
      </w:hyperlink>
    </w:p>
    <w:p w14:paraId="59030884" w14:textId="77777777" w:rsidR="00455FA0" w:rsidRDefault="00455FA0" w:rsidP="00AB6FEB">
      <w:pPr>
        <w:spacing w:after="0"/>
        <w:jc w:val="both"/>
      </w:pPr>
    </w:p>
    <w:p w14:paraId="25C2D2A8" w14:textId="3D8B9E5C" w:rsidR="001C2622" w:rsidRDefault="00BC0472" w:rsidP="00BC0472">
      <w:pPr>
        <w:rPr>
          <w:b/>
        </w:rPr>
      </w:pPr>
      <w:r>
        <w:rPr>
          <w:b/>
        </w:rPr>
        <w:t>Cetuximab</w:t>
      </w:r>
    </w:p>
    <w:p w14:paraId="5785FB12" w14:textId="3D349926" w:rsidR="00290C3D" w:rsidRDefault="00F77068" w:rsidP="00290C3D">
      <w:pPr>
        <w:spacing w:after="0"/>
        <w:rPr>
          <w:rFonts w:ascii="Calibri" w:hAnsi="Calibri"/>
        </w:rPr>
      </w:pPr>
      <w:r w:rsidRPr="00302A02">
        <w:rPr>
          <w:rFonts w:ascii="Calibri" w:hAnsi="Calibri"/>
        </w:rPr>
        <w:t xml:space="preserve">Cetuximab is indicated for the treatment of </w:t>
      </w:r>
      <w:r w:rsidR="001F23E4">
        <w:rPr>
          <w:rFonts w:ascii="Calibri" w:hAnsi="Calibri"/>
        </w:rPr>
        <w:t>patients</w:t>
      </w:r>
      <w:r w:rsidRPr="00302A02">
        <w:rPr>
          <w:rFonts w:ascii="Calibri" w:hAnsi="Calibri"/>
        </w:rPr>
        <w:t xml:space="preserve"> with EGFR-expressing, RAS wild-ty</w:t>
      </w:r>
      <w:r w:rsidR="00290C3D">
        <w:rPr>
          <w:rFonts w:ascii="Calibri" w:hAnsi="Calibri"/>
        </w:rPr>
        <w:t>pe metastatic colorectal cancer:</w:t>
      </w:r>
    </w:p>
    <w:p w14:paraId="29ADA003" w14:textId="5753C1E1" w:rsidR="00290C3D" w:rsidRPr="00290C3D" w:rsidRDefault="00290C3D" w:rsidP="00290C3D">
      <w:pPr>
        <w:pStyle w:val="ListParagraph"/>
        <w:numPr>
          <w:ilvl w:val="0"/>
          <w:numId w:val="17"/>
        </w:numPr>
        <w:spacing w:after="0"/>
        <w:rPr>
          <w:rFonts w:ascii="Calibri" w:hAnsi="Calibri"/>
        </w:rPr>
      </w:pPr>
      <w:r w:rsidRPr="00290C3D">
        <w:rPr>
          <w:rFonts w:ascii="Calibri" w:hAnsi="Calibri"/>
        </w:rPr>
        <w:t>i</w:t>
      </w:r>
      <w:r w:rsidR="00F77068" w:rsidRPr="00290C3D">
        <w:rPr>
          <w:rFonts w:ascii="Calibri" w:hAnsi="Calibri"/>
        </w:rPr>
        <w:t>n combination with infusional 5-fluorourac</w:t>
      </w:r>
      <w:r w:rsidRPr="00290C3D">
        <w:rPr>
          <w:rFonts w:ascii="Calibri" w:hAnsi="Calibri"/>
        </w:rPr>
        <w:t>il/folinic acid plus irinotecan;</w:t>
      </w:r>
      <w:r w:rsidR="00F77068" w:rsidRPr="00290C3D">
        <w:rPr>
          <w:rFonts w:ascii="Calibri" w:hAnsi="Calibri"/>
        </w:rPr>
        <w:t xml:space="preserve"> </w:t>
      </w:r>
    </w:p>
    <w:p w14:paraId="2C0E2E31" w14:textId="7A85425D" w:rsidR="00290C3D" w:rsidRPr="00290C3D" w:rsidRDefault="00290C3D" w:rsidP="00290C3D">
      <w:pPr>
        <w:pStyle w:val="ListParagraph"/>
        <w:numPr>
          <w:ilvl w:val="0"/>
          <w:numId w:val="17"/>
        </w:numPr>
        <w:spacing w:after="0"/>
        <w:rPr>
          <w:rFonts w:ascii="Calibri" w:hAnsi="Calibri"/>
        </w:rPr>
      </w:pPr>
      <w:r w:rsidRPr="00290C3D">
        <w:rPr>
          <w:rFonts w:ascii="Calibri" w:hAnsi="Calibri"/>
        </w:rPr>
        <w:t>i</w:t>
      </w:r>
      <w:r w:rsidR="00F77068" w:rsidRPr="00290C3D">
        <w:rPr>
          <w:rFonts w:ascii="Calibri" w:hAnsi="Calibri"/>
        </w:rPr>
        <w:t xml:space="preserve">n combination with irinotecan in </w:t>
      </w:r>
      <w:r w:rsidR="001F23E4">
        <w:rPr>
          <w:rFonts w:ascii="Calibri" w:hAnsi="Calibri"/>
        </w:rPr>
        <w:t>patients</w:t>
      </w:r>
      <w:r w:rsidR="00F77068" w:rsidRPr="00290C3D">
        <w:rPr>
          <w:rFonts w:ascii="Calibri" w:hAnsi="Calibri"/>
        </w:rPr>
        <w:t xml:space="preserve"> who are refrac</w:t>
      </w:r>
      <w:r w:rsidRPr="00290C3D">
        <w:rPr>
          <w:rFonts w:ascii="Calibri" w:hAnsi="Calibri"/>
        </w:rPr>
        <w:t>tory to first-line chemotherapy;</w:t>
      </w:r>
      <w:r w:rsidR="00F77068" w:rsidRPr="00290C3D">
        <w:rPr>
          <w:rFonts w:ascii="Calibri" w:hAnsi="Calibri"/>
        </w:rPr>
        <w:t xml:space="preserve"> </w:t>
      </w:r>
    </w:p>
    <w:p w14:paraId="5138577E" w14:textId="7E7E404B" w:rsidR="00290C3D" w:rsidRPr="00290C3D" w:rsidRDefault="00290C3D" w:rsidP="00290C3D">
      <w:pPr>
        <w:pStyle w:val="ListParagraph"/>
        <w:numPr>
          <w:ilvl w:val="0"/>
          <w:numId w:val="17"/>
        </w:numPr>
        <w:spacing w:after="0"/>
        <w:rPr>
          <w:rFonts w:ascii="Calibri" w:hAnsi="Calibri"/>
        </w:rPr>
      </w:pPr>
      <w:r w:rsidRPr="00290C3D">
        <w:rPr>
          <w:rFonts w:ascii="Calibri" w:hAnsi="Calibri"/>
        </w:rPr>
        <w:lastRenderedPageBreak/>
        <w:t>i</w:t>
      </w:r>
      <w:r w:rsidR="00F77068" w:rsidRPr="00290C3D">
        <w:rPr>
          <w:rFonts w:ascii="Calibri" w:hAnsi="Calibri"/>
        </w:rPr>
        <w:t>n first-l</w:t>
      </w:r>
      <w:r w:rsidRPr="00290C3D">
        <w:rPr>
          <w:rFonts w:ascii="Calibri" w:hAnsi="Calibri"/>
        </w:rPr>
        <w:t>ine in combination with FOLFOX</w:t>
      </w:r>
      <w:r w:rsidR="00343B35">
        <w:rPr>
          <w:rStyle w:val="FootnoteReference"/>
          <w:rFonts w:ascii="Calibri" w:hAnsi="Calibri"/>
        </w:rPr>
        <w:footnoteReference w:id="4"/>
      </w:r>
      <w:r w:rsidRPr="00290C3D">
        <w:rPr>
          <w:rFonts w:ascii="Calibri" w:hAnsi="Calibri"/>
        </w:rPr>
        <w:t>; and</w:t>
      </w:r>
    </w:p>
    <w:p w14:paraId="45DAAD12" w14:textId="44B6AD55" w:rsidR="001C2622" w:rsidRPr="00290C3D" w:rsidRDefault="00290C3D" w:rsidP="00290C3D">
      <w:pPr>
        <w:pStyle w:val="ListParagraph"/>
        <w:numPr>
          <w:ilvl w:val="0"/>
          <w:numId w:val="17"/>
        </w:numPr>
        <w:spacing w:after="0"/>
        <w:rPr>
          <w:rFonts w:ascii="Calibri" w:hAnsi="Calibri"/>
        </w:rPr>
      </w:pPr>
      <w:r w:rsidRPr="00290C3D">
        <w:rPr>
          <w:rFonts w:ascii="Calibri" w:hAnsi="Calibri"/>
        </w:rPr>
        <w:t>a</w:t>
      </w:r>
      <w:r w:rsidR="00F77068" w:rsidRPr="00290C3D">
        <w:rPr>
          <w:rFonts w:ascii="Calibri" w:hAnsi="Calibri"/>
        </w:rPr>
        <w:t xml:space="preserve">s a single agent in </w:t>
      </w:r>
      <w:r w:rsidR="001F23E4">
        <w:rPr>
          <w:rFonts w:ascii="Calibri" w:hAnsi="Calibri"/>
        </w:rPr>
        <w:t>patients</w:t>
      </w:r>
      <w:r w:rsidR="00F77068" w:rsidRPr="00290C3D">
        <w:rPr>
          <w:rFonts w:ascii="Calibri" w:hAnsi="Calibri"/>
        </w:rPr>
        <w:t xml:space="preserve"> who have failed or are intolerant to oxaliplatin-based therapy and irinotecan-based therapy.</w:t>
      </w:r>
    </w:p>
    <w:p w14:paraId="5677F399" w14:textId="77777777" w:rsidR="007D4402" w:rsidRDefault="007D4402" w:rsidP="007D4402">
      <w:pPr>
        <w:spacing w:after="0"/>
        <w:rPr>
          <w:rFonts w:ascii="Calibri" w:hAnsi="Calibri"/>
        </w:rPr>
      </w:pPr>
    </w:p>
    <w:p w14:paraId="3BB2FB49" w14:textId="5C5F0113" w:rsidR="00BE23CA" w:rsidRPr="00F77068" w:rsidRDefault="00BE23CA" w:rsidP="00F77068">
      <w:pPr>
        <w:rPr>
          <w:rFonts w:ascii="Calibri" w:hAnsi="Calibri"/>
        </w:rPr>
      </w:pPr>
      <w:r>
        <w:rPr>
          <w:rFonts w:ascii="Calibri" w:hAnsi="Calibri"/>
        </w:rPr>
        <w:t>Cetuximab is also indicated for squamous cell cancer of the head and neck.</w:t>
      </w:r>
    </w:p>
    <w:p w14:paraId="72A4AE9A" w14:textId="00A98F9C" w:rsidR="001C2622" w:rsidRPr="00BC3A2A" w:rsidRDefault="00D34646" w:rsidP="001C2622">
      <w:pPr>
        <w:spacing w:after="0"/>
        <w:jc w:val="both"/>
        <w:rPr>
          <w:b/>
        </w:rPr>
      </w:pPr>
      <w:r>
        <w:t xml:space="preserve">Further information about the </w:t>
      </w:r>
      <w:r w:rsidRPr="002F61CA">
        <w:t xml:space="preserve">current </w:t>
      </w:r>
      <w:r>
        <w:t>TGA approved indications</w:t>
      </w:r>
      <w:r w:rsidRPr="002F61CA">
        <w:t xml:space="preserve"> </w:t>
      </w:r>
      <w:r>
        <w:t>for cetuximab is</w:t>
      </w:r>
      <w:r w:rsidRPr="002F61CA">
        <w:t xml:space="preserve"> </w:t>
      </w:r>
      <w:r w:rsidR="001C2622" w:rsidRPr="002F61CA">
        <w:t>available from</w:t>
      </w:r>
      <w:r w:rsidR="004E55B7">
        <w:t xml:space="preserve"> the</w:t>
      </w:r>
      <w:r w:rsidR="001C2622" w:rsidRPr="002F61CA">
        <w:t xml:space="preserve"> </w:t>
      </w:r>
      <w:hyperlink r:id="rId14" w:history="1">
        <w:r w:rsidR="001C2622">
          <w:rPr>
            <w:rStyle w:val="Hyperlink"/>
          </w:rPr>
          <w:t>Australian Register of Therapeutic Goods.</w:t>
        </w:r>
      </w:hyperlink>
    </w:p>
    <w:p w14:paraId="712E714A" w14:textId="77777777" w:rsidR="001C2622" w:rsidRDefault="001C2622" w:rsidP="00AB6FEB">
      <w:pPr>
        <w:spacing w:after="0"/>
        <w:jc w:val="both"/>
        <w:rPr>
          <w:b/>
        </w:rPr>
      </w:pPr>
    </w:p>
    <w:p w14:paraId="7E860702" w14:textId="26A3442A" w:rsidR="008F3023" w:rsidRDefault="005641F4" w:rsidP="005641F4">
      <w:pPr>
        <w:rPr>
          <w:b/>
        </w:rPr>
      </w:pPr>
      <w:r>
        <w:rPr>
          <w:b/>
        </w:rPr>
        <w:t>Panitumumab</w:t>
      </w:r>
    </w:p>
    <w:p w14:paraId="6D51C67F" w14:textId="5B641D7C" w:rsidR="0010638D" w:rsidRDefault="006A067F" w:rsidP="0010638D">
      <w:pPr>
        <w:spacing w:after="0"/>
        <w:rPr>
          <w:rFonts w:ascii="Calibri" w:hAnsi="Calibri"/>
        </w:rPr>
      </w:pPr>
      <w:r>
        <w:rPr>
          <w:rFonts w:ascii="Calibri" w:hAnsi="Calibri"/>
        </w:rPr>
        <w:t xml:space="preserve">Panitumumab </w:t>
      </w:r>
      <w:r w:rsidRPr="00302A02">
        <w:rPr>
          <w:rFonts w:ascii="Calibri" w:hAnsi="Calibri"/>
        </w:rPr>
        <w:t xml:space="preserve">is indicated for the treatment of </w:t>
      </w:r>
      <w:r w:rsidR="001F23E4">
        <w:rPr>
          <w:rFonts w:ascii="Calibri" w:hAnsi="Calibri"/>
        </w:rPr>
        <w:t>patients</w:t>
      </w:r>
      <w:r w:rsidRPr="00302A02">
        <w:rPr>
          <w:rFonts w:ascii="Calibri" w:hAnsi="Calibri"/>
        </w:rPr>
        <w:t xml:space="preserve"> with wild-type RAS metas</w:t>
      </w:r>
      <w:r w:rsidR="00CF4877">
        <w:rPr>
          <w:rFonts w:ascii="Calibri" w:hAnsi="Calibri"/>
        </w:rPr>
        <w:t>tatic colorectal cancer</w:t>
      </w:r>
      <w:r>
        <w:rPr>
          <w:rFonts w:ascii="Calibri" w:hAnsi="Calibri"/>
        </w:rPr>
        <w:t xml:space="preserve"> </w:t>
      </w:r>
      <w:r w:rsidRPr="00302A02">
        <w:rPr>
          <w:rFonts w:ascii="Calibri" w:hAnsi="Calibri"/>
        </w:rPr>
        <w:t>as</w:t>
      </w:r>
      <w:r w:rsidR="005B5575">
        <w:rPr>
          <w:rFonts w:ascii="Calibri" w:hAnsi="Calibri"/>
        </w:rPr>
        <w:t>:</w:t>
      </w:r>
      <w:r w:rsidRPr="00302A02">
        <w:rPr>
          <w:rFonts w:ascii="Calibri" w:hAnsi="Calibri"/>
        </w:rPr>
        <w:t xml:space="preserve"> </w:t>
      </w:r>
    </w:p>
    <w:p w14:paraId="206FB17B" w14:textId="77777777" w:rsidR="0010638D" w:rsidRPr="0010638D" w:rsidRDefault="006A067F" w:rsidP="0010638D">
      <w:pPr>
        <w:pStyle w:val="ListParagraph"/>
        <w:numPr>
          <w:ilvl w:val="0"/>
          <w:numId w:val="18"/>
        </w:numPr>
        <w:spacing w:after="0"/>
        <w:rPr>
          <w:rFonts w:ascii="Calibri" w:hAnsi="Calibri"/>
        </w:rPr>
      </w:pPr>
      <w:r w:rsidRPr="0010638D">
        <w:rPr>
          <w:rFonts w:ascii="Calibri" w:hAnsi="Calibri"/>
        </w:rPr>
        <w:t>first line therapy in combination with FOLFOX</w:t>
      </w:r>
      <w:r w:rsidR="005B5575" w:rsidRPr="0010638D">
        <w:rPr>
          <w:rFonts w:ascii="Calibri" w:hAnsi="Calibri"/>
        </w:rPr>
        <w:t xml:space="preserve">; </w:t>
      </w:r>
      <w:r w:rsidRPr="0010638D">
        <w:rPr>
          <w:rFonts w:ascii="Calibri" w:hAnsi="Calibri"/>
        </w:rPr>
        <w:t xml:space="preserve"> </w:t>
      </w:r>
    </w:p>
    <w:p w14:paraId="155C5510" w14:textId="00C546D0" w:rsidR="0010638D" w:rsidRPr="0010638D" w:rsidRDefault="006A067F" w:rsidP="0010638D">
      <w:pPr>
        <w:pStyle w:val="ListParagraph"/>
        <w:numPr>
          <w:ilvl w:val="0"/>
          <w:numId w:val="18"/>
        </w:numPr>
        <w:spacing w:after="0"/>
        <w:rPr>
          <w:rFonts w:ascii="Calibri" w:hAnsi="Calibri"/>
        </w:rPr>
      </w:pPr>
      <w:r w:rsidRPr="0010638D">
        <w:rPr>
          <w:rFonts w:ascii="Calibri" w:hAnsi="Calibri"/>
        </w:rPr>
        <w:t>second line therapy in combination with FOLFIRI</w:t>
      </w:r>
      <w:r w:rsidR="00343B35">
        <w:rPr>
          <w:rStyle w:val="FootnoteReference"/>
          <w:rFonts w:ascii="Calibri" w:hAnsi="Calibri"/>
        </w:rPr>
        <w:footnoteReference w:id="5"/>
      </w:r>
      <w:r w:rsidRPr="0010638D">
        <w:rPr>
          <w:rFonts w:ascii="Calibri" w:hAnsi="Calibri"/>
        </w:rPr>
        <w:t xml:space="preserve"> for </w:t>
      </w:r>
      <w:r w:rsidR="001F23E4">
        <w:rPr>
          <w:rFonts w:ascii="Calibri" w:hAnsi="Calibri"/>
        </w:rPr>
        <w:t>patients</w:t>
      </w:r>
      <w:r w:rsidRPr="0010638D">
        <w:rPr>
          <w:rFonts w:ascii="Calibri" w:hAnsi="Calibri"/>
        </w:rPr>
        <w:t xml:space="preserve"> who have received first-line fluoropyrimidine-based chem</w:t>
      </w:r>
      <w:r w:rsidR="005B5575" w:rsidRPr="0010638D">
        <w:rPr>
          <w:rFonts w:ascii="Calibri" w:hAnsi="Calibri"/>
        </w:rPr>
        <w:t xml:space="preserve">otherapy (excluding irinotecan); </w:t>
      </w:r>
      <w:r w:rsidR="001A7329">
        <w:rPr>
          <w:rFonts w:ascii="Calibri" w:hAnsi="Calibri"/>
        </w:rPr>
        <w:t>and</w:t>
      </w:r>
    </w:p>
    <w:p w14:paraId="76C7CA97" w14:textId="49E14480" w:rsidR="008F3023" w:rsidRPr="0010638D" w:rsidRDefault="005B5575" w:rsidP="0010638D">
      <w:pPr>
        <w:pStyle w:val="ListParagraph"/>
        <w:numPr>
          <w:ilvl w:val="0"/>
          <w:numId w:val="18"/>
        </w:numPr>
        <w:spacing w:after="0"/>
        <w:rPr>
          <w:rFonts w:ascii="Calibri" w:hAnsi="Calibri"/>
        </w:rPr>
      </w:pPr>
      <w:r w:rsidRPr="0010638D">
        <w:rPr>
          <w:rFonts w:ascii="Calibri" w:hAnsi="Calibri"/>
        </w:rPr>
        <w:t>as</w:t>
      </w:r>
      <w:r w:rsidR="006A067F" w:rsidRPr="0010638D">
        <w:rPr>
          <w:rFonts w:ascii="Calibri" w:hAnsi="Calibri"/>
        </w:rPr>
        <w:t xml:space="preserve"> monotherapy in </w:t>
      </w:r>
      <w:r w:rsidR="001F23E4">
        <w:rPr>
          <w:rFonts w:ascii="Calibri" w:hAnsi="Calibri"/>
        </w:rPr>
        <w:t>patients</w:t>
      </w:r>
      <w:r w:rsidR="006A067F" w:rsidRPr="0010638D">
        <w:rPr>
          <w:rFonts w:ascii="Calibri" w:hAnsi="Calibri"/>
        </w:rPr>
        <w:t xml:space="preserve"> after the failure of standard chemotherapy.</w:t>
      </w:r>
    </w:p>
    <w:p w14:paraId="23AD6A54" w14:textId="77777777" w:rsidR="0010638D" w:rsidRDefault="0010638D" w:rsidP="00F80864">
      <w:pPr>
        <w:spacing w:after="0"/>
        <w:jc w:val="both"/>
      </w:pPr>
    </w:p>
    <w:p w14:paraId="782A8CC8" w14:textId="03F6FFA9" w:rsidR="00AB6FEB" w:rsidRPr="00F80864" w:rsidRDefault="008F3023" w:rsidP="00F80864">
      <w:pPr>
        <w:spacing w:after="0"/>
        <w:jc w:val="both"/>
        <w:rPr>
          <w:b/>
        </w:rPr>
      </w:pPr>
      <w:r>
        <w:t xml:space="preserve">Further information about the </w:t>
      </w:r>
      <w:r w:rsidRPr="002F61CA">
        <w:t xml:space="preserve">current </w:t>
      </w:r>
      <w:r>
        <w:t>TGA approved indications</w:t>
      </w:r>
      <w:r w:rsidRPr="002F61CA">
        <w:t xml:space="preserve"> </w:t>
      </w:r>
      <w:r>
        <w:t>for panitumumab is</w:t>
      </w:r>
      <w:r w:rsidRPr="002F61CA">
        <w:t xml:space="preserve"> available from</w:t>
      </w:r>
      <w:r w:rsidR="004E55B7">
        <w:t xml:space="preserve"> the</w:t>
      </w:r>
      <w:r w:rsidRPr="002F61CA">
        <w:t xml:space="preserve"> </w:t>
      </w:r>
      <w:hyperlink r:id="rId15" w:history="1">
        <w:r>
          <w:rPr>
            <w:rStyle w:val="Hyperlink"/>
          </w:rPr>
          <w:t>Australian Register of Therapeutic Goods.</w:t>
        </w:r>
      </w:hyperlink>
    </w:p>
    <w:p w14:paraId="15E919C1" w14:textId="1B3BA560" w:rsidR="006B709B" w:rsidRPr="00A84F91" w:rsidRDefault="006B709B" w:rsidP="005641F4">
      <w:pPr>
        <w:pStyle w:val="Heading1"/>
        <w:spacing w:before="240"/>
        <w:rPr>
          <w:sz w:val="32"/>
          <w:szCs w:val="32"/>
        </w:rPr>
      </w:pPr>
      <w:r w:rsidRPr="00A84F91">
        <w:rPr>
          <w:sz w:val="32"/>
          <w:szCs w:val="32"/>
        </w:rPr>
        <w:t>Dosage and administration</w:t>
      </w:r>
    </w:p>
    <w:p w14:paraId="75AB13BF" w14:textId="572649FA" w:rsidR="00FD2CFA" w:rsidRPr="00FD2CFA" w:rsidRDefault="00FD2CFA" w:rsidP="00FD2CFA">
      <w:r>
        <w:t>The recommended doses and frequenc</w:t>
      </w:r>
      <w:r w:rsidR="004E55B7">
        <w:t>ies</w:t>
      </w:r>
      <w:r>
        <w:t xml:space="preserve"> of administration for bevacizumab, cetuximab and panitumumab </w:t>
      </w:r>
      <w:r w:rsidR="0030231E">
        <w:t xml:space="preserve">according to the approved product information </w:t>
      </w:r>
      <w:r>
        <w:t>are presented in Table 1.</w:t>
      </w:r>
    </w:p>
    <w:p w14:paraId="672171FA" w14:textId="77777777" w:rsidR="00ED3D76" w:rsidRDefault="00ED3D76">
      <w:pPr>
        <w:spacing w:line="276" w:lineRule="auto"/>
        <w:rPr>
          <w:b/>
        </w:rPr>
      </w:pPr>
      <w:r>
        <w:br w:type="page"/>
      </w:r>
    </w:p>
    <w:p w14:paraId="51E22FB7" w14:textId="119047DC" w:rsidR="003370D0" w:rsidRPr="005E154A" w:rsidRDefault="00FD2CFA" w:rsidP="005E154A">
      <w:pPr>
        <w:rPr>
          <w:b/>
        </w:rPr>
      </w:pPr>
      <w:r w:rsidRPr="005E154A">
        <w:rPr>
          <w:b/>
        </w:rPr>
        <w:lastRenderedPageBreak/>
        <w:t>Table 1</w:t>
      </w:r>
      <w:r w:rsidR="003370D0" w:rsidRPr="005E154A">
        <w:rPr>
          <w:b/>
        </w:rPr>
        <w:t xml:space="preserve">: </w:t>
      </w:r>
      <w:r w:rsidR="00A13739" w:rsidRPr="005E154A">
        <w:rPr>
          <w:b/>
        </w:rPr>
        <w:t>Dosage and administration of bevacizumab, cetuximab and panitumumab for metastatic colorectal cancer</w:t>
      </w:r>
    </w:p>
    <w:tbl>
      <w:tblPr>
        <w:tblStyle w:val="TableGrid"/>
        <w:tblW w:w="4965" w:type="pct"/>
        <w:tblLook w:val="04A0" w:firstRow="1" w:lastRow="0" w:firstColumn="1" w:lastColumn="0" w:noHBand="0" w:noVBand="1"/>
        <w:tblCaption w:val="Table 1"/>
        <w:tblDescription w:val="Product administration details"/>
      </w:tblPr>
      <w:tblGrid>
        <w:gridCol w:w="2658"/>
        <w:gridCol w:w="1700"/>
        <w:gridCol w:w="4751"/>
      </w:tblGrid>
      <w:tr w:rsidR="00AB3733" w:rsidRPr="00A35800" w14:paraId="17C962C4" w14:textId="77777777" w:rsidTr="007F16DA">
        <w:trPr>
          <w:tblHeader/>
        </w:trPr>
        <w:tc>
          <w:tcPr>
            <w:tcW w:w="1459" w:type="pct"/>
            <w:shd w:val="clear" w:color="auto" w:fill="BFBFBF" w:themeFill="background1" w:themeFillShade="BF"/>
          </w:tcPr>
          <w:p w14:paraId="4C67179E" w14:textId="77777777" w:rsidR="00AB3733" w:rsidRPr="00A35800" w:rsidRDefault="00AB3733" w:rsidP="00A35800">
            <w:pPr>
              <w:pStyle w:val="Tableheading"/>
              <w:rPr>
                <w:sz w:val="20"/>
                <w:szCs w:val="20"/>
              </w:rPr>
            </w:pPr>
            <w:r w:rsidRPr="00A35800">
              <w:rPr>
                <w:sz w:val="20"/>
                <w:szCs w:val="20"/>
              </w:rPr>
              <w:t>Brand name and sponsor</w:t>
            </w:r>
          </w:p>
        </w:tc>
        <w:tc>
          <w:tcPr>
            <w:tcW w:w="933" w:type="pct"/>
            <w:shd w:val="clear" w:color="auto" w:fill="BFBFBF" w:themeFill="background1" w:themeFillShade="BF"/>
          </w:tcPr>
          <w:p w14:paraId="2A01F4BF" w14:textId="77777777" w:rsidR="00AB3733" w:rsidRPr="00A35800" w:rsidRDefault="00AB3733" w:rsidP="00A35800">
            <w:pPr>
              <w:pStyle w:val="Tableheading"/>
              <w:rPr>
                <w:sz w:val="20"/>
                <w:szCs w:val="20"/>
              </w:rPr>
            </w:pPr>
            <w:r w:rsidRPr="00A35800">
              <w:rPr>
                <w:sz w:val="20"/>
                <w:szCs w:val="20"/>
              </w:rPr>
              <w:t>Product</w:t>
            </w:r>
          </w:p>
        </w:tc>
        <w:tc>
          <w:tcPr>
            <w:tcW w:w="2608" w:type="pct"/>
            <w:shd w:val="clear" w:color="auto" w:fill="BFBFBF" w:themeFill="background1" w:themeFillShade="BF"/>
          </w:tcPr>
          <w:p w14:paraId="28170FE4" w14:textId="77777777" w:rsidR="00AB3733" w:rsidRPr="00A35800" w:rsidRDefault="00AB3733" w:rsidP="00A35800">
            <w:pPr>
              <w:pStyle w:val="Tableheading"/>
              <w:rPr>
                <w:sz w:val="20"/>
                <w:szCs w:val="20"/>
              </w:rPr>
            </w:pPr>
            <w:r w:rsidRPr="00A35800">
              <w:rPr>
                <w:sz w:val="20"/>
                <w:szCs w:val="20"/>
              </w:rPr>
              <w:t xml:space="preserve">Dose and frequency of administration </w:t>
            </w:r>
          </w:p>
        </w:tc>
      </w:tr>
      <w:tr w:rsidR="00AB3733" w:rsidRPr="00A35800" w14:paraId="348A165B" w14:textId="77777777" w:rsidTr="007F16DA">
        <w:tc>
          <w:tcPr>
            <w:tcW w:w="1459" w:type="pct"/>
          </w:tcPr>
          <w:p w14:paraId="23DEB0E0" w14:textId="7BE1F953" w:rsidR="00AB3733" w:rsidRPr="00A35800" w:rsidRDefault="00A13739" w:rsidP="00A35800">
            <w:pPr>
              <w:pStyle w:val="Tablewriting"/>
            </w:pPr>
            <w:r>
              <w:t>Avastin</w:t>
            </w:r>
            <w:r w:rsidR="009121E9">
              <w:t>, Roche Products Pty Ltd</w:t>
            </w:r>
          </w:p>
        </w:tc>
        <w:tc>
          <w:tcPr>
            <w:tcW w:w="933" w:type="pct"/>
          </w:tcPr>
          <w:p w14:paraId="313459A4" w14:textId="4F627CC1" w:rsidR="00AB3733" w:rsidRPr="00A35800" w:rsidRDefault="00A13739" w:rsidP="00A35800">
            <w:pPr>
              <w:pStyle w:val="Tablewriting"/>
            </w:pPr>
            <w:r>
              <w:t>Bevacizumab</w:t>
            </w:r>
          </w:p>
        </w:tc>
        <w:tc>
          <w:tcPr>
            <w:tcW w:w="2608" w:type="pct"/>
          </w:tcPr>
          <w:p w14:paraId="09AD4E28" w14:textId="77777777" w:rsidR="00AB3733" w:rsidRDefault="009121E9" w:rsidP="00A35800">
            <w:pPr>
              <w:pStyle w:val="Tablewriting"/>
            </w:pPr>
            <w:r>
              <w:t>Bevacizumab is administered as an IV infusion. For first-line treatment, the recommended dose is 5 mg/kg of body weight given once every 2 weeks or 7.5 mg/kg of body weight given once every 3 weeks. For second-line treatment, the recommended dose is 10 mg/kg of body weight given every 2 weeks or 15 mg/kg of body weight given once every 3 weeks.</w:t>
            </w:r>
          </w:p>
          <w:p w14:paraId="7387966F" w14:textId="77777777" w:rsidR="00E47ED2" w:rsidRDefault="00E47ED2" w:rsidP="00A35800">
            <w:pPr>
              <w:pStyle w:val="Tablewriting"/>
            </w:pPr>
          </w:p>
          <w:p w14:paraId="405FC15E" w14:textId="3A4A3472" w:rsidR="00E47ED2" w:rsidRPr="00A35800" w:rsidRDefault="00E47ED2" w:rsidP="00A35800">
            <w:pPr>
              <w:pStyle w:val="Tablewriting"/>
            </w:pPr>
            <w:r>
              <w:t>Dose reduction of bevacizumab for adverse events is not recommended. Instead, discontinuation or a break in therapy is recommended.</w:t>
            </w:r>
          </w:p>
        </w:tc>
      </w:tr>
      <w:tr w:rsidR="00A13739" w:rsidRPr="00A35800" w14:paraId="2B950DBF" w14:textId="77777777" w:rsidTr="007F16DA">
        <w:tc>
          <w:tcPr>
            <w:tcW w:w="1459" w:type="pct"/>
          </w:tcPr>
          <w:p w14:paraId="021BEAAD" w14:textId="481386B8" w:rsidR="00A13739" w:rsidRDefault="003E5105" w:rsidP="003E5105">
            <w:pPr>
              <w:pStyle w:val="Tablewriting"/>
            </w:pPr>
            <w:r>
              <w:t xml:space="preserve">Erbitux, </w:t>
            </w:r>
            <w:r w:rsidR="00DB1982">
              <w:t>Merck Serono Australia Pty Ltd</w:t>
            </w:r>
          </w:p>
        </w:tc>
        <w:tc>
          <w:tcPr>
            <w:tcW w:w="933" w:type="pct"/>
          </w:tcPr>
          <w:p w14:paraId="0406A3E7" w14:textId="3FED0D87" w:rsidR="00A13739" w:rsidRDefault="00A13739" w:rsidP="00A35800">
            <w:pPr>
              <w:pStyle w:val="Tablewriting"/>
            </w:pPr>
            <w:r>
              <w:t>Cetuximab</w:t>
            </w:r>
          </w:p>
        </w:tc>
        <w:tc>
          <w:tcPr>
            <w:tcW w:w="2608" w:type="pct"/>
          </w:tcPr>
          <w:p w14:paraId="658FEE09" w14:textId="1300FCFC" w:rsidR="003E5105" w:rsidRDefault="003E5105" w:rsidP="00A35800">
            <w:pPr>
              <w:pStyle w:val="Tablewriting"/>
            </w:pPr>
            <w:r>
              <w:t>Cetuximab is administered by infusion once a week. The initial dose is 400 mg per m</w:t>
            </w:r>
            <w:r w:rsidRPr="00FA775F">
              <w:rPr>
                <w:vertAlign w:val="superscript"/>
              </w:rPr>
              <w:t>2</w:t>
            </w:r>
            <w:r>
              <w:t xml:space="preserve"> body surface area. The recommended dose for subsequent weekly doses is 250 mg per m</w:t>
            </w:r>
            <w:r w:rsidRPr="00FA775F">
              <w:rPr>
                <w:vertAlign w:val="superscript"/>
              </w:rPr>
              <w:t>2</w:t>
            </w:r>
            <w:r>
              <w:t xml:space="preserve"> each.</w:t>
            </w:r>
          </w:p>
          <w:p w14:paraId="3A53FA96" w14:textId="77777777" w:rsidR="002D3FBD" w:rsidRDefault="003E5105" w:rsidP="00A35800">
            <w:pPr>
              <w:pStyle w:val="Tablewriting"/>
            </w:pPr>
            <w:r>
              <w:t>Premedication with an antihistamine and a corticosteroid is recommended prior to infusions.</w:t>
            </w:r>
          </w:p>
          <w:p w14:paraId="0DCA791D" w14:textId="7366D8CF" w:rsidR="00A0709E" w:rsidRDefault="00A0709E" w:rsidP="00A35800">
            <w:pPr>
              <w:pStyle w:val="Tablewriting"/>
            </w:pPr>
            <w:r>
              <w:t xml:space="preserve">Dose modifications may be required if a </w:t>
            </w:r>
            <w:r w:rsidR="004D4C0A">
              <w:t xml:space="preserve">patient </w:t>
            </w:r>
            <w:r>
              <w:t xml:space="preserve">experiences infusion-related events of adverse skin reactions. </w:t>
            </w:r>
          </w:p>
        </w:tc>
      </w:tr>
      <w:tr w:rsidR="00A13739" w:rsidRPr="00A35800" w14:paraId="319F1B74" w14:textId="77777777" w:rsidTr="007F16DA">
        <w:tc>
          <w:tcPr>
            <w:tcW w:w="1459" w:type="pct"/>
          </w:tcPr>
          <w:p w14:paraId="4C6DADE7" w14:textId="7DEA2EBD" w:rsidR="00A13739" w:rsidRDefault="002172C4" w:rsidP="00A35800">
            <w:pPr>
              <w:pStyle w:val="Tablewriting"/>
            </w:pPr>
            <w:r>
              <w:t>Vectibix, Amgen Australia Pty Limited</w:t>
            </w:r>
          </w:p>
        </w:tc>
        <w:tc>
          <w:tcPr>
            <w:tcW w:w="933" w:type="pct"/>
          </w:tcPr>
          <w:p w14:paraId="26B5443F" w14:textId="1C1002CC" w:rsidR="00A13739" w:rsidRDefault="002172C4" w:rsidP="00A35800">
            <w:pPr>
              <w:pStyle w:val="Tablewriting"/>
            </w:pPr>
            <w:r>
              <w:t>Panitumumab</w:t>
            </w:r>
          </w:p>
        </w:tc>
        <w:tc>
          <w:tcPr>
            <w:tcW w:w="2608" w:type="pct"/>
          </w:tcPr>
          <w:p w14:paraId="76F1D300" w14:textId="77777777" w:rsidR="00A13739" w:rsidRDefault="009035D7" w:rsidP="00A35800">
            <w:pPr>
              <w:pStyle w:val="Tablewriting"/>
            </w:pPr>
            <w:r>
              <w:t>Panitumumab is administered as an infusion. The recommended dose is 6 mg/kg given once every 2 weeks.</w:t>
            </w:r>
          </w:p>
          <w:p w14:paraId="3676276F" w14:textId="26526427" w:rsidR="009035D7" w:rsidRDefault="009035D7" w:rsidP="00A35800">
            <w:pPr>
              <w:pStyle w:val="Tablewriting"/>
            </w:pPr>
            <w:r>
              <w:t>Dose mod</w:t>
            </w:r>
            <w:r w:rsidR="004D4C0A">
              <w:t>ifications may be required if patient</w:t>
            </w:r>
            <w:r>
              <w:t xml:space="preserve"> experiences infusion-related events of adverse skin reactions.</w:t>
            </w:r>
          </w:p>
          <w:p w14:paraId="1307E9C0" w14:textId="552B3DE1" w:rsidR="009035D7" w:rsidRDefault="009035D7" w:rsidP="00A35800">
            <w:pPr>
              <w:pStyle w:val="Tablewriting"/>
            </w:pPr>
          </w:p>
        </w:tc>
      </w:tr>
    </w:tbl>
    <w:p w14:paraId="6682A05C" w14:textId="1D2B97F6" w:rsidR="00F17D4B" w:rsidRPr="002F61CA" w:rsidRDefault="003370D0" w:rsidP="00233264">
      <w:pPr>
        <w:pStyle w:val="Notes"/>
      </w:pPr>
      <w:r w:rsidRPr="00233264">
        <w:t>Source:</w:t>
      </w:r>
      <w:r w:rsidR="00233264">
        <w:rPr>
          <w:rFonts w:cstheme="minorBidi"/>
          <w:sz w:val="24"/>
          <w:szCs w:val="24"/>
        </w:rPr>
        <w:t xml:space="preserve"> </w:t>
      </w:r>
      <w:r w:rsidR="00F17D4B" w:rsidRPr="002F61CA">
        <w:t xml:space="preserve"> Product Information (PI) and Consumer</w:t>
      </w:r>
      <w:r w:rsidR="00233264">
        <w:t xml:space="preserve"> Medicine Information (CMI) </w:t>
      </w:r>
      <w:r w:rsidR="00F17D4B" w:rsidRPr="002F61CA">
        <w:t xml:space="preserve">available from </w:t>
      </w:r>
      <w:hyperlink r:id="rId16" w:history="1">
        <w:r w:rsidR="00F17D4B">
          <w:rPr>
            <w:rStyle w:val="Hyperlink"/>
          </w:rPr>
          <w:t>the TGA (Product Information)</w:t>
        </w:r>
      </w:hyperlink>
      <w:r w:rsidR="00F17D4B">
        <w:t xml:space="preserve"> and </w:t>
      </w:r>
      <w:hyperlink r:id="rId17" w:history="1">
        <w:r w:rsidR="00F17D4B">
          <w:rPr>
            <w:rStyle w:val="Hyperlink"/>
          </w:rPr>
          <w:t>the TGA (Consumer Medicines Information)</w:t>
        </w:r>
      </w:hyperlink>
      <w:r w:rsidR="00F17D4B">
        <w:t>.</w:t>
      </w:r>
      <w:r w:rsidR="00D03515">
        <w:t xml:space="preserve"> Accessed in October 2017.</w:t>
      </w:r>
    </w:p>
    <w:p w14:paraId="46E2BB42" w14:textId="4302B666" w:rsidR="00DF0B13" w:rsidRPr="00A84F91" w:rsidRDefault="00DF0B13" w:rsidP="00A84F91">
      <w:pPr>
        <w:pStyle w:val="Heading1"/>
        <w:rPr>
          <w:sz w:val="32"/>
          <w:szCs w:val="32"/>
        </w:rPr>
      </w:pPr>
      <w:r w:rsidRPr="00A84F91">
        <w:rPr>
          <w:sz w:val="32"/>
          <w:szCs w:val="32"/>
        </w:rPr>
        <w:t>PBS listing details</w:t>
      </w:r>
      <w:r w:rsidR="001E3A61" w:rsidRPr="00A84F91">
        <w:rPr>
          <w:sz w:val="32"/>
          <w:szCs w:val="32"/>
        </w:rPr>
        <w:t xml:space="preserve"> (as at October 2017</w:t>
      </w:r>
      <w:r w:rsidR="00D151EB" w:rsidRPr="00A84F91">
        <w:rPr>
          <w:sz w:val="32"/>
          <w:szCs w:val="32"/>
        </w:rPr>
        <w:t>)</w:t>
      </w:r>
    </w:p>
    <w:p w14:paraId="59910FA0" w14:textId="646A9F98" w:rsidR="006A3209" w:rsidRDefault="00AD34C1" w:rsidP="00A35800">
      <w:r>
        <w:t>Bevacizumab</w:t>
      </w:r>
      <w:r w:rsidR="008465E7">
        <w:t>, cetuximab and panitumumab are</w:t>
      </w:r>
      <w:r>
        <w:t xml:space="preserve"> Authority Required (STREAMLINED)</w:t>
      </w:r>
      <w:r w:rsidR="00C025A5">
        <w:t xml:space="preserve"> </w:t>
      </w:r>
      <w:r w:rsidR="008465E7">
        <w:t>PBS listings.</w:t>
      </w:r>
      <w:r w:rsidR="00C27344">
        <w:t xml:space="preserve"> </w:t>
      </w:r>
      <w:r w:rsidR="00F74D1E">
        <w:t>Further details about the</w:t>
      </w:r>
      <w:r w:rsidR="00C27344">
        <w:t xml:space="preserve"> individual PBS listings are provided in Appendix 1.</w:t>
      </w:r>
    </w:p>
    <w:p w14:paraId="1AFA1485" w14:textId="1D714DB4" w:rsidR="004C3186" w:rsidRPr="00A84F91" w:rsidRDefault="004C3186" w:rsidP="00C245EA">
      <w:pPr>
        <w:pStyle w:val="Heading2"/>
        <w:rPr>
          <w:i w:val="0"/>
          <w:sz w:val="28"/>
          <w:szCs w:val="28"/>
        </w:rPr>
      </w:pPr>
      <w:r w:rsidRPr="00A84F91">
        <w:rPr>
          <w:i w:val="0"/>
          <w:sz w:val="28"/>
          <w:szCs w:val="28"/>
        </w:rPr>
        <w:t>Restriction</w:t>
      </w:r>
      <w:r w:rsidR="00765B2B" w:rsidRPr="00A84F91">
        <w:rPr>
          <w:i w:val="0"/>
          <w:sz w:val="28"/>
          <w:szCs w:val="28"/>
        </w:rPr>
        <w:t>s (abridged)</w:t>
      </w:r>
    </w:p>
    <w:p w14:paraId="455EB425" w14:textId="1EBEA977" w:rsidR="00765B2B" w:rsidRPr="00765B2B" w:rsidRDefault="00765B2B" w:rsidP="00A35800">
      <w:pPr>
        <w:rPr>
          <w:b/>
        </w:rPr>
      </w:pPr>
      <w:r w:rsidRPr="00765B2B">
        <w:rPr>
          <w:b/>
        </w:rPr>
        <w:t>Bevacizumab</w:t>
      </w:r>
    </w:p>
    <w:p w14:paraId="1378011E" w14:textId="2E981C71" w:rsidR="00765B2B" w:rsidRPr="00BB3B6F" w:rsidRDefault="00BB3B6F" w:rsidP="00765B2B">
      <w:pPr>
        <w:rPr>
          <w:u w:val="single"/>
        </w:rPr>
      </w:pPr>
      <w:r w:rsidRPr="00BB3B6F">
        <w:rPr>
          <w:u w:val="single"/>
        </w:rPr>
        <w:t>First-line</w:t>
      </w:r>
    </w:p>
    <w:p w14:paraId="7DCF88ED" w14:textId="5C68AA38" w:rsidR="00765B2B" w:rsidRDefault="00BB3B6F" w:rsidP="00765B2B">
      <w:pPr>
        <w:rPr>
          <w:rFonts w:ascii="Arial" w:hAnsi="Arial" w:cs="Arial"/>
          <w:color w:val="222222"/>
          <w:sz w:val="20"/>
          <w:szCs w:val="20"/>
          <w:shd w:val="clear" w:color="auto" w:fill="EEEEEE"/>
        </w:rPr>
      </w:pPr>
      <w:r>
        <w:t xml:space="preserve">Bevacizumab has an Authority Required (STREAMLINED) listing for </w:t>
      </w:r>
      <w:r w:rsidR="008B0DCA">
        <w:t>the treatment of metastatic colorectal cancer</w:t>
      </w:r>
      <w:r w:rsidR="008B0DCA" w:rsidRPr="008B0DCA">
        <w:t xml:space="preserve"> </w:t>
      </w:r>
      <w:r w:rsidR="008B0DCA">
        <w:t xml:space="preserve">in combination with first-line chemotherapy in previously </w:t>
      </w:r>
      <w:r w:rsidR="008B0DCA">
        <w:lastRenderedPageBreak/>
        <w:t xml:space="preserve">untreated </w:t>
      </w:r>
      <w:r w:rsidR="001F23E4">
        <w:t>patients</w:t>
      </w:r>
      <w:r w:rsidR="008B0DCA">
        <w:t xml:space="preserve">. </w:t>
      </w:r>
      <w:r w:rsidR="00B12EA8">
        <w:t xml:space="preserve">A person </w:t>
      </w:r>
      <w:r w:rsidR="008B0DCA">
        <w:t xml:space="preserve">must have a </w:t>
      </w:r>
      <w:r w:rsidR="008B0DCA" w:rsidRPr="008B0DCA">
        <w:t>WHO performance status of 0 or 1.</w:t>
      </w:r>
      <w:r w:rsidR="008B0DCA" w:rsidRPr="00E34A7B">
        <w:t xml:space="preserve"> </w:t>
      </w:r>
      <w:r w:rsidR="00E34A7B" w:rsidRPr="00E34A7B">
        <w:t xml:space="preserve">To receive a continuing supply of bevacizumab, </w:t>
      </w:r>
      <w:r w:rsidR="001F23E4">
        <w:t>patients</w:t>
      </w:r>
      <w:r w:rsidR="00E34A7B" w:rsidRPr="00E34A7B">
        <w:t xml:space="preserve"> must not have progressive disease.</w:t>
      </w:r>
      <w:r w:rsidR="00E34A7B">
        <w:rPr>
          <w:rFonts w:ascii="Arial" w:hAnsi="Arial" w:cs="Arial"/>
          <w:color w:val="222222"/>
          <w:sz w:val="20"/>
          <w:szCs w:val="20"/>
          <w:shd w:val="clear" w:color="auto" w:fill="EEEEEE"/>
        </w:rPr>
        <w:t xml:space="preserve"> </w:t>
      </w:r>
    </w:p>
    <w:p w14:paraId="11688A9E" w14:textId="334B8C8F" w:rsidR="00E34A7B" w:rsidRPr="00EC4F2F" w:rsidRDefault="00EC4F2F" w:rsidP="00765B2B">
      <w:pPr>
        <w:rPr>
          <w:u w:val="single"/>
        </w:rPr>
      </w:pPr>
      <w:r>
        <w:rPr>
          <w:u w:val="single"/>
        </w:rPr>
        <w:t>A</w:t>
      </w:r>
      <w:r w:rsidRPr="00EC4F2F">
        <w:rPr>
          <w:u w:val="single"/>
        </w:rPr>
        <w:t>fter failure of first-line anti-EGFR antibodies</w:t>
      </w:r>
    </w:p>
    <w:p w14:paraId="169F3D8C" w14:textId="64ECE709" w:rsidR="008B0DCA" w:rsidRDefault="0085368E" w:rsidP="00765B2B">
      <w:r>
        <w:t>Bevacizumab has an Authority Required (STREAMLINED) listing for use</w:t>
      </w:r>
      <w:r w:rsidR="00FD7E15">
        <w:t xml:space="preserve"> in combination with second-line chemotherapy</w:t>
      </w:r>
      <w:r w:rsidR="00F739AB">
        <w:t xml:space="preserve"> after prior treatment with</w:t>
      </w:r>
      <w:r w:rsidRPr="0085368E">
        <w:t xml:space="preserve"> PBS-subsidised first-line anti-EGFR antibodies.</w:t>
      </w:r>
      <w:r w:rsidRPr="00772DAF">
        <w:t xml:space="preserve"> </w:t>
      </w:r>
      <w:r w:rsidR="00102F36">
        <w:t>To initiate on bevacizumab, a person</w:t>
      </w:r>
      <w:r w:rsidR="000974B5" w:rsidRPr="00772DAF">
        <w:t xml:space="preserve"> must have RAS wild-type metastatic colorectal cancer and </w:t>
      </w:r>
      <w:r w:rsidR="000974B5">
        <w:t xml:space="preserve">a </w:t>
      </w:r>
      <w:r w:rsidR="000974B5" w:rsidRPr="008B0DCA">
        <w:t>WHO performance status of 0 or 1.</w:t>
      </w:r>
    </w:p>
    <w:p w14:paraId="64924C0B" w14:textId="34E8ECCA" w:rsidR="00477589" w:rsidRPr="00765B2B" w:rsidRDefault="00477589" w:rsidP="00477589">
      <w:pPr>
        <w:rPr>
          <w:b/>
        </w:rPr>
      </w:pPr>
      <w:r>
        <w:rPr>
          <w:b/>
        </w:rPr>
        <w:t>Cetuximab</w:t>
      </w:r>
    </w:p>
    <w:p w14:paraId="47E1AF60" w14:textId="3811D3C3" w:rsidR="009655E5" w:rsidRPr="009655E5" w:rsidRDefault="009655E5" w:rsidP="00A35800">
      <w:pPr>
        <w:rPr>
          <w:u w:val="single"/>
        </w:rPr>
      </w:pPr>
      <w:r>
        <w:rPr>
          <w:u w:val="single"/>
        </w:rPr>
        <w:t>First-line</w:t>
      </w:r>
    </w:p>
    <w:p w14:paraId="52BB2D1F" w14:textId="4618B56E" w:rsidR="009655E5" w:rsidRDefault="004B2CEE" w:rsidP="00A35800">
      <w:r>
        <w:t xml:space="preserve">Cetuximab has an Authority Required </w:t>
      </w:r>
      <w:r w:rsidR="00D21442">
        <w:t xml:space="preserve">(STREAMLINED) </w:t>
      </w:r>
      <w:r>
        <w:t xml:space="preserve">listing in combination with first-line chemotherapy for </w:t>
      </w:r>
      <w:r w:rsidR="001F23E4">
        <w:t>patients</w:t>
      </w:r>
      <w:r>
        <w:t xml:space="preserve"> with previously untreated metastatic colorectal cancer. To access i</w:t>
      </w:r>
      <w:r w:rsidR="009C6F15">
        <w:t xml:space="preserve">nitial therapy with cetuximab, </w:t>
      </w:r>
      <w:r w:rsidR="00102F36">
        <w:t>a person</w:t>
      </w:r>
      <w:r>
        <w:t xml:space="preserve"> </w:t>
      </w:r>
      <w:r w:rsidRPr="00772DAF">
        <w:t xml:space="preserve">must have RAS wild-type metastatic colorectal cancer and </w:t>
      </w:r>
      <w:r>
        <w:t xml:space="preserve">a </w:t>
      </w:r>
      <w:r w:rsidRPr="008B0DCA">
        <w:t>WHO performance status of 0 or 1.</w:t>
      </w:r>
    </w:p>
    <w:p w14:paraId="71BEF206" w14:textId="279F8AC8" w:rsidR="009655E5" w:rsidRPr="009655E5" w:rsidRDefault="009655E5" w:rsidP="00A35800">
      <w:pPr>
        <w:rPr>
          <w:u w:val="single"/>
        </w:rPr>
      </w:pPr>
      <w:r>
        <w:rPr>
          <w:u w:val="single"/>
        </w:rPr>
        <w:t>A</w:t>
      </w:r>
      <w:r w:rsidRPr="00EC4F2F">
        <w:rPr>
          <w:u w:val="single"/>
        </w:rPr>
        <w:t xml:space="preserve">fter failure of first-line </w:t>
      </w:r>
      <w:r>
        <w:rPr>
          <w:u w:val="single"/>
        </w:rPr>
        <w:t>chemotherapy</w:t>
      </w:r>
    </w:p>
    <w:p w14:paraId="5D31D172" w14:textId="0F2204C0" w:rsidR="00765B2B" w:rsidRDefault="00583637" w:rsidP="00A35800">
      <w:pPr>
        <w:rPr>
          <w:highlight w:val="yellow"/>
        </w:rPr>
      </w:pPr>
      <w:r>
        <w:t xml:space="preserve">Cetuximab has an Authority Required (STREAMLINED) listing </w:t>
      </w:r>
      <w:r w:rsidR="00936FEB">
        <w:t>for the treatment of metastatic colorectal cancer</w:t>
      </w:r>
      <w:r>
        <w:t xml:space="preserve">, </w:t>
      </w:r>
      <w:r w:rsidR="00437558">
        <w:t xml:space="preserve">either </w:t>
      </w:r>
      <w:r>
        <w:t>as monotherapy or in combination with chemotherapy</w:t>
      </w:r>
      <w:r w:rsidR="00437558">
        <w:t>,</w:t>
      </w:r>
      <w:r>
        <w:t xml:space="preserve"> after prior treatment with first-line chemotherapy. </w:t>
      </w:r>
      <w:r w:rsidR="00BF5DB8">
        <w:t>A person</w:t>
      </w:r>
      <w:r w:rsidR="00627EE6" w:rsidRPr="00772DAF">
        <w:t xml:space="preserve"> must have RAS wild-type metastatic colorectal cancer and </w:t>
      </w:r>
      <w:r w:rsidR="00627EE6">
        <w:t>a WHO performance status of 2 or less</w:t>
      </w:r>
      <w:r w:rsidR="00627EE6" w:rsidRPr="008B0DCA">
        <w:t>.</w:t>
      </w:r>
    </w:p>
    <w:p w14:paraId="6E44E9F0" w14:textId="2C392036" w:rsidR="003D2AB4" w:rsidRDefault="003D2AB4" w:rsidP="00A35800">
      <w:pPr>
        <w:rPr>
          <w:b/>
        </w:rPr>
      </w:pPr>
      <w:r w:rsidRPr="003D2AB4">
        <w:rPr>
          <w:b/>
        </w:rPr>
        <w:t>Panitumumab</w:t>
      </w:r>
    </w:p>
    <w:p w14:paraId="2C33740E" w14:textId="77777777" w:rsidR="004F7B7A" w:rsidRPr="009655E5" w:rsidRDefault="004F7B7A" w:rsidP="004F7B7A">
      <w:pPr>
        <w:rPr>
          <w:u w:val="single"/>
        </w:rPr>
      </w:pPr>
      <w:r>
        <w:rPr>
          <w:u w:val="single"/>
        </w:rPr>
        <w:t>First-line</w:t>
      </w:r>
    </w:p>
    <w:p w14:paraId="37ED07D3" w14:textId="22B7936C" w:rsidR="00051631" w:rsidRDefault="0053242A" w:rsidP="00A35800">
      <w:r>
        <w:t xml:space="preserve">Panitumumab has an Authority Required (STREAMLINED) listing for the management of previously untreated metastatic colorectal cancer in combination with </w:t>
      </w:r>
      <w:r w:rsidR="00B82854">
        <w:t xml:space="preserve">first-line </w:t>
      </w:r>
      <w:r w:rsidR="00BF5DB8">
        <w:t>chemotherapy. A person</w:t>
      </w:r>
      <w:r w:rsidR="00AB1439" w:rsidRPr="00772DAF">
        <w:t xml:space="preserve"> must have RAS wild-type metastatic colorectal cancer and </w:t>
      </w:r>
      <w:r w:rsidR="00AB1439">
        <w:t>a WHO performance status of 0 or 1.</w:t>
      </w:r>
    </w:p>
    <w:p w14:paraId="430FB546" w14:textId="23613229" w:rsidR="00AB240A" w:rsidRDefault="001F23E4" w:rsidP="00A35800">
      <w:pPr>
        <w:rPr>
          <w:u w:val="single"/>
        </w:rPr>
      </w:pPr>
      <w:r>
        <w:t>Patients</w:t>
      </w:r>
      <w:r w:rsidR="00AB240A">
        <w:t xml:space="preserve"> who </w:t>
      </w:r>
      <w:r w:rsidR="0082028A">
        <w:t xml:space="preserve">are intolerant to cetuximab may receive panitumumab. If a </w:t>
      </w:r>
      <w:r w:rsidR="00BF5DB8">
        <w:t>person</w:t>
      </w:r>
      <w:r w:rsidR="0082028A">
        <w:t xml:space="preserve"> has</w:t>
      </w:r>
      <w:r w:rsidR="00AB240A">
        <w:t xml:space="preserve"> experienced progressive disease on cetuximab </w:t>
      </w:r>
      <w:r w:rsidR="0082028A">
        <w:t xml:space="preserve">they </w:t>
      </w:r>
      <w:r w:rsidR="00AB240A">
        <w:t>are not eligible to receive panitumumab.</w:t>
      </w:r>
    </w:p>
    <w:p w14:paraId="3D5B997B" w14:textId="29D0522B" w:rsidR="00051631" w:rsidRPr="00051631" w:rsidRDefault="00051631" w:rsidP="00A35800">
      <w:pPr>
        <w:rPr>
          <w:u w:val="single"/>
        </w:rPr>
      </w:pPr>
      <w:r>
        <w:rPr>
          <w:u w:val="single"/>
        </w:rPr>
        <w:t>A</w:t>
      </w:r>
      <w:r w:rsidRPr="00EC4F2F">
        <w:rPr>
          <w:u w:val="single"/>
        </w:rPr>
        <w:t xml:space="preserve">fter failure of first-line </w:t>
      </w:r>
      <w:r>
        <w:rPr>
          <w:u w:val="single"/>
        </w:rPr>
        <w:t>chemotherapy</w:t>
      </w:r>
    </w:p>
    <w:p w14:paraId="26958B64" w14:textId="0EAA57D5" w:rsidR="00DE2734" w:rsidRPr="00DE2734" w:rsidRDefault="00051631" w:rsidP="00A35800">
      <w:r>
        <w:t xml:space="preserve">Panitumumab has an Authority Required (STREAMLINED) listing for </w:t>
      </w:r>
      <w:r w:rsidR="00936FEB">
        <w:t>the treatment of metastatic colorectal cancer</w:t>
      </w:r>
      <w:r>
        <w:t>, either as monotherapy or in combination with chemotherapy, after prior treatment</w:t>
      </w:r>
      <w:r w:rsidR="00E176F7">
        <w:t xml:space="preserve"> with first-line chemotherapy. A person </w:t>
      </w:r>
      <w:r w:rsidRPr="00772DAF">
        <w:t xml:space="preserve">must have RAS wild-type metastatic colorectal cancer and </w:t>
      </w:r>
      <w:r>
        <w:t>a WHO performance status of 2 or less</w:t>
      </w:r>
      <w:r w:rsidRPr="008B0DCA">
        <w:t>.</w:t>
      </w:r>
    </w:p>
    <w:p w14:paraId="6E48D995" w14:textId="186B1814" w:rsidR="006770CC" w:rsidRDefault="001F23E4" w:rsidP="006770CC">
      <w:pPr>
        <w:rPr>
          <w:u w:val="single"/>
        </w:rPr>
      </w:pPr>
      <w:r>
        <w:t>Patients</w:t>
      </w:r>
      <w:r w:rsidR="006770CC">
        <w:t xml:space="preserve"> who are intolerant to cetuximab </w:t>
      </w:r>
      <w:r w:rsidR="00193823">
        <w:t>are eligible to receive</w:t>
      </w:r>
      <w:r w:rsidR="006770CC">
        <w:t xml:space="preserve"> panitumumab.</w:t>
      </w:r>
      <w:r w:rsidR="00193823">
        <w:t xml:space="preserve"> However, </w:t>
      </w:r>
      <w:r w:rsidR="00E176F7">
        <w:t>a person</w:t>
      </w:r>
      <w:r w:rsidR="00193823">
        <w:t xml:space="preserve"> with </w:t>
      </w:r>
      <w:r w:rsidR="006770CC">
        <w:t xml:space="preserve">progressive disease on cetuximab </w:t>
      </w:r>
      <w:r w:rsidR="00E176F7">
        <w:t>is</w:t>
      </w:r>
      <w:r w:rsidR="00193823">
        <w:t xml:space="preserve"> ineligible for</w:t>
      </w:r>
      <w:r w:rsidR="006770CC">
        <w:t xml:space="preserve"> panitumumab.</w:t>
      </w:r>
    </w:p>
    <w:p w14:paraId="60355E3D" w14:textId="4B3EE366" w:rsidR="00C1597E" w:rsidRDefault="006775F1" w:rsidP="00A35800">
      <w:pPr>
        <w:rPr>
          <w:rStyle w:val="Hyperlink"/>
        </w:rPr>
      </w:pPr>
      <w:r w:rsidRPr="006775F1">
        <w:t xml:space="preserve">For </w:t>
      </w:r>
      <w:r w:rsidR="00183681">
        <w:t xml:space="preserve">further </w:t>
      </w:r>
      <w:r w:rsidR="00835337">
        <w:t>details of the current PBS listing</w:t>
      </w:r>
      <w:r w:rsidR="00183681">
        <w:t>s</w:t>
      </w:r>
      <w:r w:rsidR="00835337">
        <w:t xml:space="preserve"> refer to the </w:t>
      </w:r>
      <w:hyperlink r:id="rId18" w:history="1">
        <w:r w:rsidR="00835337" w:rsidRPr="00645D51">
          <w:rPr>
            <w:rStyle w:val="Hyperlink"/>
          </w:rPr>
          <w:t>PBS website</w:t>
        </w:r>
      </w:hyperlink>
      <w:r w:rsidR="00835337">
        <w:rPr>
          <w:rStyle w:val="Hyperlink"/>
        </w:rPr>
        <w:t>.</w:t>
      </w:r>
    </w:p>
    <w:p w14:paraId="7D44EDF9" w14:textId="77777777" w:rsidR="00961AF3" w:rsidRPr="00A84F91" w:rsidRDefault="00961AF3" w:rsidP="00961AF3">
      <w:pPr>
        <w:pStyle w:val="Heading2"/>
        <w:rPr>
          <w:i w:val="0"/>
          <w:sz w:val="28"/>
          <w:szCs w:val="28"/>
        </w:rPr>
      </w:pPr>
      <w:r w:rsidRPr="00A84F91">
        <w:rPr>
          <w:i w:val="0"/>
          <w:sz w:val="28"/>
          <w:szCs w:val="28"/>
        </w:rPr>
        <w:lastRenderedPageBreak/>
        <w:t>Listings on the Pharmaceutical Benefits Scheme (PBS)</w:t>
      </w:r>
    </w:p>
    <w:p w14:paraId="2B929E45" w14:textId="09750147" w:rsidR="002F2604" w:rsidRPr="00420085" w:rsidRDefault="00155B30" w:rsidP="00420085">
      <w:pPr>
        <w:rPr>
          <w:b/>
        </w:rPr>
      </w:pPr>
      <w:r w:rsidRPr="00420085">
        <w:rPr>
          <w:b/>
        </w:rPr>
        <w:t>Table 2</w:t>
      </w:r>
      <w:r w:rsidR="002F2604" w:rsidRPr="00420085">
        <w:rPr>
          <w:b/>
        </w:rPr>
        <w:t>: Summary of PBS listings for bevacizumab, cetuximab and panitumumab</w:t>
      </w:r>
    </w:p>
    <w:tbl>
      <w:tblPr>
        <w:tblStyle w:val="TableGrid"/>
        <w:tblW w:w="0" w:type="auto"/>
        <w:tblLook w:val="04A0" w:firstRow="1" w:lastRow="0" w:firstColumn="1" w:lastColumn="0" w:noHBand="0" w:noVBand="1"/>
        <w:tblCaption w:val="Table 2"/>
        <w:tblDescription w:val="Summary of PBS listings"/>
      </w:tblPr>
      <w:tblGrid>
        <w:gridCol w:w="1809"/>
        <w:gridCol w:w="7299"/>
      </w:tblGrid>
      <w:tr w:rsidR="00CE0BB9" w14:paraId="4E7A36AF" w14:textId="77777777" w:rsidTr="00256831">
        <w:trPr>
          <w:tblHeader/>
        </w:trPr>
        <w:tc>
          <w:tcPr>
            <w:tcW w:w="1809" w:type="dxa"/>
            <w:shd w:val="clear" w:color="auto" w:fill="BFBFBF" w:themeFill="background1" w:themeFillShade="BF"/>
          </w:tcPr>
          <w:p w14:paraId="0E5CFE45" w14:textId="77777777" w:rsidR="00CE0BB9" w:rsidRPr="001F2C82" w:rsidRDefault="00CE0BB9" w:rsidP="0056455B">
            <w:pPr>
              <w:rPr>
                <w:rFonts w:cs="Arial"/>
                <w:b/>
                <w:sz w:val="20"/>
                <w:szCs w:val="20"/>
              </w:rPr>
            </w:pPr>
            <w:r w:rsidRPr="001F2C82">
              <w:rPr>
                <w:rFonts w:cs="Arial"/>
                <w:b/>
                <w:sz w:val="20"/>
                <w:szCs w:val="20"/>
              </w:rPr>
              <w:t>First listing date</w:t>
            </w:r>
            <w:r>
              <w:rPr>
                <w:rFonts w:cs="Arial"/>
                <w:b/>
                <w:sz w:val="20"/>
                <w:szCs w:val="20"/>
              </w:rPr>
              <w:t xml:space="preserve"> or date of listing amendment(s)</w:t>
            </w:r>
          </w:p>
        </w:tc>
        <w:tc>
          <w:tcPr>
            <w:tcW w:w="7299" w:type="dxa"/>
            <w:shd w:val="clear" w:color="auto" w:fill="BFBFBF" w:themeFill="background1" w:themeFillShade="BF"/>
          </w:tcPr>
          <w:p w14:paraId="2093503F" w14:textId="77777777" w:rsidR="00CE0BB9" w:rsidRPr="001F2C82" w:rsidRDefault="00CE0BB9" w:rsidP="0056455B">
            <w:pPr>
              <w:rPr>
                <w:rFonts w:cs="Arial"/>
                <w:b/>
                <w:sz w:val="20"/>
                <w:szCs w:val="20"/>
              </w:rPr>
            </w:pPr>
            <w:r w:rsidRPr="001F2C82">
              <w:rPr>
                <w:rFonts w:cs="Arial"/>
                <w:b/>
                <w:sz w:val="20"/>
                <w:szCs w:val="20"/>
              </w:rPr>
              <w:t>Listing details</w:t>
            </w:r>
            <w:r>
              <w:rPr>
                <w:rFonts w:cs="Arial"/>
                <w:b/>
                <w:sz w:val="20"/>
                <w:szCs w:val="20"/>
              </w:rPr>
              <w:t xml:space="preserve"> (abridged)</w:t>
            </w:r>
          </w:p>
        </w:tc>
      </w:tr>
      <w:tr w:rsidR="00CE0BB9" w14:paraId="425D9FB4" w14:textId="77777777" w:rsidTr="007F16DA">
        <w:tc>
          <w:tcPr>
            <w:tcW w:w="1809" w:type="dxa"/>
          </w:tcPr>
          <w:p w14:paraId="4190C173" w14:textId="77777777" w:rsidR="00CE0BB9" w:rsidRPr="001F2C82" w:rsidRDefault="00CE0BB9" w:rsidP="00734B3B">
            <w:pPr>
              <w:spacing w:before="60" w:after="60"/>
              <w:rPr>
                <w:rFonts w:cs="Arial"/>
                <w:sz w:val="20"/>
                <w:szCs w:val="20"/>
              </w:rPr>
            </w:pPr>
            <w:r w:rsidRPr="001F2C82">
              <w:rPr>
                <w:rFonts w:cs="Arial"/>
                <w:sz w:val="20"/>
                <w:szCs w:val="20"/>
              </w:rPr>
              <w:t>1 July 2009</w:t>
            </w:r>
          </w:p>
        </w:tc>
        <w:tc>
          <w:tcPr>
            <w:tcW w:w="7299" w:type="dxa"/>
          </w:tcPr>
          <w:p w14:paraId="695A2580" w14:textId="77777777" w:rsidR="00CE0BB9" w:rsidRPr="001F2C82" w:rsidRDefault="00CE0BB9" w:rsidP="00734B3B">
            <w:pPr>
              <w:spacing w:before="60" w:after="60"/>
              <w:rPr>
                <w:rFonts w:cs="Arial"/>
                <w:sz w:val="20"/>
                <w:szCs w:val="20"/>
              </w:rPr>
            </w:pPr>
            <w:r w:rsidRPr="001F2C82">
              <w:rPr>
                <w:rFonts w:cs="Arial"/>
                <w:sz w:val="20"/>
                <w:szCs w:val="20"/>
              </w:rPr>
              <w:t xml:space="preserve">Bevacizumab in combination </w:t>
            </w:r>
            <w:r w:rsidRPr="009D5A5B">
              <w:rPr>
                <w:rFonts w:cs="Arial"/>
                <w:sz w:val="20"/>
                <w:szCs w:val="20"/>
              </w:rPr>
              <w:t>with first-line chemotherapy</w:t>
            </w:r>
            <w:r w:rsidRPr="001F2C82">
              <w:rPr>
                <w:rFonts w:cs="Arial"/>
                <w:sz w:val="20"/>
                <w:szCs w:val="20"/>
              </w:rPr>
              <w:t xml:space="preserve"> of a </w:t>
            </w:r>
            <w:r>
              <w:rPr>
                <w:rFonts w:cs="Arial"/>
                <w:sz w:val="20"/>
                <w:szCs w:val="20"/>
              </w:rPr>
              <w:t>patient</w:t>
            </w:r>
            <w:r w:rsidRPr="001F2C82">
              <w:rPr>
                <w:rFonts w:cs="Arial"/>
                <w:sz w:val="20"/>
                <w:szCs w:val="20"/>
              </w:rPr>
              <w:t xml:space="preserve"> with previously untreated metastatic colorectal cancer with a WHO performance status of 0 or 1.</w:t>
            </w:r>
          </w:p>
        </w:tc>
      </w:tr>
      <w:tr w:rsidR="00CE0BB9" w14:paraId="5821FA1D" w14:textId="77777777" w:rsidTr="007F16DA">
        <w:tc>
          <w:tcPr>
            <w:tcW w:w="1809" w:type="dxa"/>
          </w:tcPr>
          <w:p w14:paraId="1CC48E11" w14:textId="77777777" w:rsidR="00CE0BB9" w:rsidRPr="001F2C82" w:rsidRDefault="00CE0BB9" w:rsidP="00734B3B">
            <w:pPr>
              <w:spacing w:before="60" w:after="60"/>
              <w:rPr>
                <w:rFonts w:cs="Arial"/>
                <w:sz w:val="20"/>
                <w:szCs w:val="20"/>
              </w:rPr>
            </w:pPr>
            <w:r w:rsidRPr="001F2C82">
              <w:rPr>
                <w:rFonts w:cs="Arial"/>
                <w:sz w:val="20"/>
                <w:szCs w:val="20"/>
              </w:rPr>
              <w:t>1 September 2011</w:t>
            </w:r>
          </w:p>
        </w:tc>
        <w:tc>
          <w:tcPr>
            <w:tcW w:w="7299" w:type="dxa"/>
          </w:tcPr>
          <w:p w14:paraId="3B8AD534" w14:textId="77777777" w:rsidR="00CE0BB9" w:rsidRPr="001F2C82" w:rsidRDefault="00CE0BB9" w:rsidP="00734B3B">
            <w:pPr>
              <w:spacing w:before="60" w:after="60"/>
              <w:rPr>
                <w:rFonts w:cs="Arial"/>
                <w:sz w:val="20"/>
                <w:szCs w:val="20"/>
              </w:rPr>
            </w:pPr>
            <w:r w:rsidRPr="001F2C82">
              <w:rPr>
                <w:rFonts w:cs="Arial"/>
                <w:sz w:val="20"/>
                <w:szCs w:val="20"/>
              </w:rPr>
              <w:t>Cetuximab</w:t>
            </w:r>
            <w:r w:rsidRPr="001F2C82">
              <w:rPr>
                <w:rFonts w:cs="Arial"/>
                <w:b/>
                <w:sz w:val="20"/>
                <w:szCs w:val="20"/>
              </w:rPr>
              <w:t xml:space="preserve"> </w:t>
            </w:r>
            <w:r w:rsidRPr="001F2C82">
              <w:rPr>
                <w:rFonts w:cs="Arial"/>
                <w:sz w:val="20"/>
                <w:szCs w:val="20"/>
              </w:rPr>
              <w:t xml:space="preserve">as monotherapy or in combination with an irinotecan based therapy, of a </w:t>
            </w:r>
            <w:r>
              <w:rPr>
                <w:rFonts w:cs="Arial"/>
                <w:sz w:val="20"/>
                <w:szCs w:val="20"/>
              </w:rPr>
              <w:t>patient</w:t>
            </w:r>
            <w:r w:rsidRPr="001F2C82">
              <w:rPr>
                <w:rFonts w:cs="Arial"/>
                <w:sz w:val="20"/>
                <w:szCs w:val="20"/>
              </w:rPr>
              <w:t xml:space="preserve"> with a WHO performance status of 2 or less and with KRAS wild type metastatic colorectal cancer </w:t>
            </w:r>
            <w:r w:rsidRPr="009D5A5B">
              <w:rPr>
                <w:rFonts w:cs="Arial"/>
                <w:sz w:val="20"/>
                <w:szCs w:val="20"/>
              </w:rPr>
              <w:t>after failure of first-line chemotherapy</w:t>
            </w:r>
            <w:r w:rsidRPr="001F2C82">
              <w:rPr>
                <w:rFonts w:cs="Arial"/>
                <w:sz w:val="20"/>
                <w:szCs w:val="20"/>
              </w:rPr>
              <w:t>.</w:t>
            </w:r>
          </w:p>
        </w:tc>
      </w:tr>
      <w:tr w:rsidR="00CE0BB9" w14:paraId="213DE0D3" w14:textId="77777777" w:rsidTr="007F16DA">
        <w:tc>
          <w:tcPr>
            <w:tcW w:w="1809" w:type="dxa"/>
          </w:tcPr>
          <w:p w14:paraId="2A851CA7" w14:textId="77777777" w:rsidR="00CE0BB9" w:rsidRPr="001F2C82" w:rsidRDefault="00CE0BB9" w:rsidP="00734B3B">
            <w:pPr>
              <w:spacing w:before="60" w:after="60"/>
              <w:rPr>
                <w:rFonts w:cs="Arial"/>
                <w:sz w:val="20"/>
                <w:szCs w:val="20"/>
              </w:rPr>
            </w:pPr>
            <w:r w:rsidRPr="001F2C82">
              <w:rPr>
                <w:rFonts w:cs="Arial"/>
                <w:sz w:val="20"/>
                <w:szCs w:val="20"/>
              </w:rPr>
              <w:t>1 April 2014</w:t>
            </w:r>
          </w:p>
        </w:tc>
        <w:tc>
          <w:tcPr>
            <w:tcW w:w="7299" w:type="dxa"/>
          </w:tcPr>
          <w:p w14:paraId="4FA8FEA5" w14:textId="77777777" w:rsidR="00CE0BB9" w:rsidRPr="001F2C82" w:rsidRDefault="00CE0BB9" w:rsidP="00734B3B">
            <w:pPr>
              <w:spacing w:before="60" w:after="60"/>
              <w:rPr>
                <w:rFonts w:cs="Arial"/>
                <w:sz w:val="20"/>
                <w:szCs w:val="20"/>
              </w:rPr>
            </w:pPr>
            <w:r w:rsidRPr="001F2C82">
              <w:rPr>
                <w:rFonts w:cs="Arial"/>
                <w:sz w:val="20"/>
                <w:szCs w:val="20"/>
              </w:rPr>
              <w:t xml:space="preserve">Panitumumab as monotherapy or in combination with an irinotecan based therapy, of a </w:t>
            </w:r>
            <w:r>
              <w:rPr>
                <w:rFonts w:cs="Arial"/>
                <w:sz w:val="20"/>
                <w:szCs w:val="20"/>
              </w:rPr>
              <w:t>patient</w:t>
            </w:r>
            <w:r w:rsidRPr="001F2C82">
              <w:rPr>
                <w:rFonts w:cs="Arial"/>
                <w:sz w:val="20"/>
                <w:szCs w:val="20"/>
              </w:rPr>
              <w:t xml:space="preserve"> with a WHO performance status of 2 or less and with KRAS wild-type metastatic colorectal cancer </w:t>
            </w:r>
            <w:r w:rsidRPr="009D5A5B">
              <w:rPr>
                <w:rFonts w:cs="Arial"/>
                <w:sz w:val="20"/>
                <w:szCs w:val="20"/>
              </w:rPr>
              <w:t>after failure of first-line chemotherapy</w:t>
            </w:r>
            <w:r w:rsidRPr="001F2C82">
              <w:rPr>
                <w:rFonts w:cs="Arial"/>
                <w:sz w:val="20"/>
                <w:szCs w:val="20"/>
              </w:rPr>
              <w:t>.</w:t>
            </w:r>
          </w:p>
        </w:tc>
      </w:tr>
      <w:tr w:rsidR="00CE0BB9" w14:paraId="64642F91" w14:textId="77777777" w:rsidTr="007F16DA">
        <w:tc>
          <w:tcPr>
            <w:tcW w:w="1809" w:type="dxa"/>
          </w:tcPr>
          <w:p w14:paraId="5DE6D32C" w14:textId="77777777" w:rsidR="00CE0BB9" w:rsidRDefault="00CE0BB9" w:rsidP="00734B3B">
            <w:pPr>
              <w:spacing w:before="60" w:after="60"/>
              <w:rPr>
                <w:rFonts w:cs="Arial"/>
                <w:sz w:val="20"/>
                <w:szCs w:val="20"/>
              </w:rPr>
            </w:pPr>
            <w:r>
              <w:rPr>
                <w:rFonts w:cs="Arial"/>
                <w:sz w:val="20"/>
                <w:szCs w:val="20"/>
              </w:rPr>
              <w:t>1 January 2015</w:t>
            </w:r>
          </w:p>
        </w:tc>
        <w:tc>
          <w:tcPr>
            <w:tcW w:w="7299" w:type="dxa"/>
          </w:tcPr>
          <w:p w14:paraId="7B4014A0" w14:textId="6E9E9AC3" w:rsidR="00CE0BB9" w:rsidRPr="00561689" w:rsidRDefault="00CE0BB9" w:rsidP="00734B3B">
            <w:pPr>
              <w:spacing w:before="60" w:after="60"/>
              <w:rPr>
                <w:sz w:val="20"/>
                <w:szCs w:val="20"/>
              </w:rPr>
            </w:pPr>
            <w:r w:rsidRPr="00561689">
              <w:rPr>
                <w:sz w:val="20"/>
                <w:szCs w:val="20"/>
              </w:rPr>
              <w:t xml:space="preserve">Amendment to the restrictions for panitumumab and cetuximab to include only </w:t>
            </w:r>
            <w:r>
              <w:rPr>
                <w:sz w:val="20"/>
                <w:szCs w:val="20"/>
              </w:rPr>
              <w:t>patients</w:t>
            </w:r>
            <w:r w:rsidRPr="00561689">
              <w:rPr>
                <w:sz w:val="20"/>
                <w:szCs w:val="20"/>
              </w:rPr>
              <w:t xml:space="preserve"> with </w:t>
            </w:r>
            <w:r w:rsidRPr="00561689">
              <w:rPr>
                <w:snapToGrid w:val="0"/>
                <w:sz w:val="20"/>
                <w:szCs w:val="20"/>
                <w:lang w:eastAsia="en-US"/>
              </w:rPr>
              <w:t>rat sarcoma proto-oncogene wild type (</w:t>
            </w:r>
            <w:r w:rsidRPr="00561689">
              <w:rPr>
                <w:i/>
                <w:snapToGrid w:val="0"/>
                <w:sz w:val="20"/>
                <w:szCs w:val="20"/>
                <w:u w:val="single"/>
                <w:lang w:eastAsia="en-US"/>
              </w:rPr>
              <w:t>RAS</w:t>
            </w:r>
            <w:r w:rsidRPr="00561689">
              <w:rPr>
                <w:snapToGrid w:val="0"/>
                <w:sz w:val="20"/>
                <w:szCs w:val="20"/>
                <w:u w:val="single"/>
                <w:lang w:eastAsia="en-US"/>
              </w:rPr>
              <w:t xml:space="preserve"> WT</w:t>
            </w:r>
            <w:r w:rsidRPr="00561689">
              <w:rPr>
                <w:snapToGrid w:val="0"/>
                <w:sz w:val="20"/>
                <w:szCs w:val="20"/>
                <w:lang w:eastAsia="en-US"/>
              </w:rPr>
              <w:t xml:space="preserve">) status rather than Kirsten </w:t>
            </w:r>
            <w:r w:rsidRPr="00561689">
              <w:rPr>
                <w:i/>
                <w:snapToGrid w:val="0"/>
                <w:sz w:val="20"/>
                <w:szCs w:val="20"/>
                <w:lang w:eastAsia="en-US"/>
              </w:rPr>
              <w:t>RAS</w:t>
            </w:r>
            <w:r w:rsidRPr="00561689">
              <w:rPr>
                <w:snapToGrid w:val="0"/>
                <w:sz w:val="20"/>
                <w:szCs w:val="20"/>
                <w:lang w:eastAsia="en-US"/>
              </w:rPr>
              <w:t xml:space="preserve"> wild type (</w:t>
            </w:r>
            <w:r w:rsidRPr="00561689">
              <w:rPr>
                <w:i/>
                <w:snapToGrid w:val="0"/>
                <w:sz w:val="20"/>
                <w:szCs w:val="20"/>
                <w:u w:val="single"/>
                <w:lang w:eastAsia="en-US"/>
              </w:rPr>
              <w:t>KRAS</w:t>
            </w:r>
            <w:r w:rsidRPr="00561689">
              <w:rPr>
                <w:snapToGrid w:val="0"/>
                <w:sz w:val="20"/>
                <w:szCs w:val="20"/>
                <w:u w:val="single"/>
                <w:lang w:eastAsia="en-US"/>
              </w:rPr>
              <w:t xml:space="preserve"> WT</w:t>
            </w:r>
            <w:r w:rsidRPr="00561689">
              <w:rPr>
                <w:snapToGrid w:val="0"/>
                <w:sz w:val="20"/>
                <w:szCs w:val="20"/>
                <w:lang w:eastAsia="en-US"/>
              </w:rPr>
              <w:t>) status</w:t>
            </w:r>
            <w:r w:rsidRPr="00561689">
              <w:rPr>
                <w:sz w:val="20"/>
                <w:szCs w:val="20"/>
              </w:rPr>
              <w:t xml:space="preserve">. This was in response to evidence which indicated that continuing the current restrictions based on identifying KRAS wild-type </w:t>
            </w:r>
            <w:r w:rsidR="001F23E4">
              <w:rPr>
                <w:sz w:val="20"/>
                <w:szCs w:val="20"/>
              </w:rPr>
              <w:t>patients</w:t>
            </w:r>
            <w:r w:rsidRPr="00561689">
              <w:rPr>
                <w:sz w:val="20"/>
                <w:szCs w:val="20"/>
              </w:rPr>
              <w:t xml:space="preserve"> may expose some of </w:t>
            </w:r>
            <w:r w:rsidR="001F23E4">
              <w:rPr>
                <w:sz w:val="20"/>
                <w:szCs w:val="20"/>
              </w:rPr>
              <w:t>patients</w:t>
            </w:r>
            <w:r w:rsidRPr="00561689">
              <w:rPr>
                <w:sz w:val="20"/>
                <w:szCs w:val="20"/>
              </w:rPr>
              <w:t xml:space="preserve"> to worse health outcomes.</w:t>
            </w:r>
          </w:p>
        </w:tc>
      </w:tr>
      <w:tr w:rsidR="00CE0BB9" w14:paraId="62565B4B" w14:textId="77777777" w:rsidTr="007F16DA">
        <w:tc>
          <w:tcPr>
            <w:tcW w:w="1809" w:type="dxa"/>
          </w:tcPr>
          <w:p w14:paraId="7281A7A9" w14:textId="77777777" w:rsidR="00CE0BB9" w:rsidRPr="001F2C82" w:rsidRDefault="00CE0BB9" w:rsidP="00734B3B">
            <w:pPr>
              <w:spacing w:before="60" w:after="60"/>
              <w:rPr>
                <w:rFonts w:cs="Arial"/>
                <w:sz w:val="20"/>
                <w:szCs w:val="20"/>
              </w:rPr>
            </w:pPr>
            <w:r>
              <w:rPr>
                <w:rFonts w:cs="Arial"/>
                <w:sz w:val="20"/>
                <w:szCs w:val="20"/>
              </w:rPr>
              <w:t>1 February 2015</w:t>
            </w:r>
          </w:p>
        </w:tc>
        <w:tc>
          <w:tcPr>
            <w:tcW w:w="7299" w:type="dxa"/>
          </w:tcPr>
          <w:p w14:paraId="730A045D" w14:textId="77777777" w:rsidR="00CE0BB9" w:rsidRPr="001F2C82" w:rsidRDefault="00CE0BB9" w:rsidP="00734B3B">
            <w:pPr>
              <w:spacing w:before="60" w:after="60"/>
              <w:rPr>
                <w:rFonts w:cs="Arial"/>
                <w:sz w:val="20"/>
                <w:szCs w:val="20"/>
              </w:rPr>
            </w:pPr>
            <w:r w:rsidRPr="00561689">
              <w:rPr>
                <w:sz w:val="20"/>
                <w:szCs w:val="20"/>
              </w:rPr>
              <w:t xml:space="preserve">The listings for bevacizumab, cetuximab and panitumumab </w:t>
            </w:r>
            <w:r>
              <w:rPr>
                <w:sz w:val="20"/>
                <w:szCs w:val="20"/>
              </w:rPr>
              <w:t xml:space="preserve">on the </w:t>
            </w:r>
            <w:r w:rsidRPr="00561689">
              <w:rPr>
                <w:sz w:val="20"/>
                <w:szCs w:val="20"/>
              </w:rPr>
              <w:t xml:space="preserve">Section 100 – Efficient Funding of Chemotherapy (Private Hospital/Private Clinic) Schedule </w:t>
            </w:r>
            <w:r>
              <w:rPr>
                <w:sz w:val="20"/>
                <w:szCs w:val="20"/>
              </w:rPr>
              <w:t xml:space="preserve">were changed </w:t>
            </w:r>
            <w:r w:rsidRPr="00561689">
              <w:rPr>
                <w:sz w:val="20"/>
                <w:szCs w:val="20"/>
              </w:rPr>
              <w:t>from Authority required to Authority required (STREAMLINED). This was to make the listings consistent with the Authority required (STREAMLINED) items for prescribers in public hospitals.</w:t>
            </w:r>
          </w:p>
        </w:tc>
      </w:tr>
      <w:tr w:rsidR="00CE0BB9" w14:paraId="4404D873" w14:textId="77777777" w:rsidTr="007F16DA">
        <w:tc>
          <w:tcPr>
            <w:tcW w:w="1809" w:type="dxa"/>
          </w:tcPr>
          <w:p w14:paraId="25F941A9" w14:textId="77777777" w:rsidR="00CE0BB9" w:rsidRPr="001F2C82" w:rsidRDefault="00CE0BB9" w:rsidP="00734B3B">
            <w:pPr>
              <w:spacing w:before="60" w:after="60"/>
              <w:rPr>
                <w:rFonts w:cs="Arial"/>
                <w:sz w:val="20"/>
                <w:szCs w:val="20"/>
              </w:rPr>
            </w:pPr>
            <w:r w:rsidRPr="001F2C82">
              <w:rPr>
                <w:rFonts w:cs="Arial"/>
                <w:sz w:val="20"/>
                <w:szCs w:val="20"/>
              </w:rPr>
              <w:t>1 June 2015</w:t>
            </w:r>
          </w:p>
        </w:tc>
        <w:tc>
          <w:tcPr>
            <w:tcW w:w="7299" w:type="dxa"/>
          </w:tcPr>
          <w:p w14:paraId="11FBD084" w14:textId="45020457" w:rsidR="00B90A68" w:rsidRDefault="00B90A68" w:rsidP="00734B3B">
            <w:pPr>
              <w:spacing w:before="60" w:after="60"/>
              <w:contextualSpacing/>
              <w:jc w:val="both"/>
              <w:rPr>
                <w:sz w:val="20"/>
                <w:szCs w:val="20"/>
              </w:rPr>
            </w:pPr>
            <w:r w:rsidRPr="0085635B">
              <w:rPr>
                <w:sz w:val="20"/>
                <w:szCs w:val="20"/>
              </w:rPr>
              <w:t xml:space="preserve">Cetuximab </w:t>
            </w:r>
            <w:r>
              <w:rPr>
                <w:sz w:val="20"/>
                <w:szCs w:val="20"/>
              </w:rPr>
              <w:t>for first-line treatment for metastatic colorectal cancer in combination with first-line chemotherapy.</w:t>
            </w:r>
          </w:p>
          <w:p w14:paraId="7533E9E9" w14:textId="77777777" w:rsidR="00CE0BB9" w:rsidRPr="009C2803" w:rsidRDefault="00CE0BB9" w:rsidP="00734B3B">
            <w:pPr>
              <w:spacing w:before="60" w:after="60"/>
              <w:contextualSpacing/>
              <w:jc w:val="both"/>
              <w:rPr>
                <w:sz w:val="20"/>
                <w:szCs w:val="20"/>
              </w:rPr>
            </w:pPr>
          </w:p>
          <w:p w14:paraId="63A174A5" w14:textId="77777777" w:rsidR="00CE0BB9" w:rsidRPr="001F2C82" w:rsidRDefault="00CE0BB9" w:rsidP="00734B3B">
            <w:pPr>
              <w:spacing w:before="60" w:after="60"/>
              <w:rPr>
                <w:rFonts w:cs="Arial"/>
                <w:sz w:val="20"/>
                <w:szCs w:val="20"/>
              </w:rPr>
            </w:pPr>
            <w:r w:rsidRPr="001F2C82">
              <w:rPr>
                <w:rFonts w:cs="Arial"/>
                <w:sz w:val="20"/>
                <w:szCs w:val="20"/>
              </w:rPr>
              <w:t xml:space="preserve">Bevacizumab in combination </w:t>
            </w:r>
            <w:r w:rsidRPr="009D5A5B">
              <w:rPr>
                <w:rFonts w:cs="Arial"/>
                <w:sz w:val="20"/>
                <w:szCs w:val="20"/>
              </w:rPr>
              <w:t>with second-line chemotherapy</w:t>
            </w:r>
            <w:r w:rsidRPr="001F2C82">
              <w:rPr>
                <w:rFonts w:cs="Arial"/>
                <w:sz w:val="20"/>
                <w:szCs w:val="20"/>
              </w:rPr>
              <w:t xml:space="preserve"> of a </w:t>
            </w:r>
            <w:r>
              <w:rPr>
                <w:rFonts w:cs="Arial"/>
                <w:sz w:val="20"/>
                <w:szCs w:val="20"/>
              </w:rPr>
              <w:t>patient</w:t>
            </w:r>
            <w:r w:rsidRPr="001F2C82">
              <w:rPr>
                <w:rFonts w:cs="Arial"/>
                <w:sz w:val="20"/>
                <w:szCs w:val="20"/>
              </w:rPr>
              <w:t xml:space="preserve"> with RAS wild type metastatic colorectal cancer with a WHO performance status of 0 or 1 after failure of first-line anti-EGFR antibodies.</w:t>
            </w:r>
          </w:p>
        </w:tc>
      </w:tr>
      <w:tr w:rsidR="00CE0BB9" w14:paraId="51A9AAE9" w14:textId="77777777" w:rsidTr="007F16DA">
        <w:tc>
          <w:tcPr>
            <w:tcW w:w="1809" w:type="dxa"/>
          </w:tcPr>
          <w:p w14:paraId="08F08CF2" w14:textId="77777777" w:rsidR="00CE0BB9" w:rsidRPr="001F2C82" w:rsidRDefault="00CE0BB9" w:rsidP="00734B3B">
            <w:pPr>
              <w:spacing w:before="60" w:after="60"/>
              <w:rPr>
                <w:rFonts w:cs="Arial"/>
                <w:sz w:val="20"/>
                <w:szCs w:val="20"/>
              </w:rPr>
            </w:pPr>
            <w:r w:rsidRPr="001F2C82">
              <w:rPr>
                <w:rFonts w:cs="Arial"/>
                <w:sz w:val="20"/>
                <w:szCs w:val="20"/>
              </w:rPr>
              <w:t>1 October 2015</w:t>
            </w:r>
          </w:p>
        </w:tc>
        <w:tc>
          <w:tcPr>
            <w:tcW w:w="7299" w:type="dxa"/>
          </w:tcPr>
          <w:p w14:paraId="0F5BD93D" w14:textId="77777777" w:rsidR="00CE0BB9" w:rsidRPr="001F2C82" w:rsidRDefault="00CE0BB9" w:rsidP="00734B3B">
            <w:pPr>
              <w:spacing w:before="60" w:after="60"/>
              <w:rPr>
                <w:rFonts w:cs="Arial"/>
                <w:sz w:val="20"/>
                <w:szCs w:val="20"/>
              </w:rPr>
            </w:pPr>
            <w:r w:rsidRPr="001F2C82">
              <w:rPr>
                <w:rFonts w:cs="Arial"/>
                <w:sz w:val="20"/>
                <w:szCs w:val="20"/>
              </w:rPr>
              <w:t xml:space="preserve">Panitumumab in combination </w:t>
            </w:r>
            <w:r w:rsidRPr="009D5A5B">
              <w:rPr>
                <w:rFonts w:cs="Arial"/>
                <w:sz w:val="20"/>
                <w:szCs w:val="20"/>
              </w:rPr>
              <w:t>with first-line chemotherapy</w:t>
            </w:r>
            <w:r w:rsidRPr="001F2C82">
              <w:rPr>
                <w:rFonts w:cs="Arial"/>
                <w:sz w:val="20"/>
                <w:szCs w:val="20"/>
              </w:rPr>
              <w:t xml:space="preserve"> of a </w:t>
            </w:r>
            <w:r>
              <w:rPr>
                <w:rFonts w:cs="Arial"/>
                <w:sz w:val="20"/>
                <w:szCs w:val="20"/>
              </w:rPr>
              <w:t>patient</w:t>
            </w:r>
            <w:r w:rsidRPr="001F2C82">
              <w:rPr>
                <w:rFonts w:cs="Arial"/>
                <w:sz w:val="20"/>
                <w:szCs w:val="20"/>
              </w:rPr>
              <w:t xml:space="preserve"> with RAS wild-type metastatic colorectal cancer with a WHO performance status of 0 or 1.</w:t>
            </w:r>
          </w:p>
        </w:tc>
      </w:tr>
    </w:tbl>
    <w:p w14:paraId="64C94A85" w14:textId="3AEA59FA" w:rsidR="00BF544D" w:rsidRPr="002F61CA" w:rsidRDefault="00BF544D" w:rsidP="00BF544D">
      <w:r w:rsidRPr="002F61CA">
        <w:t xml:space="preserve">Current PBS listing details are available from </w:t>
      </w:r>
      <w:r>
        <w:t xml:space="preserve">the </w:t>
      </w:r>
      <w:hyperlink r:id="rId19" w:history="1">
        <w:r w:rsidRPr="00645D51">
          <w:rPr>
            <w:rStyle w:val="Hyperlink"/>
          </w:rPr>
          <w:t>PBS website</w:t>
        </w:r>
      </w:hyperlink>
      <w:r>
        <w:t>.</w:t>
      </w:r>
    </w:p>
    <w:p w14:paraId="383E312E" w14:textId="724CF700" w:rsidR="00736041" w:rsidRPr="00A84F91" w:rsidRDefault="00394AEE" w:rsidP="00A84F91">
      <w:pPr>
        <w:pStyle w:val="Heading1"/>
        <w:rPr>
          <w:sz w:val="32"/>
          <w:szCs w:val="32"/>
        </w:rPr>
      </w:pPr>
      <w:r w:rsidRPr="00A84F91">
        <w:rPr>
          <w:sz w:val="32"/>
          <w:szCs w:val="32"/>
        </w:rPr>
        <w:t>Relevant aspects of</w:t>
      </w:r>
      <w:r w:rsidR="00736041" w:rsidRPr="00A84F91">
        <w:rPr>
          <w:sz w:val="32"/>
          <w:szCs w:val="32"/>
        </w:rPr>
        <w:t xml:space="preserve"> consideration</w:t>
      </w:r>
      <w:r w:rsidRPr="00A84F91">
        <w:rPr>
          <w:sz w:val="32"/>
          <w:szCs w:val="32"/>
        </w:rPr>
        <w:t xml:space="preserve"> by the Pharmaceutical Benefits Advisory Committee (PBAC)</w:t>
      </w:r>
    </w:p>
    <w:p w14:paraId="1936C290" w14:textId="7C41D828" w:rsidR="005F7408" w:rsidRPr="009B35A8" w:rsidRDefault="00C42BDD" w:rsidP="009B35A8">
      <w:r>
        <w:t xml:space="preserve">The recommendations for each drug are presented separately in the following order: bevacizumab, cetuximab and panitumumab. </w:t>
      </w:r>
    </w:p>
    <w:p w14:paraId="163C65EC" w14:textId="09020ED0" w:rsidR="00845206" w:rsidRDefault="00845206" w:rsidP="00934813">
      <w:pPr>
        <w:pStyle w:val="Heading2"/>
      </w:pPr>
      <w:r>
        <w:t>Bevacizumab</w:t>
      </w:r>
    </w:p>
    <w:p w14:paraId="783DD6B1" w14:textId="379105E9" w:rsidR="00C1597E" w:rsidRDefault="00EC6009" w:rsidP="005F7408">
      <w:pPr>
        <w:spacing w:after="0"/>
      </w:pPr>
      <w:r>
        <w:t xml:space="preserve">In March 2008, PBAC rejected a submission for bevacizumab </w:t>
      </w:r>
      <w:r w:rsidRPr="00EC6009">
        <w:t xml:space="preserve">for use in combination with fluorouracil, folinic acid and irinotecan or fluorouracil and folinic acid, for the treatment of </w:t>
      </w:r>
      <w:r w:rsidR="001F23E4">
        <w:t>patients</w:t>
      </w:r>
      <w:r w:rsidRPr="00EC6009">
        <w:t xml:space="preserve"> with metastatic colorectal cancer.</w:t>
      </w:r>
      <w:r>
        <w:t xml:space="preserve"> </w:t>
      </w:r>
      <w:r w:rsidR="008B4799">
        <w:t xml:space="preserve">PBAC was </w:t>
      </w:r>
      <w:r w:rsidR="00BA1604" w:rsidRPr="00BA1604">
        <w:t>concern</w:t>
      </w:r>
      <w:r w:rsidR="008B4799">
        <w:t>ed</w:t>
      </w:r>
      <w:r w:rsidR="00BA1604" w:rsidRPr="00BA1604">
        <w:t xml:space="preserve"> about </w:t>
      </w:r>
      <w:r w:rsidR="0056082B">
        <w:t xml:space="preserve">the </w:t>
      </w:r>
      <w:r w:rsidR="00BA1604" w:rsidRPr="00BA1604">
        <w:t xml:space="preserve">leakage of bevacizumab </w:t>
      </w:r>
      <w:r w:rsidR="008B4799">
        <w:t xml:space="preserve">for use as a single agent and into second-line in </w:t>
      </w:r>
      <w:r w:rsidR="001F23E4">
        <w:t>patients</w:t>
      </w:r>
      <w:r w:rsidR="00BA1604" w:rsidRPr="00BA1604">
        <w:t xml:space="preserve"> with </w:t>
      </w:r>
      <w:r w:rsidR="008B4799">
        <w:t xml:space="preserve">a </w:t>
      </w:r>
      <w:r w:rsidR="00BA1604" w:rsidRPr="00BA1604">
        <w:t>poor</w:t>
      </w:r>
      <w:r w:rsidR="008B4799">
        <w:t>er</w:t>
      </w:r>
      <w:r w:rsidR="00BA1604" w:rsidRPr="00BA1604">
        <w:t xml:space="preserve"> </w:t>
      </w:r>
      <w:r w:rsidR="00BA1604" w:rsidRPr="00BA1604">
        <w:lastRenderedPageBreak/>
        <w:t xml:space="preserve">performance status. </w:t>
      </w:r>
      <w:r w:rsidR="003B5AED">
        <w:t xml:space="preserve">For further details refer to </w:t>
      </w:r>
      <w:r w:rsidR="003B5AED" w:rsidRPr="00F65F0D">
        <w:t xml:space="preserve">the </w:t>
      </w:r>
      <w:hyperlink r:id="rId20" w:history="1">
        <w:r w:rsidRPr="00A213EB">
          <w:rPr>
            <w:rStyle w:val="Hyperlink"/>
          </w:rPr>
          <w:t>Public Summary</w:t>
        </w:r>
        <w:r>
          <w:rPr>
            <w:rStyle w:val="Hyperlink"/>
          </w:rPr>
          <w:t xml:space="preserve"> Document from the March 2008</w:t>
        </w:r>
        <w:r w:rsidRPr="00A213EB">
          <w:rPr>
            <w:rStyle w:val="Hyperlink"/>
          </w:rPr>
          <w:t xml:space="preserve"> PBAC meeting</w:t>
        </w:r>
      </w:hyperlink>
      <w:r>
        <w:t>.</w:t>
      </w:r>
    </w:p>
    <w:p w14:paraId="05D40360" w14:textId="77777777" w:rsidR="005F7408" w:rsidRDefault="005F7408" w:rsidP="005F7408">
      <w:pPr>
        <w:spacing w:after="0"/>
      </w:pPr>
    </w:p>
    <w:p w14:paraId="2EFEEDC6" w14:textId="64665B0C" w:rsidR="00845206" w:rsidRPr="00DB4019" w:rsidRDefault="003B5AED" w:rsidP="00A35800">
      <w:r>
        <w:t xml:space="preserve">In July 2008, PBAC recommended bevacizumab </w:t>
      </w:r>
      <w:r w:rsidRPr="003B5AED">
        <w:t xml:space="preserve">in combination </w:t>
      </w:r>
      <w:r w:rsidR="00D1077B">
        <w:t xml:space="preserve">with first-line chemotherapy, for people </w:t>
      </w:r>
      <w:r w:rsidRPr="003B5AED">
        <w:t xml:space="preserve">with previously untreated metastatic colorectal cancer with a WHO performance status of 0 or 1. </w:t>
      </w:r>
      <w:r>
        <w:t xml:space="preserve">For further details refer to </w:t>
      </w:r>
      <w:r w:rsidRPr="00F65F0D">
        <w:t xml:space="preserve">the </w:t>
      </w:r>
      <w:hyperlink r:id="rId21" w:history="1">
        <w:r w:rsidRPr="00A213EB">
          <w:rPr>
            <w:rStyle w:val="Hyperlink"/>
          </w:rPr>
          <w:t>Public Summary</w:t>
        </w:r>
        <w:r>
          <w:rPr>
            <w:rStyle w:val="Hyperlink"/>
          </w:rPr>
          <w:t xml:space="preserve"> Document from the July 2008</w:t>
        </w:r>
        <w:r w:rsidRPr="00A213EB">
          <w:rPr>
            <w:rStyle w:val="Hyperlink"/>
          </w:rPr>
          <w:t xml:space="preserve"> PBAC meeting</w:t>
        </w:r>
      </w:hyperlink>
      <w:r>
        <w:t>.</w:t>
      </w:r>
    </w:p>
    <w:p w14:paraId="25DAB8AD" w14:textId="133187FE" w:rsidR="00814869" w:rsidRDefault="00814869" w:rsidP="00934813">
      <w:pPr>
        <w:pStyle w:val="Heading2"/>
      </w:pPr>
      <w:r>
        <w:t>Cetuximab</w:t>
      </w:r>
    </w:p>
    <w:p w14:paraId="2D4E9C90" w14:textId="096A40D0" w:rsidR="00284711" w:rsidRDefault="00284711" w:rsidP="00934813">
      <w:pPr>
        <w:spacing w:after="0"/>
      </w:pPr>
      <w:r>
        <w:t xml:space="preserve">In March 2005, PBAC rejected </w:t>
      </w:r>
      <w:r w:rsidR="00587286">
        <w:t xml:space="preserve">a submission for cetuximab in combination with irinotecan for the treatment of </w:t>
      </w:r>
      <w:r w:rsidR="00587286" w:rsidRPr="007D6A0B">
        <w:t>epidermal growth factor receptor (EGFR) expressing</w:t>
      </w:r>
      <w:r w:rsidR="00587286">
        <w:t xml:space="preserve"> mCRC because of uncertain clinical benefit and uncertain but unacceptable cost-effectiveness. The listing was proposed as second-line after failure to irinotecan based therapy or failure or unsuitable for oxaliplatin based therapy,</w:t>
      </w:r>
    </w:p>
    <w:p w14:paraId="3BD91CB4" w14:textId="77777777" w:rsidR="00284711" w:rsidRDefault="00284711" w:rsidP="00934813">
      <w:pPr>
        <w:spacing w:after="0"/>
      </w:pPr>
    </w:p>
    <w:p w14:paraId="020FA58C" w14:textId="0FFD2427" w:rsidR="00284711" w:rsidRDefault="009764E7" w:rsidP="00934813">
      <w:pPr>
        <w:spacing w:after="0"/>
      </w:pPr>
      <w:r w:rsidRPr="00793EDD">
        <w:t xml:space="preserve">The November 2005 submission sought to list cetuximab in combination with irinotecan for </w:t>
      </w:r>
      <w:r w:rsidR="001F23E4">
        <w:t>patients</w:t>
      </w:r>
      <w:r w:rsidRPr="00793EDD">
        <w:t xml:space="preserve"> who have failed standard chemotherapeutic treatments. The PBAC accepted the proposed comparator of “usual care” consisting of best supportive care (BSC) and chemotherapy agents used third-line at the time of the application, including capecitabine, 5-FU (+ mitomycin C) and raltitrexed. </w:t>
      </w:r>
      <w:r w:rsidR="00010181">
        <w:t xml:space="preserve">The comparative toxicity of cetuximab plus irinotecan was uncertain. PBAC considered that the analysis of cost-effectiveness was biased in favour of cetuximab. For further details refer to </w:t>
      </w:r>
      <w:r w:rsidR="00010181" w:rsidRPr="00F65F0D">
        <w:t xml:space="preserve">the </w:t>
      </w:r>
      <w:hyperlink r:id="rId22" w:history="1">
        <w:r w:rsidR="00010181" w:rsidRPr="00A213EB">
          <w:rPr>
            <w:rStyle w:val="Hyperlink"/>
          </w:rPr>
          <w:t>Public Summary</w:t>
        </w:r>
        <w:r w:rsidR="00010181">
          <w:rPr>
            <w:rStyle w:val="Hyperlink"/>
          </w:rPr>
          <w:t xml:space="preserve"> Document from the November 2005</w:t>
        </w:r>
        <w:r w:rsidR="00010181" w:rsidRPr="00A213EB">
          <w:rPr>
            <w:rStyle w:val="Hyperlink"/>
          </w:rPr>
          <w:t xml:space="preserve"> PBAC meeting</w:t>
        </w:r>
      </w:hyperlink>
      <w:r w:rsidR="00010181">
        <w:t>.</w:t>
      </w:r>
    </w:p>
    <w:p w14:paraId="5ECD5B12" w14:textId="77777777" w:rsidR="00C241E3" w:rsidRDefault="00C241E3" w:rsidP="00351B03">
      <w:pPr>
        <w:spacing w:after="0"/>
        <w:jc w:val="both"/>
      </w:pPr>
    </w:p>
    <w:p w14:paraId="5A2C3AA4" w14:textId="42771AA0" w:rsidR="00B41618" w:rsidRPr="00B41618" w:rsidRDefault="00B41618" w:rsidP="00351B03">
      <w:pPr>
        <w:spacing w:after="0"/>
        <w:jc w:val="both"/>
        <w:rPr>
          <w:b/>
          <w:u w:val="single"/>
        </w:rPr>
      </w:pPr>
      <w:r>
        <w:rPr>
          <w:b/>
          <w:u w:val="single"/>
        </w:rPr>
        <w:t>Committee-in-confidence</w:t>
      </w:r>
    </w:p>
    <w:p w14:paraId="6DD293A5" w14:textId="77777777" w:rsidR="00B41618" w:rsidRDefault="00B41618" w:rsidP="00351B03">
      <w:pPr>
        <w:spacing w:after="0"/>
        <w:jc w:val="both"/>
      </w:pPr>
    </w:p>
    <w:p w14:paraId="304707C3" w14:textId="4B0F7DDA" w:rsidR="00BC0472" w:rsidRPr="00BC0472" w:rsidRDefault="00BC0472" w:rsidP="00934813">
      <w:pPr>
        <w:spacing w:after="0"/>
        <w:rPr>
          <w:highlight w:val="black"/>
        </w:rPr>
      </w:pPr>
      <w:r w:rsidRPr="00BC0472">
        <w:rPr>
          <w:highlight w:val="black"/>
        </w:rPr>
        <w:t>XXXXXXXXXXXXXXXXXXXXXXXXXXXXXXXXXXXXXXXXXXXXXXXXXXXXXXXXXXXXXXXXXXXXXXXXXXXXXXXXXXXXXXXXXXXXXXXXXXXXXXXXXXXXXXXXXXXXXXXXXXXXXXXXXXXXXXXXXXXX</w:t>
      </w:r>
    </w:p>
    <w:p w14:paraId="49EE03AA" w14:textId="607981E7" w:rsidR="00BC0472" w:rsidRPr="00BC0472" w:rsidRDefault="00BC0472" w:rsidP="00934813">
      <w:pPr>
        <w:spacing w:after="0"/>
        <w:rPr>
          <w:highlight w:val="black"/>
        </w:rPr>
      </w:pPr>
      <w:r w:rsidRPr="00BC0472">
        <w:rPr>
          <w:highlight w:val="black"/>
        </w:rPr>
        <w:t>XXXXXXXXXXXXXXXXXXXXXXXXXXXXXXXXXXXXXXXXXXXXXXXXXXXXXXXXXXXXXXXX</w:t>
      </w:r>
    </w:p>
    <w:p w14:paraId="2C5C0005" w14:textId="30795CB3" w:rsidR="00BC0472" w:rsidRDefault="00BC0472" w:rsidP="00934813">
      <w:pPr>
        <w:spacing w:after="0"/>
      </w:pPr>
      <w:r w:rsidRPr="00BC0472">
        <w:rPr>
          <w:highlight w:val="black"/>
        </w:rPr>
        <w:t>XXXXXXXXXXXXXXXXXXXXXXXXXXXXXXXXXXXXXXXXXXXXXXXXXXXXXXXXXXXXXXXXXXXXXXXXXXXXXXXXXXXXXXXXXXXXX</w:t>
      </w:r>
    </w:p>
    <w:p w14:paraId="6E45455D" w14:textId="77777777" w:rsidR="00B41618" w:rsidRDefault="00B41618" w:rsidP="00934813">
      <w:pPr>
        <w:spacing w:after="0"/>
      </w:pPr>
    </w:p>
    <w:p w14:paraId="42D57150" w14:textId="7ED993A6" w:rsidR="00B41618" w:rsidRPr="00B41618" w:rsidRDefault="00B41618" w:rsidP="00934813">
      <w:pPr>
        <w:spacing w:after="0"/>
        <w:rPr>
          <w:b/>
          <w:u w:val="single"/>
        </w:rPr>
      </w:pPr>
      <w:r>
        <w:rPr>
          <w:b/>
          <w:u w:val="single"/>
        </w:rPr>
        <w:t>End committee-in-confidence</w:t>
      </w:r>
    </w:p>
    <w:p w14:paraId="7C9403B4" w14:textId="77777777" w:rsidR="005456E6" w:rsidRDefault="005456E6" w:rsidP="00934813">
      <w:pPr>
        <w:spacing w:after="0"/>
      </w:pPr>
    </w:p>
    <w:p w14:paraId="4385211A" w14:textId="00D8F799" w:rsidR="004615BA" w:rsidRDefault="008C7821" w:rsidP="004E55B7">
      <w:pPr>
        <w:spacing w:after="0"/>
      </w:pPr>
      <w:r>
        <w:t xml:space="preserve">In November 2008, </w:t>
      </w:r>
      <w:r w:rsidR="004D4931" w:rsidRPr="00C15641">
        <w:t xml:space="preserve">a submission seeking </w:t>
      </w:r>
      <w:r w:rsidR="00C15641">
        <w:t xml:space="preserve">the listing of cetuximab as a </w:t>
      </w:r>
      <w:r w:rsidR="003D159E">
        <w:t xml:space="preserve">third-line treatment of mCRC in </w:t>
      </w:r>
      <w:r w:rsidR="001F23E4">
        <w:t>patients</w:t>
      </w:r>
      <w:r w:rsidR="004D4931" w:rsidRPr="00C15641">
        <w:t xml:space="preserve"> whose tumour has wild type K</w:t>
      </w:r>
      <w:r w:rsidR="002E6088">
        <w:t>-</w:t>
      </w:r>
      <w:r w:rsidR="004D4931" w:rsidRPr="00C15641">
        <w:t xml:space="preserve">RAS was rejected. PBAC considered the extent of survival benefit over best supportive care was uncertain and hence the resultant high cost effectiveness ratio was highly uncertain. </w:t>
      </w:r>
      <w:r w:rsidR="002E6088">
        <w:t>PBAC considered that it was possible that K-RAS was a treatment effect modifier but there was uncertainty about the predictive and prognostic role of K-RAS mutations</w:t>
      </w:r>
      <w:r w:rsidR="004D4931" w:rsidRPr="00C15641">
        <w:t>.</w:t>
      </w:r>
      <w:r w:rsidR="00C15641" w:rsidRPr="00C15641">
        <w:t xml:space="preserve"> </w:t>
      </w:r>
      <w:r w:rsidR="00C15641">
        <w:t xml:space="preserve">For further details refer to </w:t>
      </w:r>
      <w:r w:rsidR="00C15641" w:rsidRPr="00F65F0D">
        <w:t xml:space="preserve">the </w:t>
      </w:r>
      <w:hyperlink r:id="rId23" w:history="1">
        <w:r w:rsidR="00C15641" w:rsidRPr="00A213EB">
          <w:rPr>
            <w:rStyle w:val="Hyperlink"/>
          </w:rPr>
          <w:t>Public Summary</w:t>
        </w:r>
        <w:r w:rsidR="00C15641">
          <w:rPr>
            <w:rStyle w:val="Hyperlink"/>
          </w:rPr>
          <w:t xml:space="preserve"> Document from the November 2008</w:t>
        </w:r>
        <w:r w:rsidR="00C15641" w:rsidRPr="00A213EB">
          <w:rPr>
            <w:rStyle w:val="Hyperlink"/>
          </w:rPr>
          <w:t xml:space="preserve"> PBAC meeting</w:t>
        </w:r>
      </w:hyperlink>
      <w:r w:rsidR="00C15641">
        <w:t>.</w:t>
      </w:r>
      <w:r w:rsidR="007D6A0B" w:rsidRPr="007D6A0B">
        <w:br/>
      </w:r>
    </w:p>
    <w:p w14:paraId="6553B2D7" w14:textId="037EECBE" w:rsidR="004615BA" w:rsidRDefault="00913773" w:rsidP="00934813">
      <w:pPr>
        <w:spacing w:after="0"/>
      </w:pPr>
      <w:r>
        <w:t>The</w:t>
      </w:r>
      <w:r w:rsidR="001E2532" w:rsidRPr="001E2532">
        <w:t xml:space="preserve"> March 2009 </w:t>
      </w:r>
      <w:r>
        <w:t xml:space="preserve">minor re-submission, which sought to </w:t>
      </w:r>
      <w:r w:rsidR="001E2532" w:rsidRPr="001E2532">
        <w:t xml:space="preserve">address the PBAC’s concerns </w:t>
      </w:r>
      <w:r>
        <w:t>about K-RAS diagnostic testing and the economic evaluation for</w:t>
      </w:r>
      <w:r w:rsidR="001E2532" w:rsidRPr="001E2532">
        <w:t xml:space="preserve"> the November 2008 </w:t>
      </w:r>
      <w:r>
        <w:t>submission, was rejected</w:t>
      </w:r>
      <w:r w:rsidR="001E2532" w:rsidRPr="001E2532">
        <w:t>.</w:t>
      </w:r>
      <w:r>
        <w:t xml:space="preserve"> </w:t>
      </w:r>
      <w:r w:rsidR="006D0E6B" w:rsidRPr="006D0E6B">
        <w:t xml:space="preserve">The extent of overall survival benefit of cetuximab over best supportive care </w:t>
      </w:r>
      <w:r w:rsidR="006D0E6B" w:rsidRPr="006D0E6B">
        <w:lastRenderedPageBreak/>
        <w:t xml:space="preserve">in the KRAS sub-group remained uncertain because: it was based on a post-hoc analysis; and the treatment effect </w:t>
      </w:r>
      <w:r w:rsidR="00F0360F">
        <w:t xml:space="preserve">was extrapolated </w:t>
      </w:r>
      <w:r w:rsidR="006D0E6B" w:rsidRPr="006D0E6B">
        <w:t>beyond the trial period (14 months to 5 years).</w:t>
      </w:r>
      <w:r w:rsidR="006D0E6B">
        <w:rPr>
          <w:rFonts w:ascii="Arial" w:hAnsi="Arial" w:cs="Arial"/>
          <w:color w:val="222222"/>
          <w:sz w:val="20"/>
          <w:szCs w:val="20"/>
          <w:shd w:val="clear" w:color="auto" w:fill="FFFFFF"/>
        </w:rPr>
        <w:t xml:space="preserve"> </w:t>
      </w:r>
      <w:r w:rsidR="00E52A92">
        <w:t xml:space="preserve">The potential impact of false positive and false negative outcomes to the economic evaluation was considered to be unknown because of a lack of data on </w:t>
      </w:r>
      <w:r w:rsidR="00E52A92" w:rsidRPr="00E52A92">
        <w:t>the sensitivity and specific</w:t>
      </w:r>
      <w:r w:rsidR="00E52A92">
        <w:t xml:space="preserve">ity of the available K-RAS tests. For further details refer to </w:t>
      </w:r>
      <w:r w:rsidR="00E52A92" w:rsidRPr="00F65F0D">
        <w:t xml:space="preserve">the </w:t>
      </w:r>
      <w:hyperlink r:id="rId24" w:history="1">
        <w:r w:rsidR="00E52A92" w:rsidRPr="00A213EB">
          <w:rPr>
            <w:rStyle w:val="Hyperlink"/>
          </w:rPr>
          <w:t>Public Summary</w:t>
        </w:r>
        <w:r w:rsidR="00E52A92">
          <w:rPr>
            <w:rStyle w:val="Hyperlink"/>
          </w:rPr>
          <w:t xml:space="preserve"> Document from the March 2009</w:t>
        </w:r>
        <w:r w:rsidR="00E52A92" w:rsidRPr="00A213EB">
          <w:rPr>
            <w:rStyle w:val="Hyperlink"/>
          </w:rPr>
          <w:t xml:space="preserve"> PBAC meeting</w:t>
        </w:r>
      </w:hyperlink>
      <w:r w:rsidR="00E52A92">
        <w:t>.</w:t>
      </w:r>
    </w:p>
    <w:p w14:paraId="488A00B0" w14:textId="77777777" w:rsidR="00E247DA" w:rsidRDefault="00E247DA" w:rsidP="00351B03">
      <w:pPr>
        <w:spacing w:after="0"/>
        <w:jc w:val="both"/>
      </w:pPr>
    </w:p>
    <w:p w14:paraId="7BCDE566" w14:textId="77777777" w:rsidR="00E247DA" w:rsidRPr="00B41618" w:rsidRDefault="00E247DA" w:rsidP="00E247DA">
      <w:pPr>
        <w:spacing w:after="0"/>
        <w:jc w:val="both"/>
        <w:rPr>
          <w:b/>
          <w:u w:val="single"/>
        </w:rPr>
      </w:pPr>
      <w:r>
        <w:rPr>
          <w:b/>
          <w:u w:val="single"/>
        </w:rPr>
        <w:t>Committee-in-confidence</w:t>
      </w:r>
    </w:p>
    <w:p w14:paraId="71493C52" w14:textId="77777777" w:rsidR="00E247DA" w:rsidRDefault="00E247DA" w:rsidP="00351B03">
      <w:pPr>
        <w:spacing w:after="0"/>
        <w:jc w:val="both"/>
      </w:pPr>
    </w:p>
    <w:p w14:paraId="248891CC" w14:textId="264E0F0F" w:rsidR="00BC0472" w:rsidRDefault="00BC0472" w:rsidP="00934813">
      <w:pPr>
        <w:spacing w:after="0"/>
      </w:pPr>
      <w:r w:rsidRPr="00BC0472">
        <w:rPr>
          <w:highlight w:val="black"/>
        </w:rPr>
        <w:t>XXXXXXXXXXXXXXXXXXXXXXXXXXXXXXXXXXXXXXXXXXXXXXXXXXXXXXXXXXXXXXXXXXXXXXXXXXXXXXXXXXXXXXXXXXXXXXXXXXXXXXXXXXXXXXXXXXXXXXXXXXXXXXXXXXXXXXXXXX</w:t>
      </w:r>
    </w:p>
    <w:p w14:paraId="6E6B790D" w14:textId="77777777" w:rsidR="00E247DA" w:rsidRDefault="00E247DA" w:rsidP="00351B03">
      <w:pPr>
        <w:spacing w:after="0"/>
        <w:jc w:val="both"/>
      </w:pPr>
    </w:p>
    <w:p w14:paraId="391825B6" w14:textId="77777777" w:rsidR="00E247DA" w:rsidRPr="00B41618" w:rsidRDefault="00E247DA" w:rsidP="00E247DA">
      <w:pPr>
        <w:spacing w:after="0"/>
        <w:jc w:val="both"/>
        <w:rPr>
          <w:b/>
          <w:u w:val="single"/>
        </w:rPr>
      </w:pPr>
      <w:r>
        <w:rPr>
          <w:b/>
          <w:u w:val="single"/>
        </w:rPr>
        <w:t>End committee-in-confidence</w:t>
      </w:r>
    </w:p>
    <w:p w14:paraId="4A3CD977" w14:textId="77777777" w:rsidR="00666811" w:rsidRDefault="00666811" w:rsidP="00351B03">
      <w:pPr>
        <w:spacing w:after="0"/>
        <w:jc w:val="both"/>
      </w:pPr>
    </w:p>
    <w:p w14:paraId="27C2053D" w14:textId="61D805EA" w:rsidR="00C24AD0" w:rsidRPr="0022373D" w:rsidRDefault="00A3392E" w:rsidP="00934813">
      <w:pPr>
        <w:spacing w:after="0"/>
      </w:pPr>
      <w:r w:rsidRPr="0022373D">
        <w:t xml:space="preserve">In March 2010, </w:t>
      </w:r>
      <w:r w:rsidR="00DB188B">
        <w:t xml:space="preserve">PBAC rejected a submission for </w:t>
      </w:r>
      <w:r w:rsidR="00CA3903">
        <w:t xml:space="preserve">cetuximab in combination with first-line chemotherapy for the </w:t>
      </w:r>
      <w:r w:rsidR="0081458A">
        <w:t>first-</w:t>
      </w:r>
      <w:r w:rsidRPr="0022373D">
        <w:t>line treatm</w:t>
      </w:r>
      <w:r w:rsidR="004326CC">
        <w:t xml:space="preserve">ent of </w:t>
      </w:r>
      <w:r w:rsidR="001F23E4">
        <w:t>patients</w:t>
      </w:r>
      <w:r w:rsidR="004326CC">
        <w:t xml:space="preserve"> with K-RAS wild-</w:t>
      </w:r>
      <w:r w:rsidRPr="0022373D">
        <w:t xml:space="preserve">type </w:t>
      </w:r>
      <w:r w:rsidR="004326CC">
        <w:t>mCRC</w:t>
      </w:r>
      <w:r w:rsidRPr="0022373D">
        <w:t>.</w:t>
      </w:r>
      <w:r w:rsidR="0022373D">
        <w:t xml:space="preserve"> </w:t>
      </w:r>
      <w:r w:rsidR="00CB7A92">
        <w:t xml:space="preserve">For further details refer to </w:t>
      </w:r>
      <w:r w:rsidR="00CB7A92" w:rsidRPr="00F65F0D">
        <w:t xml:space="preserve">the </w:t>
      </w:r>
      <w:hyperlink r:id="rId25" w:history="1">
        <w:r w:rsidR="00CB7A92" w:rsidRPr="00A213EB">
          <w:rPr>
            <w:rStyle w:val="Hyperlink"/>
          </w:rPr>
          <w:t xml:space="preserve">Public Summary Document from the </w:t>
        </w:r>
        <w:r w:rsidR="00CB7A92">
          <w:rPr>
            <w:rStyle w:val="Hyperlink"/>
          </w:rPr>
          <w:t>March 2010</w:t>
        </w:r>
        <w:r w:rsidR="00CB7A92" w:rsidRPr="00A213EB">
          <w:rPr>
            <w:rStyle w:val="Hyperlink"/>
          </w:rPr>
          <w:t xml:space="preserve"> PBAC meeting</w:t>
        </w:r>
      </w:hyperlink>
      <w:r w:rsidR="00CB7A92">
        <w:t>.</w:t>
      </w:r>
    </w:p>
    <w:p w14:paraId="12CA41FA" w14:textId="77777777" w:rsidR="00E549EF" w:rsidRDefault="00E549EF" w:rsidP="00934813">
      <w:pPr>
        <w:spacing w:after="0"/>
        <w:rPr>
          <w:rFonts w:ascii="Arial" w:hAnsi="Arial" w:cs="Arial"/>
          <w:color w:val="222222"/>
          <w:sz w:val="20"/>
          <w:szCs w:val="20"/>
          <w:shd w:val="clear" w:color="auto" w:fill="FFFFFF"/>
        </w:rPr>
      </w:pPr>
    </w:p>
    <w:p w14:paraId="7451D3A8" w14:textId="20304559" w:rsidR="00E549EF" w:rsidRDefault="00E549EF" w:rsidP="00934813">
      <w:pPr>
        <w:spacing w:after="0"/>
      </w:pPr>
      <w:r>
        <w:t>In July 2010, PBAC recommended listing cetuximab on the PBS as an Authority Required listing as monotherapy or in combination wit</w:t>
      </w:r>
      <w:r w:rsidR="00934813">
        <w:t xml:space="preserve">h an irinotecan based therapy, for </w:t>
      </w:r>
      <w:r>
        <w:t xml:space="preserve">a </w:t>
      </w:r>
      <w:r w:rsidR="003D159E">
        <w:t>person</w:t>
      </w:r>
      <w:r>
        <w:t xml:space="preserve"> with a WHO performance status of 2 or less and with K-RAS wild type metastatic colorectal cancer after failure of first-line chemotherapy. The PBAC agreed that there was no clinical benefit of treatment with combination cetuximab and bevacizumab based on randomised control trial (RCT) evidence.</w:t>
      </w:r>
    </w:p>
    <w:p w14:paraId="491962F7" w14:textId="77777777" w:rsidR="001677AD" w:rsidRDefault="001677AD" w:rsidP="00351B03">
      <w:pPr>
        <w:spacing w:after="0"/>
        <w:jc w:val="both"/>
        <w:rPr>
          <w:rFonts w:ascii="Arial" w:hAnsi="Arial" w:cs="Arial"/>
          <w:color w:val="222222"/>
          <w:sz w:val="20"/>
          <w:szCs w:val="20"/>
          <w:shd w:val="clear" w:color="auto" w:fill="FFFFFF"/>
        </w:rPr>
      </w:pPr>
    </w:p>
    <w:p w14:paraId="5CAAC4B0" w14:textId="1CE6E8C0" w:rsidR="00B83C97" w:rsidRDefault="00AF7F5A" w:rsidP="00934813">
      <w:pPr>
        <w:spacing w:after="0"/>
      </w:pPr>
      <w:r w:rsidRPr="00421F70">
        <w:t xml:space="preserve">In November 2014, cetuximab was recommended for the first-line treatment of mCRC on a cost-minimisation basis with bevacizumab. </w:t>
      </w:r>
      <w:r w:rsidR="00A87628">
        <w:t>The recommended</w:t>
      </w:r>
      <w:r w:rsidR="00A87628" w:rsidRPr="00850855">
        <w:t xml:space="preserve"> equi-effective doses were 8,356</w:t>
      </w:r>
      <w:r w:rsidR="007E1228">
        <w:t xml:space="preserve"> </w:t>
      </w:r>
      <w:r w:rsidR="00A87628" w:rsidRPr="00850855">
        <w:t>mg cetuximab vs. 4,229</w:t>
      </w:r>
      <w:r w:rsidR="007E1228">
        <w:t xml:space="preserve"> </w:t>
      </w:r>
      <w:r w:rsidR="00A87628" w:rsidRPr="00850855">
        <w:t>mg bevacizumab.</w:t>
      </w:r>
      <w:r w:rsidR="00850855" w:rsidRPr="00850855">
        <w:t xml:space="preserve"> </w:t>
      </w:r>
    </w:p>
    <w:p w14:paraId="7F959216" w14:textId="77777777" w:rsidR="00B83C97" w:rsidRDefault="00B83C97" w:rsidP="00934813">
      <w:pPr>
        <w:spacing w:after="0"/>
      </w:pPr>
    </w:p>
    <w:p w14:paraId="644A9945" w14:textId="77777777" w:rsidR="00B83C97" w:rsidRPr="00B41618" w:rsidRDefault="00B83C97" w:rsidP="00934813">
      <w:pPr>
        <w:spacing w:after="120"/>
        <w:rPr>
          <w:b/>
          <w:u w:val="single"/>
        </w:rPr>
      </w:pPr>
      <w:r>
        <w:rPr>
          <w:b/>
          <w:u w:val="single"/>
        </w:rPr>
        <w:t>Committee-in-confidence</w:t>
      </w:r>
    </w:p>
    <w:p w14:paraId="1BA48506" w14:textId="5A213594" w:rsidR="00BC0472" w:rsidRPr="00BC0472" w:rsidRDefault="00BC0472" w:rsidP="00934813">
      <w:pPr>
        <w:spacing w:after="0"/>
        <w:rPr>
          <w:highlight w:val="black"/>
        </w:rPr>
      </w:pPr>
      <w:r w:rsidRPr="00BC0472">
        <w:rPr>
          <w:highlight w:val="black"/>
        </w:rPr>
        <w:t>XXXXXXXXXXXXXXXXXXXXXXXXXXXXXXXXXXXXXXXXXXXXXXXXXXXXXXXXXXXXXXXXXXXXX</w:t>
      </w:r>
    </w:p>
    <w:p w14:paraId="118FF11A" w14:textId="016B0253" w:rsidR="00BC0472" w:rsidRPr="00BC0472" w:rsidRDefault="00BC0472" w:rsidP="00934813">
      <w:pPr>
        <w:spacing w:after="0"/>
        <w:rPr>
          <w:highlight w:val="black"/>
        </w:rPr>
      </w:pPr>
      <w:r w:rsidRPr="00BC0472">
        <w:rPr>
          <w:highlight w:val="black"/>
        </w:rPr>
        <w:t>XXXXXXXXXXXXXXXXXXXXXXXXXXXXXXXXXXXXXXXXXXXXXXXXXXXXXXXXXXXXXXXXXXXXXXX</w:t>
      </w:r>
    </w:p>
    <w:p w14:paraId="47116561" w14:textId="48760C7E" w:rsidR="00BC0472" w:rsidRPr="00BC0472" w:rsidRDefault="00BC0472" w:rsidP="00934813">
      <w:pPr>
        <w:spacing w:after="0"/>
        <w:rPr>
          <w:highlight w:val="black"/>
        </w:rPr>
      </w:pPr>
      <w:r w:rsidRPr="00BC0472">
        <w:rPr>
          <w:highlight w:val="black"/>
        </w:rPr>
        <w:t>XXXXXXXXXXXXXXXXXXXXXXXXXXXXXXXXXXXXXXXXXXXXXXXXXXXXXXXXXXXXXXX</w:t>
      </w:r>
    </w:p>
    <w:p w14:paraId="0144D398" w14:textId="292581C2" w:rsidR="00BC0472" w:rsidRPr="00BC0472" w:rsidRDefault="00BC0472" w:rsidP="00934813">
      <w:pPr>
        <w:spacing w:after="0"/>
        <w:rPr>
          <w:highlight w:val="black"/>
        </w:rPr>
      </w:pPr>
      <w:r w:rsidRPr="00BC0472">
        <w:rPr>
          <w:highlight w:val="black"/>
        </w:rPr>
        <w:t>XXXXXXXXXXXXXXXXXXXXXXXXXXXXXXXXXXXXXXXXXXXXXXXXXXXXXXXXXXXXXXXXXXXXXX</w:t>
      </w:r>
    </w:p>
    <w:p w14:paraId="73CA0B6E" w14:textId="6EBD8919" w:rsidR="00BC0472" w:rsidRPr="00BC0472" w:rsidRDefault="00BC0472" w:rsidP="00934813">
      <w:pPr>
        <w:spacing w:after="0"/>
        <w:rPr>
          <w:highlight w:val="black"/>
        </w:rPr>
      </w:pPr>
      <w:r w:rsidRPr="00BC0472">
        <w:rPr>
          <w:highlight w:val="black"/>
        </w:rPr>
        <w:t>XXXXXXXXXXXXXXXXXXXXXXXXXXXXXXXXXXXXXXXXXXXXXXXXXXXXXXXXXXXXXXXXXXXXXXXXXXXXXXXXXXXXXXXXXXXXXXXXXXXXXXXXXXXXXXXXXXXXXXXXXXXXXXXXXXXXXXXXXXXXXXXXXXXXXXXXXXXXXXXXXXXXXXXXXXXXXXXXXXXXXXXXXXXXXXXXXXXXXXXXXXXXXXXXXX</w:t>
      </w:r>
    </w:p>
    <w:p w14:paraId="1EEFC0A0" w14:textId="78416F27" w:rsidR="00BC0472" w:rsidRPr="00210D83" w:rsidRDefault="00BC0472" w:rsidP="00934813">
      <w:pPr>
        <w:spacing w:after="0"/>
      </w:pPr>
      <w:r w:rsidRPr="00BC0472">
        <w:rPr>
          <w:highlight w:val="black"/>
        </w:rPr>
        <w:t>XXXXXXX</w:t>
      </w:r>
    </w:p>
    <w:p w14:paraId="3B5C3BB6" w14:textId="77777777" w:rsidR="00ED7968" w:rsidRDefault="00ED7968" w:rsidP="008D0985">
      <w:pPr>
        <w:spacing w:before="120" w:after="0"/>
        <w:jc w:val="both"/>
        <w:rPr>
          <w:b/>
          <w:u w:val="single"/>
        </w:rPr>
      </w:pPr>
      <w:r>
        <w:rPr>
          <w:b/>
          <w:u w:val="single"/>
        </w:rPr>
        <w:t>End committee-in-confidence</w:t>
      </w:r>
    </w:p>
    <w:p w14:paraId="5A428B10" w14:textId="01F7E229" w:rsidR="007D35AF" w:rsidRPr="005641F4" w:rsidRDefault="007D35AF" w:rsidP="005641F4">
      <w:pPr>
        <w:pStyle w:val="Heading2"/>
      </w:pPr>
      <w:r w:rsidRPr="007D35AF">
        <w:t>Panitumum</w:t>
      </w:r>
      <w:r w:rsidR="005641F4">
        <w:t>ab</w:t>
      </w:r>
    </w:p>
    <w:p w14:paraId="2F3D6934" w14:textId="77E42630" w:rsidR="00A213EB" w:rsidRPr="00F65F0D" w:rsidRDefault="00A213EB" w:rsidP="00A213EB">
      <w:r w:rsidRPr="00A213EB">
        <w:t xml:space="preserve">In November 2008, PBAC rejected a submission for panitumumab for treatment of K-RAS wild type mCRC after failure of treatment with a fluoropyrimidine, irinotecan and oxaliplatin. This was on the basis of uncertainty about the extent of clinical benefit over best supportive care, both in terms of progression free and overall survival, and because of </w:t>
      </w:r>
      <w:r w:rsidRPr="00A213EB">
        <w:lastRenderedPageBreak/>
        <w:t xml:space="preserve">the resultant high and highly uncertain cost effectiveness ratio. </w:t>
      </w:r>
      <w:r>
        <w:t xml:space="preserve">For further details refer to </w:t>
      </w:r>
      <w:r w:rsidRPr="00F65F0D">
        <w:t xml:space="preserve">the </w:t>
      </w:r>
      <w:hyperlink r:id="rId26" w:history="1">
        <w:r w:rsidRPr="00A213EB">
          <w:rPr>
            <w:rStyle w:val="Hyperlink"/>
          </w:rPr>
          <w:t>Public Summary Document from the November 2008 PBAC meeting</w:t>
        </w:r>
      </w:hyperlink>
      <w:r>
        <w:t>.</w:t>
      </w:r>
    </w:p>
    <w:p w14:paraId="469E0C2A" w14:textId="098BC3B7" w:rsidR="00A213EB" w:rsidRDefault="00A213EB" w:rsidP="00AB6FEB">
      <w:pPr>
        <w:spacing w:after="0"/>
        <w:jc w:val="both"/>
        <w:rPr>
          <w:rFonts w:ascii="Arial" w:hAnsi="Arial" w:cs="Arial"/>
          <w:color w:val="222222"/>
          <w:sz w:val="20"/>
          <w:szCs w:val="20"/>
          <w:shd w:val="clear" w:color="auto" w:fill="FFFFFF"/>
        </w:rPr>
      </w:pPr>
    </w:p>
    <w:p w14:paraId="650CC8BA" w14:textId="6FD0FFFF" w:rsidR="00B05322" w:rsidRPr="00B05322" w:rsidRDefault="00AB157D" w:rsidP="00B05322">
      <w:pPr>
        <w:pStyle w:val="NormalWeb"/>
        <w:shd w:val="clear" w:color="auto" w:fill="FFFFFF"/>
        <w:spacing w:before="0" w:beforeAutospacing="0" w:after="0" w:afterAutospacing="0"/>
        <w:rPr>
          <w:rFonts w:asciiTheme="minorHAnsi" w:eastAsiaTheme="minorEastAsia" w:hAnsiTheme="minorHAnsi" w:cstheme="minorBidi"/>
        </w:rPr>
      </w:pPr>
      <w:r w:rsidRPr="00B05322">
        <w:rPr>
          <w:rFonts w:asciiTheme="minorHAnsi" w:eastAsiaTheme="minorEastAsia" w:hAnsiTheme="minorHAnsi" w:cstheme="minorBidi"/>
        </w:rPr>
        <w:t>In March 2013, PBAC con</w:t>
      </w:r>
      <w:r w:rsidR="000F6686">
        <w:rPr>
          <w:rFonts w:asciiTheme="minorHAnsi" w:eastAsiaTheme="minorEastAsia" w:hAnsiTheme="minorHAnsi" w:cstheme="minorBidi"/>
        </w:rPr>
        <w:t>sidered a submission for panitum</w:t>
      </w:r>
      <w:r w:rsidRPr="00B05322">
        <w:rPr>
          <w:rFonts w:asciiTheme="minorHAnsi" w:eastAsiaTheme="minorEastAsia" w:hAnsiTheme="minorHAnsi" w:cstheme="minorBidi"/>
        </w:rPr>
        <w:t>umab which sought</w:t>
      </w:r>
      <w:r w:rsidR="00B05322" w:rsidRPr="00B05322">
        <w:rPr>
          <w:rFonts w:asciiTheme="minorHAnsi" w:eastAsiaTheme="minorEastAsia" w:hAnsiTheme="minorHAnsi" w:cstheme="minorBidi"/>
        </w:rPr>
        <w:t xml:space="preserve"> the following listings:</w:t>
      </w:r>
    </w:p>
    <w:p w14:paraId="367D6A40" w14:textId="7379DD4F" w:rsidR="00AB157D" w:rsidRPr="00B05322" w:rsidRDefault="00AB157D" w:rsidP="00B05322">
      <w:pPr>
        <w:pStyle w:val="NormalWeb"/>
        <w:numPr>
          <w:ilvl w:val="0"/>
          <w:numId w:val="5"/>
        </w:numPr>
        <w:shd w:val="clear" w:color="auto" w:fill="FFFFFF"/>
        <w:spacing w:before="0" w:beforeAutospacing="0" w:after="0" w:afterAutospacing="0"/>
        <w:rPr>
          <w:rFonts w:asciiTheme="minorHAnsi" w:eastAsiaTheme="minorEastAsia" w:hAnsiTheme="minorHAnsi" w:cstheme="minorBidi"/>
        </w:rPr>
      </w:pPr>
      <w:r w:rsidRPr="00B05322">
        <w:rPr>
          <w:rFonts w:asciiTheme="minorHAnsi" w:eastAsiaTheme="minorEastAsia" w:hAnsiTheme="minorHAnsi" w:cstheme="minorBidi"/>
        </w:rPr>
        <w:t xml:space="preserve">Treatment, as monotherapy or in combination with FOLFIRI, of a </w:t>
      </w:r>
      <w:r w:rsidR="00D5290A">
        <w:rPr>
          <w:rFonts w:asciiTheme="minorHAnsi" w:eastAsiaTheme="minorEastAsia" w:hAnsiTheme="minorHAnsi" w:cstheme="minorBidi"/>
        </w:rPr>
        <w:t>person</w:t>
      </w:r>
      <w:r w:rsidRPr="00B05322">
        <w:rPr>
          <w:rFonts w:asciiTheme="minorHAnsi" w:eastAsiaTheme="minorEastAsia" w:hAnsiTheme="minorHAnsi" w:cstheme="minorBidi"/>
        </w:rPr>
        <w:t xml:space="preserve"> with a WHO performance status of 2 or less and with a K-RAS wild-type metastatic colorectal cancer after failure of first-line chemotherapy; and</w:t>
      </w:r>
    </w:p>
    <w:p w14:paraId="0461FB8F" w14:textId="6241F548" w:rsidR="00AB157D" w:rsidRPr="00B05322" w:rsidRDefault="00AB157D" w:rsidP="00B05322">
      <w:pPr>
        <w:pStyle w:val="NormalWeb"/>
        <w:numPr>
          <w:ilvl w:val="0"/>
          <w:numId w:val="5"/>
        </w:numPr>
        <w:shd w:val="clear" w:color="auto" w:fill="FFFFFF"/>
        <w:spacing w:before="0" w:beforeAutospacing="0" w:after="0" w:afterAutospacing="0"/>
        <w:rPr>
          <w:rFonts w:asciiTheme="minorHAnsi" w:eastAsiaTheme="minorEastAsia" w:hAnsiTheme="minorHAnsi" w:cstheme="minorBidi"/>
        </w:rPr>
      </w:pPr>
      <w:r w:rsidRPr="00B05322">
        <w:rPr>
          <w:rFonts w:asciiTheme="minorHAnsi" w:eastAsiaTheme="minorEastAsia" w:hAnsiTheme="minorHAnsi" w:cstheme="minorBidi"/>
        </w:rPr>
        <w:t xml:space="preserve">Treatment, in combination with FOLFOX, of a </w:t>
      </w:r>
      <w:r w:rsidR="00D5290A">
        <w:rPr>
          <w:rFonts w:asciiTheme="minorHAnsi" w:eastAsiaTheme="minorEastAsia" w:hAnsiTheme="minorHAnsi" w:cstheme="minorBidi"/>
        </w:rPr>
        <w:t>person</w:t>
      </w:r>
      <w:r w:rsidRPr="00B05322">
        <w:rPr>
          <w:rFonts w:asciiTheme="minorHAnsi" w:eastAsiaTheme="minorEastAsia" w:hAnsiTheme="minorHAnsi" w:cstheme="minorBidi"/>
        </w:rPr>
        <w:t xml:space="preserve"> with a WHO performance status of 2 or less with previously untreated K-RAS wild-type metastatic colorectal cancer where treatment with bevacizumab is unsuitable.</w:t>
      </w:r>
    </w:p>
    <w:p w14:paraId="5D3FF877" w14:textId="57A72E17" w:rsidR="0016645A" w:rsidRPr="0016645A" w:rsidRDefault="0016645A" w:rsidP="0016645A">
      <w:pPr>
        <w:pStyle w:val="NormalWeb"/>
        <w:shd w:val="clear" w:color="auto" w:fill="FFFFFF"/>
        <w:spacing w:before="0" w:beforeAutospacing="0" w:after="0" w:afterAutospacing="0"/>
        <w:rPr>
          <w:rFonts w:asciiTheme="minorHAnsi" w:eastAsiaTheme="minorEastAsia" w:hAnsiTheme="minorHAnsi" w:cstheme="minorBidi"/>
        </w:rPr>
      </w:pPr>
      <w:r w:rsidRPr="0016645A">
        <w:rPr>
          <w:rFonts w:asciiTheme="minorHAnsi" w:eastAsiaTheme="minorEastAsia" w:hAnsiTheme="minorHAnsi" w:cstheme="minorBidi"/>
        </w:rPr>
        <w:t xml:space="preserve">The PBAC rejected the request for first-line treatment </w:t>
      </w:r>
      <w:r>
        <w:rPr>
          <w:rFonts w:asciiTheme="minorHAnsi" w:eastAsiaTheme="minorEastAsia" w:hAnsiTheme="minorHAnsi" w:cstheme="minorBidi"/>
        </w:rPr>
        <w:t>because of</w:t>
      </w:r>
      <w:r w:rsidRPr="0016645A">
        <w:rPr>
          <w:rFonts w:asciiTheme="minorHAnsi" w:eastAsiaTheme="minorEastAsia" w:hAnsiTheme="minorHAnsi" w:cstheme="minorBidi"/>
        </w:rPr>
        <w:t xml:space="preserve"> inadequate clinical trial data to support </w:t>
      </w:r>
      <w:r>
        <w:rPr>
          <w:rFonts w:asciiTheme="minorHAnsi" w:eastAsiaTheme="minorEastAsia" w:hAnsiTheme="minorHAnsi" w:cstheme="minorBidi"/>
        </w:rPr>
        <w:t>this listing</w:t>
      </w:r>
      <w:r w:rsidRPr="0016645A">
        <w:rPr>
          <w:rFonts w:asciiTheme="minorHAnsi" w:eastAsiaTheme="minorEastAsia" w:hAnsiTheme="minorHAnsi" w:cstheme="minorBidi"/>
        </w:rPr>
        <w:t>.</w:t>
      </w:r>
      <w:r>
        <w:rPr>
          <w:rFonts w:asciiTheme="minorHAnsi" w:eastAsiaTheme="minorEastAsia" w:hAnsiTheme="minorHAnsi" w:cstheme="minorBidi"/>
        </w:rPr>
        <w:t xml:space="preserve"> </w:t>
      </w:r>
      <w:r w:rsidRPr="0016645A">
        <w:rPr>
          <w:rFonts w:asciiTheme="minorHAnsi" w:eastAsiaTheme="minorEastAsia" w:hAnsiTheme="minorHAnsi" w:cstheme="minorBidi"/>
        </w:rPr>
        <w:t xml:space="preserve">The PBAC recommended </w:t>
      </w:r>
      <w:r>
        <w:rPr>
          <w:rFonts w:asciiTheme="minorHAnsi" w:eastAsiaTheme="minorEastAsia" w:hAnsiTheme="minorHAnsi" w:cstheme="minorBidi"/>
        </w:rPr>
        <w:t>the later-line setting as a </w:t>
      </w:r>
      <w:r w:rsidRPr="0016645A">
        <w:rPr>
          <w:rFonts w:asciiTheme="minorHAnsi" w:eastAsiaTheme="minorEastAsia" w:hAnsiTheme="minorHAnsi" w:cstheme="minorBidi"/>
        </w:rPr>
        <w:t xml:space="preserve">monotherapy or in combination with an irinotecan based therapy. </w:t>
      </w:r>
      <w:r>
        <w:rPr>
          <w:rFonts w:asciiTheme="minorHAnsi" w:eastAsiaTheme="minorEastAsia" w:hAnsiTheme="minorHAnsi" w:cstheme="minorBidi"/>
        </w:rPr>
        <w:t>This l</w:t>
      </w:r>
      <w:r w:rsidRPr="0016645A">
        <w:rPr>
          <w:rFonts w:asciiTheme="minorHAnsi" w:eastAsiaTheme="minorEastAsia" w:hAnsiTheme="minorHAnsi" w:cstheme="minorBidi"/>
        </w:rPr>
        <w:t xml:space="preserve">isting was recommended on the basis of the comparison against cetuximab, but with the price for panitumumab to be lower than cetuximab’s price </w:t>
      </w:r>
      <w:r w:rsidR="003155A7">
        <w:rPr>
          <w:rFonts w:asciiTheme="minorHAnsi" w:eastAsiaTheme="minorEastAsia" w:hAnsiTheme="minorHAnsi" w:cstheme="minorBidi"/>
        </w:rPr>
        <w:t>as PBAC was not convinced that panitumumab was</w:t>
      </w:r>
      <w:r w:rsidRPr="0016645A">
        <w:rPr>
          <w:rFonts w:asciiTheme="minorHAnsi" w:eastAsiaTheme="minorEastAsia" w:hAnsiTheme="minorHAnsi" w:cstheme="minorBidi"/>
        </w:rPr>
        <w:t xml:space="preserve"> non-inferior to cetuximab.</w:t>
      </w:r>
      <w:r w:rsidR="003155A7">
        <w:rPr>
          <w:rFonts w:asciiTheme="minorHAnsi" w:eastAsiaTheme="minorEastAsia" w:hAnsiTheme="minorHAnsi" w:cstheme="minorBidi"/>
        </w:rPr>
        <w:t xml:space="preserve"> </w:t>
      </w:r>
      <w:r w:rsidR="003155A7" w:rsidRPr="003155A7">
        <w:rPr>
          <w:rFonts w:asciiTheme="minorHAnsi" w:eastAsiaTheme="minorEastAsia" w:hAnsiTheme="minorHAnsi" w:cstheme="minorBidi"/>
        </w:rPr>
        <w:t xml:space="preserve">For further details refer to the </w:t>
      </w:r>
      <w:hyperlink r:id="rId27" w:history="1">
        <w:r w:rsidR="003155A7" w:rsidRPr="003155A7">
          <w:rPr>
            <w:rStyle w:val="Hyperlink"/>
            <w:rFonts w:asciiTheme="minorHAnsi" w:eastAsiaTheme="minorEastAsia" w:hAnsiTheme="minorHAnsi" w:cstheme="minorBidi"/>
          </w:rPr>
          <w:t>Public Summary Document from the March 2013 PBAC meeting.</w:t>
        </w:r>
      </w:hyperlink>
    </w:p>
    <w:p w14:paraId="428552DD" w14:textId="77777777" w:rsidR="008B7DBB" w:rsidRDefault="008B7DBB" w:rsidP="008B7DBB">
      <w:pPr>
        <w:spacing w:after="0"/>
      </w:pPr>
    </w:p>
    <w:p w14:paraId="04A60A76" w14:textId="347C08D8" w:rsidR="00AB6FEB" w:rsidRPr="001527CB" w:rsidRDefault="001527CB" w:rsidP="00AB6FEB">
      <w:r>
        <w:t xml:space="preserve">In November 2013, </w:t>
      </w:r>
      <w:r w:rsidR="008B7DBB">
        <w:t>t</w:t>
      </w:r>
      <w:r w:rsidRPr="001527CB">
        <w:t xml:space="preserve">he PBAC recommended listing of panitumumab under the Section 100 Efficient Funding of Chemotherapy Program for the later-line treatment of K-RAS </w:t>
      </w:r>
      <w:r w:rsidR="00B513E7">
        <w:t>wild-type</w:t>
      </w:r>
      <w:r w:rsidRPr="001527CB">
        <w:t xml:space="preserve"> mCRC on a cost-minimisation basis compared with cetuximab. The PBAC considered that this recommendation should replace the recommendation made at its meeting in March</w:t>
      </w:r>
      <w:r w:rsidR="00C94554">
        <w:t> </w:t>
      </w:r>
      <w:r w:rsidRPr="001527CB">
        <w:t>2013. The equi-effective doses are panitumumab 6 mg/kg every two weeks and cetuximab 250 mg/m</w:t>
      </w:r>
      <w:r w:rsidRPr="00934813">
        <w:rPr>
          <w:vertAlign w:val="superscript"/>
        </w:rPr>
        <w:t>2</w:t>
      </w:r>
      <w:r w:rsidRPr="001527CB">
        <w:t> weekly, following an initial loading dose of 400 mg/m</w:t>
      </w:r>
      <w:r w:rsidRPr="00934813">
        <w:rPr>
          <w:vertAlign w:val="superscript"/>
        </w:rPr>
        <w:t>2</w:t>
      </w:r>
      <w:r w:rsidRPr="001527CB">
        <w:t>. </w:t>
      </w:r>
      <w:r w:rsidR="00B513E7" w:rsidRPr="003155A7">
        <w:t xml:space="preserve">For further details refer to the </w:t>
      </w:r>
      <w:hyperlink r:id="rId28" w:history="1">
        <w:r w:rsidR="00B513E7" w:rsidRPr="003155A7">
          <w:rPr>
            <w:rStyle w:val="Hyperlink"/>
          </w:rPr>
          <w:t>Public</w:t>
        </w:r>
        <w:r w:rsidR="00B513E7">
          <w:rPr>
            <w:rStyle w:val="Hyperlink"/>
          </w:rPr>
          <w:t xml:space="preserve"> Summary Document from the November</w:t>
        </w:r>
        <w:r w:rsidR="00B513E7" w:rsidRPr="003155A7">
          <w:rPr>
            <w:rStyle w:val="Hyperlink"/>
          </w:rPr>
          <w:t xml:space="preserve"> 2013 PBAC meeting.</w:t>
        </w:r>
      </w:hyperlink>
    </w:p>
    <w:p w14:paraId="31602A1F" w14:textId="2535869F" w:rsidR="00BC1F26" w:rsidRPr="00AB0E35" w:rsidRDefault="001C664E" w:rsidP="00BC1F26">
      <w:pPr>
        <w:spacing w:after="0"/>
      </w:pPr>
      <w:r w:rsidRPr="00AB0E35">
        <w:t xml:space="preserve">For the July 2014 </w:t>
      </w:r>
      <w:r w:rsidR="0023584B">
        <w:t>panitum</w:t>
      </w:r>
      <w:r w:rsidRPr="00AB0E35">
        <w:t>umab submission, PBAC made the following recommendations:</w:t>
      </w:r>
    </w:p>
    <w:p w14:paraId="56FDB9B7" w14:textId="245E28D9" w:rsidR="00EE01AB" w:rsidRDefault="001C664E" w:rsidP="00EE01AB">
      <w:pPr>
        <w:pStyle w:val="ListParagraph"/>
        <w:numPr>
          <w:ilvl w:val="0"/>
          <w:numId w:val="6"/>
        </w:numPr>
        <w:spacing w:after="0"/>
      </w:pPr>
      <w:r w:rsidRPr="00AB0E35">
        <w:t>To change the later-line listings from KRAS wild-type to RAS wild-type. This amendment was made to th</w:t>
      </w:r>
      <w:r w:rsidR="00EE01AB">
        <w:t>e listings from 1 January 2015; and</w:t>
      </w:r>
    </w:p>
    <w:p w14:paraId="3421B242" w14:textId="56789430" w:rsidR="00EE01AB" w:rsidRDefault="00EB19CD" w:rsidP="00EE01AB">
      <w:pPr>
        <w:pStyle w:val="ListParagraph"/>
        <w:numPr>
          <w:ilvl w:val="0"/>
          <w:numId w:val="6"/>
        </w:numPr>
        <w:spacing w:after="0"/>
      </w:pPr>
      <w:r>
        <w:t>The request to list panitum</w:t>
      </w:r>
      <w:r w:rsidR="001C664E" w:rsidRPr="00AB0E35">
        <w:t xml:space="preserve">umab for the first-line treatment of RAS wild-type mCRC was rejected because of uncertainty around the clinical benefit. </w:t>
      </w:r>
    </w:p>
    <w:p w14:paraId="473991AA" w14:textId="0BC05670" w:rsidR="001C664E" w:rsidRPr="00AA0F68" w:rsidRDefault="001C664E" w:rsidP="00BC1F26">
      <w:pPr>
        <w:spacing w:after="0"/>
        <w:rPr>
          <w:rFonts w:ascii="Arial" w:hAnsi="Arial"/>
          <w:sz w:val="22"/>
          <w:szCs w:val="22"/>
        </w:rPr>
      </w:pPr>
      <w:r w:rsidRPr="003155A7">
        <w:t xml:space="preserve">For further details refer to the </w:t>
      </w:r>
      <w:hyperlink r:id="rId29" w:history="1">
        <w:r w:rsidRPr="003155A7">
          <w:rPr>
            <w:rStyle w:val="Hyperlink"/>
          </w:rPr>
          <w:t>Public</w:t>
        </w:r>
        <w:r>
          <w:rPr>
            <w:rStyle w:val="Hyperlink"/>
          </w:rPr>
          <w:t xml:space="preserve"> Summary Document from the July 2014</w:t>
        </w:r>
        <w:r w:rsidRPr="003155A7">
          <w:rPr>
            <w:rStyle w:val="Hyperlink"/>
          </w:rPr>
          <w:t xml:space="preserve"> PBAC meeting.</w:t>
        </w:r>
      </w:hyperlink>
    </w:p>
    <w:p w14:paraId="6D1EA8D7" w14:textId="77777777" w:rsidR="00634CCF" w:rsidRDefault="00634CCF" w:rsidP="00E31D82">
      <w:pPr>
        <w:pStyle w:val="ListParagraph"/>
        <w:ind w:left="0"/>
        <w:rPr>
          <w:rFonts w:ascii="Arial" w:hAnsi="Arial"/>
          <w:sz w:val="22"/>
          <w:szCs w:val="22"/>
        </w:rPr>
      </w:pPr>
    </w:p>
    <w:p w14:paraId="0DECDE98" w14:textId="45C44746" w:rsidR="00E31D82" w:rsidRDefault="00E31D82" w:rsidP="00E31D82">
      <w:pPr>
        <w:pStyle w:val="ListParagraph"/>
        <w:ind w:left="0"/>
        <w:rPr>
          <w:rStyle w:val="Hyperlink"/>
        </w:rPr>
      </w:pPr>
      <w:r>
        <w:t>In March 2015, t</w:t>
      </w:r>
      <w:r w:rsidRPr="00E31D82">
        <w:t>he PBAC recommended the first-line listing of panitumumab, for the treatment of RAS wild-t</w:t>
      </w:r>
      <w:r>
        <w:t xml:space="preserve">ype metastatic colorectal </w:t>
      </w:r>
      <w:r w:rsidRPr="00E31D82">
        <w:t xml:space="preserve">on </w:t>
      </w:r>
      <w:r>
        <w:t xml:space="preserve">a </w:t>
      </w:r>
      <w:r w:rsidRPr="00E31D82">
        <w:t xml:space="preserve">cost minimisation </w:t>
      </w:r>
      <w:r>
        <w:t xml:space="preserve">basis </w:t>
      </w:r>
      <w:r w:rsidRPr="00E31D82">
        <w:t>with cetuximab. The equi-effective doses are panitumumab 6 mg/kg every two weeks and cetuximab 250 mg/m</w:t>
      </w:r>
      <w:r w:rsidRPr="00E31D82">
        <w:rPr>
          <w:vertAlign w:val="superscript"/>
        </w:rPr>
        <w:t>2</w:t>
      </w:r>
      <w:r w:rsidRPr="00E31D82">
        <w:t xml:space="preserve"> weekly, following an initial loading dose of 400 mg/m</w:t>
      </w:r>
      <w:r w:rsidRPr="00E31D82">
        <w:rPr>
          <w:vertAlign w:val="superscript"/>
        </w:rPr>
        <w:t>2</w:t>
      </w:r>
      <w:r w:rsidRPr="00E31D82">
        <w:t>.</w:t>
      </w:r>
      <w:r w:rsidR="00D44DED">
        <w:t xml:space="preserve"> </w:t>
      </w:r>
      <w:r w:rsidR="00D44DED" w:rsidRPr="00D44DED">
        <w:t>This listing was expected to be cost neutral to the Commonwealth.</w:t>
      </w:r>
      <w:r w:rsidR="00D44DED" w:rsidRPr="00D44DED">
        <w:rPr>
          <w:rStyle w:val="Hyperlink"/>
        </w:rPr>
        <w:t xml:space="preserve"> </w:t>
      </w:r>
      <w:hyperlink r:id="rId30" w:history="1">
        <w:r w:rsidR="00D44DED" w:rsidRPr="003155A7">
          <w:rPr>
            <w:rStyle w:val="Hyperlink"/>
          </w:rPr>
          <w:t>Public</w:t>
        </w:r>
        <w:r w:rsidR="00D44DED">
          <w:rPr>
            <w:rStyle w:val="Hyperlink"/>
          </w:rPr>
          <w:t xml:space="preserve"> Summary Document from the March 2015</w:t>
        </w:r>
        <w:r w:rsidR="00D44DED" w:rsidRPr="003155A7">
          <w:rPr>
            <w:rStyle w:val="Hyperlink"/>
          </w:rPr>
          <w:t xml:space="preserve"> PBAC meeting.</w:t>
        </w:r>
      </w:hyperlink>
    </w:p>
    <w:p w14:paraId="7C9CCEB0" w14:textId="77777777" w:rsidR="001B0975" w:rsidRDefault="001B0975" w:rsidP="00E31D82">
      <w:pPr>
        <w:pStyle w:val="ListParagraph"/>
        <w:ind w:left="0"/>
        <w:rPr>
          <w:rStyle w:val="Hyperlink"/>
        </w:rPr>
      </w:pPr>
    </w:p>
    <w:p w14:paraId="26B2359E" w14:textId="3AB913EE" w:rsidR="001B0975" w:rsidRPr="001B0975" w:rsidRDefault="001B0975" w:rsidP="00E31D82">
      <w:pPr>
        <w:pStyle w:val="ListParagraph"/>
        <w:ind w:left="0"/>
      </w:pPr>
      <w:r>
        <w:t>The restrictions for cetuximab were revised from 1 June 2015 to also allow its use in combination with non-irinotecan based chemotherapy regimens.</w:t>
      </w:r>
    </w:p>
    <w:p w14:paraId="33323D0B" w14:textId="77777777" w:rsidR="00734B3B" w:rsidRDefault="00734B3B" w:rsidP="00FE645A">
      <w:pPr>
        <w:pStyle w:val="Heading3"/>
      </w:pPr>
    </w:p>
    <w:p w14:paraId="0DEBD50F" w14:textId="69B931E7" w:rsidR="00094DCF" w:rsidRPr="00805E2D" w:rsidRDefault="00ED633B" w:rsidP="00805E2D">
      <w:pPr>
        <w:pStyle w:val="Heading1"/>
        <w:rPr>
          <w:sz w:val="32"/>
          <w:szCs w:val="32"/>
        </w:rPr>
      </w:pPr>
      <w:r w:rsidRPr="00805E2D">
        <w:rPr>
          <w:sz w:val="32"/>
          <w:szCs w:val="32"/>
        </w:rPr>
        <w:lastRenderedPageBreak/>
        <w:t xml:space="preserve">Previous reviews by </w:t>
      </w:r>
      <w:r w:rsidR="00177B86" w:rsidRPr="00805E2D">
        <w:rPr>
          <w:sz w:val="32"/>
          <w:szCs w:val="32"/>
        </w:rPr>
        <w:t xml:space="preserve">the </w:t>
      </w:r>
      <w:r w:rsidRPr="00805E2D">
        <w:rPr>
          <w:sz w:val="32"/>
          <w:szCs w:val="32"/>
        </w:rPr>
        <w:t>DUSC</w:t>
      </w:r>
    </w:p>
    <w:p w14:paraId="576901D6" w14:textId="1CB484A8" w:rsidR="00B11B2E" w:rsidRDefault="005F7F16" w:rsidP="00A35800">
      <w:r>
        <w:t>DUSC previously reviewed the utilisation of bevacizumab and cetuximab</w:t>
      </w:r>
      <w:r w:rsidR="00C94554">
        <w:t xml:space="preserve"> for mCRC</w:t>
      </w:r>
      <w:r>
        <w:t xml:space="preserve"> at its June</w:t>
      </w:r>
      <w:r w:rsidR="00C94554">
        <w:t> </w:t>
      </w:r>
      <w:r>
        <w:t>2013 meeting.</w:t>
      </w:r>
      <w:r w:rsidR="0087775B" w:rsidRPr="0087775B">
        <w:t xml:space="preserve"> The review found the utilisation of bevacizumab was similar to predicted at the time of listing. The total number of patients treated with cetuximab was lower than predicted. This may </w:t>
      </w:r>
      <w:r w:rsidR="00C94554">
        <w:t xml:space="preserve">have </w:t>
      </w:r>
      <w:r w:rsidR="0087775B" w:rsidRPr="0087775B">
        <w:t>be</w:t>
      </w:r>
      <w:r w:rsidR="00C94554">
        <w:t>en</w:t>
      </w:r>
      <w:r w:rsidR="0087775B" w:rsidRPr="0087775B">
        <w:t xml:space="preserve"> due to some eligible patients being enrolled in clinical trials or access programs for alternate therapies.</w:t>
      </w:r>
    </w:p>
    <w:p w14:paraId="0312FFEC" w14:textId="5C6A9662" w:rsidR="00E677DD" w:rsidRPr="00805E2D" w:rsidRDefault="00E677DD" w:rsidP="001144DB">
      <w:pPr>
        <w:pStyle w:val="Heading1"/>
        <w:spacing w:before="0" w:after="0"/>
        <w:rPr>
          <w:sz w:val="32"/>
          <w:szCs w:val="32"/>
        </w:rPr>
      </w:pPr>
      <w:r w:rsidRPr="00805E2D">
        <w:rPr>
          <w:sz w:val="32"/>
          <w:szCs w:val="32"/>
        </w:rPr>
        <w:t>Method</w:t>
      </w:r>
      <w:r w:rsidR="001B5D37" w:rsidRPr="00805E2D">
        <w:rPr>
          <w:sz w:val="32"/>
          <w:szCs w:val="32"/>
        </w:rPr>
        <w:t>s</w:t>
      </w:r>
    </w:p>
    <w:p w14:paraId="2674E00A" w14:textId="77777777" w:rsidR="001144DB" w:rsidRDefault="001144DB" w:rsidP="001144DB">
      <w:pPr>
        <w:spacing w:after="0"/>
        <w:rPr>
          <w:rFonts w:ascii="Calibri" w:eastAsia="MS Mincho" w:hAnsi="Calibri" w:cs="Times New Roman"/>
          <w:b/>
          <w:i/>
        </w:rPr>
      </w:pPr>
    </w:p>
    <w:p w14:paraId="1DE6E8C6" w14:textId="3E7CB797" w:rsidR="00AF2DEC" w:rsidRPr="00AF2DEC" w:rsidRDefault="005F7F89" w:rsidP="004D21BE">
      <w:pPr>
        <w:pStyle w:val="Heading2"/>
        <w:spacing w:before="0" w:after="0"/>
      </w:pPr>
      <w:r w:rsidRPr="00403A0D">
        <w:t>Data extraction</w:t>
      </w:r>
    </w:p>
    <w:p w14:paraId="08ABC415" w14:textId="77777777" w:rsidR="00AF2DEC" w:rsidRDefault="00AF2DEC" w:rsidP="00AF2DEC">
      <w:pPr>
        <w:spacing w:after="0"/>
      </w:pPr>
    </w:p>
    <w:p w14:paraId="0C6CB4C5" w14:textId="5720B067" w:rsidR="00D46295" w:rsidRDefault="009818BD" w:rsidP="00AF2DEC">
      <w:pPr>
        <w:spacing w:after="0"/>
        <w:rPr>
          <w:rFonts w:ascii="Calibri" w:eastAsia="MS Mincho" w:hAnsi="Calibri" w:cs="Times New Roman"/>
        </w:rPr>
      </w:pPr>
      <w:r w:rsidRPr="005E154A">
        <w:t xml:space="preserve">PBS prescription data were extracted for mCRC listings for bevacizumab, cetuximab and panitumumab from 1 January 2009 (the first listing date of bevacizumab) to 31 July 2017. Based on common chemotherapy drug regimens used to treat colorectal cancer, </w:t>
      </w:r>
      <w:r w:rsidR="00C45FD7" w:rsidRPr="005E154A">
        <w:t>PBS prescription data was also extracted</w:t>
      </w:r>
      <w:r w:rsidRPr="005E154A">
        <w:t xml:space="preserve"> for irinotecan, capecitabine, oxaliplatin, fluorouracil, folinic acid and leucovorin from 1 January 2006 to 31 July 2017. This gave a look back period of at least three years before the first listing of bevacizumab from </w:t>
      </w:r>
      <w:r w:rsidR="00C45FD7" w:rsidRPr="005E154A">
        <w:t xml:space="preserve">July 2009 to identify chemotherapy regimens supplied before bevacizumab, cetuximab or panitumumab. </w:t>
      </w:r>
      <w:r w:rsidR="00F751BA" w:rsidRPr="005E154A">
        <w:t xml:space="preserve">The data extractions were based on the date of supply. </w:t>
      </w:r>
      <w:r w:rsidR="00D46295" w:rsidRPr="005E154A">
        <w:t xml:space="preserve">The date of processing of PBS prescriptions may differ from the date of </w:t>
      </w:r>
      <w:r w:rsidR="00386484" w:rsidRPr="005E154A">
        <w:t>supply</w:t>
      </w:r>
      <w:r w:rsidR="00D46295" w:rsidRPr="005E154A">
        <w:t xml:space="preserve">. As such, there may be differences in </w:t>
      </w:r>
      <w:r w:rsidR="004E621A" w:rsidRPr="005E154A">
        <w:t xml:space="preserve">the </w:t>
      </w:r>
      <w:r w:rsidR="00D46295" w:rsidRPr="005E154A">
        <w:t xml:space="preserve">data reported by date of </w:t>
      </w:r>
      <w:r w:rsidR="002A31BE" w:rsidRPr="005E154A">
        <w:t>supply</w:t>
      </w:r>
      <w:r w:rsidR="00D46295" w:rsidRPr="005E154A">
        <w:t xml:space="preserve"> or processing (such as that available</w:t>
      </w:r>
      <w:r w:rsidR="00D46295">
        <w:rPr>
          <w:rFonts w:ascii="Calibri" w:eastAsia="MS Mincho" w:hAnsi="Calibri" w:cs="Times New Roman"/>
        </w:rPr>
        <w:t xml:space="preserve"> </w:t>
      </w:r>
      <w:r w:rsidR="00D46295" w:rsidRPr="004E2F75">
        <w:rPr>
          <w:rFonts w:ascii="Calibri" w:eastAsia="MS Mincho" w:hAnsi="Calibri" w:cs="Times New Roman"/>
        </w:rPr>
        <w:t>publicly available</w:t>
      </w:r>
      <w:r w:rsidR="00D46295">
        <w:rPr>
          <w:rFonts w:ascii="Calibri" w:eastAsia="MS Mincho" w:hAnsi="Calibri" w:cs="Times New Roman"/>
        </w:rPr>
        <w:t xml:space="preserve"> from</w:t>
      </w:r>
      <w:r w:rsidR="00D46295" w:rsidRPr="004E2F75">
        <w:rPr>
          <w:rFonts w:ascii="Calibri" w:eastAsia="MS Mincho" w:hAnsi="Calibri" w:cs="Times New Roman"/>
        </w:rPr>
        <w:t xml:space="preserve"> </w:t>
      </w:r>
      <w:r w:rsidR="004E621A">
        <w:rPr>
          <w:rFonts w:ascii="Calibri" w:eastAsia="MS Mincho" w:hAnsi="Calibri" w:cs="Times New Roman"/>
        </w:rPr>
        <w:t xml:space="preserve">the </w:t>
      </w:r>
      <w:hyperlink r:id="rId31" w:anchor="a2" w:history="1">
        <w:r w:rsidR="00D46295" w:rsidRPr="004E2F75">
          <w:rPr>
            <w:rStyle w:val="Hyperlink"/>
            <w:rFonts w:ascii="Calibri" w:eastAsia="MS Mincho" w:hAnsi="Calibri" w:cs="Times New Roman"/>
          </w:rPr>
          <w:t>DHS Medicare website</w:t>
        </w:r>
      </w:hyperlink>
      <w:r w:rsidR="00D46295">
        <w:rPr>
          <w:rFonts w:ascii="Calibri" w:eastAsia="MS Mincho" w:hAnsi="Calibri" w:cs="Times New Roman"/>
        </w:rPr>
        <w:t xml:space="preserve">). </w:t>
      </w:r>
    </w:p>
    <w:p w14:paraId="408E02C4" w14:textId="77777777" w:rsidR="00AF2DEC" w:rsidRDefault="00AF2DEC" w:rsidP="00AF2DEC">
      <w:pPr>
        <w:spacing w:after="0"/>
        <w:rPr>
          <w:rFonts w:ascii="Calibri" w:eastAsia="MS Mincho" w:hAnsi="Calibri" w:cs="Times New Roman"/>
        </w:rPr>
      </w:pPr>
    </w:p>
    <w:p w14:paraId="06EEC634" w14:textId="7D1B4DF9" w:rsidR="00F4607A" w:rsidRPr="004D21BE" w:rsidRDefault="00F4607A" w:rsidP="004D21BE">
      <w:pPr>
        <w:pStyle w:val="Heading2"/>
        <w:spacing w:before="0" w:after="0"/>
      </w:pPr>
      <w:r w:rsidRPr="004D21BE">
        <w:t xml:space="preserve">Number of </w:t>
      </w:r>
      <w:r w:rsidR="00AB2069" w:rsidRPr="004D21BE">
        <w:t xml:space="preserve">PBS </w:t>
      </w:r>
      <w:r w:rsidR="001F23E4" w:rsidRPr="004D21BE">
        <w:t>patients</w:t>
      </w:r>
      <w:r w:rsidRPr="004D21BE">
        <w:t xml:space="preserve"> and number of infusions</w:t>
      </w:r>
    </w:p>
    <w:p w14:paraId="4D7FB378" w14:textId="77777777" w:rsidR="004D21BE" w:rsidRDefault="004D21BE" w:rsidP="004D21BE">
      <w:pPr>
        <w:spacing w:after="0"/>
        <w:rPr>
          <w:rFonts w:ascii="Calibri" w:eastAsia="MS Mincho" w:hAnsi="Calibri" w:cs="Times New Roman"/>
        </w:rPr>
      </w:pPr>
    </w:p>
    <w:p w14:paraId="64B47AF9" w14:textId="34CC575A" w:rsidR="00D448EC" w:rsidRDefault="00D448EC" w:rsidP="00624E37">
      <w:pPr>
        <w:rPr>
          <w:rFonts w:ascii="Calibri" w:eastAsia="MS Mincho" w:hAnsi="Calibri" w:cs="Times New Roman"/>
        </w:rPr>
      </w:pPr>
      <w:r>
        <w:rPr>
          <w:rFonts w:ascii="Calibri" w:eastAsia="MS Mincho" w:hAnsi="Calibri" w:cs="Times New Roman"/>
        </w:rPr>
        <w:t>PBS prescription data were used to determine the numbe</w:t>
      </w:r>
      <w:r w:rsidR="008D01F6">
        <w:rPr>
          <w:rFonts w:ascii="Calibri" w:eastAsia="MS Mincho" w:hAnsi="Calibri" w:cs="Times New Roman"/>
        </w:rPr>
        <w:t>r of infusions supplied and to count the number of patients</w:t>
      </w:r>
      <w:r>
        <w:rPr>
          <w:rFonts w:ascii="Calibri" w:eastAsia="MS Mincho" w:hAnsi="Calibri" w:cs="Times New Roman"/>
        </w:rPr>
        <w:t>.</w:t>
      </w:r>
    </w:p>
    <w:p w14:paraId="73D477F3" w14:textId="59D43167" w:rsidR="0068706C" w:rsidRPr="0068706C" w:rsidRDefault="0068706C" w:rsidP="00624E37">
      <w:pPr>
        <w:rPr>
          <w:rFonts w:eastAsia="Calibri" w:cs="Times New Roman"/>
        </w:rPr>
      </w:pPr>
      <w:r>
        <w:rPr>
          <w:rFonts w:ascii="Calibri" w:eastAsia="MS Mincho" w:hAnsi="Calibri" w:cs="Times New Roman"/>
        </w:rPr>
        <w:t xml:space="preserve">Patient counts were obtained for both incident (new to treatment) and prevalent (number treated in each time period, i.e. year or quarter). If doses are delayed, prevalent patients may not receive a supply every month. As such, </w:t>
      </w:r>
      <w:r>
        <w:rPr>
          <w:rFonts w:eastAsia="Calibri" w:cs="Times New Roman"/>
        </w:rPr>
        <w:t>patient</w:t>
      </w:r>
      <w:r w:rsidRPr="00683A1F">
        <w:rPr>
          <w:rFonts w:eastAsia="Calibri" w:cs="Times New Roman"/>
        </w:rPr>
        <w:t xml:space="preserve"> numbers were </w:t>
      </w:r>
      <w:r>
        <w:rPr>
          <w:rFonts w:eastAsia="Calibri" w:cs="Times New Roman"/>
        </w:rPr>
        <w:t>presented</w:t>
      </w:r>
      <w:r w:rsidRPr="00683A1F">
        <w:rPr>
          <w:rFonts w:eastAsia="Calibri" w:cs="Times New Roman"/>
        </w:rPr>
        <w:t xml:space="preserve"> quarterly as it was expected most </w:t>
      </w:r>
      <w:r>
        <w:rPr>
          <w:rFonts w:eastAsia="Calibri" w:cs="Times New Roman"/>
        </w:rPr>
        <w:t>patients</w:t>
      </w:r>
      <w:r w:rsidRPr="00683A1F">
        <w:rPr>
          <w:rFonts w:eastAsia="Calibri" w:cs="Times New Roman"/>
        </w:rPr>
        <w:t xml:space="preserve"> would receive a supply at least once each quarter.</w:t>
      </w:r>
    </w:p>
    <w:p w14:paraId="14B0131E" w14:textId="5451E058" w:rsidR="0067650E" w:rsidRDefault="0067650E" w:rsidP="00624E37">
      <w:pPr>
        <w:rPr>
          <w:rFonts w:ascii="Calibri" w:eastAsia="MS Mincho" w:hAnsi="Calibri" w:cs="Times New Roman"/>
        </w:rPr>
      </w:pPr>
      <w:r>
        <w:rPr>
          <w:rFonts w:ascii="Calibri" w:eastAsia="MS Mincho" w:hAnsi="Calibri" w:cs="Times New Roman"/>
        </w:rPr>
        <w:t xml:space="preserve">The number of infusions of </w:t>
      </w:r>
      <w:r>
        <w:rPr>
          <w:rFonts w:eastAsia="Calibri"/>
        </w:rPr>
        <w:t xml:space="preserve">bevacizumab, cetuximab or panitumumab is influenced by the frequency of their administration. Bevacizumab may be </w:t>
      </w:r>
      <w:r w:rsidR="00E944C6">
        <w:rPr>
          <w:rFonts w:eastAsia="Calibri"/>
        </w:rPr>
        <w:t>administered once every two or three weeks (Table 1). Cetuximab is recommended to be administered once a week, however an analysis of the time to re-supply suggests it may have also been administered every two weeks in some cases (see Appendix 2, Figure A2.1).</w:t>
      </w:r>
      <w:r w:rsidR="00393E96">
        <w:rPr>
          <w:rFonts w:eastAsia="Calibri"/>
        </w:rPr>
        <w:t xml:space="preserve"> As such, caution is required when interpreting the number of infusions as the trends are subject to variation due to the differences in </w:t>
      </w:r>
      <w:r w:rsidR="0068706C">
        <w:rPr>
          <w:rFonts w:eastAsia="Calibri"/>
        </w:rPr>
        <w:t xml:space="preserve">the frequency of </w:t>
      </w:r>
      <w:r w:rsidR="00393E96">
        <w:rPr>
          <w:rFonts w:eastAsia="Calibri"/>
        </w:rPr>
        <w:t xml:space="preserve">administration. </w:t>
      </w:r>
      <w:r w:rsidR="00052E42">
        <w:rPr>
          <w:rFonts w:eastAsia="Calibri"/>
        </w:rPr>
        <w:t>A supplementary analysis of the number of infusions is presented in Appendix 3.</w:t>
      </w:r>
    </w:p>
    <w:p w14:paraId="54F30F0E" w14:textId="75391C54" w:rsidR="00C90868" w:rsidRDefault="009D245D" w:rsidP="00C90868">
      <w:pPr>
        <w:pStyle w:val="NormalWeb"/>
        <w:shd w:val="clear" w:color="auto" w:fill="FFFFFF"/>
        <w:spacing w:before="0" w:beforeAutospacing="0" w:after="240" w:afterAutospacing="0" w:line="300" w:lineRule="atLeast"/>
        <w:rPr>
          <w:rFonts w:asciiTheme="minorHAnsi" w:eastAsia="Calibri" w:hAnsiTheme="minorHAnsi"/>
        </w:rPr>
      </w:pPr>
      <w:hyperlink r:id="rId32" w:history="1">
        <w:r w:rsidR="00C90868" w:rsidRPr="006B7E2E">
          <w:rPr>
            <w:rStyle w:val="Hyperlink"/>
            <w:rFonts w:asciiTheme="minorHAnsi" w:eastAsia="Calibri" w:hAnsiTheme="minorHAnsi"/>
          </w:rPr>
          <w:t>Revised arrangements for the efficient f</w:t>
        </w:r>
        <w:r w:rsidR="00163EAE" w:rsidRPr="006B7E2E">
          <w:rPr>
            <w:rStyle w:val="Hyperlink"/>
            <w:rFonts w:asciiTheme="minorHAnsi" w:eastAsia="Calibri" w:hAnsiTheme="minorHAnsi"/>
          </w:rPr>
          <w:t>unding of chemotherapy drugs (EFC)</w:t>
        </w:r>
      </w:hyperlink>
      <w:r w:rsidR="00163EAE">
        <w:rPr>
          <w:rFonts w:asciiTheme="minorHAnsi" w:eastAsia="Calibri" w:hAnsiTheme="minorHAnsi"/>
        </w:rPr>
        <w:t xml:space="preserve"> were</w:t>
      </w:r>
      <w:r w:rsidR="00C90868" w:rsidRPr="00C90868">
        <w:rPr>
          <w:rFonts w:asciiTheme="minorHAnsi" w:eastAsia="Calibri" w:hAnsiTheme="minorHAnsi"/>
        </w:rPr>
        <w:t xml:space="preserve"> introduced from 1 December 2011. Under these arrangements, prescribers write prescriptions with a specific dose, usually in milligrams</w:t>
      </w:r>
      <w:r w:rsidR="00D34604">
        <w:rPr>
          <w:rFonts w:asciiTheme="minorHAnsi" w:eastAsia="Calibri" w:hAnsiTheme="minorHAnsi"/>
        </w:rPr>
        <w:t>,</w:t>
      </w:r>
      <w:r w:rsidR="00C90868" w:rsidRPr="00C90868">
        <w:rPr>
          <w:rFonts w:asciiTheme="minorHAnsi" w:eastAsia="Calibri" w:hAnsiTheme="minorHAnsi"/>
        </w:rPr>
        <w:t xml:space="preserve"> and approved suppliers/pharmacies </w:t>
      </w:r>
      <w:r w:rsidR="00C90868" w:rsidRPr="00C90868">
        <w:rPr>
          <w:rFonts w:asciiTheme="minorHAnsi" w:eastAsia="Calibri" w:hAnsiTheme="minorHAnsi"/>
        </w:rPr>
        <w:lastRenderedPageBreak/>
        <w:t xml:space="preserve">dispense </w:t>
      </w:r>
      <w:r w:rsidR="00163EAE">
        <w:rPr>
          <w:rFonts w:asciiTheme="minorHAnsi" w:eastAsia="Calibri" w:hAnsiTheme="minorHAnsi"/>
        </w:rPr>
        <w:t xml:space="preserve">the drug </w:t>
      </w:r>
      <w:r w:rsidR="00C90868" w:rsidRPr="00C90868">
        <w:rPr>
          <w:rFonts w:asciiTheme="minorHAnsi" w:eastAsia="Calibri" w:hAnsiTheme="minorHAnsi"/>
        </w:rPr>
        <w:t xml:space="preserve">using the combination of vials that most efficiently makes up the required dose for the </w:t>
      </w:r>
      <w:r w:rsidR="001F23E4">
        <w:rPr>
          <w:rFonts w:asciiTheme="minorHAnsi" w:eastAsia="Calibri" w:hAnsiTheme="minorHAnsi"/>
        </w:rPr>
        <w:t>patient</w:t>
      </w:r>
      <w:r w:rsidR="00C90868" w:rsidRPr="00C90868">
        <w:rPr>
          <w:rFonts w:asciiTheme="minorHAnsi" w:eastAsia="Calibri" w:hAnsiTheme="minorHAnsi"/>
        </w:rPr>
        <w:t xml:space="preserve">. </w:t>
      </w:r>
      <w:r w:rsidR="00163EAE">
        <w:rPr>
          <w:rFonts w:asciiTheme="minorHAnsi" w:eastAsia="Calibri" w:hAnsiTheme="minorHAnsi"/>
        </w:rPr>
        <w:t xml:space="preserve">That is, a prescription is for the infusion comprising of vials which may have differing strengths and sizes. Before the EFC, a prescription related to a vial or multiple vials of a particular strength and size. </w:t>
      </w:r>
      <w:r w:rsidR="006B7E2E">
        <w:rPr>
          <w:rFonts w:asciiTheme="minorHAnsi" w:eastAsia="Calibri" w:hAnsiTheme="minorHAnsi"/>
        </w:rPr>
        <w:t xml:space="preserve">In order to compare the utilisation before and after the introduction of the EFC, the pre EFC data consisting of </w:t>
      </w:r>
      <w:r w:rsidR="00C2392B">
        <w:rPr>
          <w:rFonts w:asciiTheme="minorHAnsi" w:eastAsia="Calibri" w:hAnsiTheme="minorHAnsi"/>
        </w:rPr>
        <w:t xml:space="preserve">all </w:t>
      </w:r>
      <w:r w:rsidR="006B7E2E">
        <w:rPr>
          <w:rFonts w:asciiTheme="minorHAnsi" w:eastAsia="Calibri" w:hAnsiTheme="minorHAnsi"/>
        </w:rPr>
        <w:t xml:space="preserve">vials supplied on a single day was converted to infusions. </w:t>
      </w:r>
      <w:r w:rsidR="0011445E">
        <w:rPr>
          <w:rFonts w:asciiTheme="minorHAnsi" w:eastAsia="Calibri" w:hAnsiTheme="minorHAnsi"/>
        </w:rPr>
        <w:t xml:space="preserve">This was done by identifying where a </w:t>
      </w:r>
      <w:r w:rsidR="001F23E4">
        <w:rPr>
          <w:rFonts w:asciiTheme="minorHAnsi" w:eastAsia="Calibri" w:hAnsiTheme="minorHAnsi"/>
        </w:rPr>
        <w:t>patient</w:t>
      </w:r>
      <w:r w:rsidR="0011445E">
        <w:rPr>
          <w:rFonts w:asciiTheme="minorHAnsi" w:eastAsia="Calibri" w:hAnsiTheme="minorHAnsi"/>
        </w:rPr>
        <w:t xml:space="preserve"> got more than one supply of a medicine on the same day. Multiple supplies on the same day were counted as one infusion.</w:t>
      </w:r>
    </w:p>
    <w:p w14:paraId="5C0D7794" w14:textId="5181FB0A" w:rsidR="006B3490" w:rsidRDefault="00FC30D7" w:rsidP="00C90868">
      <w:pPr>
        <w:pStyle w:val="NormalWeb"/>
        <w:shd w:val="clear" w:color="auto" w:fill="FFFFFF"/>
        <w:spacing w:before="0" w:beforeAutospacing="0" w:after="240" w:afterAutospacing="0" w:line="300" w:lineRule="atLeast"/>
        <w:rPr>
          <w:rFonts w:asciiTheme="minorHAnsi" w:eastAsia="Calibri" w:hAnsiTheme="minorHAnsi"/>
        </w:rPr>
      </w:pPr>
      <w:r>
        <w:rPr>
          <w:rFonts w:asciiTheme="minorHAnsi" w:eastAsia="Calibri" w:hAnsiTheme="minorHAnsi"/>
        </w:rPr>
        <w:t xml:space="preserve">Prescriptions </w:t>
      </w:r>
      <w:r w:rsidR="00C4465A">
        <w:rPr>
          <w:rFonts w:asciiTheme="minorHAnsi" w:eastAsia="Calibri" w:hAnsiTheme="minorHAnsi"/>
        </w:rPr>
        <w:t xml:space="preserve">for the targeted therapies </w:t>
      </w:r>
      <w:r>
        <w:rPr>
          <w:rFonts w:asciiTheme="minorHAnsi" w:eastAsia="Calibri" w:hAnsiTheme="minorHAnsi"/>
        </w:rPr>
        <w:t xml:space="preserve">were classified as either being </w:t>
      </w:r>
      <w:r w:rsidR="004931FE">
        <w:rPr>
          <w:rFonts w:asciiTheme="minorHAnsi" w:eastAsia="Calibri" w:hAnsiTheme="minorHAnsi"/>
        </w:rPr>
        <w:t>for therapy in first-line, se</w:t>
      </w:r>
      <w:r w:rsidR="0068706C">
        <w:rPr>
          <w:rFonts w:asciiTheme="minorHAnsi" w:eastAsia="Calibri" w:hAnsiTheme="minorHAnsi"/>
        </w:rPr>
        <w:t>cond-line or after second-line as described below.</w:t>
      </w:r>
    </w:p>
    <w:p w14:paraId="3CA30BFF" w14:textId="6DBD1970" w:rsidR="005B6D41" w:rsidRPr="004D21BE" w:rsidRDefault="00AB2069" w:rsidP="004D21BE">
      <w:pPr>
        <w:pStyle w:val="Heading2"/>
        <w:spacing w:before="0" w:after="0"/>
      </w:pPr>
      <w:r w:rsidRPr="004D21BE">
        <w:t>Drug regimens</w:t>
      </w:r>
      <w:r w:rsidR="000322FB" w:rsidRPr="004D21BE">
        <w:t xml:space="preserve"> </w:t>
      </w:r>
      <w:r w:rsidR="001A79C6" w:rsidRPr="004D21BE">
        <w:t xml:space="preserve">and drug sequence </w:t>
      </w:r>
      <w:r w:rsidR="00897DBE" w:rsidRPr="004D21BE">
        <w:t>analyses</w:t>
      </w:r>
    </w:p>
    <w:p w14:paraId="5CC3581B" w14:textId="77777777" w:rsidR="004D21BE" w:rsidRDefault="004D21BE" w:rsidP="004D21BE">
      <w:pPr>
        <w:pStyle w:val="NormalWeb"/>
        <w:shd w:val="clear" w:color="auto" w:fill="FFFFFF"/>
        <w:spacing w:before="0" w:beforeAutospacing="0" w:after="0" w:afterAutospacing="0" w:line="300" w:lineRule="atLeast"/>
        <w:rPr>
          <w:rFonts w:asciiTheme="minorHAnsi" w:eastAsia="Calibri" w:hAnsiTheme="minorHAnsi"/>
        </w:rPr>
      </w:pPr>
    </w:p>
    <w:p w14:paraId="7DDDB8A9" w14:textId="64187C77" w:rsidR="00376651" w:rsidRDefault="00376651" w:rsidP="004D21BE">
      <w:pPr>
        <w:pStyle w:val="NormalWeb"/>
        <w:shd w:val="clear" w:color="auto" w:fill="FFFFFF"/>
        <w:spacing w:before="0" w:beforeAutospacing="0" w:after="0" w:afterAutospacing="0" w:line="300" w:lineRule="atLeast"/>
        <w:rPr>
          <w:rFonts w:asciiTheme="minorHAnsi" w:eastAsia="Calibri" w:hAnsiTheme="minorHAnsi"/>
        </w:rPr>
      </w:pPr>
      <w:r>
        <w:rPr>
          <w:rFonts w:asciiTheme="minorHAnsi" w:eastAsia="Calibri" w:hAnsiTheme="minorHAnsi"/>
        </w:rPr>
        <w:t xml:space="preserve">The median time between supplies for bevacizumab, cetuximab or panitumumab and the chemotherapy agents was obtained to </w:t>
      </w:r>
      <w:r w:rsidR="008A1BF1">
        <w:rPr>
          <w:rFonts w:asciiTheme="minorHAnsi" w:eastAsia="Calibri" w:hAnsiTheme="minorHAnsi"/>
        </w:rPr>
        <w:t>inform assumptions around medicine coverage times to identify co-administered drugs. The distributions for the time between supplies for each</w:t>
      </w:r>
      <w:r w:rsidR="00C61F74">
        <w:rPr>
          <w:rFonts w:asciiTheme="minorHAnsi" w:eastAsia="Calibri" w:hAnsiTheme="minorHAnsi"/>
        </w:rPr>
        <w:t xml:space="preserve"> drug are provided in Appendix 2</w:t>
      </w:r>
      <w:r w:rsidR="008A1BF1">
        <w:rPr>
          <w:rFonts w:asciiTheme="minorHAnsi" w:eastAsia="Calibri" w:hAnsiTheme="minorHAnsi"/>
        </w:rPr>
        <w:t xml:space="preserve">. </w:t>
      </w:r>
      <w:r w:rsidR="00877CB3">
        <w:rPr>
          <w:rFonts w:asciiTheme="minorHAnsi" w:eastAsia="Calibri" w:hAnsiTheme="minorHAnsi"/>
        </w:rPr>
        <w:t>Bevacizumab and panitumumab were found to have the longest time between supplies (median of 14 days). The median time between supplies was less than 14 days for the chemotherapy drugs with the exception of folinic acid which was 62 days. To allow for potential treatment breaks, it was assumed that the period of a potential treatment break was three times the median days between supplies (i.e. 42 days for all drugs except fol</w:t>
      </w:r>
      <w:r w:rsidR="00704F4D">
        <w:rPr>
          <w:rFonts w:asciiTheme="minorHAnsi" w:eastAsia="Calibri" w:hAnsiTheme="minorHAnsi"/>
        </w:rPr>
        <w:t>in</w:t>
      </w:r>
      <w:r w:rsidR="00877CB3">
        <w:rPr>
          <w:rFonts w:asciiTheme="minorHAnsi" w:eastAsia="Calibri" w:hAnsiTheme="minorHAnsi"/>
        </w:rPr>
        <w:t xml:space="preserve">ic acid which was assumed to be 186 days). </w:t>
      </w:r>
      <w:r w:rsidR="00C61F74">
        <w:rPr>
          <w:rFonts w:asciiTheme="minorHAnsi" w:eastAsia="Calibri" w:hAnsiTheme="minorHAnsi"/>
        </w:rPr>
        <w:t>E</w:t>
      </w:r>
      <w:r w:rsidR="0068706C">
        <w:rPr>
          <w:rFonts w:asciiTheme="minorHAnsi" w:eastAsia="Calibri" w:hAnsiTheme="minorHAnsi"/>
        </w:rPr>
        <w:t>xcept for folinic acid (</w:t>
      </w:r>
      <w:r w:rsidR="00C61F74">
        <w:rPr>
          <w:rFonts w:asciiTheme="minorHAnsi" w:eastAsia="Calibri" w:hAnsiTheme="minorHAnsi"/>
        </w:rPr>
        <w:t>leucovorin</w:t>
      </w:r>
      <w:r w:rsidR="0068706C">
        <w:rPr>
          <w:rFonts w:asciiTheme="minorHAnsi" w:eastAsia="Calibri" w:hAnsiTheme="minorHAnsi"/>
        </w:rPr>
        <w:t>)</w:t>
      </w:r>
      <w:r w:rsidR="00C61F74">
        <w:rPr>
          <w:rFonts w:asciiTheme="minorHAnsi" w:eastAsia="Calibri" w:hAnsiTheme="minorHAnsi"/>
        </w:rPr>
        <w:t>, a</w:t>
      </w:r>
      <w:r w:rsidR="00877CB3">
        <w:rPr>
          <w:rFonts w:asciiTheme="minorHAnsi" w:eastAsia="Calibri" w:hAnsiTheme="minorHAnsi"/>
        </w:rPr>
        <w:t xml:space="preserve"> drug was assumed to be co-administered with another drug if its date of supply was within 42 days of the previous or next supply. The co-administration of folinic acid with other drugs was</w:t>
      </w:r>
      <w:r w:rsidR="00E05B1B">
        <w:rPr>
          <w:rFonts w:asciiTheme="minorHAnsi" w:eastAsia="Calibri" w:hAnsiTheme="minorHAnsi"/>
        </w:rPr>
        <w:t xml:space="preserve"> assumed</w:t>
      </w:r>
      <w:r w:rsidR="00877CB3">
        <w:rPr>
          <w:rFonts w:asciiTheme="minorHAnsi" w:eastAsia="Calibri" w:hAnsiTheme="minorHAnsi"/>
        </w:rPr>
        <w:t xml:space="preserve"> if its supply occurred within 186 days </w:t>
      </w:r>
      <w:r w:rsidR="00E05B1B">
        <w:rPr>
          <w:rFonts w:asciiTheme="minorHAnsi" w:eastAsia="Calibri" w:hAnsiTheme="minorHAnsi"/>
        </w:rPr>
        <w:t xml:space="preserve">before or after </w:t>
      </w:r>
      <w:r w:rsidR="00877CB3">
        <w:rPr>
          <w:rFonts w:asciiTheme="minorHAnsi" w:eastAsia="Calibri" w:hAnsiTheme="minorHAnsi"/>
        </w:rPr>
        <w:t>the date of supply of another drug.</w:t>
      </w:r>
      <w:r w:rsidR="002C4B73">
        <w:rPr>
          <w:rFonts w:asciiTheme="minorHAnsi" w:eastAsia="Calibri" w:hAnsiTheme="minorHAnsi"/>
        </w:rPr>
        <w:t xml:space="preserve"> </w:t>
      </w:r>
      <w:r w:rsidR="006D5E5B">
        <w:rPr>
          <w:rFonts w:asciiTheme="minorHAnsi" w:eastAsia="Calibri" w:hAnsiTheme="minorHAnsi"/>
        </w:rPr>
        <w:t>The chemotherapies were classified into the following drug regimens:  i</w:t>
      </w:r>
      <w:r w:rsidR="006D5E5B" w:rsidRPr="004A513A">
        <w:rPr>
          <w:rFonts w:asciiTheme="minorHAnsi" w:eastAsia="Calibri" w:hAnsiTheme="minorHAnsi"/>
        </w:rPr>
        <w:t>rinotecan + flu</w:t>
      </w:r>
      <w:r w:rsidR="006D5E5B">
        <w:rPr>
          <w:rFonts w:asciiTheme="minorHAnsi" w:eastAsia="Calibri" w:hAnsiTheme="minorHAnsi"/>
        </w:rPr>
        <w:t>o</w:t>
      </w:r>
      <w:r w:rsidR="006D5E5B" w:rsidRPr="004A513A">
        <w:rPr>
          <w:rFonts w:asciiTheme="minorHAnsi" w:eastAsia="Calibri" w:hAnsiTheme="minorHAnsi"/>
        </w:rPr>
        <w:t>rouracil + folinic acid</w:t>
      </w:r>
      <w:r w:rsidR="006D5E5B">
        <w:rPr>
          <w:rFonts w:asciiTheme="minorHAnsi" w:eastAsia="Calibri" w:hAnsiTheme="minorHAnsi"/>
        </w:rPr>
        <w:t xml:space="preserve"> (FOLFIRI); folinic acid + fluorouracil + oxaliplatin (FOLFOX); fluorouracil + leucovorin (FU-LV); irinotecan + capecitabine (XELIRI); and </w:t>
      </w:r>
      <w:proofErr w:type="spellStart"/>
      <w:r w:rsidR="006D5E5B">
        <w:rPr>
          <w:rFonts w:asciiTheme="minorHAnsi" w:eastAsia="Calibri" w:hAnsiTheme="minorHAnsi"/>
        </w:rPr>
        <w:t>oxaliplatin</w:t>
      </w:r>
      <w:proofErr w:type="spellEnd"/>
      <w:r w:rsidR="006D5E5B">
        <w:rPr>
          <w:rFonts w:asciiTheme="minorHAnsi" w:eastAsia="Calibri" w:hAnsiTheme="minorHAnsi"/>
        </w:rPr>
        <w:t xml:space="preserve"> + </w:t>
      </w:r>
      <w:proofErr w:type="spellStart"/>
      <w:r w:rsidR="006D5E5B">
        <w:rPr>
          <w:rFonts w:asciiTheme="minorHAnsi" w:eastAsia="Calibri" w:hAnsiTheme="minorHAnsi"/>
        </w:rPr>
        <w:t>capecitabine</w:t>
      </w:r>
      <w:proofErr w:type="spellEnd"/>
      <w:r w:rsidR="006D5E5B">
        <w:rPr>
          <w:rFonts w:asciiTheme="minorHAnsi" w:eastAsia="Calibri" w:hAnsiTheme="minorHAnsi"/>
        </w:rPr>
        <w:t xml:space="preserve"> (XELOX).</w:t>
      </w:r>
    </w:p>
    <w:p w14:paraId="7985FEF2" w14:textId="77777777" w:rsidR="00BE3FA9" w:rsidRDefault="00BE3FA9" w:rsidP="004D21BE">
      <w:pPr>
        <w:pStyle w:val="NormalWeb"/>
        <w:shd w:val="clear" w:color="auto" w:fill="FFFFFF"/>
        <w:spacing w:before="0" w:beforeAutospacing="0" w:after="0" w:afterAutospacing="0" w:line="300" w:lineRule="atLeast"/>
        <w:rPr>
          <w:rFonts w:asciiTheme="minorHAnsi" w:eastAsia="Calibri" w:hAnsiTheme="minorHAnsi"/>
        </w:rPr>
      </w:pPr>
      <w:bookmarkStart w:id="0" w:name="_GoBack"/>
      <w:bookmarkEnd w:id="0"/>
    </w:p>
    <w:p w14:paraId="3E021BF0" w14:textId="3ABF28CB" w:rsidR="00376651" w:rsidRDefault="006D5E5B" w:rsidP="00C90868">
      <w:pPr>
        <w:pStyle w:val="NormalWeb"/>
        <w:shd w:val="clear" w:color="auto" w:fill="FFFFFF"/>
        <w:spacing w:before="0" w:beforeAutospacing="0" w:after="240" w:afterAutospacing="0" w:line="300" w:lineRule="atLeast"/>
        <w:rPr>
          <w:rFonts w:asciiTheme="minorHAnsi" w:eastAsia="Calibri" w:hAnsiTheme="minorHAnsi"/>
        </w:rPr>
      </w:pPr>
      <w:r>
        <w:rPr>
          <w:rFonts w:asciiTheme="minorHAnsi" w:eastAsia="Calibri" w:hAnsiTheme="minorHAnsi"/>
        </w:rPr>
        <w:t xml:space="preserve">After classifying the chemotherapies into regimens, an analysis of the sequence of drug regimens supplied to </w:t>
      </w:r>
      <w:r w:rsidR="001F23E4">
        <w:rPr>
          <w:rFonts w:asciiTheme="minorHAnsi" w:eastAsia="Calibri" w:hAnsiTheme="minorHAnsi"/>
        </w:rPr>
        <w:t>patients</w:t>
      </w:r>
      <w:r>
        <w:rPr>
          <w:rFonts w:asciiTheme="minorHAnsi" w:eastAsia="Calibri" w:hAnsiTheme="minorHAnsi"/>
        </w:rPr>
        <w:t xml:space="preserve"> </w:t>
      </w:r>
      <w:r w:rsidR="00435828" w:rsidRPr="00435828">
        <w:rPr>
          <w:rFonts w:asciiTheme="minorHAnsi" w:eastAsia="Calibri" w:hAnsiTheme="minorHAnsi"/>
        </w:rPr>
        <w:t>who first initiated on bevacizumab, cetuximab or panitumum</w:t>
      </w:r>
      <w:r w:rsidR="00B50F73">
        <w:rPr>
          <w:rFonts w:asciiTheme="minorHAnsi" w:eastAsia="Calibri" w:hAnsiTheme="minorHAnsi"/>
        </w:rPr>
        <w:t>a</w:t>
      </w:r>
      <w:r w:rsidR="00435828" w:rsidRPr="00435828">
        <w:rPr>
          <w:rFonts w:asciiTheme="minorHAnsi" w:eastAsia="Calibri" w:hAnsiTheme="minorHAnsi"/>
        </w:rPr>
        <w:t xml:space="preserve">b was </w:t>
      </w:r>
      <w:r>
        <w:rPr>
          <w:rFonts w:asciiTheme="minorHAnsi" w:eastAsia="Calibri" w:hAnsiTheme="minorHAnsi"/>
        </w:rPr>
        <w:t>undertaken</w:t>
      </w:r>
      <w:r w:rsidR="00435828" w:rsidRPr="00435828">
        <w:rPr>
          <w:rFonts w:asciiTheme="minorHAnsi" w:eastAsia="Calibri" w:hAnsiTheme="minorHAnsi"/>
        </w:rPr>
        <w:t xml:space="preserve"> in two </w:t>
      </w:r>
      <w:r w:rsidR="001F23E4">
        <w:rPr>
          <w:rFonts w:asciiTheme="minorHAnsi" w:eastAsia="Calibri" w:hAnsiTheme="minorHAnsi"/>
        </w:rPr>
        <w:t>patient</w:t>
      </w:r>
      <w:r w:rsidR="00435828" w:rsidRPr="00435828">
        <w:rPr>
          <w:rFonts w:asciiTheme="minorHAnsi" w:eastAsia="Calibri" w:hAnsiTheme="minorHAnsi"/>
        </w:rPr>
        <w:t xml:space="preserve"> cohorts for 2014 and 2016. The 2014 cohort was selected to capture the impact of panitumumab’s listing as a second-line treatment from April 2014. The 2016 cohort was chosen to include the impact of </w:t>
      </w:r>
      <w:r w:rsidR="003D7476">
        <w:rPr>
          <w:rFonts w:asciiTheme="minorHAnsi" w:eastAsia="Calibri" w:hAnsiTheme="minorHAnsi"/>
        </w:rPr>
        <w:t xml:space="preserve">cetuximab and </w:t>
      </w:r>
      <w:r w:rsidR="00435828" w:rsidRPr="00435828">
        <w:rPr>
          <w:rFonts w:asciiTheme="minorHAnsi" w:eastAsia="Calibri" w:hAnsiTheme="minorHAnsi"/>
        </w:rPr>
        <w:t>panitumumab’s listing</w:t>
      </w:r>
      <w:r w:rsidR="000B2AC3">
        <w:rPr>
          <w:rFonts w:asciiTheme="minorHAnsi" w:eastAsia="Calibri" w:hAnsiTheme="minorHAnsi"/>
        </w:rPr>
        <w:t>s</w:t>
      </w:r>
      <w:r w:rsidR="00435828" w:rsidRPr="00435828">
        <w:rPr>
          <w:rFonts w:asciiTheme="minorHAnsi" w:eastAsia="Calibri" w:hAnsiTheme="minorHAnsi"/>
        </w:rPr>
        <w:t xml:space="preserve"> as a first-line treatment for mCRC from </w:t>
      </w:r>
      <w:r w:rsidR="003D7476">
        <w:rPr>
          <w:rFonts w:asciiTheme="minorHAnsi" w:eastAsia="Calibri" w:hAnsiTheme="minorHAnsi"/>
        </w:rPr>
        <w:t xml:space="preserve">June and </w:t>
      </w:r>
      <w:r w:rsidR="00435828" w:rsidRPr="00435828">
        <w:rPr>
          <w:rFonts w:asciiTheme="minorHAnsi" w:eastAsia="Calibri" w:hAnsiTheme="minorHAnsi"/>
        </w:rPr>
        <w:t>October 2015</w:t>
      </w:r>
      <w:r w:rsidR="003D7476">
        <w:rPr>
          <w:rFonts w:asciiTheme="minorHAnsi" w:eastAsia="Calibri" w:hAnsiTheme="minorHAnsi"/>
        </w:rPr>
        <w:t>, respectively</w:t>
      </w:r>
      <w:r w:rsidR="00435828" w:rsidRPr="00435828">
        <w:rPr>
          <w:rFonts w:asciiTheme="minorHAnsi" w:eastAsia="Calibri" w:hAnsiTheme="minorHAnsi"/>
        </w:rPr>
        <w:t xml:space="preserve">. For both cohorts, the follow-up period was to 31 July 2017. </w:t>
      </w:r>
    </w:p>
    <w:p w14:paraId="089894D9" w14:textId="4185899C" w:rsidR="000563F5" w:rsidRDefault="006056FC" w:rsidP="00C90868">
      <w:pPr>
        <w:pStyle w:val="NormalWeb"/>
        <w:shd w:val="clear" w:color="auto" w:fill="FFFFFF"/>
        <w:spacing w:before="0" w:beforeAutospacing="0" w:after="240" w:afterAutospacing="0" w:line="300" w:lineRule="atLeast"/>
        <w:rPr>
          <w:rFonts w:asciiTheme="minorHAnsi" w:eastAsia="Calibri" w:hAnsiTheme="minorHAnsi"/>
        </w:rPr>
      </w:pPr>
      <w:r>
        <w:rPr>
          <w:rFonts w:asciiTheme="minorHAnsi" w:eastAsia="Calibri" w:hAnsiTheme="minorHAnsi"/>
        </w:rPr>
        <w:t xml:space="preserve">The prescription records for each </w:t>
      </w:r>
      <w:r w:rsidR="001F23E4">
        <w:rPr>
          <w:rFonts w:asciiTheme="minorHAnsi" w:eastAsia="Calibri" w:hAnsiTheme="minorHAnsi"/>
        </w:rPr>
        <w:t>patient</w:t>
      </w:r>
      <w:r>
        <w:rPr>
          <w:rFonts w:asciiTheme="minorHAnsi" w:eastAsia="Calibri" w:hAnsiTheme="minorHAnsi"/>
        </w:rPr>
        <w:t xml:space="preserve"> were sorted by the date of supply to obtain the temporal sequence of drug regimens.</w:t>
      </w:r>
      <w:r w:rsidR="00A251A9">
        <w:rPr>
          <w:rFonts w:asciiTheme="minorHAnsi" w:eastAsia="Calibri" w:hAnsiTheme="minorHAnsi"/>
        </w:rPr>
        <w:t xml:space="preserve"> For each prescription record, the time between a given </w:t>
      </w:r>
      <w:r w:rsidR="0083022A">
        <w:rPr>
          <w:rFonts w:asciiTheme="minorHAnsi" w:eastAsia="Calibri" w:hAnsiTheme="minorHAnsi"/>
        </w:rPr>
        <w:t>regimen</w:t>
      </w:r>
      <w:r w:rsidR="00A251A9">
        <w:rPr>
          <w:rFonts w:asciiTheme="minorHAnsi" w:eastAsia="Calibri" w:hAnsiTheme="minorHAnsi"/>
        </w:rPr>
        <w:t xml:space="preserve"> relative to the last and nex</w:t>
      </w:r>
      <w:r w:rsidR="0083022A">
        <w:rPr>
          <w:rFonts w:asciiTheme="minorHAnsi" w:eastAsia="Calibri" w:hAnsiTheme="minorHAnsi"/>
        </w:rPr>
        <w:t>t regimen</w:t>
      </w:r>
      <w:r w:rsidR="00A251A9">
        <w:rPr>
          <w:rFonts w:asciiTheme="minorHAnsi" w:eastAsia="Calibri" w:hAnsiTheme="minorHAnsi"/>
        </w:rPr>
        <w:t xml:space="preserve"> was obtained. </w:t>
      </w:r>
    </w:p>
    <w:p w14:paraId="0053C67B" w14:textId="320B722D" w:rsidR="000563F5" w:rsidRDefault="000563F5" w:rsidP="00C90868">
      <w:pPr>
        <w:pStyle w:val="NormalWeb"/>
        <w:shd w:val="clear" w:color="auto" w:fill="FFFFFF"/>
        <w:spacing w:before="0" w:beforeAutospacing="0" w:after="240" w:afterAutospacing="0" w:line="300" w:lineRule="atLeast"/>
        <w:rPr>
          <w:rFonts w:asciiTheme="minorHAnsi" w:eastAsia="Calibri" w:hAnsiTheme="minorHAnsi"/>
        </w:rPr>
      </w:pPr>
      <w:r>
        <w:rPr>
          <w:rFonts w:asciiTheme="minorHAnsi" w:eastAsia="Calibri" w:hAnsiTheme="minorHAnsi"/>
        </w:rPr>
        <w:t>The supply of b</w:t>
      </w:r>
      <w:r w:rsidR="00B859CC">
        <w:rPr>
          <w:rFonts w:asciiTheme="minorHAnsi" w:eastAsia="Calibri" w:hAnsiTheme="minorHAnsi"/>
        </w:rPr>
        <w:t>evacizumab, cetuximab or panitum</w:t>
      </w:r>
      <w:r>
        <w:rPr>
          <w:rFonts w:asciiTheme="minorHAnsi" w:eastAsia="Calibri" w:hAnsiTheme="minorHAnsi"/>
        </w:rPr>
        <w:t>umab</w:t>
      </w:r>
      <w:r w:rsidR="00E26727">
        <w:rPr>
          <w:rFonts w:asciiTheme="minorHAnsi" w:eastAsia="Calibri" w:hAnsiTheme="minorHAnsi"/>
        </w:rPr>
        <w:t xml:space="preserve"> was classified as being for </w:t>
      </w:r>
      <w:r>
        <w:rPr>
          <w:rFonts w:asciiTheme="minorHAnsi" w:eastAsia="Calibri" w:hAnsiTheme="minorHAnsi"/>
        </w:rPr>
        <w:t>monotherapy if</w:t>
      </w:r>
      <w:r w:rsidR="00E26727">
        <w:rPr>
          <w:rFonts w:asciiTheme="minorHAnsi" w:eastAsia="Calibri" w:hAnsiTheme="minorHAnsi"/>
        </w:rPr>
        <w:t>:</w:t>
      </w:r>
      <w:r w:rsidR="0091746E">
        <w:rPr>
          <w:rFonts w:asciiTheme="minorHAnsi" w:eastAsia="Calibri" w:hAnsiTheme="minorHAnsi"/>
        </w:rPr>
        <w:t xml:space="preserve"> </w:t>
      </w:r>
      <w:r>
        <w:rPr>
          <w:rFonts w:asciiTheme="minorHAnsi" w:eastAsia="Calibri" w:hAnsiTheme="minorHAnsi"/>
        </w:rPr>
        <w:t xml:space="preserve">no other supplies of a chemotherapy regimen or alternative </w:t>
      </w:r>
      <w:r w:rsidR="0068706C">
        <w:rPr>
          <w:rFonts w:asciiTheme="minorHAnsi" w:eastAsia="Calibri" w:hAnsiTheme="minorHAnsi"/>
        </w:rPr>
        <w:t>targeted drug</w:t>
      </w:r>
      <w:r>
        <w:rPr>
          <w:rFonts w:asciiTheme="minorHAnsi" w:eastAsia="Calibri" w:hAnsiTheme="minorHAnsi"/>
        </w:rPr>
        <w:t xml:space="preserve"> </w:t>
      </w:r>
      <w:r w:rsidR="000B2AC3">
        <w:rPr>
          <w:rFonts w:asciiTheme="minorHAnsi" w:eastAsia="Calibri" w:hAnsiTheme="minorHAnsi"/>
        </w:rPr>
        <w:lastRenderedPageBreak/>
        <w:t xml:space="preserve">were </w:t>
      </w:r>
      <w:r>
        <w:rPr>
          <w:rFonts w:asciiTheme="minorHAnsi" w:eastAsia="Calibri" w:hAnsiTheme="minorHAnsi"/>
        </w:rPr>
        <w:t>detected within 42 days before or 42 days after the date of supply of a given prescripti</w:t>
      </w:r>
      <w:r w:rsidR="008374DB">
        <w:rPr>
          <w:rFonts w:asciiTheme="minorHAnsi" w:eastAsia="Calibri" w:hAnsiTheme="minorHAnsi"/>
        </w:rPr>
        <w:t>on of the single targeted drug</w:t>
      </w:r>
      <w:r w:rsidR="00E26727">
        <w:rPr>
          <w:rFonts w:asciiTheme="minorHAnsi" w:eastAsia="Calibri" w:hAnsiTheme="minorHAnsi"/>
        </w:rPr>
        <w:t>; and there was a sequential</w:t>
      </w:r>
      <w:r w:rsidR="008374DB">
        <w:rPr>
          <w:rFonts w:asciiTheme="minorHAnsi" w:eastAsia="Calibri" w:hAnsiTheme="minorHAnsi"/>
        </w:rPr>
        <w:t xml:space="preserve"> supply of more than one prescription for a targeted drug or a chemotherapy regimen.</w:t>
      </w:r>
    </w:p>
    <w:p w14:paraId="2BCCD2D3" w14:textId="1C473E64" w:rsidR="00405EAC" w:rsidRDefault="00405EAC" w:rsidP="00C90868">
      <w:pPr>
        <w:pStyle w:val="NormalWeb"/>
        <w:shd w:val="clear" w:color="auto" w:fill="FFFFFF"/>
        <w:spacing w:before="0" w:beforeAutospacing="0" w:after="240" w:afterAutospacing="0" w:line="300" w:lineRule="atLeast"/>
        <w:rPr>
          <w:rFonts w:asciiTheme="minorHAnsi" w:eastAsia="Calibri" w:hAnsiTheme="minorHAnsi"/>
        </w:rPr>
      </w:pPr>
      <w:r>
        <w:rPr>
          <w:rFonts w:asciiTheme="minorHAnsi" w:eastAsia="Calibri" w:hAnsiTheme="minorHAnsi"/>
        </w:rPr>
        <w:t>The co-administration of b</w:t>
      </w:r>
      <w:r w:rsidR="00EC2377">
        <w:rPr>
          <w:rFonts w:asciiTheme="minorHAnsi" w:eastAsia="Calibri" w:hAnsiTheme="minorHAnsi"/>
        </w:rPr>
        <w:t>evacizumab, cetuximab or panitum</w:t>
      </w:r>
      <w:r>
        <w:rPr>
          <w:rFonts w:asciiTheme="minorHAnsi" w:eastAsia="Calibri" w:hAnsiTheme="minorHAnsi"/>
        </w:rPr>
        <w:t xml:space="preserve">umab with a chemotherapy regimen was </w:t>
      </w:r>
      <w:r w:rsidR="00DC02C3">
        <w:rPr>
          <w:rFonts w:asciiTheme="minorHAnsi" w:eastAsia="Calibri" w:hAnsiTheme="minorHAnsi"/>
        </w:rPr>
        <w:t>assumed</w:t>
      </w:r>
      <w:r>
        <w:rPr>
          <w:rFonts w:asciiTheme="minorHAnsi" w:eastAsia="Calibri" w:hAnsiTheme="minorHAnsi"/>
        </w:rPr>
        <w:t xml:space="preserve"> if a regimen was supplied </w:t>
      </w:r>
      <w:r w:rsidR="00CA5F4E">
        <w:rPr>
          <w:rFonts w:asciiTheme="minorHAnsi" w:eastAsia="Calibri" w:hAnsiTheme="minorHAnsi"/>
        </w:rPr>
        <w:t xml:space="preserve">within </w:t>
      </w:r>
      <w:r>
        <w:rPr>
          <w:rFonts w:asciiTheme="minorHAnsi" w:eastAsia="Calibri" w:hAnsiTheme="minorHAnsi"/>
        </w:rPr>
        <w:t xml:space="preserve">42 days before or </w:t>
      </w:r>
      <w:r w:rsidR="00CA5F4E">
        <w:rPr>
          <w:rFonts w:asciiTheme="minorHAnsi" w:eastAsia="Calibri" w:hAnsiTheme="minorHAnsi"/>
        </w:rPr>
        <w:t xml:space="preserve">within </w:t>
      </w:r>
      <w:r>
        <w:rPr>
          <w:rFonts w:asciiTheme="minorHAnsi" w:eastAsia="Calibri" w:hAnsiTheme="minorHAnsi"/>
        </w:rPr>
        <w:t xml:space="preserve">42 days after the supply of </w:t>
      </w:r>
      <w:r w:rsidR="008572D8">
        <w:rPr>
          <w:rFonts w:asciiTheme="minorHAnsi" w:eastAsia="Calibri" w:hAnsiTheme="minorHAnsi"/>
        </w:rPr>
        <w:t>a targeted drug</w:t>
      </w:r>
      <w:r w:rsidR="00023D65">
        <w:rPr>
          <w:rFonts w:asciiTheme="minorHAnsi" w:eastAsia="Calibri" w:hAnsiTheme="minorHAnsi"/>
        </w:rPr>
        <w:t xml:space="preserve">. </w:t>
      </w:r>
    </w:p>
    <w:p w14:paraId="18AFF4F6" w14:textId="6021E323" w:rsidR="00BA55E6" w:rsidRDefault="005670DC" w:rsidP="004502C1">
      <w:pPr>
        <w:pStyle w:val="NormalWeb"/>
        <w:shd w:val="clear" w:color="auto" w:fill="FFFFFF"/>
        <w:spacing w:before="0" w:beforeAutospacing="0" w:after="240" w:afterAutospacing="0" w:line="300" w:lineRule="atLeast"/>
        <w:rPr>
          <w:rFonts w:asciiTheme="minorHAnsi" w:eastAsia="Calibri" w:hAnsiTheme="minorHAnsi"/>
        </w:rPr>
      </w:pPr>
      <w:r>
        <w:rPr>
          <w:rFonts w:asciiTheme="minorHAnsi" w:eastAsia="Calibri" w:hAnsiTheme="minorHAnsi"/>
        </w:rPr>
        <w:t>An analysis was undertaken to investigate</w:t>
      </w:r>
      <w:r w:rsidR="00731ABF">
        <w:rPr>
          <w:rFonts w:asciiTheme="minorHAnsi" w:eastAsia="Calibri" w:hAnsiTheme="minorHAnsi"/>
        </w:rPr>
        <w:t xml:space="preserve"> whether there was any c</w:t>
      </w:r>
      <w:r w:rsidR="00956BB3">
        <w:rPr>
          <w:rFonts w:asciiTheme="minorHAnsi" w:eastAsia="Calibri" w:hAnsiTheme="minorHAnsi"/>
        </w:rPr>
        <w:t xml:space="preserve">o-administration among </w:t>
      </w:r>
      <w:r w:rsidR="005E318B">
        <w:rPr>
          <w:rFonts w:asciiTheme="minorHAnsi" w:eastAsia="Calibri" w:hAnsiTheme="minorHAnsi"/>
        </w:rPr>
        <w:t>be</w:t>
      </w:r>
      <w:r w:rsidR="003A28AD">
        <w:rPr>
          <w:rFonts w:asciiTheme="minorHAnsi" w:eastAsia="Calibri" w:hAnsiTheme="minorHAnsi"/>
        </w:rPr>
        <w:t>vacizumab, cetuximab and panitum</w:t>
      </w:r>
      <w:r w:rsidR="005E318B">
        <w:rPr>
          <w:rFonts w:asciiTheme="minorHAnsi" w:eastAsia="Calibri" w:hAnsiTheme="minorHAnsi"/>
        </w:rPr>
        <w:t xml:space="preserve">umab. </w:t>
      </w:r>
      <w:r>
        <w:rPr>
          <w:rFonts w:asciiTheme="minorHAnsi" w:eastAsia="Calibri" w:hAnsiTheme="minorHAnsi"/>
        </w:rPr>
        <w:t xml:space="preserve">An initial examination was done to find if an alternative targeted drug was </w:t>
      </w:r>
      <w:r w:rsidR="00161A29">
        <w:rPr>
          <w:rFonts w:asciiTheme="minorHAnsi" w:eastAsia="Calibri" w:hAnsiTheme="minorHAnsi"/>
        </w:rPr>
        <w:t xml:space="preserve">supplied within 42 days before or 42 days after the supply date for another </w:t>
      </w:r>
      <w:r>
        <w:rPr>
          <w:rFonts w:asciiTheme="minorHAnsi" w:eastAsia="Calibri" w:hAnsiTheme="minorHAnsi"/>
        </w:rPr>
        <w:t xml:space="preserve">targeted </w:t>
      </w:r>
      <w:r w:rsidR="00EA35FA">
        <w:rPr>
          <w:rFonts w:asciiTheme="minorHAnsi" w:eastAsia="Calibri" w:hAnsiTheme="minorHAnsi"/>
        </w:rPr>
        <w:t>drug</w:t>
      </w:r>
      <w:r>
        <w:rPr>
          <w:rFonts w:asciiTheme="minorHAnsi" w:eastAsia="Calibri" w:hAnsiTheme="minorHAnsi"/>
        </w:rPr>
        <w:t xml:space="preserve"> which may indicate co-administration or switching between therapies. No cases </w:t>
      </w:r>
      <w:r w:rsidR="005F3F46">
        <w:rPr>
          <w:rFonts w:asciiTheme="minorHAnsi" w:eastAsia="Calibri" w:hAnsiTheme="minorHAnsi"/>
        </w:rPr>
        <w:t xml:space="preserve">of co-administration </w:t>
      </w:r>
      <w:r>
        <w:rPr>
          <w:rFonts w:asciiTheme="minorHAnsi" w:eastAsia="Calibri" w:hAnsiTheme="minorHAnsi"/>
        </w:rPr>
        <w:t>were found.</w:t>
      </w:r>
    </w:p>
    <w:p w14:paraId="0020A3C9" w14:textId="77777777" w:rsidR="00513338" w:rsidRPr="00917ACB" w:rsidRDefault="00513338" w:rsidP="00917ACB">
      <w:pPr>
        <w:pStyle w:val="Heading2"/>
        <w:spacing w:before="0" w:after="0"/>
      </w:pPr>
      <w:r w:rsidRPr="00917ACB">
        <w:t>Length of treatment</w:t>
      </w:r>
    </w:p>
    <w:p w14:paraId="31E5D636" w14:textId="77777777" w:rsidR="00917ACB" w:rsidRDefault="00917ACB" w:rsidP="00917ACB">
      <w:pPr>
        <w:pStyle w:val="NormalWeb"/>
        <w:shd w:val="clear" w:color="auto" w:fill="FFFFFF"/>
        <w:spacing w:before="0" w:beforeAutospacing="0" w:after="0" w:afterAutospacing="0" w:line="300" w:lineRule="atLeast"/>
        <w:rPr>
          <w:rFonts w:asciiTheme="minorHAnsi" w:eastAsia="Calibri" w:hAnsiTheme="minorHAnsi"/>
        </w:rPr>
      </w:pPr>
    </w:p>
    <w:p w14:paraId="78D12D3E" w14:textId="2E320233" w:rsidR="00CC78C1" w:rsidRDefault="00513338" w:rsidP="00981F61">
      <w:pPr>
        <w:pStyle w:val="NormalWeb"/>
        <w:shd w:val="clear" w:color="auto" w:fill="FFFFFF"/>
        <w:spacing w:before="0" w:beforeAutospacing="0" w:after="240" w:afterAutospacing="0" w:line="300" w:lineRule="atLeast"/>
        <w:rPr>
          <w:rFonts w:asciiTheme="minorHAnsi" w:eastAsia="Calibri" w:hAnsiTheme="minorHAnsi"/>
        </w:rPr>
      </w:pPr>
      <w:r>
        <w:rPr>
          <w:rFonts w:asciiTheme="minorHAnsi" w:eastAsia="Calibri" w:hAnsiTheme="minorHAnsi"/>
        </w:rPr>
        <w:t xml:space="preserve">The length of treatment </w:t>
      </w:r>
      <w:r w:rsidR="00B66DF7">
        <w:rPr>
          <w:rFonts w:asciiTheme="minorHAnsi" w:eastAsia="Calibri" w:hAnsiTheme="minorHAnsi"/>
        </w:rPr>
        <w:t xml:space="preserve">of </w:t>
      </w:r>
      <w:r w:rsidR="00ED37EC">
        <w:rPr>
          <w:rFonts w:asciiTheme="minorHAnsi" w:eastAsia="Calibri" w:hAnsiTheme="minorHAnsi"/>
        </w:rPr>
        <w:t xml:space="preserve">the </w:t>
      </w:r>
      <w:r w:rsidR="00B66DF7">
        <w:rPr>
          <w:rFonts w:asciiTheme="minorHAnsi" w:eastAsia="Calibri" w:hAnsiTheme="minorHAnsi"/>
        </w:rPr>
        <w:t xml:space="preserve">targeted therapies </w:t>
      </w:r>
      <w:r>
        <w:rPr>
          <w:rFonts w:asciiTheme="minorHAnsi" w:eastAsia="Calibri" w:hAnsiTheme="minorHAnsi"/>
        </w:rPr>
        <w:t>was derived using the Kaplan-Meier method. Treatment length was determined accounting for treatment breaks and excluding treatment breaks. A treatment break was assumed if there was a gap of more than three times the median time to resupply</w:t>
      </w:r>
      <w:r w:rsidR="00611DE8">
        <w:rPr>
          <w:rFonts w:asciiTheme="minorHAnsi" w:eastAsia="Calibri" w:hAnsiTheme="minorHAnsi"/>
        </w:rPr>
        <w:t xml:space="preserve"> (i.e. 42 days as described above)</w:t>
      </w:r>
      <w:r>
        <w:rPr>
          <w:rFonts w:asciiTheme="minorHAnsi" w:eastAsia="Calibri" w:hAnsiTheme="minorHAnsi"/>
        </w:rPr>
        <w:t xml:space="preserve">. A </w:t>
      </w:r>
      <w:r w:rsidR="001F23E4">
        <w:rPr>
          <w:rFonts w:asciiTheme="minorHAnsi" w:eastAsia="Calibri" w:hAnsiTheme="minorHAnsi"/>
        </w:rPr>
        <w:t>patient</w:t>
      </w:r>
      <w:r>
        <w:rPr>
          <w:rFonts w:asciiTheme="minorHAnsi" w:eastAsia="Calibri" w:hAnsiTheme="minorHAnsi"/>
        </w:rPr>
        <w:t xml:space="preserve"> was considered to be continuing on therapy (i.e. censored in the Kaplan-Meier analysis) if the date of their last prescription was within three times the median time to resupply of the analysis end date (i.e. 31 July 2017). Otherwise the </w:t>
      </w:r>
      <w:r w:rsidR="001F23E4">
        <w:rPr>
          <w:rFonts w:asciiTheme="minorHAnsi" w:eastAsia="Calibri" w:hAnsiTheme="minorHAnsi"/>
        </w:rPr>
        <w:t>patient</w:t>
      </w:r>
      <w:r>
        <w:rPr>
          <w:rFonts w:asciiTheme="minorHAnsi" w:eastAsia="Calibri" w:hAnsiTheme="minorHAnsi"/>
        </w:rPr>
        <w:t xml:space="preserve"> was considered to have ceased treatment. </w:t>
      </w:r>
    </w:p>
    <w:p w14:paraId="4F8B33B8" w14:textId="7C280721" w:rsidR="00ED37EC" w:rsidRDefault="00ED37EC" w:rsidP="00981F61">
      <w:pPr>
        <w:pStyle w:val="NormalWeb"/>
        <w:shd w:val="clear" w:color="auto" w:fill="FFFFFF"/>
        <w:spacing w:before="0" w:beforeAutospacing="0" w:after="240" w:afterAutospacing="0" w:line="300" w:lineRule="atLeast"/>
        <w:rPr>
          <w:rFonts w:asciiTheme="minorHAnsi" w:eastAsia="Calibri" w:hAnsiTheme="minorHAnsi"/>
        </w:rPr>
      </w:pPr>
      <w:r>
        <w:rPr>
          <w:rFonts w:asciiTheme="minorHAnsi" w:eastAsia="Calibri" w:hAnsiTheme="minorHAnsi"/>
        </w:rPr>
        <w:t xml:space="preserve">A cohort of first-time initiators to either </w:t>
      </w:r>
      <w:r w:rsidRPr="00ED37EC">
        <w:rPr>
          <w:rFonts w:asciiTheme="minorHAnsi" w:eastAsia="Calibri" w:hAnsiTheme="minorHAnsi"/>
        </w:rPr>
        <w:t xml:space="preserve">bevacizumab, cetuximab or panitumumab between 1 January 2014 and 31 December 2014 was selected. </w:t>
      </w:r>
      <w:r w:rsidR="00434062" w:rsidRPr="005739F0">
        <w:rPr>
          <w:rFonts w:asciiTheme="minorHAnsi" w:eastAsia="Calibri" w:hAnsiTheme="minorHAnsi"/>
        </w:rPr>
        <w:t>This cohort was selected to provide an adequate time period to follow patients through their sequences of therapy.</w:t>
      </w:r>
      <w:r w:rsidR="00434062">
        <w:rPr>
          <w:rFonts w:asciiTheme="minorHAnsi" w:eastAsia="Calibri" w:hAnsiTheme="minorHAnsi"/>
        </w:rPr>
        <w:t xml:space="preserve"> </w:t>
      </w:r>
      <w:r w:rsidR="00F540F7">
        <w:rPr>
          <w:rFonts w:asciiTheme="minorHAnsi" w:eastAsia="Calibri" w:hAnsiTheme="minorHAnsi"/>
        </w:rPr>
        <w:t>The supply of any targeted drug to this</w:t>
      </w:r>
      <w:r w:rsidR="00434062">
        <w:rPr>
          <w:rFonts w:asciiTheme="minorHAnsi" w:eastAsia="Calibri" w:hAnsiTheme="minorHAnsi"/>
        </w:rPr>
        <w:t xml:space="preserve"> patient cohort was followed up</w:t>
      </w:r>
      <w:r w:rsidR="00F540F7">
        <w:rPr>
          <w:rFonts w:asciiTheme="minorHAnsi" w:eastAsia="Calibri" w:hAnsiTheme="minorHAnsi"/>
        </w:rPr>
        <w:t xml:space="preserve"> to 31 July 2017. The time on treatment for the first drug supplied, and any second or third drug supplied, was examined. </w:t>
      </w:r>
      <w:r w:rsidR="00D76FB5">
        <w:rPr>
          <w:rFonts w:asciiTheme="minorHAnsi" w:eastAsia="Calibri" w:hAnsiTheme="minorHAnsi"/>
        </w:rPr>
        <w:t>A separate analysis was also done for the time on bevacizumab in first-line.</w:t>
      </w:r>
    </w:p>
    <w:p w14:paraId="4309CD82" w14:textId="6A1DC85E" w:rsidR="00ED4622" w:rsidRDefault="00ED4622">
      <w:pPr>
        <w:spacing w:line="276" w:lineRule="auto"/>
        <w:rPr>
          <w:b/>
          <w:sz w:val="32"/>
          <w:szCs w:val="32"/>
        </w:rPr>
      </w:pPr>
      <w:r>
        <w:br w:type="page"/>
      </w:r>
    </w:p>
    <w:p w14:paraId="4F91A98A" w14:textId="00180E30" w:rsidR="00C714D0" w:rsidRPr="00805E2D" w:rsidRDefault="00C714D0" w:rsidP="00805E2D">
      <w:pPr>
        <w:pStyle w:val="Heading1"/>
        <w:rPr>
          <w:sz w:val="32"/>
          <w:szCs w:val="32"/>
        </w:rPr>
      </w:pPr>
      <w:r w:rsidRPr="00805E2D">
        <w:rPr>
          <w:sz w:val="32"/>
          <w:szCs w:val="32"/>
        </w:rPr>
        <w:lastRenderedPageBreak/>
        <w:t>Results</w:t>
      </w:r>
    </w:p>
    <w:p w14:paraId="2221FF19" w14:textId="336CE8B2" w:rsidR="00736041" w:rsidRPr="00805E2D" w:rsidRDefault="001B5D37" w:rsidP="00805E2D">
      <w:pPr>
        <w:pStyle w:val="Heading2"/>
        <w:rPr>
          <w:i w:val="0"/>
          <w:sz w:val="28"/>
          <w:szCs w:val="28"/>
        </w:rPr>
      </w:pPr>
      <w:r w:rsidRPr="00805E2D">
        <w:rPr>
          <w:i w:val="0"/>
          <w:sz w:val="28"/>
          <w:szCs w:val="28"/>
        </w:rPr>
        <w:t xml:space="preserve">Analysis </w:t>
      </w:r>
      <w:r w:rsidR="00736041" w:rsidRPr="00805E2D">
        <w:rPr>
          <w:i w:val="0"/>
          <w:sz w:val="28"/>
          <w:szCs w:val="28"/>
        </w:rPr>
        <w:t xml:space="preserve">of </w:t>
      </w:r>
      <w:r w:rsidR="0063631C" w:rsidRPr="00805E2D">
        <w:rPr>
          <w:i w:val="0"/>
          <w:sz w:val="28"/>
          <w:szCs w:val="28"/>
        </w:rPr>
        <w:t>d</w:t>
      </w:r>
      <w:r w:rsidR="00E677DD" w:rsidRPr="00805E2D">
        <w:rPr>
          <w:i w:val="0"/>
          <w:sz w:val="28"/>
          <w:szCs w:val="28"/>
        </w:rPr>
        <w:t xml:space="preserve">rug </w:t>
      </w:r>
      <w:r w:rsidR="0063631C" w:rsidRPr="00805E2D">
        <w:rPr>
          <w:i w:val="0"/>
          <w:sz w:val="28"/>
          <w:szCs w:val="28"/>
        </w:rPr>
        <w:t>u</w:t>
      </w:r>
      <w:r w:rsidR="00E677DD" w:rsidRPr="00805E2D">
        <w:rPr>
          <w:i w:val="0"/>
          <w:sz w:val="28"/>
          <w:szCs w:val="28"/>
        </w:rPr>
        <w:t>tilisation</w:t>
      </w:r>
    </w:p>
    <w:p w14:paraId="09F8A9BC" w14:textId="523769EA" w:rsidR="006A44F5" w:rsidRPr="00805E2D" w:rsidRDefault="0095321F" w:rsidP="00805E2D">
      <w:pPr>
        <w:pStyle w:val="Heading3"/>
        <w:rPr>
          <w:i/>
          <w:sz w:val="24"/>
          <w:szCs w:val="24"/>
        </w:rPr>
      </w:pPr>
      <w:r w:rsidRPr="00805E2D">
        <w:rPr>
          <w:i/>
          <w:sz w:val="24"/>
          <w:szCs w:val="24"/>
        </w:rPr>
        <w:t>Number of i</w:t>
      </w:r>
      <w:r w:rsidR="001A37D0" w:rsidRPr="00805E2D">
        <w:rPr>
          <w:i/>
          <w:sz w:val="24"/>
          <w:szCs w:val="24"/>
        </w:rPr>
        <w:t xml:space="preserve">nitiating and prevalent PBS </w:t>
      </w:r>
      <w:r w:rsidR="001F23E4" w:rsidRPr="00805E2D">
        <w:rPr>
          <w:i/>
          <w:sz w:val="24"/>
          <w:szCs w:val="24"/>
        </w:rPr>
        <w:t>patients</w:t>
      </w:r>
    </w:p>
    <w:p w14:paraId="6A7335A3" w14:textId="26A67493" w:rsidR="00A76086" w:rsidRDefault="00C771AF" w:rsidP="00CC295A">
      <w:r>
        <w:t xml:space="preserve">The number of newly treated </w:t>
      </w:r>
      <w:r w:rsidR="001F23E4">
        <w:t>patients</w:t>
      </w:r>
      <w:r>
        <w:t xml:space="preserve"> remained rela</w:t>
      </w:r>
      <w:r w:rsidR="00B31E1E">
        <w:t>tively stable over time (</w:t>
      </w:r>
      <w:r w:rsidR="006A6949">
        <w:t>Figure 1</w:t>
      </w:r>
      <w:r w:rsidR="00590121">
        <w:t xml:space="preserve">, </w:t>
      </w:r>
      <w:r w:rsidR="00B31E1E">
        <w:t>Table 3</w:t>
      </w:r>
      <w:r>
        <w:t>).</w:t>
      </w:r>
      <w:r w:rsidR="00BF32B5">
        <w:t xml:space="preserve"> As a result, there was a plateau in the </w:t>
      </w:r>
      <w:r w:rsidR="0032507F">
        <w:t xml:space="preserve">total </w:t>
      </w:r>
      <w:r w:rsidR="00BF32B5">
        <w:t xml:space="preserve">number of </w:t>
      </w:r>
      <w:r w:rsidR="001F23E4">
        <w:t>patients</w:t>
      </w:r>
      <w:r w:rsidR="0032507F">
        <w:t xml:space="preserve"> supplied with bevacizumab, cetuximab or panitumumab</w:t>
      </w:r>
      <w:r w:rsidR="00BF32B5">
        <w:t xml:space="preserve"> between Quarter 1 </w:t>
      </w:r>
      <w:r w:rsidR="006C6B0F">
        <w:t>2016 to Quarter 2 2017 (Figure 1</w:t>
      </w:r>
      <w:r w:rsidR="00BF32B5">
        <w:t>).</w:t>
      </w:r>
    </w:p>
    <w:p w14:paraId="472E88D0" w14:textId="425D63CB" w:rsidR="0044240A" w:rsidRDefault="005909FC" w:rsidP="00CC295A">
      <w:r>
        <w:rPr>
          <w:noProof/>
        </w:rPr>
        <w:drawing>
          <wp:inline distT="0" distB="0" distL="0" distR="0" wp14:anchorId="13CA42F5" wp14:editId="51A828D8">
            <wp:extent cx="5876925" cy="3648075"/>
            <wp:effectExtent l="0" t="0" r="0" b="0"/>
            <wp:docPr id="22" name="Chart 22" descr="Number of treated patients over time" title="Figur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1E2157B" w14:textId="1919CF5E" w:rsidR="00D84B00" w:rsidRPr="005E154A" w:rsidRDefault="000207FB" w:rsidP="005E154A">
      <w:pPr>
        <w:rPr>
          <w:b/>
        </w:rPr>
      </w:pPr>
      <w:r w:rsidRPr="005E154A">
        <w:rPr>
          <w:b/>
        </w:rPr>
        <w:t>Figure 1:</w:t>
      </w:r>
      <w:r w:rsidR="00D84B00" w:rsidRPr="005E154A">
        <w:rPr>
          <w:b/>
        </w:rPr>
        <w:t xml:space="preserve"> Number of incident and prevalent </w:t>
      </w:r>
      <w:r w:rsidR="001F23E4" w:rsidRPr="005E154A">
        <w:rPr>
          <w:b/>
        </w:rPr>
        <w:t>patients</w:t>
      </w:r>
      <w:r w:rsidR="00D84B00" w:rsidRPr="005E154A">
        <w:rPr>
          <w:b/>
        </w:rPr>
        <w:t xml:space="preserve"> by quarter who received a supply of bevacizumab, cetuximab or panitumumab </w:t>
      </w:r>
      <w:r w:rsidR="00324B50" w:rsidRPr="005E154A">
        <w:rPr>
          <w:b/>
        </w:rPr>
        <w:t xml:space="preserve">for </w:t>
      </w:r>
      <w:r w:rsidR="00D84B00" w:rsidRPr="005E154A">
        <w:rPr>
          <w:b/>
        </w:rPr>
        <w:t>mCRC</w:t>
      </w:r>
    </w:p>
    <w:p w14:paraId="6FF6C77C" w14:textId="77777777" w:rsidR="006A6949" w:rsidRPr="005E154A" w:rsidRDefault="006A6949" w:rsidP="005E154A">
      <w:pPr>
        <w:rPr>
          <w:b/>
        </w:rPr>
      </w:pPr>
      <w:r w:rsidRPr="005E154A">
        <w:rPr>
          <w:b/>
        </w:rPr>
        <w:t>Table 3: Number of incident and prevalent patients who received a supply of bevacizumab, cetuximab or panitumumab by year</w:t>
      </w:r>
    </w:p>
    <w:tbl>
      <w:tblPr>
        <w:tblW w:w="4965" w:type="pct"/>
        <w:tblLook w:val="04A0" w:firstRow="1" w:lastRow="0" w:firstColumn="1" w:lastColumn="0" w:noHBand="0" w:noVBand="1"/>
        <w:tblCaption w:val="Table 3"/>
        <w:tblDescription w:val="Annual number of incident and prevalent patients"/>
      </w:tblPr>
      <w:tblGrid>
        <w:gridCol w:w="1543"/>
        <w:gridCol w:w="833"/>
        <w:gridCol w:w="840"/>
        <w:gridCol w:w="838"/>
        <w:gridCol w:w="840"/>
        <w:gridCol w:w="845"/>
        <w:gridCol w:w="849"/>
        <w:gridCol w:w="845"/>
        <w:gridCol w:w="849"/>
        <w:gridCol w:w="827"/>
      </w:tblGrid>
      <w:tr w:rsidR="00DB51BF" w:rsidRPr="00A76086" w14:paraId="6545A224" w14:textId="77777777" w:rsidTr="00256831">
        <w:trPr>
          <w:trHeight w:val="300"/>
        </w:trPr>
        <w:tc>
          <w:tcPr>
            <w:tcW w:w="84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94FC798" w14:textId="77777777" w:rsidR="006A6949" w:rsidRPr="00256831" w:rsidRDefault="006A6949" w:rsidP="00256831">
            <w:pPr>
              <w:spacing w:before="60" w:after="60"/>
              <w:rPr>
                <w:rFonts w:ascii="Calibri" w:eastAsia="Times New Roman" w:hAnsi="Calibri" w:cs="Times New Roman"/>
                <w:b/>
                <w:bCs/>
                <w:color w:val="000000"/>
                <w:sz w:val="20"/>
                <w:szCs w:val="20"/>
              </w:rPr>
            </w:pPr>
            <w:r w:rsidRPr="00256831">
              <w:rPr>
                <w:rFonts w:ascii="Calibri" w:eastAsia="Times New Roman" w:hAnsi="Calibri" w:cs="Times New Roman"/>
                <w:b/>
                <w:bCs/>
                <w:color w:val="000000"/>
                <w:sz w:val="20"/>
                <w:szCs w:val="20"/>
              </w:rPr>
              <w:t>Patient group</w:t>
            </w:r>
          </w:p>
        </w:tc>
        <w:tc>
          <w:tcPr>
            <w:tcW w:w="457"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34A91379" w14:textId="77777777" w:rsidR="006A6949" w:rsidRPr="00256831" w:rsidRDefault="006A6949" w:rsidP="00256831">
            <w:pPr>
              <w:spacing w:before="60" w:after="60"/>
              <w:jc w:val="center"/>
              <w:rPr>
                <w:rFonts w:ascii="Calibri" w:eastAsia="Times New Roman" w:hAnsi="Calibri" w:cs="Times New Roman"/>
                <w:b/>
                <w:bCs/>
                <w:color w:val="000000"/>
                <w:sz w:val="20"/>
                <w:szCs w:val="20"/>
                <w:vertAlign w:val="superscript"/>
              </w:rPr>
            </w:pPr>
            <w:r w:rsidRPr="00256831">
              <w:rPr>
                <w:rFonts w:ascii="Calibri" w:eastAsia="Times New Roman" w:hAnsi="Calibri" w:cs="Times New Roman"/>
                <w:b/>
                <w:bCs/>
                <w:color w:val="000000"/>
                <w:sz w:val="20"/>
                <w:szCs w:val="20"/>
              </w:rPr>
              <w:t>2009</w:t>
            </w:r>
            <w:r w:rsidRPr="00256831">
              <w:rPr>
                <w:rFonts w:ascii="Calibri" w:eastAsia="Times New Roman" w:hAnsi="Calibri" w:cs="Times New Roman"/>
                <w:b/>
                <w:bCs/>
                <w:color w:val="000000"/>
                <w:sz w:val="20"/>
                <w:szCs w:val="20"/>
                <w:vertAlign w:val="superscript"/>
              </w:rPr>
              <w:t>a</w:t>
            </w:r>
          </w:p>
        </w:tc>
        <w:tc>
          <w:tcPr>
            <w:tcW w:w="4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555CC918" w14:textId="77777777" w:rsidR="006A6949" w:rsidRPr="00256831" w:rsidRDefault="006A6949" w:rsidP="00256831">
            <w:pPr>
              <w:spacing w:before="60" w:after="60"/>
              <w:jc w:val="center"/>
              <w:rPr>
                <w:rFonts w:ascii="Calibri" w:eastAsia="Times New Roman" w:hAnsi="Calibri" w:cs="Times New Roman"/>
                <w:b/>
                <w:bCs/>
                <w:color w:val="000000"/>
                <w:sz w:val="20"/>
                <w:szCs w:val="20"/>
              </w:rPr>
            </w:pPr>
            <w:r w:rsidRPr="00256831">
              <w:rPr>
                <w:rFonts w:ascii="Calibri" w:eastAsia="Times New Roman" w:hAnsi="Calibri" w:cs="Times New Roman"/>
                <w:b/>
                <w:bCs/>
                <w:color w:val="000000"/>
                <w:sz w:val="20"/>
                <w:szCs w:val="20"/>
              </w:rPr>
              <w:t>2010</w:t>
            </w:r>
          </w:p>
        </w:tc>
        <w:tc>
          <w:tcPr>
            <w:tcW w:w="460"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39B8A23" w14:textId="77777777" w:rsidR="006A6949" w:rsidRPr="00256831" w:rsidRDefault="006A6949" w:rsidP="00256831">
            <w:pPr>
              <w:spacing w:before="60" w:after="60"/>
              <w:jc w:val="center"/>
              <w:rPr>
                <w:rFonts w:ascii="Calibri" w:eastAsia="Times New Roman" w:hAnsi="Calibri" w:cs="Times New Roman"/>
                <w:b/>
                <w:bCs/>
                <w:color w:val="000000"/>
                <w:sz w:val="20"/>
                <w:szCs w:val="20"/>
              </w:rPr>
            </w:pPr>
            <w:r w:rsidRPr="00256831">
              <w:rPr>
                <w:rFonts w:ascii="Calibri" w:eastAsia="Times New Roman" w:hAnsi="Calibri" w:cs="Times New Roman"/>
                <w:b/>
                <w:bCs/>
                <w:color w:val="000000"/>
                <w:sz w:val="20"/>
                <w:szCs w:val="20"/>
              </w:rPr>
              <w:t>2011</w:t>
            </w:r>
          </w:p>
        </w:tc>
        <w:tc>
          <w:tcPr>
            <w:tcW w:w="46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610F5A8C" w14:textId="77777777" w:rsidR="006A6949" w:rsidRPr="00256831" w:rsidRDefault="006A6949" w:rsidP="00256831">
            <w:pPr>
              <w:spacing w:before="60" w:after="60"/>
              <w:jc w:val="center"/>
              <w:rPr>
                <w:rFonts w:ascii="Calibri" w:eastAsia="Times New Roman" w:hAnsi="Calibri" w:cs="Times New Roman"/>
                <w:b/>
                <w:bCs/>
                <w:color w:val="000000"/>
                <w:sz w:val="20"/>
                <w:szCs w:val="20"/>
              </w:rPr>
            </w:pPr>
            <w:r w:rsidRPr="00256831">
              <w:rPr>
                <w:rFonts w:ascii="Calibri" w:eastAsia="Times New Roman" w:hAnsi="Calibri" w:cs="Times New Roman"/>
                <w:b/>
                <w:bCs/>
                <w:color w:val="000000"/>
                <w:sz w:val="20"/>
                <w:szCs w:val="20"/>
              </w:rPr>
              <w:t>2012</w:t>
            </w:r>
          </w:p>
        </w:tc>
        <w:tc>
          <w:tcPr>
            <w:tcW w:w="464"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511940A" w14:textId="77777777" w:rsidR="006A6949" w:rsidRPr="00256831" w:rsidRDefault="006A6949" w:rsidP="00256831">
            <w:pPr>
              <w:spacing w:before="60" w:after="60"/>
              <w:jc w:val="center"/>
              <w:rPr>
                <w:rFonts w:ascii="Calibri" w:eastAsia="Times New Roman" w:hAnsi="Calibri" w:cs="Times New Roman"/>
                <w:b/>
                <w:bCs/>
                <w:color w:val="000000"/>
                <w:sz w:val="20"/>
                <w:szCs w:val="20"/>
              </w:rPr>
            </w:pPr>
            <w:r w:rsidRPr="00256831">
              <w:rPr>
                <w:rFonts w:ascii="Calibri" w:eastAsia="Times New Roman" w:hAnsi="Calibri" w:cs="Times New Roman"/>
                <w:b/>
                <w:bCs/>
                <w:color w:val="000000"/>
                <w:sz w:val="20"/>
                <w:szCs w:val="20"/>
              </w:rPr>
              <w:t>2013</w:t>
            </w:r>
          </w:p>
        </w:tc>
        <w:tc>
          <w:tcPr>
            <w:tcW w:w="46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2E68FBAE" w14:textId="77777777" w:rsidR="006A6949" w:rsidRPr="00256831" w:rsidRDefault="006A6949" w:rsidP="00256831">
            <w:pPr>
              <w:spacing w:before="60" w:after="60"/>
              <w:jc w:val="center"/>
              <w:rPr>
                <w:rFonts w:ascii="Calibri" w:eastAsia="Times New Roman" w:hAnsi="Calibri" w:cs="Times New Roman"/>
                <w:b/>
                <w:bCs/>
                <w:color w:val="000000"/>
                <w:sz w:val="20"/>
                <w:szCs w:val="20"/>
              </w:rPr>
            </w:pPr>
            <w:r w:rsidRPr="00256831">
              <w:rPr>
                <w:rFonts w:ascii="Calibri" w:eastAsia="Times New Roman" w:hAnsi="Calibri" w:cs="Times New Roman"/>
                <w:b/>
                <w:bCs/>
                <w:color w:val="000000"/>
                <w:sz w:val="20"/>
                <w:szCs w:val="20"/>
              </w:rPr>
              <w:t>2014</w:t>
            </w:r>
          </w:p>
        </w:tc>
        <w:tc>
          <w:tcPr>
            <w:tcW w:w="464"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C8C16F5" w14:textId="77777777" w:rsidR="006A6949" w:rsidRPr="00256831" w:rsidRDefault="006A6949" w:rsidP="00256831">
            <w:pPr>
              <w:spacing w:before="60" w:after="60"/>
              <w:jc w:val="center"/>
              <w:rPr>
                <w:rFonts w:ascii="Calibri" w:eastAsia="Times New Roman" w:hAnsi="Calibri" w:cs="Times New Roman"/>
                <w:b/>
                <w:bCs/>
                <w:color w:val="000000"/>
                <w:sz w:val="20"/>
                <w:szCs w:val="20"/>
              </w:rPr>
            </w:pPr>
            <w:r w:rsidRPr="00256831">
              <w:rPr>
                <w:rFonts w:ascii="Calibri" w:eastAsia="Times New Roman" w:hAnsi="Calibri" w:cs="Times New Roman"/>
                <w:b/>
                <w:bCs/>
                <w:color w:val="000000"/>
                <w:sz w:val="20"/>
                <w:szCs w:val="20"/>
              </w:rPr>
              <w:t>2015</w:t>
            </w:r>
          </w:p>
        </w:tc>
        <w:tc>
          <w:tcPr>
            <w:tcW w:w="46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75597930" w14:textId="77777777" w:rsidR="006A6949" w:rsidRPr="00256831" w:rsidRDefault="006A6949" w:rsidP="00256831">
            <w:pPr>
              <w:spacing w:before="60" w:after="60"/>
              <w:jc w:val="center"/>
              <w:rPr>
                <w:rFonts w:ascii="Calibri" w:eastAsia="Times New Roman" w:hAnsi="Calibri" w:cs="Times New Roman"/>
                <w:b/>
                <w:bCs/>
                <w:color w:val="000000"/>
                <w:sz w:val="20"/>
                <w:szCs w:val="20"/>
              </w:rPr>
            </w:pPr>
            <w:r w:rsidRPr="00256831">
              <w:rPr>
                <w:rFonts w:ascii="Calibri" w:eastAsia="Times New Roman" w:hAnsi="Calibri" w:cs="Times New Roman"/>
                <w:b/>
                <w:bCs/>
                <w:color w:val="000000"/>
                <w:sz w:val="20"/>
                <w:szCs w:val="20"/>
              </w:rPr>
              <w:t>2016</w:t>
            </w:r>
          </w:p>
        </w:tc>
        <w:tc>
          <w:tcPr>
            <w:tcW w:w="454"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hideMark/>
          </w:tcPr>
          <w:p w14:paraId="048B0B85" w14:textId="77777777" w:rsidR="006A6949" w:rsidRPr="00256831" w:rsidRDefault="006A6949" w:rsidP="00256831">
            <w:pPr>
              <w:spacing w:before="60" w:after="60"/>
              <w:jc w:val="center"/>
              <w:rPr>
                <w:rFonts w:ascii="Calibri" w:eastAsia="Times New Roman" w:hAnsi="Calibri" w:cs="Times New Roman"/>
                <w:b/>
                <w:bCs/>
                <w:color w:val="000000"/>
                <w:sz w:val="20"/>
                <w:szCs w:val="20"/>
                <w:vertAlign w:val="superscript"/>
              </w:rPr>
            </w:pPr>
            <w:r w:rsidRPr="00256831">
              <w:rPr>
                <w:rFonts w:ascii="Calibri" w:eastAsia="Times New Roman" w:hAnsi="Calibri" w:cs="Times New Roman"/>
                <w:b/>
                <w:bCs/>
                <w:color w:val="000000"/>
                <w:sz w:val="20"/>
                <w:szCs w:val="20"/>
              </w:rPr>
              <w:t>2017</w:t>
            </w:r>
            <w:r w:rsidRPr="00256831">
              <w:rPr>
                <w:rFonts w:ascii="Calibri" w:eastAsia="Times New Roman" w:hAnsi="Calibri" w:cs="Times New Roman"/>
                <w:b/>
                <w:bCs/>
                <w:color w:val="000000"/>
                <w:sz w:val="20"/>
                <w:szCs w:val="20"/>
                <w:vertAlign w:val="superscript"/>
              </w:rPr>
              <w:t>b</w:t>
            </w:r>
          </w:p>
        </w:tc>
      </w:tr>
      <w:tr w:rsidR="00DB51BF" w:rsidRPr="00A76086" w14:paraId="253C698F" w14:textId="77777777" w:rsidTr="00DB51BF">
        <w:trPr>
          <w:trHeight w:val="300"/>
        </w:trPr>
        <w:tc>
          <w:tcPr>
            <w:tcW w:w="847" w:type="pct"/>
            <w:tcBorders>
              <w:top w:val="nil"/>
              <w:left w:val="single" w:sz="4" w:space="0" w:color="auto"/>
              <w:bottom w:val="single" w:sz="4" w:space="0" w:color="auto"/>
              <w:right w:val="single" w:sz="4" w:space="0" w:color="auto"/>
            </w:tcBorders>
            <w:shd w:val="clear" w:color="auto" w:fill="auto"/>
            <w:noWrap/>
            <w:vAlign w:val="bottom"/>
            <w:hideMark/>
          </w:tcPr>
          <w:p w14:paraId="3B6A1B17" w14:textId="77777777" w:rsidR="006A6949" w:rsidRPr="00256831" w:rsidRDefault="006A6949" w:rsidP="00256831">
            <w:pPr>
              <w:spacing w:before="60" w:after="60"/>
              <w:rPr>
                <w:rFonts w:ascii="Calibri" w:eastAsia="Times New Roman" w:hAnsi="Calibri" w:cs="Times New Roman"/>
                <w:sz w:val="20"/>
                <w:szCs w:val="20"/>
                <w:vertAlign w:val="superscript"/>
              </w:rPr>
            </w:pPr>
            <w:r w:rsidRPr="00256831">
              <w:rPr>
                <w:rFonts w:ascii="Calibri" w:eastAsia="Times New Roman" w:hAnsi="Calibri" w:cs="Times New Roman"/>
                <w:sz w:val="20"/>
                <w:szCs w:val="20"/>
              </w:rPr>
              <w:t>Incident</w:t>
            </w:r>
            <w:r w:rsidRPr="00256831">
              <w:rPr>
                <w:rFonts w:ascii="Calibri" w:eastAsia="Times New Roman" w:hAnsi="Calibri" w:cs="Times New Roman"/>
                <w:sz w:val="20"/>
                <w:szCs w:val="20"/>
                <w:vertAlign w:val="superscript"/>
              </w:rPr>
              <w:t>c</w:t>
            </w:r>
          </w:p>
        </w:tc>
        <w:tc>
          <w:tcPr>
            <w:tcW w:w="457" w:type="pct"/>
            <w:tcBorders>
              <w:top w:val="nil"/>
              <w:left w:val="nil"/>
              <w:bottom w:val="single" w:sz="4" w:space="0" w:color="auto"/>
              <w:right w:val="single" w:sz="4" w:space="0" w:color="auto"/>
            </w:tcBorders>
            <w:shd w:val="clear" w:color="auto" w:fill="auto"/>
            <w:noWrap/>
            <w:vAlign w:val="bottom"/>
            <w:hideMark/>
          </w:tcPr>
          <w:p w14:paraId="709E1D4A" w14:textId="77777777" w:rsidR="006A6949" w:rsidRPr="00256831" w:rsidRDefault="006A6949" w:rsidP="00256831">
            <w:pPr>
              <w:spacing w:before="60" w:after="60"/>
              <w:jc w:val="center"/>
              <w:rPr>
                <w:rFonts w:ascii="Calibri" w:eastAsia="Times New Roman" w:hAnsi="Calibri" w:cs="Times New Roman"/>
                <w:sz w:val="20"/>
                <w:szCs w:val="20"/>
              </w:rPr>
            </w:pPr>
            <w:r w:rsidRPr="00256831">
              <w:rPr>
                <w:rFonts w:ascii="Calibri" w:eastAsia="Times New Roman" w:hAnsi="Calibri" w:cs="Times New Roman"/>
                <w:sz w:val="20"/>
                <w:szCs w:val="20"/>
              </w:rPr>
              <w:t>1,237</w:t>
            </w:r>
          </w:p>
        </w:tc>
        <w:tc>
          <w:tcPr>
            <w:tcW w:w="461" w:type="pct"/>
            <w:tcBorders>
              <w:top w:val="nil"/>
              <w:left w:val="nil"/>
              <w:bottom w:val="single" w:sz="4" w:space="0" w:color="auto"/>
              <w:right w:val="single" w:sz="4" w:space="0" w:color="auto"/>
            </w:tcBorders>
            <w:shd w:val="clear" w:color="auto" w:fill="auto"/>
            <w:noWrap/>
            <w:vAlign w:val="bottom"/>
            <w:hideMark/>
          </w:tcPr>
          <w:p w14:paraId="7CD69B36" w14:textId="77777777" w:rsidR="006A6949" w:rsidRPr="00256831" w:rsidRDefault="006A6949" w:rsidP="00256831">
            <w:pPr>
              <w:spacing w:before="60" w:after="60"/>
              <w:jc w:val="center"/>
              <w:rPr>
                <w:rFonts w:ascii="Calibri" w:eastAsia="Times New Roman" w:hAnsi="Calibri" w:cs="Times New Roman"/>
                <w:sz w:val="20"/>
                <w:szCs w:val="20"/>
              </w:rPr>
            </w:pPr>
            <w:r w:rsidRPr="00256831">
              <w:rPr>
                <w:rFonts w:ascii="Calibri" w:eastAsia="Times New Roman" w:hAnsi="Calibri" w:cs="Times New Roman"/>
                <w:sz w:val="20"/>
                <w:szCs w:val="20"/>
              </w:rPr>
              <w:t>2,111</w:t>
            </w:r>
          </w:p>
        </w:tc>
        <w:tc>
          <w:tcPr>
            <w:tcW w:w="460" w:type="pct"/>
            <w:tcBorders>
              <w:top w:val="nil"/>
              <w:left w:val="nil"/>
              <w:bottom w:val="single" w:sz="4" w:space="0" w:color="auto"/>
              <w:right w:val="single" w:sz="4" w:space="0" w:color="auto"/>
            </w:tcBorders>
            <w:shd w:val="clear" w:color="auto" w:fill="auto"/>
            <w:noWrap/>
            <w:vAlign w:val="bottom"/>
            <w:hideMark/>
          </w:tcPr>
          <w:p w14:paraId="500D6612" w14:textId="77777777" w:rsidR="006A6949" w:rsidRPr="00256831" w:rsidRDefault="006A6949" w:rsidP="00256831">
            <w:pPr>
              <w:spacing w:before="60" w:after="60"/>
              <w:jc w:val="center"/>
              <w:rPr>
                <w:rFonts w:ascii="Calibri" w:eastAsia="Times New Roman" w:hAnsi="Calibri" w:cs="Times New Roman"/>
                <w:sz w:val="20"/>
                <w:szCs w:val="20"/>
              </w:rPr>
            </w:pPr>
            <w:r w:rsidRPr="00256831">
              <w:rPr>
                <w:rFonts w:ascii="Calibri" w:eastAsia="Times New Roman" w:hAnsi="Calibri" w:cs="Times New Roman"/>
                <w:sz w:val="20"/>
                <w:szCs w:val="20"/>
              </w:rPr>
              <w:t>2,221</w:t>
            </w:r>
          </w:p>
        </w:tc>
        <w:tc>
          <w:tcPr>
            <w:tcW w:w="461" w:type="pct"/>
            <w:tcBorders>
              <w:top w:val="nil"/>
              <w:left w:val="nil"/>
              <w:bottom w:val="single" w:sz="4" w:space="0" w:color="auto"/>
              <w:right w:val="single" w:sz="4" w:space="0" w:color="auto"/>
            </w:tcBorders>
            <w:shd w:val="clear" w:color="auto" w:fill="auto"/>
            <w:noWrap/>
            <w:vAlign w:val="bottom"/>
            <w:hideMark/>
          </w:tcPr>
          <w:p w14:paraId="2D119955" w14:textId="77777777" w:rsidR="006A6949" w:rsidRPr="00256831" w:rsidRDefault="006A6949" w:rsidP="00256831">
            <w:pPr>
              <w:spacing w:before="60" w:after="60"/>
              <w:jc w:val="center"/>
              <w:rPr>
                <w:rFonts w:ascii="Calibri" w:eastAsia="Times New Roman" w:hAnsi="Calibri" w:cs="Times New Roman"/>
                <w:sz w:val="20"/>
                <w:szCs w:val="20"/>
              </w:rPr>
            </w:pPr>
            <w:r w:rsidRPr="00256831">
              <w:rPr>
                <w:rFonts w:ascii="Calibri" w:eastAsia="Times New Roman" w:hAnsi="Calibri" w:cs="Times New Roman"/>
                <w:sz w:val="20"/>
                <w:szCs w:val="20"/>
              </w:rPr>
              <w:t>2,330</w:t>
            </w:r>
          </w:p>
        </w:tc>
        <w:tc>
          <w:tcPr>
            <w:tcW w:w="464" w:type="pct"/>
            <w:tcBorders>
              <w:top w:val="nil"/>
              <w:left w:val="nil"/>
              <w:bottom w:val="single" w:sz="4" w:space="0" w:color="auto"/>
              <w:right w:val="single" w:sz="4" w:space="0" w:color="auto"/>
            </w:tcBorders>
            <w:shd w:val="clear" w:color="auto" w:fill="auto"/>
            <w:noWrap/>
            <w:vAlign w:val="bottom"/>
            <w:hideMark/>
          </w:tcPr>
          <w:p w14:paraId="17340EB9" w14:textId="77777777" w:rsidR="006A6949" w:rsidRPr="00256831" w:rsidRDefault="006A6949" w:rsidP="00256831">
            <w:pPr>
              <w:spacing w:before="60" w:after="60"/>
              <w:jc w:val="center"/>
              <w:rPr>
                <w:rFonts w:ascii="Calibri" w:eastAsia="Times New Roman" w:hAnsi="Calibri" w:cs="Times New Roman"/>
                <w:sz w:val="20"/>
                <w:szCs w:val="20"/>
              </w:rPr>
            </w:pPr>
            <w:r w:rsidRPr="00256831">
              <w:rPr>
                <w:rFonts w:ascii="Calibri" w:eastAsia="Times New Roman" w:hAnsi="Calibri" w:cs="Times New Roman"/>
                <w:sz w:val="20"/>
                <w:szCs w:val="20"/>
              </w:rPr>
              <w:t>2,406</w:t>
            </w:r>
          </w:p>
        </w:tc>
        <w:tc>
          <w:tcPr>
            <w:tcW w:w="466" w:type="pct"/>
            <w:tcBorders>
              <w:top w:val="nil"/>
              <w:left w:val="nil"/>
              <w:bottom w:val="single" w:sz="4" w:space="0" w:color="auto"/>
              <w:right w:val="single" w:sz="4" w:space="0" w:color="auto"/>
            </w:tcBorders>
            <w:shd w:val="clear" w:color="auto" w:fill="auto"/>
            <w:noWrap/>
            <w:vAlign w:val="bottom"/>
            <w:hideMark/>
          </w:tcPr>
          <w:p w14:paraId="43259591" w14:textId="15F99F22" w:rsidR="006A6949" w:rsidRPr="00256831" w:rsidRDefault="0088347E" w:rsidP="00256831">
            <w:pPr>
              <w:spacing w:before="60" w:after="60"/>
              <w:jc w:val="center"/>
              <w:rPr>
                <w:rFonts w:ascii="Calibri" w:eastAsia="Times New Roman" w:hAnsi="Calibri" w:cs="Times New Roman"/>
                <w:sz w:val="20"/>
                <w:szCs w:val="20"/>
              </w:rPr>
            </w:pPr>
            <w:r w:rsidRPr="00256831">
              <w:rPr>
                <w:rFonts w:ascii="Calibri" w:eastAsia="Times New Roman" w:hAnsi="Calibri" w:cs="Times New Roman"/>
                <w:sz w:val="20"/>
                <w:szCs w:val="20"/>
              </w:rPr>
              <w:t>2,430</w:t>
            </w:r>
          </w:p>
        </w:tc>
        <w:tc>
          <w:tcPr>
            <w:tcW w:w="464" w:type="pct"/>
            <w:tcBorders>
              <w:top w:val="nil"/>
              <w:left w:val="nil"/>
              <w:bottom w:val="single" w:sz="4" w:space="0" w:color="auto"/>
              <w:right w:val="single" w:sz="4" w:space="0" w:color="auto"/>
            </w:tcBorders>
            <w:shd w:val="clear" w:color="auto" w:fill="auto"/>
            <w:noWrap/>
            <w:vAlign w:val="bottom"/>
            <w:hideMark/>
          </w:tcPr>
          <w:p w14:paraId="13E7A4A9" w14:textId="77777777" w:rsidR="006A6949" w:rsidRPr="00256831" w:rsidRDefault="006A6949" w:rsidP="00256831">
            <w:pPr>
              <w:spacing w:before="60" w:after="60"/>
              <w:jc w:val="center"/>
              <w:rPr>
                <w:rFonts w:ascii="Calibri" w:eastAsia="Times New Roman" w:hAnsi="Calibri" w:cs="Times New Roman"/>
                <w:sz w:val="20"/>
                <w:szCs w:val="20"/>
              </w:rPr>
            </w:pPr>
            <w:r w:rsidRPr="00256831">
              <w:rPr>
                <w:rFonts w:ascii="Calibri" w:eastAsia="Times New Roman" w:hAnsi="Calibri" w:cs="Times New Roman"/>
                <w:sz w:val="20"/>
                <w:szCs w:val="20"/>
              </w:rPr>
              <w:t>2,552</w:t>
            </w:r>
          </w:p>
        </w:tc>
        <w:tc>
          <w:tcPr>
            <w:tcW w:w="466" w:type="pct"/>
            <w:tcBorders>
              <w:top w:val="nil"/>
              <w:left w:val="nil"/>
              <w:bottom w:val="single" w:sz="4" w:space="0" w:color="auto"/>
              <w:right w:val="single" w:sz="4" w:space="0" w:color="auto"/>
            </w:tcBorders>
            <w:shd w:val="clear" w:color="auto" w:fill="auto"/>
            <w:noWrap/>
            <w:vAlign w:val="bottom"/>
            <w:hideMark/>
          </w:tcPr>
          <w:p w14:paraId="38A497B9" w14:textId="3E48308C" w:rsidR="006A6949" w:rsidRPr="00256831" w:rsidRDefault="00456989" w:rsidP="00256831">
            <w:pPr>
              <w:spacing w:before="60" w:after="60"/>
              <w:jc w:val="center"/>
              <w:rPr>
                <w:rFonts w:ascii="Calibri" w:eastAsia="Times New Roman" w:hAnsi="Calibri" w:cs="Times New Roman"/>
                <w:sz w:val="20"/>
                <w:szCs w:val="20"/>
              </w:rPr>
            </w:pPr>
            <w:r w:rsidRPr="00256831">
              <w:rPr>
                <w:rFonts w:ascii="Calibri" w:eastAsia="Times New Roman" w:hAnsi="Calibri" w:cs="Times New Roman"/>
                <w:sz w:val="20"/>
                <w:szCs w:val="20"/>
              </w:rPr>
              <w:t>2,479</w:t>
            </w:r>
          </w:p>
        </w:tc>
        <w:tc>
          <w:tcPr>
            <w:tcW w:w="454" w:type="pct"/>
            <w:tcBorders>
              <w:top w:val="nil"/>
              <w:left w:val="nil"/>
              <w:bottom w:val="single" w:sz="4" w:space="0" w:color="auto"/>
              <w:right w:val="single" w:sz="4" w:space="0" w:color="auto"/>
            </w:tcBorders>
            <w:shd w:val="clear" w:color="auto" w:fill="auto"/>
            <w:noWrap/>
            <w:vAlign w:val="bottom"/>
            <w:hideMark/>
          </w:tcPr>
          <w:p w14:paraId="1D5D741E" w14:textId="77777777" w:rsidR="006A6949" w:rsidRPr="00256831" w:rsidRDefault="006A6949" w:rsidP="00256831">
            <w:pPr>
              <w:spacing w:before="60" w:after="60"/>
              <w:jc w:val="center"/>
              <w:rPr>
                <w:rFonts w:ascii="Calibri" w:eastAsia="Times New Roman" w:hAnsi="Calibri" w:cs="Times New Roman"/>
                <w:sz w:val="20"/>
                <w:szCs w:val="20"/>
              </w:rPr>
            </w:pPr>
            <w:r w:rsidRPr="00256831">
              <w:rPr>
                <w:rFonts w:ascii="Calibri" w:eastAsia="Times New Roman" w:hAnsi="Calibri" w:cs="Times New Roman"/>
                <w:sz w:val="20"/>
                <w:szCs w:val="20"/>
              </w:rPr>
              <w:t>1,723</w:t>
            </w:r>
          </w:p>
        </w:tc>
      </w:tr>
      <w:tr w:rsidR="00DB51BF" w:rsidRPr="00A76086" w14:paraId="4287C072" w14:textId="77777777" w:rsidTr="00DB51BF">
        <w:trPr>
          <w:trHeight w:val="300"/>
        </w:trPr>
        <w:tc>
          <w:tcPr>
            <w:tcW w:w="847" w:type="pct"/>
            <w:tcBorders>
              <w:top w:val="nil"/>
              <w:left w:val="single" w:sz="4" w:space="0" w:color="auto"/>
              <w:bottom w:val="single" w:sz="4" w:space="0" w:color="auto"/>
              <w:right w:val="single" w:sz="4" w:space="0" w:color="auto"/>
            </w:tcBorders>
            <w:shd w:val="clear" w:color="auto" w:fill="auto"/>
            <w:noWrap/>
            <w:vAlign w:val="bottom"/>
            <w:hideMark/>
          </w:tcPr>
          <w:p w14:paraId="19AA5171" w14:textId="77777777" w:rsidR="006A6949" w:rsidRPr="00256831" w:rsidRDefault="006A6949" w:rsidP="00256831">
            <w:pPr>
              <w:spacing w:before="60" w:after="60"/>
              <w:rPr>
                <w:rFonts w:ascii="Calibri" w:eastAsia="Times New Roman" w:hAnsi="Calibri" w:cs="Times New Roman"/>
                <w:sz w:val="20"/>
                <w:szCs w:val="20"/>
              </w:rPr>
            </w:pPr>
            <w:r w:rsidRPr="00256831">
              <w:rPr>
                <w:rFonts w:ascii="Calibri" w:eastAsia="Times New Roman" w:hAnsi="Calibri" w:cs="Times New Roman"/>
                <w:sz w:val="20"/>
                <w:szCs w:val="20"/>
              </w:rPr>
              <w:t>Prevalent</w:t>
            </w:r>
          </w:p>
        </w:tc>
        <w:tc>
          <w:tcPr>
            <w:tcW w:w="457" w:type="pct"/>
            <w:tcBorders>
              <w:top w:val="nil"/>
              <w:left w:val="nil"/>
              <w:bottom w:val="single" w:sz="4" w:space="0" w:color="auto"/>
              <w:right w:val="single" w:sz="4" w:space="0" w:color="auto"/>
            </w:tcBorders>
            <w:shd w:val="clear" w:color="auto" w:fill="auto"/>
            <w:noWrap/>
            <w:vAlign w:val="bottom"/>
            <w:hideMark/>
          </w:tcPr>
          <w:p w14:paraId="36032242" w14:textId="77777777" w:rsidR="006A6949" w:rsidRPr="00256831" w:rsidRDefault="006A6949" w:rsidP="00256831">
            <w:pPr>
              <w:spacing w:before="60" w:after="60"/>
              <w:jc w:val="center"/>
              <w:rPr>
                <w:rFonts w:ascii="Calibri" w:eastAsia="Times New Roman" w:hAnsi="Calibri" w:cs="Times New Roman"/>
                <w:sz w:val="20"/>
                <w:szCs w:val="20"/>
              </w:rPr>
            </w:pPr>
            <w:r w:rsidRPr="00256831">
              <w:rPr>
                <w:rFonts w:ascii="Calibri" w:eastAsia="Times New Roman" w:hAnsi="Calibri" w:cs="Times New Roman"/>
                <w:sz w:val="20"/>
                <w:szCs w:val="20"/>
              </w:rPr>
              <w:t>1,237</w:t>
            </w:r>
          </w:p>
        </w:tc>
        <w:tc>
          <w:tcPr>
            <w:tcW w:w="461" w:type="pct"/>
            <w:tcBorders>
              <w:top w:val="nil"/>
              <w:left w:val="nil"/>
              <w:bottom w:val="single" w:sz="4" w:space="0" w:color="auto"/>
              <w:right w:val="single" w:sz="4" w:space="0" w:color="auto"/>
            </w:tcBorders>
            <w:shd w:val="clear" w:color="auto" w:fill="auto"/>
            <w:noWrap/>
            <w:vAlign w:val="bottom"/>
            <w:hideMark/>
          </w:tcPr>
          <w:p w14:paraId="31461F62" w14:textId="77777777" w:rsidR="006A6949" w:rsidRPr="00256831" w:rsidRDefault="006A6949" w:rsidP="00256831">
            <w:pPr>
              <w:spacing w:before="60" w:after="60"/>
              <w:jc w:val="center"/>
              <w:rPr>
                <w:rFonts w:ascii="Calibri" w:eastAsia="Times New Roman" w:hAnsi="Calibri" w:cs="Times New Roman"/>
                <w:sz w:val="20"/>
                <w:szCs w:val="20"/>
              </w:rPr>
            </w:pPr>
            <w:r w:rsidRPr="00256831">
              <w:rPr>
                <w:rFonts w:ascii="Calibri" w:eastAsia="Times New Roman" w:hAnsi="Calibri" w:cs="Times New Roman"/>
                <w:sz w:val="20"/>
                <w:szCs w:val="20"/>
              </w:rPr>
              <w:t>2,982</w:t>
            </w:r>
          </w:p>
        </w:tc>
        <w:tc>
          <w:tcPr>
            <w:tcW w:w="460" w:type="pct"/>
            <w:tcBorders>
              <w:top w:val="nil"/>
              <w:left w:val="nil"/>
              <w:bottom w:val="single" w:sz="4" w:space="0" w:color="auto"/>
              <w:right w:val="single" w:sz="4" w:space="0" w:color="auto"/>
            </w:tcBorders>
            <w:shd w:val="clear" w:color="auto" w:fill="auto"/>
            <w:noWrap/>
            <w:vAlign w:val="bottom"/>
            <w:hideMark/>
          </w:tcPr>
          <w:p w14:paraId="6A2ED189" w14:textId="77777777" w:rsidR="006A6949" w:rsidRPr="00256831" w:rsidRDefault="006A6949" w:rsidP="00256831">
            <w:pPr>
              <w:spacing w:before="60" w:after="60"/>
              <w:jc w:val="center"/>
              <w:rPr>
                <w:rFonts w:ascii="Calibri" w:eastAsia="Times New Roman" w:hAnsi="Calibri" w:cs="Times New Roman"/>
                <w:sz w:val="20"/>
                <w:szCs w:val="20"/>
              </w:rPr>
            </w:pPr>
            <w:r w:rsidRPr="00256831">
              <w:rPr>
                <w:rFonts w:ascii="Calibri" w:eastAsia="Times New Roman" w:hAnsi="Calibri" w:cs="Times New Roman"/>
                <w:sz w:val="20"/>
                <w:szCs w:val="20"/>
              </w:rPr>
              <w:t>3,707</w:t>
            </w:r>
          </w:p>
        </w:tc>
        <w:tc>
          <w:tcPr>
            <w:tcW w:w="461" w:type="pct"/>
            <w:tcBorders>
              <w:top w:val="nil"/>
              <w:left w:val="nil"/>
              <w:bottom w:val="single" w:sz="4" w:space="0" w:color="auto"/>
              <w:right w:val="single" w:sz="4" w:space="0" w:color="auto"/>
            </w:tcBorders>
            <w:shd w:val="clear" w:color="auto" w:fill="auto"/>
            <w:noWrap/>
            <w:vAlign w:val="bottom"/>
            <w:hideMark/>
          </w:tcPr>
          <w:p w14:paraId="212953EE" w14:textId="77777777" w:rsidR="006A6949" w:rsidRPr="00256831" w:rsidRDefault="006A6949" w:rsidP="00256831">
            <w:pPr>
              <w:spacing w:before="60" w:after="60"/>
              <w:jc w:val="center"/>
              <w:rPr>
                <w:rFonts w:ascii="Calibri" w:eastAsia="Times New Roman" w:hAnsi="Calibri" w:cs="Times New Roman"/>
                <w:sz w:val="20"/>
                <w:szCs w:val="20"/>
              </w:rPr>
            </w:pPr>
            <w:r w:rsidRPr="00256831">
              <w:rPr>
                <w:rFonts w:ascii="Calibri" w:eastAsia="Times New Roman" w:hAnsi="Calibri" w:cs="Times New Roman"/>
                <w:sz w:val="20"/>
                <w:szCs w:val="20"/>
              </w:rPr>
              <w:t>4,366</w:t>
            </w:r>
          </w:p>
        </w:tc>
        <w:tc>
          <w:tcPr>
            <w:tcW w:w="464" w:type="pct"/>
            <w:tcBorders>
              <w:top w:val="nil"/>
              <w:left w:val="nil"/>
              <w:bottom w:val="single" w:sz="4" w:space="0" w:color="auto"/>
              <w:right w:val="single" w:sz="4" w:space="0" w:color="auto"/>
            </w:tcBorders>
            <w:shd w:val="clear" w:color="auto" w:fill="auto"/>
            <w:noWrap/>
            <w:vAlign w:val="bottom"/>
            <w:hideMark/>
          </w:tcPr>
          <w:p w14:paraId="49859F29" w14:textId="77777777" w:rsidR="006A6949" w:rsidRPr="00256831" w:rsidRDefault="006A6949" w:rsidP="00256831">
            <w:pPr>
              <w:spacing w:before="60" w:after="60"/>
              <w:jc w:val="center"/>
              <w:rPr>
                <w:rFonts w:ascii="Calibri" w:eastAsia="Times New Roman" w:hAnsi="Calibri" w:cs="Times New Roman"/>
                <w:sz w:val="20"/>
                <w:szCs w:val="20"/>
              </w:rPr>
            </w:pPr>
            <w:r w:rsidRPr="00256831">
              <w:rPr>
                <w:rFonts w:ascii="Calibri" w:eastAsia="Times New Roman" w:hAnsi="Calibri" w:cs="Times New Roman"/>
                <w:sz w:val="20"/>
                <w:szCs w:val="20"/>
              </w:rPr>
              <w:t>4,672</w:t>
            </w:r>
          </w:p>
        </w:tc>
        <w:tc>
          <w:tcPr>
            <w:tcW w:w="466" w:type="pct"/>
            <w:tcBorders>
              <w:top w:val="nil"/>
              <w:left w:val="nil"/>
              <w:bottom w:val="single" w:sz="4" w:space="0" w:color="auto"/>
              <w:right w:val="single" w:sz="4" w:space="0" w:color="auto"/>
            </w:tcBorders>
            <w:shd w:val="clear" w:color="auto" w:fill="auto"/>
            <w:noWrap/>
            <w:vAlign w:val="bottom"/>
            <w:hideMark/>
          </w:tcPr>
          <w:p w14:paraId="2637CF99" w14:textId="77777777" w:rsidR="006A6949" w:rsidRPr="00256831" w:rsidRDefault="006A6949" w:rsidP="00256831">
            <w:pPr>
              <w:spacing w:before="60" w:after="60"/>
              <w:jc w:val="center"/>
              <w:rPr>
                <w:rFonts w:ascii="Calibri" w:eastAsia="Times New Roman" w:hAnsi="Calibri" w:cs="Times New Roman"/>
                <w:sz w:val="20"/>
                <w:szCs w:val="20"/>
              </w:rPr>
            </w:pPr>
            <w:r w:rsidRPr="00256831">
              <w:rPr>
                <w:rFonts w:ascii="Calibri" w:eastAsia="Times New Roman" w:hAnsi="Calibri" w:cs="Times New Roman"/>
                <w:sz w:val="20"/>
                <w:szCs w:val="20"/>
              </w:rPr>
              <w:t>4,920</w:t>
            </w:r>
          </w:p>
        </w:tc>
        <w:tc>
          <w:tcPr>
            <w:tcW w:w="464" w:type="pct"/>
            <w:tcBorders>
              <w:top w:val="nil"/>
              <w:left w:val="nil"/>
              <w:bottom w:val="single" w:sz="4" w:space="0" w:color="auto"/>
              <w:right w:val="single" w:sz="4" w:space="0" w:color="auto"/>
            </w:tcBorders>
            <w:shd w:val="clear" w:color="auto" w:fill="auto"/>
            <w:noWrap/>
            <w:vAlign w:val="bottom"/>
            <w:hideMark/>
          </w:tcPr>
          <w:p w14:paraId="4623E30B" w14:textId="77777777" w:rsidR="006A6949" w:rsidRPr="00256831" w:rsidRDefault="006A6949" w:rsidP="00256831">
            <w:pPr>
              <w:spacing w:before="60" w:after="60"/>
              <w:jc w:val="center"/>
              <w:rPr>
                <w:rFonts w:ascii="Calibri" w:eastAsia="Times New Roman" w:hAnsi="Calibri" w:cs="Times New Roman"/>
                <w:sz w:val="20"/>
                <w:szCs w:val="20"/>
              </w:rPr>
            </w:pPr>
            <w:r w:rsidRPr="00256831">
              <w:rPr>
                <w:rFonts w:ascii="Calibri" w:eastAsia="Times New Roman" w:hAnsi="Calibri" w:cs="Times New Roman"/>
                <w:sz w:val="20"/>
                <w:szCs w:val="20"/>
              </w:rPr>
              <w:t>5,115</w:t>
            </w:r>
          </w:p>
        </w:tc>
        <w:tc>
          <w:tcPr>
            <w:tcW w:w="466" w:type="pct"/>
            <w:tcBorders>
              <w:top w:val="nil"/>
              <w:left w:val="nil"/>
              <w:bottom w:val="single" w:sz="4" w:space="0" w:color="auto"/>
              <w:right w:val="single" w:sz="4" w:space="0" w:color="auto"/>
            </w:tcBorders>
            <w:shd w:val="clear" w:color="auto" w:fill="auto"/>
            <w:noWrap/>
            <w:vAlign w:val="bottom"/>
            <w:hideMark/>
          </w:tcPr>
          <w:p w14:paraId="69C9FB41" w14:textId="77777777" w:rsidR="006A6949" w:rsidRPr="00256831" w:rsidRDefault="006A6949" w:rsidP="00256831">
            <w:pPr>
              <w:spacing w:before="60" w:after="60"/>
              <w:jc w:val="center"/>
              <w:rPr>
                <w:rFonts w:ascii="Calibri" w:eastAsia="Times New Roman" w:hAnsi="Calibri" w:cs="Times New Roman"/>
                <w:sz w:val="20"/>
                <w:szCs w:val="20"/>
              </w:rPr>
            </w:pPr>
            <w:r w:rsidRPr="00256831">
              <w:rPr>
                <w:rFonts w:ascii="Calibri" w:eastAsia="Times New Roman" w:hAnsi="Calibri" w:cs="Times New Roman"/>
                <w:sz w:val="20"/>
                <w:szCs w:val="20"/>
              </w:rPr>
              <w:t>5,177</w:t>
            </w:r>
          </w:p>
        </w:tc>
        <w:tc>
          <w:tcPr>
            <w:tcW w:w="454" w:type="pct"/>
            <w:tcBorders>
              <w:top w:val="nil"/>
              <w:left w:val="nil"/>
              <w:bottom w:val="single" w:sz="4" w:space="0" w:color="auto"/>
              <w:right w:val="single" w:sz="4" w:space="0" w:color="auto"/>
            </w:tcBorders>
            <w:shd w:val="clear" w:color="auto" w:fill="auto"/>
            <w:noWrap/>
            <w:vAlign w:val="bottom"/>
            <w:hideMark/>
          </w:tcPr>
          <w:p w14:paraId="04B8D9CA" w14:textId="77777777" w:rsidR="006A6949" w:rsidRPr="00256831" w:rsidRDefault="006A6949" w:rsidP="00256831">
            <w:pPr>
              <w:spacing w:before="60" w:after="60"/>
              <w:jc w:val="center"/>
              <w:rPr>
                <w:rFonts w:ascii="Calibri" w:eastAsia="Times New Roman" w:hAnsi="Calibri" w:cs="Times New Roman"/>
                <w:sz w:val="20"/>
                <w:szCs w:val="20"/>
              </w:rPr>
            </w:pPr>
            <w:r w:rsidRPr="00256831">
              <w:rPr>
                <w:rFonts w:ascii="Calibri" w:eastAsia="Times New Roman" w:hAnsi="Calibri" w:cs="Times New Roman"/>
                <w:sz w:val="20"/>
                <w:szCs w:val="20"/>
              </w:rPr>
              <w:t>4,405</w:t>
            </w:r>
          </w:p>
        </w:tc>
      </w:tr>
    </w:tbl>
    <w:p w14:paraId="6CEEB9BE" w14:textId="77777777" w:rsidR="006A6949" w:rsidRPr="00C74F95" w:rsidRDefault="006A6949" w:rsidP="005606FE">
      <w:pPr>
        <w:pStyle w:val="Figurecaption"/>
      </w:pPr>
      <w:r w:rsidRPr="00C74F95">
        <w:t>Note:</w:t>
      </w:r>
    </w:p>
    <w:p w14:paraId="1D58902F" w14:textId="77777777" w:rsidR="006A6949" w:rsidRPr="00C74F95" w:rsidRDefault="006A6949" w:rsidP="005606FE">
      <w:pPr>
        <w:pStyle w:val="Figurecaption"/>
      </w:pPr>
      <w:r w:rsidRPr="00C74F95">
        <w:rPr>
          <w:vertAlign w:val="superscript"/>
        </w:rPr>
        <w:t>a</w:t>
      </w:r>
      <w:r w:rsidRPr="00C74F95">
        <w:t xml:space="preserve"> Part-year data from 1 July 2009 (</w:t>
      </w:r>
      <w:r>
        <w:t xml:space="preserve">i.e. </w:t>
      </w:r>
      <w:r w:rsidRPr="00C74F95">
        <w:t xml:space="preserve">first listing </w:t>
      </w:r>
      <w:r>
        <w:t>date for</w:t>
      </w:r>
      <w:r w:rsidRPr="00C74F95">
        <w:t xml:space="preserve"> bevacizumab) to 31 December 2009.</w:t>
      </w:r>
    </w:p>
    <w:p w14:paraId="69A00C99" w14:textId="77777777" w:rsidR="006A6949" w:rsidRDefault="006A6949" w:rsidP="005606FE">
      <w:pPr>
        <w:pStyle w:val="Figurecaption"/>
      </w:pPr>
      <w:r w:rsidRPr="00C74F95">
        <w:rPr>
          <w:vertAlign w:val="superscript"/>
        </w:rPr>
        <w:t>b</w:t>
      </w:r>
      <w:r w:rsidRPr="00C74F95">
        <w:t xml:space="preserve"> Part-year data from 1 January 2017 to 31 July 2017.</w:t>
      </w:r>
    </w:p>
    <w:p w14:paraId="3C104C42" w14:textId="77777777" w:rsidR="006A6949" w:rsidRPr="000C4C97" w:rsidRDefault="006A6949" w:rsidP="005606FE">
      <w:pPr>
        <w:pStyle w:val="Figurecaption"/>
      </w:pPr>
      <w:r>
        <w:rPr>
          <w:vertAlign w:val="superscript"/>
        </w:rPr>
        <w:t>c</w:t>
      </w:r>
      <w:r>
        <w:t xml:space="preserve"> First ever supply of subsidised bevacizumab, cetuximab or panitumumab.</w:t>
      </w:r>
    </w:p>
    <w:p w14:paraId="526619D4" w14:textId="77777777" w:rsidR="006A6949" w:rsidRDefault="006A6949" w:rsidP="00CC295A">
      <w:pPr>
        <w:rPr>
          <w:b/>
        </w:rPr>
      </w:pPr>
    </w:p>
    <w:p w14:paraId="6043F15B" w14:textId="6BCEA8FF" w:rsidR="002716BF" w:rsidRPr="00A8048F" w:rsidRDefault="00D25CC1" w:rsidP="00CC295A">
      <w:r>
        <w:lastRenderedPageBreak/>
        <w:t xml:space="preserve">Cetuximab and panitumumab were listed as first-line treatments </w:t>
      </w:r>
      <w:r w:rsidR="00373391">
        <w:t xml:space="preserve">for mCRC </w:t>
      </w:r>
      <w:r>
        <w:t xml:space="preserve">from June 2015 and October 2015, respectively. </w:t>
      </w:r>
      <w:r w:rsidR="00767BC9">
        <w:t>Since these listings, m</w:t>
      </w:r>
      <w:r w:rsidR="00A8048F">
        <w:t xml:space="preserve">ost </w:t>
      </w:r>
      <w:r w:rsidR="001F23E4">
        <w:t>patients</w:t>
      </w:r>
      <w:r w:rsidR="00815810">
        <w:t xml:space="preserve"> had</w:t>
      </w:r>
      <w:r w:rsidR="00A8048F">
        <w:t xml:space="preserve"> </w:t>
      </w:r>
      <w:r w:rsidR="00651D01">
        <w:t>continued to be</w:t>
      </w:r>
      <w:r w:rsidR="00A8048F">
        <w:t xml:space="preserve"> first initiated on bevacizumab (Figure 2). </w:t>
      </w:r>
    </w:p>
    <w:p w14:paraId="7D8024D2" w14:textId="4F27CA91" w:rsidR="00B036C2" w:rsidRDefault="00FD42B2" w:rsidP="005708DC">
      <w:pPr>
        <w:pStyle w:val="Heading2"/>
      </w:pPr>
      <w:r>
        <w:rPr>
          <w:noProof/>
        </w:rPr>
        <w:drawing>
          <wp:inline distT="0" distB="0" distL="0" distR="0" wp14:anchorId="4493044D" wp14:editId="2D219D11">
            <wp:extent cx="5229225" cy="2371725"/>
            <wp:effectExtent l="0" t="0" r="0" b="0"/>
            <wp:docPr id="1" name="Chart 1" descr="Number of incident patients by drug" title="Figur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45A161E9" w14:textId="4ADC973B" w:rsidR="008507CD" w:rsidRPr="005E154A" w:rsidRDefault="002D6FFB" w:rsidP="005E154A">
      <w:pPr>
        <w:rPr>
          <w:b/>
        </w:rPr>
      </w:pPr>
      <w:r w:rsidRPr="005E154A">
        <w:rPr>
          <w:b/>
        </w:rPr>
        <w:t xml:space="preserve">Figure </w:t>
      </w:r>
      <w:r w:rsidR="00BA2BB2" w:rsidRPr="005E154A">
        <w:rPr>
          <w:b/>
        </w:rPr>
        <w:t>2:</w:t>
      </w:r>
      <w:r w:rsidRPr="005E154A">
        <w:rPr>
          <w:b/>
        </w:rPr>
        <w:t xml:space="preserve"> Nu</w:t>
      </w:r>
      <w:r w:rsidR="00577491" w:rsidRPr="005E154A">
        <w:rPr>
          <w:b/>
        </w:rPr>
        <w:t>mber of first-time initiators supplied with</w:t>
      </w:r>
      <w:r w:rsidRPr="005E154A">
        <w:rPr>
          <w:b/>
        </w:rPr>
        <w:t xml:space="preserve"> bevacizumab, ce</w:t>
      </w:r>
      <w:r w:rsidR="00373A8D" w:rsidRPr="005E154A">
        <w:rPr>
          <w:b/>
        </w:rPr>
        <w:t>tuximab or panitumumab for mCRC</w:t>
      </w:r>
    </w:p>
    <w:p w14:paraId="2C645B32" w14:textId="49030AEB" w:rsidR="00FF2B6F" w:rsidRDefault="00FF2B6F" w:rsidP="002D6FFB">
      <w:r w:rsidRPr="006C328A">
        <w:t>Of the 2,479 initiators, three-quarters (75.4%) were supplied bevacizumab as first-line therapy. First-line cetuximab was used in 18.8% of patients with around 6% of patients receiving pan</w:t>
      </w:r>
      <w:r w:rsidR="00701112">
        <w:t>itumumab in first-line</w:t>
      </w:r>
      <w:r w:rsidRPr="006C328A">
        <w:t>.</w:t>
      </w:r>
      <w:r>
        <w:t xml:space="preserve"> </w:t>
      </w:r>
    </w:p>
    <w:p w14:paraId="72748019" w14:textId="0DFC36F3" w:rsidR="002D6FFB" w:rsidRDefault="00F83B27" w:rsidP="002D6FFB">
      <w:r>
        <w:t>Across</w:t>
      </w:r>
      <w:r w:rsidR="00740A80">
        <w:t xml:space="preserve"> all lines of therapy, </w:t>
      </w:r>
      <w:r w:rsidR="00CB5837">
        <w:t xml:space="preserve">the majority of </w:t>
      </w:r>
      <w:r w:rsidR="001F23E4">
        <w:t>patients</w:t>
      </w:r>
      <w:r w:rsidR="00CB5837">
        <w:t xml:space="preserve"> were supplied bevacizumab compared to cetuximab and panitumumab (Figure 3). </w:t>
      </w:r>
    </w:p>
    <w:p w14:paraId="2BE900FC" w14:textId="568ABA0E" w:rsidR="001A18A2" w:rsidRDefault="00E2681C" w:rsidP="002D6FFB">
      <w:r>
        <w:rPr>
          <w:noProof/>
        </w:rPr>
        <w:lastRenderedPageBreak/>
        <w:drawing>
          <wp:inline distT="0" distB="0" distL="0" distR="0" wp14:anchorId="23108D2B" wp14:editId="0083FEBB">
            <wp:extent cx="6057900" cy="3848100"/>
            <wp:effectExtent l="0" t="0" r="0" b="0"/>
            <wp:docPr id="21" name="Chart 21" descr="Treated population by drug" title="Figur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6C38F32E" w14:textId="3B0493DF" w:rsidR="001A18A2" w:rsidRPr="005E154A" w:rsidRDefault="001A18A2" w:rsidP="005E154A">
      <w:pPr>
        <w:rPr>
          <w:b/>
        </w:rPr>
      </w:pPr>
      <w:r w:rsidRPr="005E154A">
        <w:rPr>
          <w:b/>
        </w:rPr>
        <w:t xml:space="preserve">Figure </w:t>
      </w:r>
      <w:r w:rsidR="00CB5837" w:rsidRPr="005E154A">
        <w:rPr>
          <w:b/>
        </w:rPr>
        <w:t>3</w:t>
      </w:r>
      <w:r w:rsidR="007B4B0A" w:rsidRPr="005E154A">
        <w:rPr>
          <w:b/>
        </w:rPr>
        <w:t>:</w:t>
      </w:r>
      <w:r w:rsidRPr="005E154A">
        <w:rPr>
          <w:b/>
        </w:rPr>
        <w:t xml:space="preserve"> Number of </w:t>
      </w:r>
      <w:r w:rsidR="001F23E4" w:rsidRPr="005E154A">
        <w:rPr>
          <w:b/>
        </w:rPr>
        <w:t>patients</w:t>
      </w:r>
      <w:r w:rsidR="00F81F60" w:rsidRPr="005E154A">
        <w:rPr>
          <w:b/>
        </w:rPr>
        <w:t xml:space="preserve"> </w:t>
      </w:r>
      <w:r w:rsidR="00A100EF" w:rsidRPr="005E154A">
        <w:rPr>
          <w:b/>
        </w:rPr>
        <w:t>supplied with</w:t>
      </w:r>
      <w:r w:rsidRPr="005E154A">
        <w:rPr>
          <w:b/>
        </w:rPr>
        <w:t xml:space="preserve"> bevacizumab, cet</w:t>
      </w:r>
      <w:r w:rsidR="00F81F60" w:rsidRPr="005E154A">
        <w:rPr>
          <w:b/>
        </w:rPr>
        <w:t>uximab or panitumumab for mCRC by line of</w:t>
      </w:r>
      <w:r w:rsidR="00990151" w:rsidRPr="005E154A">
        <w:rPr>
          <w:b/>
        </w:rPr>
        <w:t xml:space="preserve"> targeted</w:t>
      </w:r>
      <w:r w:rsidR="00F81F60" w:rsidRPr="005E154A">
        <w:rPr>
          <w:b/>
        </w:rPr>
        <w:t xml:space="preserve"> therapy</w:t>
      </w:r>
    </w:p>
    <w:p w14:paraId="07C49DEB" w14:textId="72362A28" w:rsidR="00F76A37" w:rsidRDefault="00501A2B" w:rsidP="005E154A">
      <w:r>
        <w:t>Following the listing of panitumumab for treatment after failure of first-line therapy in April</w:t>
      </w:r>
      <w:r w:rsidR="000B2AC3">
        <w:t> </w:t>
      </w:r>
      <w:r>
        <w:t xml:space="preserve">2014, </w:t>
      </w:r>
      <w:r w:rsidR="0087639F">
        <w:t xml:space="preserve">there was </w:t>
      </w:r>
      <w:r w:rsidR="004D4C93">
        <w:t xml:space="preserve">a small amount of </w:t>
      </w:r>
      <w:r w:rsidR="0087639F">
        <w:t xml:space="preserve">growth </w:t>
      </w:r>
      <w:r w:rsidR="004D4C93">
        <w:t xml:space="preserve">in the use of second-line targeted therapies (ranging from 0.6 percent and 3.8 percent per quarter between Quarters 2 to 4 in 2014, Figure 3). </w:t>
      </w:r>
      <w:r w:rsidR="001D4473">
        <w:t>Between Quarter 1 2015 to Quarter 2 2017, the</w:t>
      </w:r>
      <w:r w:rsidR="00F76A37">
        <w:t xml:space="preserve"> average growth per quarter </w:t>
      </w:r>
      <w:r w:rsidR="001D4473">
        <w:t xml:space="preserve">was minimal (0.1%), (Figure 3). </w:t>
      </w:r>
    </w:p>
    <w:p w14:paraId="72004057" w14:textId="15D472C2" w:rsidR="00C95015" w:rsidRPr="00B94D2A" w:rsidRDefault="004D4C93" w:rsidP="005E154A">
      <w:r>
        <w:t xml:space="preserve">After the listing of panitumumab, </w:t>
      </w:r>
      <w:r w:rsidR="00F76A37">
        <w:t xml:space="preserve">the average </w:t>
      </w:r>
      <w:r w:rsidR="00635D52">
        <w:t>growth per quarter in the after second-line setting was</w:t>
      </w:r>
      <w:r w:rsidR="00F76A37">
        <w:t xml:space="preserve"> 10.6%</w:t>
      </w:r>
      <w:r w:rsidR="00635D52">
        <w:t xml:space="preserve">. However, the number of patients supplied a targeted therapy after second-line was small (e.g. 143 patients in Quarter 2 2017) </w:t>
      </w:r>
      <w:r w:rsidR="00B94D2A">
        <w:t>relative</w:t>
      </w:r>
      <w:r w:rsidR="00635D52">
        <w:t xml:space="preserve"> to earlier lines of therapy (Figure 3). </w:t>
      </w:r>
    </w:p>
    <w:p w14:paraId="3EAD11D3" w14:textId="3C852387" w:rsidR="00D3530F" w:rsidRPr="00FF2B6F" w:rsidRDefault="00A13DC2" w:rsidP="005E154A">
      <w:r w:rsidRPr="00A14900">
        <w:t>In Quarter 2 of 2017, the prop</w:t>
      </w:r>
      <w:r w:rsidR="0056732A" w:rsidRPr="00A14900">
        <w:t>ortion of patients on</w:t>
      </w:r>
      <w:r w:rsidR="00A14900" w:rsidRPr="00A14900">
        <w:t xml:space="preserve"> first-, second- and later lines of</w:t>
      </w:r>
      <w:r w:rsidRPr="00A14900">
        <w:t xml:space="preserve"> targeted therapy was </w:t>
      </w:r>
      <w:r w:rsidR="00A14900" w:rsidRPr="00A14900">
        <w:t>81 percent, 17 percent and 2 percent</w:t>
      </w:r>
      <w:r w:rsidR="0056732A" w:rsidRPr="00A14900">
        <w:t>, respectively.</w:t>
      </w:r>
      <w:r w:rsidR="0056732A">
        <w:t xml:space="preserve"> </w:t>
      </w:r>
    </w:p>
    <w:p w14:paraId="5C11D5F2" w14:textId="36CA33FA" w:rsidR="00AF02A6" w:rsidRPr="00805E2D" w:rsidRDefault="00AF02A6" w:rsidP="00805E2D">
      <w:pPr>
        <w:pStyle w:val="Heading3"/>
        <w:rPr>
          <w:i/>
          <w:sz w:val="24"/>
          <w:szCs w:val="24"/>
        </w:rPr>
      </w:pPr>
      <w:r w:rsidRPr="00805E2D">
        <w:rPr>
          <w:i/>
          <w:sz w:val="24"/>
          <w:szCs w:val="24"/>
        </w:rPr>
        <w:t xml:space="preserve">Time on </w:t>
      </w:r>
      <w:r w:rsidR="009F5048" w:rsidRPr="00805E2D">
        <w:rPr>
          <w:i/>
          <w:sz w:val="24"/>
          <w:szCs w:val="24"/>
        </w:rPr>
        <w:t xml:space="preserve">targeted therapy with </w:t>
      </w:r>
      <w:r w:rsidRPr="00805E2D">
        <w:rPr>
          <w:i/>
          <w:sz w:val="24"/>
          <w:szCs w:val="24"/>
        </w:rPr>
        <w:t>bevacizumab, cetuximab and panitumum</w:t>
      </w:r>
      <w:r w:rsidR="00A8388C" w:rsidRPr="00805E2D">
        <w:rPr>
          <w:i/>
          <w:sz w:val="24"/>
          <w:szCs w:val="24"/>
        </w:rPr>
        <w:t>a</w:t>
      </w:r>
      <w:r w:rsidR="009F5048" w:rsidRPr="00805E2D">
        <w:rPr>
          <w:i/>
          <w:sz w:val="24"/>
          <w:szCs w:val="24"/>
        </w:rPr>
        <w:t>b</w:t>
      </w:r>
    </w:p>
    <w:p w14:paraId="7B3BF492" w14:textId="47EBA490" w:rsidR="0026017D" w:rsidRDefault="0017572D" w:rsidP="00AF02A6">
      <w:pPr>
        <w:spacing w:after="0"/>
      </w:pPr>
      <w:r>
        <w:t>The time on targeted drugs by line of therapy was examined in a cohort of patients first initiating on either bevacizumab, cetuximab or panitumumab in 2014.</w:t>
      </w:r>
      <w:r w:rsidR="00701112">
        <w:t xml:space="preserve"> Table 4</w:t>
      </w:r>
      <w:r w:rsidR="0026017D">
        <w:t xml:space="preserve"> shows the number of </w:t>
      </w:r>
      <w:r w:rsidR="00DD6021">
        <w:t>initiations</w:t>
      </w:r>
      <w:r w:rsidR="001C1AFA">
        <w:t xml:space="preserve"> </w:t>
      </w:r>
      <w:r w:rsidR="00D61AF0">
        <w:t>to each targeted drug</w:t>
      </w:r>
      <w:r w:rsidR="0026017D">
        <w:t xml:space="preserve"> </w:t>
      </w:r>
      <w:r w:rsidR="001C1AFA">
        <w:t>by line of therapy for the 2014 cohort.</w:t>
      </w:r>
    </w:p>
    <w:p w14:paraId="76AD039C" w14:textId="0953902B" w:rsidR="005641F4" w:rsidRDefault="005641F4">
      <w:pPr>
        <w:spacing w:line="276" w:lineRule="auto"/>
      </w:pPr>
      <w:r>
        <w:br w:type="page"/>
      </w:r>
    </w:p>
    <w:p w14:paraId="48CE706C" w14:textId="2ADDEA38" w:rsidR="0026017D" w:rsidRPr="005641F4" w:rsidRDefault="00701112" w:rsidP="005641F4">
      <w:pPr>
        <w:pStyle w:val="Tabletitle"/>
      </w:pPr>
      <w:r w:rsidRPr="005641F4">
        <w:lastRenderedPageBreak/>
        <w:t>Table 4</w:t>
      </w:r>
      <w:r w:rsidR="0026017D" w:rsidRPr="005641F4">
        <w:t xml:space="preserve">. </w:t>
      </w:r>
      <w:r w:rsidR="001C1AFA" w:rsidRPr="005641F4">
        <w:t>Drug initiations</w:t>
      </w:r>
      <w:r w:rsidR="0026017D" w:rsidRPr="005641F4">
        <w:t xml:space="preserve"> by line of therapy</w:t>
      </w:r>
    </w:p>
    <w:tbl>
      <w:tblPr>
        <w:tblStyle w:val="TableGrid"/>
        <w:tblW w:w="0" w:type="auto"/>
        <w:tblLayout w:type="fixed"/>
        <w:tblLook w:val="04A0" w:firstRow="1" w:lastRow="0" w:firstColumn="1" w:lastColumn="0" w:noHBand="0" w:noVBand="1"/>
        <w:tblCaption w:val="Table 4"/>
        <w:tblDescription w:val="Number of durg initiations by drug by line of therapy"/>
      </w:tblPr>
      <w:tblGrid>
        <w:gridCol w:w="2518"/>
        <w:gridCol w:w="1418"/>
        <w:gridCol w:w="992"/>
        <w:gridCol w:w="1417"/>
      </w:tblGrid>
      <w:tr w:rsidR="003443E4" w14:paraId="5D2F819F" w14:textId="29537A57" w:rsidTr="005E154A">
        <w:trPr>
          <w:tblHeader/>
        </w:trPr>
        <w:tc>
          <w:tcPr>
            <w:tcW w:w="2518" w:type="dxa"/>
            <w:tcBorders>
              <w:bottom w:val="single" w:sz="4" w:space="0" w:color="auto"/>
            </w:tcBorders>
            <w:shd w:val="clear" w:color="auto" w:fill="BFBFBF" w:themeFill="background1" w:themeFillShade="BF"/>
          </w:tcPr>
          <w:p w14:paraId="2E962FC4" w14:textId="77777777" w:rsidR="003443E4" w:rsidRPr="00256831" w:rsidRDefault="003443E4" w:rsidP="00256831">
            <w:pPr>
              <w:spacing w:before="60" w:after="60"/>
              <w:jc w:val="center"/>
              <w:rPr>
                <w:b/>
                <w:sz w:val="20"/>
                <w:szCs w:val="20"/>
              </w:rPr>
            </w:pPr>
            <w:r w:rsidRPr="00256831">
              <w:rPr>
                <w:b/>
                <w:sz w:val="20"/>
                <w:szCs w:val="20"/>
              </w:rPr>
              <w:t>Analysis</w:t>
            </w:r>
          </w:p>
        </w:tc>
        <w:tc>
          <w:tcPr>
            <w:tcW w:w="1418" w:type="dxa"/>
            <w:shd w:val="clear" w:color="auto" w:fill="BFBFBF" w:themeFill="background1" w:themeFillShade="BF"/>
          </w:tcPr>
          <w:p w14:paraId="3FCD1DF5" w14:textId="77777777" w:rsidR="003443E4" w:rsidRPr="00256831" w:rsidRDefault="003443E4" w:rsidP="00256831">
            <w:pPr>
              <w:spacing w:before="60" w:after="60"/>
              <w:jc w:val="center"/>
              <w:rPr>
                <w:b/>
                <w:sz w:val="20"/>
                <w:szCs w:val="20"/>
              </w:rPr>
            </w:pPr>
            <w:r w:rsidRPr="00256831">
              <w:rPr>
                <w:b/>
                <w:sz w:val="20"/>
                <w:szCs w:val="20"/>
              </w:rPr>
              <w:t>Drug group</w:t>
            </w:r>
          </w:p>
        </w:tc>
        <w:tc>
          <w:tcPr>
            <w:tcW w:w="992" w:type="dxa"/>
            <w:shd w:val="clear" w:color="auto" w:fill="BFBFBF" w:themeFill="background1" w:themeFillShade="BF"/>
          </w:tcPr>
          <w:p w14:paraId="53EF96FA" w14:textId="5C023F56" w:rsidR="003443E4" w:rsidRPr="00256831" w:rsidRDefault="003443E4" w:rsidP="00256831">
            <w:pPr>
              <w:spacing w:before="60" w:after="60"/>
              <w:jc w:val="center"/>
              <w:rPr>
                <w:b/>
                <w:sz w:val="20"/>
                <w:szCs w:val="20"/>
              </w:rPr>
            </w:pPr>
            <w:r w:rsidRPr="00256831">
              <w:rPr>
                <w:b/>
                <w:sz w:val="20"/>
                <w:szCs w:val="20"/>
              </w:rPr>
              <w:t>n</w:t>
            </w:r>
          </w:p>
        </w:tc>
        <w:tc>
          <w:tcPr>
            <w:tcW w:w="1417" w:type="dxa"/>
            <w:shd w:val="clear" w:color="auto" w:fill="BFBFBF" w:themeFill="background1" w:themeFillShade="BF"/>
          </w:tcPr>
          <w:p w14:paraId="028920FE" w14:textId="5FCDE427" w:rsidR="003443E4" w:rsidRPr="00256831" w:rsidRDefault="003443E4" w:rsidP="00256831">
            <w:pPr>
              <w:spacing w:before="60" w:after="60"/>
              <w:jc w:val="center"/>
              <w:rPr>
                <w:b/>
                <w:sz w:val="20"/>
                <w:szCs w:val="20"/>
              </w:rPr>
            </w:pPr>
            <w:r w:rsidRPr="00256831">
              <w:rPr>
                <w:b/>
                <w:sz w:val="20"/>
                <w:szCs w:val="20"/>
              </w:rPr>
              <w:t>Proportion</w:t>
            </w:r>
          </w:p>
        </w:tc>
      </w:tr>
      <w:tr w:rsidR="00242020" w14:paraId="23BCA757" w14:textId="61C36B64" w:rsidTr="00242020">
        <w:tc>
          <w:tcPr>
            <w:tcW w:w="2518" w:type="dxa"/>
            <w:tcBorders>
              <w:top w:val="single" w:sz="4" w:space="0" w:color="auto"/>
              <w:left w:val="single" w:sz="4" w:space="0" w:color="auto"/>
              <w:bottom w:val="nil"/>
              <w:right w:val="single" w:sz="4" w:space="0" w:color="auto"/>
            </w:tcBorders>
          </w:tcPr>
          <w:p w14:paraId="028C8F8D" w14:textId="12362C23" w:rsidR="00242020" w:rsidRPr="00256831" w:rsidRDefault="00242020" w:rsidP="00256831">
            <w:pPr>
              <w:spacing w:before="60" w:after="60"/>
              <w:rPr>
                <w:sz w:val="20"/>
                <w:szCs w:val="20"/>
              </w:rPr>
            </w:pPr>
            <w:r w:rsidRPr="00256831">
              <w:rPr>
                <w:sz w:val="20"/>
                <w:szCs w:val="20"/>
              </w:rPr>
              <w:t xml:space="preserve">First-line </w:t>
            </w:r>
          </w:p>
        </w:tc>
        <w:tc>
          <w:tcPr>
            <w:tcW w:w="1418" w:type="dxa"/>
            <w:tcBorders>
              <w:left w:val="single" w:sz="4" w:space="0" w:color="auto"/>
            </w:tcBorders>
          </w:tcPr>
          <w:p w14:paraId="718E5E92" w14:textId="77777777" w:rsidR="00242020" w:rsidRPr="00256831" w:rsidRDefault="00242020" w:rsidP="00256831">
            <w:pPr>
              <w:spacing w:before="60" w:after="60"/>
              <w:rPr>
                <w:sz w:val="20"/>
                <w:szCs w:val="20"/>
              </w:rPr>
            </w:pPr>
            <w:r w:rsidRPr="00256831">
              <w:rPr>
                <w:sz w:val="20"/>
                <w:szCs w:val="20"/>
              </w:rPr>
              <w:t>Bevacizumab</w:t>
            </w:r>
          </w:p>
        </w:tc>
        <w:tc>
          <w:tcPr>
            <w:tcW w:w="992" w:type="dxa"/>
            <w:vAlign w:val="bottom"/>
          </w:tcPr>
          <w:p w14:paraId="26DA5E8F" w14:textId="750413FD" w:rsidR="00242020" w:rsidRPr="00256831" w:rsidRDefault="00242020" w:rsidP="00256831">
            <w:pPr>
              <w:spacing w:before="60" w:after="60"/>
              <w:jc w:val="center"/>
              <w:rPr>
                <w:sz w:val="20"/>
                <w:szCs w:val="20"/>
              </w:rPr>
            </w:pPr>
            <w:r w:rsidRPr="00256831">
              <w:rPr>
                <w:rFonts w:ascii="Calibri" w:hAnsi="Calibri"/>
                <w:sz w:val="20"/>
                <w:szCs w:val="20"/>
              </w:rPr>
              <w:t>2,132</w:t>
            </w:r>
          </w:p>
        </w:tc>
        <w:tc>
          <w:tcPr>
            <w:tcW w:w="1417" w:type="dxa"/>
            <w:vAlign w:val="bottom"/>
          </w:tcPr>
          <w:p w14:paraId="20FBC13C" w14:textId="7F26A3C0" w:rsidR="00242020" w:rsidRPr="00256831" w:rsidRDefault="00242020" w:rsidP="00256831">
            <w:pPr>
              <w:spacing w:before="60" w:after="60"/>
              <w:jc w:val="center"/>
              <w:rPr>
                <w:rFonts w:ascii="Calibri" w:hAnsi="Calibri"/>
                <w:sz w:val="20"/>
                <w:szCs w:val="20"/>
              </w:rPr>
            </w:pPr>
            <w:r w:rsidRPr="00256831">
              <w:rPr>
                <w:rFonts w:ascii="Calibri" w:hAnsi="Calibri"/>
                <w:sz w:val="20"/>
                <w:szCs w:val="20"/>
              </w:rPr>
              <w:t>87.7%</w:t>
            </w:r>
          </w:p>
        </w:tc>
      </w:tr>
      <w:tr w:rsidR="00242020" w14:paraId="3CF48C1C" w14:textId="7530E679" w:rsidTr="00242020">
        <w:tc>
          <w:tcPr>
            <w:tcW w:w="2518" w:type="dxa"/>
            <w:tcBorders>
              <w:top w:val="nil"/>
              <w:left w:val="single" w:sz="4" w:space="0" w:color="auto"/>
              <w:bottom w:val="nil"/>
              <w:right w:val="single" w:sz="4" w:space="0" w:color="auto"/>
            </w:tcBorders>
          </w:tcPr>
          <w:p w14:paraId="176C81DC" w14:textId="6F98A13D" w:rsidR="00242020" w:rsidRPr="00256831" w:rsidRDefault="00242020" w:rsidP="00256831">
            <w:pPr>
              <w:spacing w:before="60" w:after="60"/>
              <w:rPr>
                <w:sz w:val="20"/>
                <w:szCs w:val="20"/>
              </w:rPr>
            </w:pPr>
            <w:r w:rsidRPr="00256831">
              <w:rPr>
                <w:sz w:val="20"/>
                <w:szCs w:val="20"/>
              </w:rPr>
              <w:t>(Total initiators = 2,430)</w:t>
            </w:r>
          </w:p>
        </w:tc>
        <w:tc>
          <w:tcPr>
            <w:tcW w:w="1418" w:type="dxa"/>
            <w:tcBorders>
              <w:left w:val="single" w:sz="4" w:space="0" w:color="auto"/>
            </w:tcBorders>
          </w:tcPr>
          <w:p w14:paraId="021310C1" w14:textId="77777777" w:rsidR="00242020" w:rsidRPr="00256831" w:rsidRDefault="00242020" w:rsidP="00256831">
            <w:pPr>
              <w:spacing w:before="60" w:after="60"/>
              <w:rPr>
                <w:sz w:val="20"/>
                <w:szCs w:val="20"/>
              </w:rPr>
            </w:pPr>
            <w:r w:rsidRPr="00256831">
              <w:rPr>
                <w:sz w:val="20"/>
                <w:szCs w:val="20"/>
              </w:rPr>
              <w:t>Cetuximab</w:t>
            </w:r>
          </w:p>
        </w:tc>
        <w:tc>
          <w:tcPr>
            <w:tcW w:w="992" w:type="dxa"/>
            <w:vAlign w:val="bottom"/>
          </w:tcPr>
          <w:p w14:paraId="675ED76D" w14:textId="64CCD671" w:rsidR="00242020" w:rsidRPr="00256831" w:rsidRDefault="00242020" w:rsidP="00256831">
            <w:pPr>
              <w:spacing w:before="60" w:after="60"/>
              <w:jc w:val="center"/>
              <w:rPr>
                <w:sz w:val="20"/>
                <w:szCs w:val="20"/>
              </w:rPr>
            </w:pPr>
            <w:r w:rsidRPr="00256831">
              <w:rPr>
                <w:rFonts w:ascii="Calibri" w:hAnsi="Calibri"/>
                <w:sz w:val="20"/>
                <w:szCs w:val="20"/>
              </w:rPr>
              <w:t>266</w:t>
            </w:r>
          </w:p>
        </w:tc>
        <w:tc>
          <w:tcPr>
            <w:tcW w:w="1417" w:type="dxa"/>
            <w:vAlign w:val="bottom"/>
          </w:tcPr>
          <w:p w14:paraId="70069B54" w14:textId="26378395" w:rsidR="00242020" w:rsidRPr="00256831" w:rsidRDefault="00242020" w:rsidP="00256831">
            <w:pPr>
              <w:spacing w:before="60" w:after="60"/>
              <w:jc w:val="center"/>
              <w:rPr>
                <w:rFonts w:ascii="Calibri" w:hAnsi="Calibri"/>
                <w:sz w:val="20"/>
                <w:szCs w:val="20"/>
              </w:rPr>
            </w:pPr>
            <w:r w:rsidRPr="00256831">
              <w:rPr>
                <w:rFonts w:ascii="Calibri" w:hAnsi="Calibri"/>
                <w:sz w:val="20"/>
                <w:szCs w:val="20"/>
              </w:rPr>
              <w:t>10.9%</w:t>
            </w:r>
          </w:p>
        </w:tc>
      </w:tr>
      <w:tr w:rsidR="00242020" w14:paraId="405D1345" w14:textId="4881CA98" w:rsidTr="00242020">
        <w:tc>
          <w:tcPr>
            <w:tcW w:w="2518" w:type="dxa"/>
            <w:tcBorders>
              <w:top w:val="nil"/>
              <w:left w:val="single" w:sz="4" w:space="0" w:color="auto"/>
              <w:bottom w:val="single" w:sz="4" w:space="0" w:color="auto"/>
              <w:right w:val="single" w:sz="4" w:space="0" w:color="auto"/>
            </w:tcBorders>
          </w:tcPr>
          <w:p w14:paraId="0CAFEA56" w14:textId="77777777" w:rsidR="00242020" w:rsidRPr="00256831" w:rsidRDefault="00242020" w:rsidP="00256831">
            <w:pPr>
              <w:spacing w:before="60" w:after="60"/>
              <w:rPr>
                <w:sz w:val="20"/>
                <w:szCs w:val="20"/>
              </w:rPr>
            </w:pPr>
          </w:p>
        </w:tc>
        <w:tc>
          <w:tcPr>
            <w:tcW w:w="1418" w:type="dxa"/>
            <w:tcBorders>
              <w:left w:val="single" w:sz="4" w:space="0" w:color="auto"/>
            </w:tcBorders>
          </w:tcPr>
          <w:p w14:paraId="2DFFC0D7" w14:textId="77777777" w:rsidR="00242020" w:rsidRPr="00256831" w:rsidRDefault="00242020" w:rsidP="00256831">
            <w:pPr>
              <w:spacing w:before="60" w:after="60"/>
              <w:rPr>
                <w:sz w:val="20"/>
                <w:szCs w:val="20"/>
              </w:rPr>
            </w:pPr>
            <w:r w:rsidRPr="00256831">
              <w:rPr>
                <w:sz w:val="20"/>
                <w:szCs w:val="20"/>
              </w:rPr>
              <w:t>Panitumumab</w:t>
            </w:r>
          </w:p>
        </w:tc>
        <w:tc>
          <w:tcPr>
            <w:tcW w:w="992" w:type="dxa"/>
            <w:vAlign w:val="bottom"/>
          </w:tcPr>
          <w:p w14:paraId="618754FC" w14:textId="214B877E" w:rsidR="00242020" w:rsidRPr="00256831" w:rsidRDefault="00242020" w:rsidP="00256831">
            <w:pPr>
              <w:spacing w:before="60" w:after="60"/>
              <w:jc w:val="center"/>
              <w:rPr>
                <w:sz w:val="20"/>
                <w:szCs w:val="20"/>
              </w:rPr>
            </w:pPr>
            <w:r w:rsidRPr="00256831">
              <w:rPr>
                <w:rFonts w:ascii="Calibri" w:hAnsi="Calibri"/>
                <w:sz w:val="20"/>
                <w:szCs w:val="20"/>
              </w:rPr>
              <w:t>32</w:t>
            </w:r>
          </w:p>
        </w:tc>
        <w:tc>
          <w:tcPr>
            <w:tcW w:w="1417" w:type="dxa"/>
            <w:vAlign w:val="bottom"/>
          </w:tcPr>
          <w:p w14:paraId="36460468" w14:textId="649ECD32" w:rsidR="00242020" w:rsidRPr="00256831" w:rsidRDefault="00242020" w:rsidP="00256831">
            <w:pPr>
              <w:spacing w:before="60" w:after="60"/>
              <w:jc w:val="center"/>
              <w:rPr>
                <w:rFonts w:ascii="Calibri" w:hAnsi="Calibri"/>
                <w:sz w:val="20"/>
                <w:szCs w:val="20"/>
              </w:rPr>
            </w:pPr>
            <w:r w:rsidRPr="00256831">
              <w:rPr>
                <w:rFonts w:ascii="Calibri" w:hAnsi="Calibri"/>
                <w:sz w:val="20"/>
                <w:szCs w:val="20"/>
              </w:rPr>
              <w:t>1.3%</w:t>
            </w:r>
          </w:p>
        </w:tc>
      </w:tr>
      <w:tr w:rsidR="00242020" w14:paraId="362EA489" w14:textId="3723E5CB" w:rsidTr="00242020">
        <w:tc>
          <w:tcPr>
            <w:tcW w:w="2518" w:type="dxa"/>
            <w:tcBorders>
              <w:top w:val="single" w:sz="4" w:space="0" w:color="auto"/>
              <w:left w:val="single" w:sz="4" w:space="0" w:color="auto"/>
              <w:bottom w:val="nil"/>
              <w:right w:val="single" w:sz="4" w:space="0" w:color="auto"/>
            </w:tcBorders>
          </w:tcPr>
          <w:p w14:paraId="4DB90A0B" w14:textId="76859FBC" w:rsidR="00242020" w:rsidRPr="00256831" w:rsidRDefault="00242020" w:rsidP="00256831">
            <w:pPr>
              <w:spacing w:before="60" w:after="60"/>
              <w:rPr>
                <w:sz w:val="20"/>
                <w:szCs w:val="20"/>
              </w:rPr>
            </w:pPr>
            <w:r w:rsidRPr="00256831">
              <w:rPr>
                <w:sz w:val="20"/>
                <w:szCs w:val="20"/>
              </w:rPr>
              <w:t>Second-line</w:t>
            </w:r>
          </w:p>
        </w:tc>
        <w:tc>
          <w:tcPr>
            <w:tcW w:w="1418" w:type="dxa"/>
            <w:tcBorders>
              <w:left w:val="single" w:sz="4" w:space="0" w:color="auto"/>
            </w:tcBorders>
          </w:tcPr>
          <w:p w14:paraId="30041442" w14:textId="77777777" w:rsidR="00242020" w:rsidRPr="00256831" w:rsidRDefault="00242020" w:rsidP="00256831">
            <w:pPr>
              <w:spacing w:before="60" w:after="60"/>
              <w:rPr>
                <w:sz w:val="20"/>
                <w:szCs w:val="20"/>
              </w:rPr>
            </w:pPr>
            <w:r w:rsidRPr="00256831">
              <w:rPr>
                <w:sz w:val="20"/>
                <w:szCs w:val="20"/>
              </w:rPr>
              <w:t>Bevacizumab</w:t>
            </w:r>
          </w:p>
        </w:tc>
        <w:tc>
          <w:tcPr>
            <w:tcW w:w="992" w:type="dxa"/>
            <w:vAlign w:val="bottom"/>
          </w:tcPr>
          <w:p w14:paraId="2D0B0B59" w14:textId="566EA6D9" w:rsidR="00242020" w:rsidRPr="00256831" w:rsidRDefault="00242020" w:rsidP="00256831">
            <w:pPr>
              <w:spacing w:before="60" w:after="60"/>
              <w:jc w:val="center"/>
              <w:rPr>
                <w:sz w:val="20"/>
                <w:szCs w:val="20"/>
              </w:rPr>
            </w:pPr>
            <w:r w:rsidRPr="00256831">
              <w:rPr>
                <w:rFonts w:ascii="Calibri" w:hAnsi="Calibri"/>
                <w:sz w:val="20"/>
                <w:szCs w:val="20"/>
              </w:rPr>
              <w:t>50</w:t>
            </w:r>
          </w:p>
        </w:tc>
        <w:tc>
          <w:tcPr>
            <w:tcW w:w="1417" w:type="dxa"/>
            <w:vAlign w:val="bottom"/>
          </w:tcPr>
          <w:p w14:paraId="773378AE" w14:textId="279D0422" w:rsidR="00242020" w:rsidRPr="00256831" w:rsidRDefault="00242020" w:rsidP="00256831">
            <w:pPr>
              <w:spacing w:before="60" w:after="60"/>
              <w:jc w:val="center"/>
              <w:rPr>
                <w:sz w:val="20"/>
                <w:szCs w:val="20"/>
              </w:rPr>
            </w:pPr>
            <w:r w:rsidRPr="00256831">
              <w:rPr>
                <w:rFonts w:ascii="Calibri" w:hAnsi="Calibri"/>
                <w:sz w:val="20"/>
                <w:szCs w:val="20"/>
              </w:rPr>
              <w:t>7.9%</w:t>
            </w:r>
          </w:p>
        </w:tc>
      </w:tr>
      <w:tr w:rsidR="00242020" w14:paraId="78425E94" w14:textId="0CA9A68C" w:rsidTr="00242020">
        <w:tc>
          <w:tcPr>
            <w:tcW w:w="2518" w:type="dxa"/>
            <w:tcBorders>
              <w:top w:val="nil"/>
              <w:left w:val="single" w:sz="4" w:space="0" w:color="auto"/>
              <w:bottom w:val="nil"/>
              <w:right w:val="single" w:sz="4" w:space="0" w:color="auto"/>
            </w:tcBorders>
          </w:tcPr>
          <w:p w14:paraId="366AE6A0" w14:textId="4D6E87BD" w:rsidR="00242020" w:rsidRPr="00256831" w:rsidRDefault="00242020" w:rsidP="00256831">
            <w:pPr>
              <w:spacing w:before="60" w:after="60"/>
              <w:rPr>
                <w:sz w:val="20"/>
                <w:szCs w:val="20"/>
              </w:rPr>
            </w:pPr>
            <w:r w:rsidRPr="00256831">
              <w:rPr>
                <w:sz w:val="20"/>
                <w:szCs w:val="20"/>
              </w:rPr>
              <w:t>(Total initiators = 634)</w:t>
            </w:r>
          </w:p>
        </w:tc>
        <w:tc>
          <w:tcPr>
            <w:tcW w:w="1418" w:type="dxa"/>
            <w:tcBorders>
              <w:left w:val="single" w:sz="4" w:space="0" w:color="auto"/>
            </w:tcBorders>
          </w:tcPr>
          <w:p w14:paraId="2B84D63A" w14:textId="77777777" w:rsidR="00242020" w:rsidRPr="00256831" w:rsidRDefault="00242020" w:rsidP="00256831">
            <w:pPr>
              <w:spacing w:before="60" w:after="60"/>
              <w:rPr>
                <w:sz w:val="20"/>
                <w:szCs w:val="20"/>
              </w:rPr>
            </w:pPr>
            <w:r w:rsidRPr="00256831">
              <w:rPr>
                <w:sz w:val="20"/>
                <w:szCs w:val="20"/>
              </w:rPr>
              <w:t>Cetuximab</w:t>
            </w:r>
          </w:p>
        </w:tc>
        <w:tc>
          <w:tcPr>
            <w:tcW w:w="992" w:type="dxa"/>
            <w:vAlign w:val="bottom"/>
          </w:tcPr>
          <w:p w14:paraId="0D0F045D" w14:textId="6E03B549" w:rsidR="00242020" w:rsidRPr="00256831" w:rsidRDefault="00242020" w:rsidP="00256831">
            <w:pPr>
              <w:spacing w:before="60" w:after="60"/>
              <w:jc w:val="center"/>
              <w:rPr>
                <w:sz w:val="20"/>
                <w:szCs w:val="20"/>
              </w:rPr>
            </w:pPr>
            <w:r w:rsidRPr="00256831">
              <w:rPr>
                <w:rFonts w:ascii="Calibri" w:hAnsi="Calibri"/>
                <w:sz w:val="20"/>
                <w:szCs w:val="20"/>
              </w:rPr>
              <w:t>452</w:t>
            </w:r>
          </w:p>
        </w:tc>
        <w:tc>
          <w:tcPr>
            <w:tcW w:w="1417" w:type="dxa"/>
            <w:vAlign w:val="bottom"/>
          </w:tcPr>
          <w:p w14:paraId="6366FB96" w14:textId="185D4A0B" w:rsidR="00242020" w:rsidRPr="00256831" w:rsidRDefault="00242020" w:rsidP="00256831">
            <w:pPr>
              <w:spacing w:before="60" w:after="60"/>
              <w:jc w:val="center"/>
              <w:rPr>
                <w:sz w:val="20"/>
                <w:szCs w:val="20"/>
              </w:rPr>
            </w:pPr>
            <w:r w:rsidRPr="00256831">
              <w:rPr>
                <w:rFonts w:ascii="Calibri" w:hAnsi="Calibri"/>
                <w:sz w:val="20"/>
                <w:szCs w:val="20"/>
              </w:rPr>
              <w:t>71.3%</w:t>
            </w:r>
          </w:p>
        </w:tc>
      </w:tr>
      <w:tr w:rsidR="00242020" w14:paraId="5EB712FF" w14:textId="00CE8236" w:rsidTr="00242020">
        <w:tc>
          <w:tcPr>
            <w:tcW w:w="2518" w:type="dxa"/>
            <w:tcBorders>
              <w:top w:val="nil"/>
              <w:left w:val="single" w:sz="4" w:space="0" w:color="auto"/>
              <w:bottom w:val="single" w:sz="4" w:space="0" w:color="auto"/>
              <w:right w:val="single" w:sz="4" w:space="0" w:color="auto"/>
            </w:tcBorders>
          </w:tcPr>
          <w:p w14:paraId="253353F8" w14:textId="77777777" w:rsidR="00242020" w:rsidRPr="00256831" w:rsidRDefault="00242020" w:rsidP="00256831">
            <w:pPr>
              <w:spacing w:before="60" w:after="60"/>
              <w:rPr>
                <w:sz w:val="20"/>
                <w:szCs w:val="20"/>
              </w:rPr>
            </w:pPr>
          </w:p>
        </w:tc>
        <w:tc>
          <w:tcPr>
            <w:tcW w:w="1418" w:type="dxa"/>
            <w:tcBorders>
              <w:left w:val="single" w:sz="4" w:space="0" w:color="auto"/>
            </w:tcBorders>
          </w:tcPr>
          <w:p w14:paraId="6E2A7276" w14:textId="77777777" w:rsidR="00242020" w:rsidRPr="00256831" w:rsidRDefault="00242020" w:rsidP="00256831">
            <w:pPr>
              <w:spacing w:before="60" w:after="60"/>
              <w:rPr>
                <w:sz w:val="20"/>
                <w:szCs w:val="20"/>
              </w:rPr>
            </w:pPr>
            <w:r w:rsidRPr="00256831">
              <w:rPr>
                <w:sz w:val="20"/>
                <w:szCs w:val="20"/>
              </w:rPr>
              <w:t>Panitumumab</w:t>
            </w:r>
          </w:p>
        </w:tc>
        <w:tc>
          <w:tcPr>
            <w:tcW w:w="992" w:type="dxa"/>
            <w:vAlign w:val="bottom"/>
          </w:tcPr>
          <w:p w14:paraId="3A835936" w14:textId="1F4EA549" w:rsidR="00242020" w:rsidRPr="00256831" w:rsidRDefault="00242020" w:rsidP="00256831">
            <w:pPr>
              <w:spacing w:before="60" w:after="60"/>
              <w:jc w:val="center"/>
              <w:rPr>
                <w:sz w:val="20"/>
                <w:szCs w:val="20"/>
              </w:rPr>
            </w:pPr>
            <w:r w:rsidRPr="00256831">
              <w:rPr>
                <w:rFonts w:ascii="Calibri" w:hAnsi="Calibri"/>
                <w:sz w:val="20"/>
                <w:szCs w:val="20"/>
              </w:rPr>
              <w:t>132</w:t>
            </w:r>
          </w:p>
        </w:tc>
        <w:tc>
          <w:tcPr>
            <w:tcW w:w="1417" w:type="dxa"/>
            <w:vAlign w:val="bottom"/>
          </w:tcPr>
          <w:p w14:paraId="0D66077E" w14:textId="475E0346" w:rsidR="00242020" w:rsidRPr="00256831" w:rsidRDefault="00242020" w:rsidP="00256831">
            <w:pPr>
              <w:spacing w:before="60" w:after="60"/>
              <w:jc w:val="center"/>
              <w:rPr>
                <w:sz w:val="20"/>
                <w:szCs w:val="20"/>
              </w:rPr>
            </w:pPr>
            <w:r w:rsidRPr="00256831">
              <w:rPr>
                <w:rFonts w:ascii="Calibri" w:hAnsi="Calibri"/>
                <w:sz w:val="20"/>
                <w:szCs w:val="20"/>
              </w:rPr>
              <w:t>20.8%</w:t>
            </w:r>
          </w:p>
        </w:tc>
      </w:tr>
      <w:tr w:rsidR="00B46141" w14:paraId="1624867D" w14:textId="0B3157B6" w:rsidTr="00242020">
        <w:tc>
          <w:tcPr>
            <w:tcW w:w="2518" w:type="dxa"/>
            <w:tcBorders>
              <w:top w:val="nil"/>
              <w:left w:val="single" w:sz="4" w:space="0" w:color="auto"/>
              <w:bottom w:val="nil"/>
              <w:right w:val="single" w:sz="4" w:space="0" w:color="auto"/>
            </w:tcBorders>
          </w:tcPr>
          <w:p w14:paraId="638686F1" w14:textId="4AEF9169" w:rsidR="00B46141" w:rsidRPr="00256831" w:rsidRDefault="00B46141" w:rsidP="00256831">
            <w:pPr>
              <w:spacing w:before="60" w:after="60"/>
              <w:rPr>
                <w:sz w:val="20"/>
                <w:szCs w:val="20"/>
              </w:rPr>
            </w:pPr>
            <w:r w:rsidRPr="00256831">
              <w:rPr>
                <w:sz w:val="20"/>
                <w:szCs w:val="20"/>
              </w:rPr>
              <w:t>Third-line</w:t>
            </w:r>
          </w:p>
        </w:tc>
        <w:tc>
          <w:tcPr>
            <w:tcW w:w="1418" w:type="dxa"/>
            <w:tcBorders>
              <w:left w:val="single" w:sz="4" w:space="0" w:color="auto"/>
            </w:tcBorders>
          </w:tcPr>
          <w:p w14:paraId="3AF3C05D" w14:textId="0794E2BD" w:rsidR="00B46141" w:rsidRPr="00256831" w:rsidRDefault="00B46141" w:rsidP="00256831">
            <w:pPr>
              <w:spacing w:before="60" w:after="60"/>
              <w:rPr>
                <w:sz w:val="20"/>
                <w:szCs w:val="20"/>
              </w:rPr>
            </w:pPr>
            <w:r w:rsidRPr="00256831">
              <w:rPr>
                <w:sz w:val="20"/>
                <w:szCs w:val="20"/>
              </w:rPr>
              <w:t>Cetuximab</w:t>
            </w:r>
          </w:p>
        </w:tc>
        <w:tc>
          <w:tcPr>
            <w:tcW w:w="992" w:type="dxa"/>
            <w:vAlign w:val="bottom"/>
          </w:tcPr>
          <w:p w14:paraId="34279072" w14:textId="3834E226" w:rsidR="00B46141" w:rsidRPr="00256831" w:rsidRDefault="00B46141" w:rsidP="00256831">
            <w:pPr>
              <w:spacing w:before="60" w:after="60"/>
              <w:jc w:val="center"/>
              <w:rPr>
                <w:sz w:val="20"/>
                <w:szCs w:val="20"/>
              </w:rPr>
            </w:pPr>
            <w:r w:rsidRPr="00256831">
              <w:rPr>
                <w:rFonts w:ascii="Calibri" w:hAnsi="Calibri"/>
                <w:sz w:val="20"/>
                <w:szCs w:val="20"/>
              </w:rPr>
              <w:t>7</w:t>
            </w:r>
          </w:p>
        </w:tc>
        <w:tc>
          <w:tcPr>
            <w:tcW w:w="1417" w:type="dxa"/>
            <w:vAlign w:val="bottom"/>
          </w:tcPr>
          <w:p w14:paraId="7EFE895A" w14:textId="5D779C5B" w:rsidR="00B46141" w:rsidRPr="00256831" w:rsidRDefault="00B46141" w:rsidP="00256831">
            <w:pPr>
              <w:spacing w:before="60" w:after="60"/>
              <w:jc w:val="center"/>
              <w:rPr>
                <w:sz w:val="20"/>
                <w:szCs w:val="20"/>
              </w:rPr>
            </w:pPr>
            <w:r w:rsidRPr="00256831">
              <w:rPr>
                <w:rFonts w:ascii="Calibri" w:hAnsi="Calibri"/>
                <w:color w:val="000000"/>
                <w:sz w:val="20"/>
                <w:szCs w:val="20"/>
              </w:rPr>
              <w:t>18.9%</w:t>
            </w:r>
          </w:p>
        </w:tc>
      </w:tr>
      <w:tr w:rsidR="00B46141" w14:paraId="26F9B709" w14:textId="05E8304B" w:rsidTr="00242020">
        <w:tc>
          <w:tcPr>
            <w:tcW w:w="2518" w:type="dxa"/>
            <w:tcBorders>
              <w:top w:val="nil"/>
              <w:left w:val="single" w:sz="4" w:space="0" w:color="auto"/>
              <w:bottom w:val="single" w:sz="4" w:space="0" w:color="auto"/>
              <w:right w:val="single" w:sz="4" w:space="0" w:color="auto"/>
            </w:tcBorders>
          </w:tcPr>
          <w:p w14:paraId="561F8536" w14:textId="63AA3C17" w:rsidR="00B46141" w:rsidRPr="00256831" w:rsidRDefault="00B46141" w:rsidP="00256831">
            <w:pPr>
              <w:spacing w:before="60" w:after="60"/>
              <w:rPr>
                <w:sz w:val="20"/>
                <w:szCs w:val="20"/>
              </w:rPr>
            </w:pPr>
            <w:r w:rsidRPr="00256831">
              <w:rPr>
                <w:sz w:val="20"/>
                <w:szCs w:val="20"/>
              </w:rPr>
              <w:t>(Total initiators = 38)</w:t>
            </w:r>
          </w:p>
        </w:tc>
        <w:tc>
          <w:tcPr>
            <w:tcW w:w="1418" w:type="dxa"/>
            <w:tcBorders>
              <w:left w:val="single" w:sz="4" w:space="0" w:color="auto"/>
            </w:tcBorders>
          </w:tcPr>
          <w:p w14:paraId="124652A5" w14:textId="75CB1558" w:rsidR="00B46141" w:rsidRPr="00256831" w:rsidRDefault="00B46141" w:rsidP="00256831">
            <w:pPr>
              <w:spacing w:before="60" w:after="60"/>
              <w:rPr>
                <w:sz w:val="20"/>
                <w:szCs w:val="20"/>
              </w:rPr>
            </w:pPr>
            <w:r w:rsidRPr="00256831">
              <w:rPr>
                <w:sz w:val="20"/>
                <w:szCs w:val="20"/>
              </w:rPr>
              <w:t>Panitumumab</w:t>
            </w:r>
          </w:p>
        </w:tc>
        <w:tc>
          <w:tcPr>
            <w:tcW w:w="992" w:type="dxa"/>
            <w:vAlign w:val="bottom"/>
          </w:tcPr>
          <w:p w14:paraId="2EDD383E" w14:textId="5FD4A471" w:rsidR="00B46141" w:rsidRPr="00256831" w:rsidRDefault="00B46141" w:rsidP="00256831">
            <w:pPr>
              <w:spacing w:before="60" w:after="60"/>
              <w:jc w:val="center"/>
              <w:rPr>
                <w:sz w:val="20"/>
                <w:szCs w:val="20"/>
              </w:rPr>
            </w:pPr>
            <w:r w:rsidRPr="00256831">
              <w:rPr>
                <w:rFonts w:ascii="Calibri" w:hAnsi="Calibri"/>
                <w:sz w:val="20"/>
                <w:szCs w:val="20"/>
              </w:rPr>
              <w:t>30</w:t>
            </w:r>
          </w:p>
        </w:tc>
        <w:tc>
          <w:tcPr>
            <w:tcW w:w="1417" w:type="dxa"/>
            <w:vAlign w:val="bottom"/>
          </w:tcPr>
          <w:p w14:paraId="3791649E" w14:textId="7A87ABFA" w:rsidR="00B46141" w:rsidRPr="00256831" w:rsidRDefault="00B46141" w:rsidP="00256831">
            <w:pPr>
              <w:spacing w:before="60" w:after="60"/>
              <w:jc w:val="center"/>
              <w:rPr>
                <w:sz w:val="20"/>
                <w:szCs w:val="20"/>
              </w:rPr>
            </w:pPr>
            <w:r w:rsidRPr="00256831">
              <w:rPr>
                <w:rFonts w:ascii="Calibri" w:hAnsi="Calibri"/>
                <w:color w:val="000000"/>
                <w:sz w:val="20"/>
                <w:szCs w:val="20"/>
              </w:rPr>
              <w:t>81.1%</w:t>
            </w:r>
          </w:p>
        </w:tc>
      </w:tr>
    </w:tbl>
    <w:p w14:paraId="32BBC43D" w14:textId="77777777" w:rsidR="0026017D" w:rsidRDefault="0026017D" w:rsidP="00AF02A6">
      <w:pPr>
        <w:spacing w:after="0"/>
      </w:pPr>
    </w:p>
    <w:p w14:paraId="15BD67F3" w14:textId="06CBE725" w:rsidR="00802794" w:rsidRDefault="00802794" w:rsidP="00AF02A6">
      <w:pPr>
        <w:spacing w:after="0"/>
      </w:pPr>
      <w:r>
        <w:t xml:space="preserve">Of the 2,430 initiators in 2014, </w:t>
      </w:r>
      <w:r w:rsidR="00605EEA">
        <w:t>26% were supplied a second-line target drug and 2% were supplied a third-line target drug (Table 4).</w:t>
      </w:r>
    </w:p>
    <w:p w14:paraId="1E499E69" w14:textId="77777777" w:rsidR="00802794" w:rsidRDefault="00802794" w:rsidP="00AF02A6">
      <w:pPr>
        <w:spacing w:after="0"/>
      </w:pPr>
    </w:p>
    <w:p w14:paraId="402F2117" w14:textId="43CF8C4A" w:rsidR="007C3719" w:rsidRDefault="002572E6" w:rsidP="00AF02A6">
      <w:pPr>
        <w:spacing w:after="0"/>
      </w:pPr>
      <w:r>
        <w:t>For all episodes of targeted therapy, the m</w:t>
      </w:r>
      <w:r w:rsidR="008112FD">
        <w:t>edian</w:t>
      </w:r>
      <w:r w:rsidR="001807DE">
        <w:t xml:space="preserve"> time on treatment, including breaks in therapy, </w:t>
      </w:r>
      <w:r>
        <w:t>was 5</w:t>
      </w:r>
      <w:r w:rsidR="008112FD">
        <w:t>17</w:t>
      </w:r>
      <w:r w:rsidR="000A5F10">
        <w:t xml:space="preserve"> days (Table 5</w:t>
      </w:r>
      <w:r>
        <w:t>).</w:t>
      </w:r>
      <w:r w:rsidR="006C65E0">
        <w:t xml:space="preserve"> </w:t>
      </w:r>
      <w:r w:rsidR="006D74CA">
        <w:t>Compared to the initiators who had a treatment break (n=1,193), the patient group without a treatment break (n=1,237) experienced a higher number of failures (1,222 vs. 1,033, respectively)</w:t>
      </w:r>
      <w:r w:rsidR="00747B7C">
        <w:t xml:space="preserve"> and had a shorter time on treatment (</w:t>
      </w:r>
      <w:r w:rsidR="008112FD">
        <w:t>median 91</w:t>
      </w:r>
      <w:r w:rsidR="00747B7C">
        <w:t xml:space="preserve"> days)</w:t>
      </w:r>
      <w:r w:rsidR="006D74CA">
        <w:t xml:space="preserve">. </w:t>
      </w:r>
      <w:r w:rsidR="0000705E">
        <w:t xml:space="preserve">Patients may have discontinued treatment without further re-treatment </w:t>
      </w:r>
      <w:r w:rsidR="007C3719">
        <w:t xml:space="preserve">due to mortality. </w:t>
      </w:r>
    </w:p>
    <w:p w14:paraId="29CF7147" w14:textId="4CA0A045" w:rsidR="007C3719" w:rsidRPr="007D7EEA" w:rsidRDefault="000A5F10" w:rsidP="00887C87">
      <w:pPr>
        <w:pStyle w:val="Tabletitle"/>
      </w:pPr>
      <w:r>
        <w:t>Table 5</w:t>
      </w:r>
      <w:r w:rsidR="007C3719" w:rsidRPr="007D7EEA">
        <w:t>. Time on treatment including treatment breaks</w:t>
      </w:r>
    </w:p>
    <w:tbl>
      <w:tblPr>
        <w:tblStyle w:val="TableGrid"/>
        <w:tblW w:w="0" w:type="auto"/>
        <w:tblLayout w:type="fixed"/>
        <w:tblLook w:val="04A0" w:firstRow="1" w:lastRow="0" w:firstColumn="1" w:lastColumn="0" w:noHBand="0" w:noVBand="1"/>
        <w:tblCaption w:val="Table 5"/>
        <w:tblDescription w:val="Time on drug therapy"/>
      </w:tblPr>
      <w:tblGrid>
        <w:gridCol w:w="2943"/>
        <w:gridCol w:w="851"/>
        <w:gridCol w:w="992"/>
        <w:gridCol w:w="1134"/>
        <w:gridCol w:w="851"/>
        <w:gridCol w:w="850"/>
      </w:tblGrid>
      <w:tr w:rsidR="007C3719" w14:paraId="416C91D5" w14:textId="77777777" w:rsidTr="005E154A">
        <w:trPr>
          <w:tblHeader/>
        </w:trPr>
        <w:tc>
          <w:tcPr>
            <w:tcW w:w="2943" w:type="dxa"/>
            <w:tcBorders>
              <w:bottom w:val="single" w:sz="4" w:space="0" w:color="auto"/>
            </w:tcBorders>
            <w:shd w:val="clear" w:color="auto" w:fill="BFBFBF" w:themeFill="background1" w:themeFillShade="BF"/>
          </w:tcPr>
          <w:p w14:paraId="38405DC2" w14:textId="77777777" w:rsidR="007C3719" w:rsidRPr="00D0147E" w:rsidRDefault="007C3719" w:rsidP="00292F72">
            <w:pPr>
              <w:jc w:val="center"/>
              <w:rPr>
                <w:b/>
                <w:sz w:val="20"/>
                <w:szCs w:val="20"/>
              </w:rPr>
            </w:pPr>
            <w:r w:rsidRPr="00D0147E">
              <w:rPr>
                <w:b/>
                <w:sz w:val="20"/>
                <w:szCs w:val="20"/>
              </w:rPr>
              <w:t>Analysis</w:t>
            </w:r>
          </w:p>
        </w:tc>
        <w:tc>
          <w:tcPr>
            <w:tcW w:w="851" w:type="dxa"/>
            <w:tcBorders>
              <w:bottom w:val="single" w:sz="4" w:space="0" w:color="auto"/>
            </w:tcBorders>
            <w:shd w:val="clear" w:color="auto" w:fill="BFBFBF" w:themeFill="background1" w:themeFillShade="BF"/>
          </w:tcPr>
          <w:p w14:paraId="1859A8CE" w14:textId="77777777" w:rsidR="007C3719" w:rsidRDefault="007C3719" w:rsidP="00292F72">
            <w:pPr>
              <w:jc w:val="center"/>
              <w:rPr>
                <w:b/>
                <w:sz w:val="20"/>
                <w:szCs w:val="20"/>
              </w:rPr>
            </w:pPr>
            <w:r>
              <w:rPr>
                <w:b/>
                <w:sz w:val="20"/>
                <w:szCs w:val="20"/>
              </w:rPr>
              <w:t>n</w:t>
            </w:r>
          </w:p>
        </w:tc>
        <w:tc>
          <w:tcPr>
            <w:tcW w:w="992" w:type="dxa"/>
            <w:tcBorders>
              <w:bottom w:val="single" w:sz="4" w:space="0" w:color="auto"/>
            </w:tcBorders>
            <w:shd w:val="clear" w:color="auto" w:fill="BFBFBF" w:themeFill="background1" w:themeFillShade="BF"/>
          </w:tcPr>
          <w:p w14:paraId="42ADABB2" w14:textId="77777777" w:rsidR="007C3719" w:rsidRPr="00D0147E" w:rsidRDefault="007C3719" w:rsidP="00292F72">
            <w:pPr>
              <w:jc w:val="center"/>
              <w:rPr>
                <w:b/>
                <w:sz w:val="20"/>
                <w:szCs w:val="20"/>
              </w:rPr>
            </w:pPr>
            <w:r>
              <w:rPr>
                <w:b/>
                <w:sz w:val="20"/>
                <w:szCs w:val="20"/>
              </w:rPr>
              <w:t>Mean</w:t>
            </w:r>
          </w:p>
        </w:tc>
        <w:tc>
          <w:tcPr>
            <w:tcW w:w="1134" w:type="dxa"/>
            <w:tcBorders>
              <w:bottom w:val="single" w:sz="4" w:space="0" w:color="auto"/>
            </w:tcBorders>
            <w:shd w:val="clear" w:color="auto" w:fill="BFBFBF" w:themeFill="background1" w:themeFillShade="BF"/>
          </w:tcPr>
          <w:p w14:paraId="1BA0A2BC" w14:textId="77777777" w:rsidR="007C3719" w:rsidRPr="00D0147E" w:rsidRDefault="007C3719" w:rsidP="00292F72">
            <w:pPr>
              <w:jc w:val="center"/>
              <w:rPr>
                <w:b/>
                <w:sz w:val="20"/>
                <w:szCs w:val="20"/>
              </w:rPr>
            </w:pPr>
            <w:r w:rsidRPr="00D0147E">
              <w:rPr>
                <w:b/>
                <w:sz w:val="20"/>
                <w:szCs w:val="20"/>
              </w:rPr>
              <w:t>Median time on treatment (days)</w:t>
            </w:r>
          </w:p>
        </w:tc>
        <w:tc>
          <w:tcPr>
            <w:tcW w:w="851" w:type="dxa"/>
            <w:tcBorders>
              <w:bottom w:val="single" w:sz="4" w:space="0" w:color="auto"/>
            </w:tcBorders>
            <w:shd w:val="clear" w:color="auto" w:fill="BFBFBF" w:themeFill="background1" w:themeFillShade="BF"/>
          </w:tcPr>
          <w:p w14:paraId="7C8FBC51" w14:textId="77777777" w:rsidR="007C3719" w:rsidRDefault="007C3719" w:rsidP="00292F72">
            <w:pPr>
              <w:jc w:val="center"/>
              <w:rPr>
                <w:b/>
                <w:sz w:val="20"/>
                <w:szCs w:val="20"/>
              </w:rPr>
            </w:pPr>
            <w:r w:rsidRPr="00D0147E">
              <w:rPr>
                <w:b/>
                <w:sz w:val="20"/>
                <w:szCs w:val="20"/>
              </w:rPr>
              <w:t xml:space="preserve">Lower CI </w:t>
            </w:r>
          </w:p>
          <w:p w14:paraId="31386E35" w14:textId="77777777" w:rsidR="007C3719" w:rsidRDefault="007C3719" w:rsidP="00292F72">
            <w:pPr>
              <w:jc w:val="center"/>
              <w:rPr>
                <w:b/>
                <w:sz w:val="20"/>
                <w:szCs w:val="20"/>
              </w:rPr>
            </w:pPr>
          </w:p>
          <w:p w14:paraId="5CE8A79E" w14:textId="77777777" w:rsidR="007C3719" w:rsidRPr="00D0147E" w:rsidRDefault="007C3719" w:rsidP="00292F72">
            <w:pPr>
              <w:jc w:val="center"/>
              <w:rPr>
                <w:b/>
                <w:sz w:val="20"/>
                <w:szCs w:val="20"/>
              </w:rPr>
            </w:pPr>
            <w:r w:rsidRPr="00D0147E">
              <w:rPr>
                <w:b/>
                <w:sz w:val="20"/>
                <w:szCs w:val="20"/>
              </w:rPr>
              <w:t>(days)</w:t>
            </w:r>
          </w:p>
        </w:tc>
        <w:tc>
          <w:tcPr>
            <w:tcW w:w="850" w:type="dxa"/>
            <w:tcBorders>
              <w:bottom w:val="single" w:sz="4" w:space="0" w:color="auto"/>
            </w:tcBorders>
            <w:shd w:val="clear" w:color="auto" w:fill="BFBFBF" w:themeFill="background1" w:themeFillShade="BF"/>
          </w:tcPr>
          <w:p w14:paraId="6473335C" w14:textId="77777777" w:rsidR="007C3719" w:rsidRDefault="007C3719" w:rsidP="00292F72">
            <w:pPr>
              <w:jc w:val="center"/>
              <w:rPr>
                <w:b/>
                <w:sz w:val="20"/>
                <w:szCs w:val="20"/>
              </w:rPr>
            </w:pPr>
            <w:r w:rsidRPr="00D0147E">
              <w:rPr>
                <w:b/>
                <w:sz w:val="20"/>
                <w:szCs w:val="20"/>
              </w:rPr>
              <w:t>Upper CI</w:t>
            </w:r>
          </w:p>
          <w:p w14:paraId="32863DE5" w14:textId="77777777" w:rsidR="007C3719" w:rsidRDefault="007C3719" w:rsidP="00292F72">
            <w:pPr>
              <w:jc w:val="center"/>
              <w:rPr>
                <w:b/>
                <w:sz w:val="20"/>
                <w:szCs w:val="20"/>
              </w:rPr>
            </w:pPr>
          </w:p>
          <w:p w14:paraId="63013C20" w14:textId="77777777" w:rsidR="007C3719" w:rsidRPr="00D0147E" w:rsidRDefault="007C3719" w:rsidP="00292F72">
            <w:pPr>
              <w:jc w:val="center"/>
              <w:rPr>
                <w:b/>
                <w:sz w:val="20"/>
                <w:szCs w:val="20"/>
              </w:rPr>
            </w:pPr>
            <w:r w:rsidRPr="00D0147E">
              <w:rPr>
                <w:b/>
                <w:sz w:val="20"/>
                <w:szCs w:val="20"/>
              </w:rPr>
              <w:t>(days)</w:t>
            </w:r>
          </w:p>
        </w:tc>
      </w:tr>
      <w:tr w:rsidR="007C3719" w14:paraId="2A70BB31" w14:textId="77777777" w:rsidTr="00F867E5">
        <w:tc>
          <w:tcPr>
            <w:tcW w:w="2943" w:type="dxa"/>
            <w:tcBorders>
              <w:top w:val="single" w:sz="4" w:space="0" w:color="auto"/>
              <w:left w:val="single" w:sz="4" w:space="0" w:color="auto"/>
              <w:bottom w:val="single" w:sz="4" w:space="0" w:color="auto"/>
              <w:right w:val="single" w:sz="4" w:space="0" w:color="auto"/>
            </w:tcBorders>
          </w:tcPr>
          <w:p w14:paraId="7D237C08" w14:textId="77777777" w:rsidR="007C3719" w:rsidRPr="008B17B1" w:rsidRDefault="007C3719" w:rsidP="00256831">
            <w:pPr>
              <w:spacing w:before="60" w:after="60"/>
              <w:rPr>
                <w:sz w:val="20"/>
                <w:szCs w:val="20"/>
              </w:rPr>
            </w:pPr>
            <w:r>
              <w:rPr>
                <w:sz w:val="20"/>
                <w:szCs w:val="20"/>
              </w:rPr>
              <w:t>All episodes of targeted therapy</w:t>
            </w:r>
            <w:r w:rsidRPr="008B17B1">
              <w:rPr>
                <w:sz w:val="20"/>
                <w:szCs w:val="20"/>
              </w:rPr>
              <w:t xml:space="preserve"> </w:t>
            </w:r>
          </w:p>
        </w:tc>
        <w:tc>
          <w:tcPr>
            <w:tcW w:w="851" w:type="dxa"/>
            <w:tcBorders>
              <w:bottom w:val="single" w:sz="4" w:space="0" w:color="auto"/>
            </w:tcBorders>
          </w:tcPr>
          <w:p w14:paraId="555A2F13" w14:textId="77777777" w:rsidR="007C3719" w:rsidRPr="00995E47" w:rsidRDefault="007C3719" w:rsidP="00256831">
            <w:pPr>
              <w:spacing w:before="60" w:after="60"/>
              <w:jc w:val="center"/>
              <w:rPr>
                <w:sz w:val="20"/>
                <w:szCs w:val="20"/>
              </w:rPr>
            </w:pPr>
            <w:r>
              <w:rPr>
                <w:sz w:val="20"/>
                <w:szCs w:val="20"/>
              </w:rPr>
              <w:t>2,430</w:t>
            </w:r>
          </w:p>
        </w:tc>
        <w:tc>
          <w:tcPr>
            <w:tcW w:w="992" w:type="dxa"/>
            <w:tcBorders>
              <w:bottom w:val="single" w:sz="4" w:space="0" w:color="auto"/>
            </w:tcBorders>
          </w:tcPr>
          <w:p w14:paraId="7FCCC297" w14:textId="77777777" w:rsidR="007C3719" w:rsidRPr="00B53B85" w:rsidRDefault="007C3719" w:rsidP="00256831">
            <w:pPr>
              <w:spacing w:before="60" w:after="60"/>
              <w:jc w:val="center"/>
              <w:rPr>
                <w:sz w:val="20"/>
                <w:szCs w:val="20"/>
              </w:rPr>
            </w:pPr>
            <w:r>
              <w:rPr>
                <w:sz w:val="20"/>
                <w:szCs w:val="20"/>
              </w:rPr>
              <w:t>587</w:t>
            </w:r>
          </w:p>
        </w:tc>
        <w:tc>
          <w:tcPr>
            <w:tcW w:w="1134" w:type="dxa"/>
            <w:tcBorders>
              <w:bottom w:val="single" w:sz="4" w:space="0" w:color="auto"/>
            </w:tcBorders>
          </w:tcPr>
          <w:p w14:paraId="6D522120" w14:textId="77777777" w:rsidR="007C3719" w:rsidRPr="008B17B1" w:rsidRDefault="007C3719" w:rsidP="00256831">
            <w:pPr>
              <w:spacing w:before="60" w:after="60"/>
              <w:jc w:val="center"/>
              <w:rPr>
                <w:sz w:val="20"/>
                <w:szCs w:val="20"/>
              </w:rPr>
            </w:pPr>
            <w:r>
              <w:rPr>
                <w:sz w:val="20"/>
                <w:szCs w:val="20"/>
              </w:rPr>
              <w:t>517</w:t>
            </w:r>
          </w:p>
        </w:tc>
        <w:tc>
          <w:tcPr>
            <w:tcW w:w="851" w:type="dxa"/>
            <w:tcBorders>
              <w:bottom w:val="single" w:sz="4" w:space="0" w:color="auto"/>
            </w:tcBorders>
          </w:tcPr>
          <w:p w14:paraId="02CDB5A6" w14:textId="77777777" w:rsidR="007C3719" w:rsidRPr="008B17B1" w:rsidRDefault="007C3719" w:rsidP="00256831">
            <w:pPr>
              <w:spacing w:before="60" w:after="60"/>
              <w:jc w:val="center"/>
              <w:rPr>
                <w:sz w:val="20"/>
                <w:szCs w:val="20"/>
              </w:rPr>
            </w:pPr>
            <w:r>
              <w:rPr>
                <w:sz w:val="20"/>
                <w:szCs w:val="20"/>
              </w:rPr>
              <w:t>483</w:t>
            </w:r>
          </w:p>
        </w:tc>
        <w:tc>
          <w:tcPr>
            <w:tcW w:w="850" w:type="dxa"/>
            <w:tcBorders>
              <w:bottom w:val="single" w:sz="4" w:space="0" w:color="auto"/>
            </w:tcBorders>
          </w:tcPr>
          <w:p w14:paraId="28BE5FDF" w14:textId="77777777" w:rsidR="007C3719" w:rsidRPr="008B17B1" w:rsidRDefault="007C3719" w:rsidP="00256831">
            <w:pPr>
              <w:spacing w:before="60" w:after="60"/>
              <w:jc w:val="center"/>
              <w:rPr>
                <w:sz w:val="20"/>
                <w:szCs w:val="20"/>
              </w:rPr>
            </w:pPr>
            <w:r>
              <w:rPr>
                <w:sz w:val="20"/>
                <w:szCs w:val="20"/>
              </w:rPr>
              <w:t>543</w:t>
            </w:r>
          </w:p>
        </w:tc>
      </w:tr>
      <w:tr w:rsidR="007C3719" w14:paraId="6E7B68F9" w14:textId="77777777" w:rsidTr="00F867E5">
        <w:tc>
          <w:tcPr>
            <w:tcW w:w="2943" w:type="dxa"/>
            <w:tcBorders>
              <w:top w:val="single" w:sz="4" w:space="0" w:color="auto"/>
              <w:left w:val="single" w:sz="4" w:space="0" w:color="auto"/>
              <w:bottom w:val="single" w:sz="4" w:space="0" w:color="auto"/>
              <w:right w:val="single" w:sz="4" w:space="0" w:color="auto"/>
            </w:tcBorders>
          </w:tcPr>
          <w:p w14:paraId="41CA14BA" w14:textId="77777777" w:rsidR="007C3719" w:rsidRPr="008B17B1" w:rsidRDefault="007C3719" w:rsidP="00256831">
            <w:pPr>
              <w:spacing w:before="60" w:after="60"/>
              <w:rPr>
                <w:sz w:val="20"/>
                <w:szCs w:val="20"/>
              </w:rPr>
            </w:pPr>
            <w:r>
              <w:rPr>
                <w:sz w:val="20"/>
                <w:szCs w:val="20"/>
              </w:rPr>
              <w:t>First-line</w:t>
            </w:r>
          </w:p>
        </w:tc>
        <w:tc>
          <w:tcPr>
            <w:tcW w:w="851" w:type="dxa"/>
            <w:tcBorders>
              <w:top w:val="single" w:sz="4" w:space="0" w:color="auto"/>
              <w:bottom w:val="single" w:sz="4" w:space="0" w:color="auto"/>
            </w:tcBorders>
          </w:tcPr>
          <w:p w14:paraId="0089F9D1" w14:textId="77777777" w:rsidR="007C3719" w:rsidRPr="00995E47" w:rsidRDefault="007C3719" w:rsidP="00256831">
            <w:pPr>
              <w:spacing w:before="60" w:after="60"/>
              <w:jc w:val="center"/>
              <w:rPr>
                <w:sz w:val="20"/>
                <w:szCs w:val="20"/>
              </w:rPr>
            </w:pPr>
            <w:r>
              <w:rPr>
                <w:sz w:val="20"/>
                <w:szCs w:val="20"/>
              </w:rPr>
              <w:t>2,430</w:t>
            </w:r>
          </w:p>
        </w:tc>
        <w:tc>
          <w:tcPr>
            <w:tcW w:w="992" w:type="dxa"/>
            <w:tcBorders>
              <w:top w:val="single" w:sz="4" w:space="0" w:color="auto"/>
              <w:bottom w:val="single" w:sz="4" w:space="0" w:color="auto"/>
            </w:tcBorders>
          </w:tcPr>
          <w:p w14:paraId="48417D06" w14:textId="77777777" w:rsidR="007C3719" w:rsidRPr="00FE734D" w:rsidRDefault="007C3719" w:rsidP="00256831">
            <w:pPr>
              <w:spacing w:before="60" w:after="60"/>
              <w:jc w:val="center"/>
              <w:rPr>
                <w:sz w:val="20"/>
                <w:szCs w:val="20"/>
              </w:rPr>
            </w:pPr>
            <w:r>
              <w:rPr>
                <w:sz w:val="20"/>
                <w:szCs w:val="20"/>
              </w:rPr>
              <w:t>512</w:t>
            </w:r>
          </w:p>
        </w:tc>
        <w:tc>
          <w:tcPr>
            <w:tcW w:w="1134" w:type="dxa"/>
            <w:tcBorders>
              <w:top w:val="single" w:sz="4" w:space="0" w:color="auto"/>
              <w:bottom w:val="single" w:sz="4" w:space="0" w:color="auto"/>
            </w:tcBorders>
          </w:tcPr>
          <w:p w14:paraId="13662E91" w14:textId="77777777" w:rsidR="007C3719" w:rsidRPr="008B17B1" w:rsidRDefault="007C3719" w:rsidP="00256831">
            <w:pPr>
              <w:spacing w:before="60" w:after="60"/>
              <w:jc w:val="center"/>
              <w:rPr>
                <w:sz w:val="20"/>
                <w:szCs w:val="20"/>
              </w:rPr>
            </w:pPr>
            <w:r>
              <w:rPr>
                <w:sz w:val="20"/>
                <w:szCs w:val="20"/>
              </w:rPr>
              <w:t>409</w:t>
            </w:r>
          </w:p>
        </w:tc>
        <w:tc>
          <w:tcPr>
            <w:tcW w:w="851" w:type="dxa"/>
            <w:tcBorders>
              <w:top w:val="single" w:sz="4" w:space="0" w:color="auto"/>
              <w:bottom w:val="single" w:sz="4" w:space="0" w:color="auto"/>
            </w:tcBorders>
          </w:tcPr>
          <w:p w14:paraId="52153862" w14:textId="77777777" w:rsidR="007C3719" w:rsidRPr="008B17B1" w:rsidRDefault="007C3719" w:rsidP="00256831">
            <w:pPr>
              <w:spacing w:before="60" w:after="60"/>
              <w:jc w:val="center"/>
              <w:rPr>
                <w:sz w:val="20"/>
                <w:szCs w:val="20"/>
              </w:rPr>
            </w:pPr>
            <w:r>
              <w:rPr>
                <w:sz w:val="20"/>
                <w:szCs w:val="20"/>
              </w:rPr>
              <w:t>385</w:t>
            </w:r>
          </w:p>
        </w:tc>
        <w:tc>
          <w:tcPr>
            <w:tcW w:w="850" w:type="dxa"/>
            <w:tcBorders>
              <w:top w:val="single" w:sz="4" w:space="0" w:color="auto"/>
              <w:bottom w:val="single" w:sz="4" w:space="0" w:color="auto"/>
            </w:tcBorders>
          </w:tcPr>
          <w:p w14:paraId="1320DAED" w14:textId="77777777" w:rsidR="007C3719" w:rsidRPr="008B17B1" w:rsidRDefault="007C3719" w:rsidP="00256831">
            <w:pPr>
              <w:spacing w:before="60" w:after="60"/>
              <w:jc w:val="center"/>
              <w:rPr>
                <w:sz w:val="20"/>
                <w:szCs w:val="20"/>
              </w:rPr>
            </w:pPr>
            <w:r>
              <w:rPr>
                <w:sz w:val="20"/>
                <w:szCs w:val="20"/>
              </w:rPr>
              <w:t>434</w:t>
            </w:r>
          </w:p>
        </w:tc>
      </w:tr>
      <w:tr w:rsidR="007C3719" w14:paraId="7BA6CC14" w14:textId="77777777" w:rsidTr="00F867E5">
        <w:tc>
          <w:tcPr>
            <w:tcW w:w="2943" w:type="dxa"/>
            <w:tcBorders>
              <w:top w:val="single" w:sz="4" w:space="0" w:color="auto"/>
              <w:left w:val="single" w:sz="4" w:space="0" w:color="auto"/>
              <w:bottom w:val="single" w:sz="4" w:space="0" w:color="auto"/>
              <w:right w:val="single" w:sz="4" w:space="0" w:color="auto"/>
            </w:tcBorders>
          </w:tcPr>
          <w:p w14:paraId="0F76FF1D" w14:textId="77777777" w:rsidR="007C3719" w:rsidRPr="008B17B1" w:rsidRDefault="007C3719" w:rsidP="00256831">
            <w:pPr>
              <w:spacing w:before="60" w:after="60"/>
              <w:rPr>
                <w:sz w:val="20"/>
                <w:szCs w:val="20"/>
              </w:rPr>
            </w:pPr>
            <w:r>
              <w:rPr>
                <w:sz w:val="20"/>
                <w:szCs w:val="20"/>
              </w:rPr>
              <w:t>Second-line</w:t>
            </w:r>
          </w:p>
        </w:tc>
        <w:tc>
          <w:tcPr>
            <w:tcW w:w="851" w:type="dxa"/>
            <w:tcBorders>
              <w:top w:val="single" w:sz="4" w:space="0" w:color="auto"/>
            </w:tcBorders>
          </w:tcPr>
          <w:p w14:paraId="6325A92A" w14:textId="77777777" w:rsidR="007C3719" w:rsidRPr="00995E47" w:rsidRDefault="007C3719" w:rsidP="00256831">
            <w:pPr>
              <w:spacing w:before="60" w:after="60"/>
              <w:jc w:val="center"/>
              <w:rPr>
                <w:sz w:val="20"/>
                <w:szCs w:val="20"/>
              </w:rPr>
            </w:pPr>
            <w:r>
              <w:rPr>
                <w:sz w:val="20"/>
                <w:szCs w:val="20"/>
              </w:rPr>
              <w:t>634</w:t>
            </w:r>
          </w:p>
        </w:tc>
        <w:tc>
          <w:tcPr>
            <w:tcW w:w="992" w:type="dxa"/>
            <w:tcBorders>
              <w:top w:val="single" w:sz="4" w:space="0" w:color="auto"/>
            </w:tcBorders>
          </w:tcPr>
          <w:p w14:paraId="36D7A1DA" w14:textId="77777777" w:rsidR="007C3719" w:rsidRPr="00FE734D" w:rsidRDefault="007C3719" w:rsidP="00256831">
            <w:pPr>
              <w:spacing w:before="60" w:after="60"/>
              <w:jc w:val="center"/>
              <w:rPr>
                <w:sz w:val="20"/>
                <w:szCs w:val="20"/>
              </w:rPr>
            </w:pPr>
            <w:r>
              <w:rPr>
                <w:sz w:val="20"/>
                <w:szCs w:val="20"/>
              </w:rPr>
              <w:t>198</w:t>
            </w:r>
          </w:p>
        </w:tc>
        <w:tc>
          <w:tcPr>
            <w:tcW w:w="1134" w:type="dxa"/>
            <w:tcBorders>
              <w:top w:val="single" w:sz="4" w:space="0" w:color="auto"/>
            </w:tcBorders>
          </w:tcPr>
          <w:p w14:paraId="0968E9C3" w14:textId="77777777" w:rsidR="007C3719" w:rsidRDefault="007C3719" w:rsidP="00256831">
            <w:pPr>
              <w:spacing w:before="60" w:after="60"/>
              <w:jc w:val="center"/>
              <w:rPr>
                <w:sz w:val="20"/>
                <w:szCs w:val="20"/>
              </w:rPr>
            </w:pPr>
            <w:r>
              <w:rPr>
                <w:sz w:val="20"/>
                <w:szCs w:val="20"/>
              </w:rPr>
              <w:t>129</w:t>
            </w:r>
          </w:p>
        </w:tc>
        <w:tc>
          <w:tcPr>
            <w:tcW w:w="851" w:type="dxa"/>
            <w:tcBorders>
              <w:top w:val="single" w:sz="4" w:space="0" w:color="auto"/>
            </w:tcBorders>
          </w:tcPr>
          <w:p w14:paraId="18DC8ED8" w14:textId="77777777" w:rsidR="007C3719" w:rsidRDefault="007C3719" w:rsidP="00256831">
            <w:pPr>
              <w:spacing w:before="60" w:after="60"/>
              <w:jc w:val="center"/>
              <w:rPr>
                <w:sz w:val="20"/>
                <w:szCs w:val="20"/>
              </w:rPr>
            </w:pPr>
            <w:r>
              <w:rPr>
                <w:sz w:val="20"/>
                <w:szCs w:val="20"/>
              </w:rPr>
              <w:t>107</w:t>
            </w:r>
          </w:p>
        </w:tc>
        <w:tc>
          <w:tcPr>
            <w:tcW w:w="850" w:type="dxa"/>
            <w:tcBorders>
              <w:top w:val="single" w:sz="4" w:space="0" w:color="auto"/>
            </w:tcBorders>
          </w:tcPr>
          <w:p w14:paraId="6060C65D" w14:textId="77777777" w:rsidR="007C3719" w:rsidRDefault="007C3719" w:rsidP="00256831">
            <w:pPr>
              <w:spacing w:before="60" w:after="60"/>
              <w:jc w:val="center"/>
              <w:rPr>
                <w:sz w:val="20"/>
                <w:szCs w:val="20"/>
              </w:rPr>
            </w:pPr>
            <w:r>
              <w:rPr>
                <w:sz w:val="20"/>
                <w:szCs w:val="20"/>
              </w:rPr>
              <w:t>145</w:t>
            </w:r>
          </w:p>
        </w:tc>
      </w:tr>
      <w:tr w:rsidR="007C3719" w14:paraId="35654885" w14:textId="77777777" w:rsidTr="00F867E5">
        <w:tc>
          <w:tcPr>
            <w:tcW w:w="2943" w:type="dxa"/>
            <w:tcBorders>
              <w:top w:val="single" w:sz="4" w:space="0" w:color="auto"/>
              <w:left w:val="single" w:sz="4" w:space="0" w:color="auto"/>
              <w:bottom w:val="single" w:sz="4" w:space="0" w:color="auto"/>
              <w:right w:val="single" w:sz="4" w:space="0" w:color="auto"/>
            </w:tcBorders>
          </w:tcPr>
          <w:p w14:paraId="48F0037E" w14:textId="77777777" w:rsidR="007C3719" w:rsidRDefault="007C3719" w:rsidP="00256831">
            <w:pPr>
              <w:spacing w:before="60" w:after="60"/>
              <w:rPr>
                <w:sz w:val="20"/>
                <w:szCs w:val="20"/>
              </w:rPr>
            </w:pPr>
            <w:r>
              <w:rPr>
                <w:sz w:val="20"/>
                <w:szCs w:val="20"/>
              </w:rPr>
              <w:t>Third-line</w:t>
            </w:r>
          </w:p>
        </w:tc>
        <w:tc>
          <w:tcPr>
            <w:tcW w:w="851" w:type="dxa"/>
            <w:tcBorders>
              <w:bottom w:val="single" w:sz="4" w:space="0" w:color="auto"/>
            </w:tcBorders>
          </w:tcPr>
          <w:p w14:paraId="3AC2C5BA" w14:textId="77777777" w:rsidR="007C3719" w:rsidRPr="00995E47" w:rsidRDefault="007C3719" w:rsidP="00256831">
            <w:pPr>
              <w:spacing w:before="60" w:after="60"/>
              <w:jc w:val="center"/>
              <w:rPr>
                <w:sz w:val="20"/>
                <w:szCs w:val="20"/>
              </w:rPr>
            </w:pPr>
            <w:r>
              <w:rPr>
                <w:sz w:val="20"/>
                <w:szCs w:val="20"/>
              </w:rPr>
              <w:t>37</w:t>
            </w:r>
          </w:p>
        </w:tc>
        <w:tc>
          <w:tcPr>
            <w:tcW w:w="992" w:type="dxa"/>
            <w:tcBorders>
              <w:bottom w:val="single" w:sz="4" w:space="0" w:color="auto"/>
            </w:tcBorders>
          </w:tcPr>
          <w:p w14:paraId="5D2838F3" w14:textId="77777777" w:rsidR="007C3719" w:rsidRPr="00545AD8" w:rsidRDefault="007C3719" w:rsidP="00256831">
            <w:pPr>
              <w:spacing w:before="60" w:after="60"/>
              <w:jc w:val="center"/>
              <w:rPr>
                <w:sz w:val="20"/>
                <w:szCs w:val="20"/>
              </w:rPr>
            </w:pPr>
            <w:r>
              <w:rPr>
                <w:sz w:val="20"/>
                <w:szCs w:val="20"/>
              </w:rPr>
              <w:t>170</w:t>
            </w:r>
          </w:p>
        </w:tc>
        <w:tc>
          <w:tcPr>
            <w:tcW w:w="1134" w:type="dxa"/>
            <w:tcBorders>
              <w:bottom w:val="single" w:sz="4" w:space="0" w:color="auto"/>
            </w:tcBorders>
          </w:tcPr>
          <w:p w14:paraId="6B1DADF2" w14:textId="77777777" w:rsidR="007C3719" w:rsidRDefault="007C3719" w:rsidP="00256831">
            <w:pPr>
              <w:spacing w:before="60" w:after="60"/>
              <w:jc w:val="center"/>
              <w:rPr>
                <w:sz w:val="20"/>
                <w:szCs w:val="20"/>
              </w:rPr>
            </w:pPr>
            <w:r>
              <w:rPr>
                <w:sz w:val="20"/>
                <w:szCs w:val="20"/>
              </w:rPr>
              <w:t>147</w:t>
            </w:r>
          </w:p>
        </w:tc>
        <w:tc>
          <w:tcPr>
            <w:tcW w:w="851" w:type="dxa"/>
            <w:tcBorders>
              <w:bottom w:val="single" w:sz="4" w:space="0" w:color="auto"/>
            </w:tcBorders>
          </w:tcPr>
          <w:p w14:paraId="6CA71DCA" w14:textId="77777777" w:rsidR="007C3719" w:rsidRDefault="007C3719" w:rsidP="00256831">
            <w:pPr>
              <w:spacing w:before="60" w:after="60"/>
              <w:jc w:val="center"/>
              <w:rPr>
                <w:sz w:val="20"/>
                <w:szCs w:val="20"/>
              </w:rPr>
            </w:pPr>
            <w:r>
              <w:rPr>
                <w:sz w:val="20"/>
                <w:szCs w:val="20"/>
              </w:rPr>
              <w:t>73</w:t>
            </w:r>
          </w:p>
        </w:tc>
        <w:tc>
          <w:tcPr>
            <w:tcW w:w="850" w:type="dxa"/>
            <w:tcBorders>
              <w:bottom w:val="single" w:sz="4" w:space="0" w:color="auto"/>
            </w:tcBorders>
          </w:tcPr>
          <w:p w14:paraId="622EB868" w14:textId="77777777" w:rsidR="007C3719" w:rsidRDefault="007C3719" w:rsidP="00256831">
            <w:pPr>
              <w:spacing w:before="60" w:after="60"/>
              <w:jc w:val="center"/>
              <w:rPr>
                <w:sz w:val="20"/>
                <w:szCs w:val="20"/>
              </w:rPr>
            </w:pPr>
            <w:r>
              <w:rPr>
                <w:sz w:val="20"/>
                <w:szCs w:val="20"/>
              </w:rPr>
              <w:t>218</w:t>
            </w:r>
          </w:p>
        </w:tc>
      </w:tr>
    </w:tbl>
    <w:p w14:paraId="1029AC9B" w14:textId="77777777" w:rsidR="007C3719" w:rsidRDefault="007C3719" w:rsidP="00AF02A6">
      <w:pPr>
        <w:spacing w:after="0"/>
      </w:pPr>
    </w:p>
    <w:p w14:paraId="49219017" w14:textId="18C133B8" w:rsidR="006C65E0" w:rsidRDefault="006C65E0" w:rsidP="00AF02A6">
      <w:pPr>
        <w:spacing w:after="0"/>
      </w:pPr>
      <w:r>
        <w:t>For first-line treatment, where the majority of patients were treated with a drug regimen c</w:t>
      </w:r>
      <w:r w:rsidR="000A5F10">
        <w:t>ontaining bevacizumab (Table 6), the median</w:t>
      </w:r>
      <w:r>
        <w:t xml:space="preserve"> time on treatmen</w:t>
      </w:r>
      <w:r w:rsidR="000A5F10">
        <w:t>t was 409</w:t>
      </w:r>
      <w:r w:rsidR="00AC3C77">
        <w:t xml:space="preserve"> day</w:t>
      </w:r>
      <w:r w:rsidR="000A5F10">
        <w:t>s (Table 5</w:t>
      </w:r>
      <w:r>
        <w:t xml:space="preserve">). </w:t>
      </w:r>
      <w:r w:rsidR="00BD0484">
        <w:t>When examining time on bevacizumab alone in first-line, the median time on treatment including breaks in therapy</w:t>
      </w:r>
      <w:r w:rsidR="006E61B1">
        <w:t>,</w:t>
      </w:r>
      <w:r w:rsidR="00BD0484">
        <w:t xml:space="preserve"> was 427 days (95%CI: 399, 455 days). </w:t>
      </w:r>
      <w:r w:rsidR="0014716D">
        <w:t>The time on second- and third- line treatment was likely to have been slightly underestimated as a small proportion of patients (approximately 7%) were identified as continuing on therapy after the analysis end date. Further, the analysis of time on third-line therapy was only informed by a s</w:t>
      </w:r>
      <w:r w:rsidR="000A5F10">
        <w:t>mall number of patients (Table 5</w:t>
      </w:r>
      <w:r w:rsidR="0014716D">
        <w:t xml:space="preserve">). </w:t>
      </w:r>
      <w:r w:rsidR="00756880">
        <w:t xml:space="preserve">Based on the </w:t>
      </w:r>
      <w:r w:rsidR="008555E5">
        <w:t>available data</w:t>
      </w:r>
      <w:r w:rsidR="00756880">
        <w:t>, the median time on later-line therapy ranged betw</w:t>
      </w:r>
      <w:r w:rsidR="000A5F10">
        <w:t>een around 130-150 days (Table 5</w:t>
      </w:r>
      <w:r w:rsidR="00756880">
        <w:t>).</w:t>
      </w:r>
    </w:p>
    <w:p w14:paraId="5075AA2C" w14:textId="77777777" w:rsidR="00256831" w:rsidRDefault="00256831" w:rsidP="00F8524C">
      <w:pPr>
        <w:pStyle w:val="Heading2"/>
      </w:pPr>
    </w:p>
    <w:p w14:paraId="72A64475" w14:textId="286B5FEE" w:rsidR="00447739" w:rsidRPr="00805E2D" w:rsidRDefault="00B75BF7" w:rsidP="00805E2D">
      <w:pPr>
        <w:pStyle w:val="Heading3"/>
        <w:rPr>
          <w:i/>
          <w:sz w:val="24"/>
          <w:szCs w:val="24"/>
        </w:rPr>
      </w:pPr>
      <w:r w:rsidRPr="00805E2D">
        <w:rPr>
          <w:i/>
          <w:sz w:val="24"/>
          <w:szCs w:val="24"/>
        </w:rPr>
        <w:lastRenderedPageBreak/>
        <w:t>Utilisation of d</w:t>
      </w:r>
      <w:r w:rsidR="00314F89" w:rsidRPr="00805E2D">
        <w:rPr>
          <w:i/>
          <w:sz w:val="24"/>
          <w:szCs w:val="24"/>
        </w:rPr>
        <w:t>rug regimens</w:t>
      </w:r>
    </w:p>
    <w:p w14:paraId="72281328" w14:textId="041229A5" w:rsidR="003E4115" w:rsidRDefault="003E4115" w:rsidP="00BB1553">
      <w:r>
        <w:t xml:space="preserve">An attempt was made to identify chemotherapy regimens and to analyse the sequence of drug therapies. Due to the </w:t>
      </w:r>
      <w:r w:rsidRPr="00E37A2F">
        <w:t xml:space="preserve">difficulties in </w:t>
      </w:r>
      <w:r w:rsidR="00917ACB">
        <w:t>identifying</w:t>
      </w:r>
      <w:r w:rsidRPr="00E37A2F">
        <w:t xml:space="preserve"> the supply of chemotherapy</w:t>
      </w:r>
      <w:r>
        <w:t xml:space="preserve"> regimens using PBS claims data, some drug regimens were not readily detected. As such, the DUSC requested that the results for these analyses be removed from the report. Refer to the ‘DUSC consideration’</w:t>
      </w:r>
      <w:r w:rsidR="00D01A19">
        <w:t xml:space="preserve"> section for further information</w:t>
      </w:r>
      <w:r>
        <w:t>.</w:t>
      </w:r>
    </w:p>
    <w:p w14:paraId="3555DFBA" w14:textId="60E8E761" w:rsidR="00591512" w:rsidRPr="00167179" w:rsidRDefault="00AB3733" w:rsidP="005641F4">
      <w:pPr>
        <w:pStyle w:val="Heading1"/>
        <w:spacing w:before="240"/>
        <w:rPr>
          <w:sz w:val="32"/>
          <w:szCs w:val="32"/>
        </w:rPr>
      </w:pPr>
      <w:r w:rsidRPr="00167179">
        <w:rPr>
          <w:sz w:val="32"/>
          <w:szCs w:val="32"/>
        </w:rPr>
        <w:t>D</w:t>
      </w:r>
      <w:r w:rsidR="007346C7" w:rsidRPr="00167179">
        <w:rPr>
          <w:sz w:val="32"/>
          <w:szCs w:val="32"/>
        </w:rPr>
        <w:t>iscussion</w:t>
      </w:r>
    </w:p>
    <w:p w14:paraId="6319F651" w14:textId="760B665A" w:rsidR="00512876" w:rsidRPr="00512876" w:rsidRDefault="00512876" w:rsidP="00167179">
      <w:pPr>
        <w:pStyle w:val="Heading2"/>
      </w:pPr>
      <w:r>
        <w:t>Treatment uptake</w:t>
      </w:r>
    </w:p>
    <w:p w14:paraId="15476220" w14:textId="11E37B79" w:rsidR="007F6C6C" w:rsidRDefault="007F6C6C" w:rsidP="00925016">
      <w:r w:rsidRPr="00B64518">
        <w:t>The</w:t>
      </w:r>
      <w:r>
        <w:t xml:space="preserve"> number of initiators on </w:t>
      </w:r>
      <w:r w:rsidRPr="00B64518">
        <w:t xml:space="preserve">bevacizumab, cetuximab or panitumumab for mCRC remained relatively stable at around 2,400 to 2,500 </w:t>
      </w:r>
      <w:r>
        <w:t>patients</w:t>
      </w:r>
      <w:r w:rsidRPr="00B64518">
        <w:t xml:space="preserve"> between 2013 and 2016 (Table</w:t>
      </w:r>
      <w:r w:rsidR="00BD6ECD">
        <w:t> </w:t>
      </w:r>
      <w:r w:rsidRPr="00B64518">
        <w:t xml:space="preserve">3, Figure 1). Consequently, the total number of </w:t>
      </w:r>
      <w:r>
        <w:t>patients</w:t>
      </w:r>
      <w:r w:rsidRPr="00B64518">
        <w:t xml:space="preserve"> treated with these drugs had plateaued to around 5,100 in 2015 and 2016 (Table 3, Figure 1).</w:t>
      </w:r>
    </w:p>
    <w:p w14:paraId="03B0A7ED" w14:textId="10985421" w:rsidR="00925016" w:rsidRDefault="001E0590" w:rsidP="00925016">
      <w:r w:rsidRPr="007B6F28">
        <w:t>There was a lack of data on the incidence and prevalence of mCRC in Australia</w:t>
      </w:r>
      <w:r w:rsidR="00DA4053">
        <w:t xml:space="preserve"> to assess changes </w:t>
      </w:r>
      <w:r w:rsidR="00294A6F">
        <w:t>in the</w:t>
      </w:r>
      <w:r w:rsidR="00DA4053">
        <w:t xml:space="preserve"> eligible population </w:t>
      </w:r>
      <w:r w:rsidR="00294A6F">
        <w:t>within the later period of the analysis</w:t>
      </w:r>
      <w:r w:rsidRPr="007B6F28">
        <w:t>. Available projections made by the Australian Institute of Health and Welfare (AIHW) indicated that c</w:t>
      </w:r>
      <w:r w:rsidR="00F61D15" w:rsidRPr="007B6F28">
        <w:t>olorectal cancer was expected to represent the second most common</w:t>
      </w:r>
      <w:r w:rsidRPr="007B6F28">
        <w:t xml:space="preserve">ly diagnosed </w:t>
      </w:r>
      <w:r w:rsidR="00B64518">
        <w:t>cancer in Australia by</w:t>
      </w:r>
      <w:r w:rsidR="00F61D15" w:rsidRPr="007B6F28">
        <w:t xml:space="preserve"> 2017</w:t>
      </w:r>
      <w:r w:rsidR="00DB7B97" w:rsidRPr="007B6F28">
        <w:t xml:space="preserve"> (AIHW, 2017)</w:t>
      </w:r>
      <w:r w:rsidR="00F61D15" w:rsidRPr="007B6F28">
        <w:t xml:space="preserve">. </w:t>
      </w:r>
      <w:r w:rsidR="00F663F4">
        <w:t xml:space="preserve">Further, the </w:t>
      </w:r>
      <w:r w:rsidR="005E7EFB">
        <w:t>gradual phasing in of the National Bowel Cancer Screening Program</w:t>
      </w:r>
      <w:r w:rsidR="005E7EFB">
        <w:rPr>
          <w:rStyle w:val="FootnoteReference"/>
        </w:rPr>
        <w:footnoteReference w:id="6"/>
      </w:r>
      <w:r w:rsidR="005E7EFB">
        <w:t xml:space="preserve"> over the analysis period </w:t>
      </w:r>
      <w:r w:rsidR="006A5470">
        <w:t>may have</w:t>
      </w:r>
      <w:r w:rsidR="00B56653">
        <w:t xml:space="preserve"> influence</w:t>
      </w:r>
      <w:r w:rsidR="006A5470">
        <w:t>d</w:t>
      </w:r>
      <w:r w:rsidR="00723BCB">
        <w:t xml:space="preserve"> the</w:t>
      </w:r>
      <w:r w:rsidR="005E7EFB">
        <w:t xml:space="preserve"> </w:t>
      </w:r>
      <w:r w:rsidR="00C727FB">
        <w:t xml:space="preserve">rates of </w:t>
      </w:r>
      <w:r w:rsidR="005E7EFB" w:rsidRPr="00FD037A">
        <w:t xml:space="preserve">diagnosis </w:t>
      </w:r>
      <w:r w:rsidR="00C727FB" w:rsidRPr="00FD037A">
        <w:t>of colorectal cancer</w:t>
      </w:r>
      <w:r w:rsidR="006844B2" w:rsidRPr="00FD037A">
        <w:t xml:space="preserve"> and the number of patients in the various stages of this disease</w:t>
      </w:r>
      <w:r w:rsidR="00C727FB" w:rsidRPr="00FD037A">
        <w:t xml:space="preserve">. </w:t>
      </w:r>
      <w:r w:rsidR="00B64518" w:rsidRPr="00FD037A">
        <w:t>However</w:t>
      </w:r>
      <w:r w:rsidR="00B64518">
        <w:t xml:space="preserve">, despite the </w:t>
      </w:r>
      <w:r w:rsidR="00A17849">
        <w:t>anticipated</w:t>
      </w:r>
      <w:r w:rsidR="00B64518">
        <w:t xml:space="preserve"> increase in the number of people </w:t>
      </w:r>
      <w:r w:rsidR="00B76958">
        <w:t xml:space="preserve">diagnosed </w:t>
      </w:r>
      <w:r w:rsidR="00B64518">
        <w:t>with colorectal cancer</w:t>
      </w:r>
      <w:r w:rsidR="00C727FB">
        <w:t xml:space="preserve">, </w:t>
      </w:r>
      <w:r w:rsidR="00B64518">
        <w:t xml:space="preserve">the growth rate for the utilisation of the PBS listings for </w:t>
      </w:r>
      <w:r w:rsidR="00B64518" w:rsidRPr="00B64518">
        <w:t xml:space="preserve">bevacizumab, cetuximab or panitumumab </w:t>
      </w:r>
      <w:r w:rsidR="00B64518">
        <w:t>declined</w:t>
      </w:r>
      <w:r w:rsidR="00B64518" w:rsidRPr="00B64518">
        <w:t xml:space="preserve">. </w:t>
      </w:r>
      <w:r w:rsidR="00925016">
        <w:t xml:space="preserve">These trends may reflect the </w:t>
      </w:r>
      <w:r w:rsidR="00C56EA4">
        <w:t>participation of</w:t>
      </w:r>
      <w:r w:rsidR="00925016">
        <w:t xml:space="preserve"> </w:t>
      </w:r>
      <w:r w:rsidR="004F0D66">
        <w:t xml:space="preserve">some </w:t>
      </w:r>
      <w:r w:rsidR="001F23E4">
        <w:t>patients</w:t>
      </w:r>
      <w:r w:rsidR="00C56EA4">
        <w:t xml:space="preserve"> in clinical trials </w:t>
      </w:r>
      <w:r w:rsidR="00FB2D83">
        <w:t>that</w:t>
      </w:r>
      <w:r w:rsidR="00C56EA4">
        <w:t xml:space="preserve"> </w:t>
      </w:r>
      <w:r w:rsidR="00DA4053">
        <w:t>may have</w:t>
      </w:r>
      <w:r w:rsidR="00C56EA4">
        <w:t xml:space="preserve"> otherwise been eligible for PBS therapy</w:t>
      </w:r>
      <w:r w:rsidR="00925016">
        <w:t xml:space="preserve">. There were several clinical trials </w:t>
      </w:r>
      <w:r w:rsidR="00B03B8E" w:rsidRPr="00333B60">
        <w:t>being conducted in Australia</w:t>
      </w:r>
      <w:r w:rsidR="00B03B8E">
        <w:t xml:space="preserve"> that were </w:t>
      </w:r>
      <w:r w:rsidR="00B76958">
        <w:t>recruiting participants</w:t>
      </w:r>
      <w:r w:rsidR="00925016">
        <w:t xml:space="preserve"> at the time of reporting. Examples included </w:t>
      </w:r>
      <w:r w:rsidR="00C56EA4">
        <w:t xml:space="preserve">the </w:t>
      </w:r>
      <w:r w:rsidR="00925016">
        <w:t xml:space="preserve">BEACON-CRC </w:t>
      </w:r>
      <w:r w:rsidR="00C56EA4">
        <w:t>Phase 3 trial</w:t>
      </w:r>
      <w:r w:rsidR="00BD6ECD">
        <w:t>,</w:t>
      </w:r>
      <w:r w:rsidR="00925016">
        <w:rPr>
          <w:rStyle w:val="FootnoteReference"/>
        </w:rPr>
        <w:footnoteReference w:id="7"/>
      </w:r>
      <w:r w:rsidR="00925016">
        <w:t xml:space="preserve"> </w:t>
      </w:r>
      <w:r w:rsidR="00C56EA4">
        <w:t xml:space="preserve">the </w:t>
      </w:r>
      <w:r w:rsidR="00C56EA4" w:rsidRPr="00611D4E">
        <w:t xml:space="preserve">ElevatION </w:t>
      </w:r>
      <w:r w:rsidR="00925016" w:rsidRPr="00611D4E">
        <w:t>CRC-101</w:t>
      </w:r>
      <w:r w:rsidR="00B1252E" w:rsidRPr="00611D4E">
        <w:t xml:space="preserve"> Phase 1</w:t>
      </w:r>
      <w:r w:rsidR="00B1252E">
        <w:rPr>
          <w:rFonts w:ascii="Helvetica" w:hAnsi="Helvetica"/>
          <w:color w:val="000000"/>
          <w:sz w:val="23"/>
          <w:szCs w:val="23"/>
          <w:shd w:val="clear" w:color="auto" w:fill="FFFFFF"/>
        </w:rPr>
        <w:t xml:space="preserve"> </w:t>
      </w:r>
      <w:r w:rsidR="00B1252E" w:rsidRPr="00611D4E">
        <w:t>trial</w:t>
      </w:r>
      <w:r w:rsidR="00BD6ECD">
        <w:t>,</w:t>
      </w:r>
      <w:r w:rsidR="00925016">
        <w:rPr>
          <w:rStyle w:val="FootnoteReference"/>
          <w:rFonts w:ascii="Helvetica" w:hAnsi="Helvetica"/>
          <w:color w:val="000000"/>
          <w:sz w:val="23"/>
          <w:szCs w:val="23"/>
          <w:shd w:val="clear" w:color="auto" w:fill="FFFFFF"/>
        </w:rPr>
        <w:footnoteReference w:id="8"/>
      </w:r>
      <w:r w:rsidR="00925016">
        <w:rPr>
          <w:rFonts w:ascii="Helvetica" w:hAnsi="Helvetica"/>
          <w:color w:val="000000"/>
          <w:sz w:val="23"/>
          <w:szCs w:val="23"/>
          <w:shd w:val="clear" w:color="auto" w:fill="FFFFFF"/>
        </w:rPr>
        <w:t xml:space="preserve"> </w:t>
      </w:r>
      <w:r w:rsidR="00B76958" w:rsidRPr="009D2414">
        <w:t>and</w:t>
      </w:r>
      <w:r w:rsidR="00B76958" w:rsidRPr="00C56EA4">
        <w:t xml:space="preserve"> </w:t>
      </w:r>
      <w:r w:rsidR="00C56EA4" w:rsidRPr="00C56EA4">
        <w:t xml:space="preserve">a Phase 1 trial investigating </w:t>
      </w:r>
      <w:r w:rsidR="00925016" w:rsidRPr="00C940EC">
        <w:t>ribociclib in combination with trametinib</w:t>
      </w:r>
      <w:r w:rsidR="00925016" w:rsidRPr="00C56EA4">
        <w:t xml:space="preserve"> </w:t>
      </w:r>
      <w:r w:rsidR="00925016" w:rsidRPr="00C940EC">
        <w:t>(Phase 1)</w:t>
      </w:r>
      <w:r w:rsidR="00BD6ECD">
        <w:t>.</w:t>
      </w:r>
      <w:r w:rsidR="00925016">
        <w:rPr>
          <w:rStyle w:val="FootnoteReference"/>
          <w:rFonts w:ascii="Helvetica" w:hAnsi="Helvetica"/>
          <w:color w:val="000000"/>
          <w:sz w:val="23"/>
          <w:szCs w:val="23"/>
          <w:shd w:val="clear" w:color="auto" w:fill="FFFFFF"/>
        </w:rPr>
        <w:footnoteReference w:id="9"/>
      </w:r>
      <w:r w:rsidR="00B76958">
        <w:t xml:space="preserve"> </w:t>
      </w:r>
    </w:p>
    <w:p w14:paraId="0287E328" w14:textId="77777777" w:rsidR="005641F4" w:rsidRDefault="005641F4" w:rsidP="00925016"/>
    <w:p w14:paraId="24966544" w14:textId="2DA7135E" w:rsidR="000A7C2D" w:rsidRPr="00167179" w:rsidRDefault="00884DD7" w:rsidP="00167179">
      <w:pPr>
        <w:pStyle w:val="Heading2"/>
      </w:pPr>
      <w:r w:rsidRPr="00167179">
        <w:lastRenderedPageBreak/>
        <w:t>First initiations to bevacizumab, cetuximab or panitumumab</w:t>
      </w:r>
    </w:p>
    <w:p w14:paraId="3DE6022F" w14:textId="39C8BEB6" w:rsidR="006A0CA5" w:rsidRDefault="00284EDE" w:rsidP="00A13D16">
      <w:pPr>
        <w:pStyle w:val="NormalWeb"/>
        <w:shd w:val="clear" w:color="auto" w:fill="FFFFFF"/>
        <w:spacing w:before="0" w:beforeAutospacing="0" w:after="225" w:afterAutospacing="0"/>
        <w:rPr>
          <w:rFonts w:asciiTheme="minorHAnsi" w:eastAsiaTheme="minorEastAsia" w:hAnsiTheme="minorHAnsi" w:cstheme="minorBidi"/>
        </w:rPr>
      </w:pPr>
      <w:r>
        <w:rPr>
          <w:rFonts w:asciiTheme="minorHAnsi" w:eastAsiaTheme="minorEastAsia" w:hAnsiTheme="minorHAnsi" w:cstheme="minorBidi"/>
        </w:rPr>
        <w:t xml:space="preserve">A patient </w:t>
      </w:r>
      <w:r w:rsidR="00123638">
        <w:rPr>
          <w:rFonts w:asciiTheme="minorHAnsi" w:eastAsiaTheme="minorEastAsia" w:hAnsiTheme="minorHAnsi" w:cstheme="minorBidi"/>
        </w:rPr>
        <w:t>may not be suitable for a targeted drug</w:t>
      </w:r>
      <w:r>
        <w:rPr>
          <w:rFonts w:asciiTheme="minorHAnsi" w:eastAsiaTheme="minorEastAsia" w:hAnsiTheme="minorHAnsi" w:cstheme="minorBidi"/>
        </w:rPr>
        <w:t xml:space="preserve"> for several reasons. Bevacizumab is associated with an increased risk of blood clots with reports of heart attacks and strokes during therapy in a small proportion of patients (up to 4 percent)</w:t>
      </w:r>
      <w:r w:rsidR="000B744F">
        <w:rPr>
          <w:rFonts w:asciiTheme="minorHAnsi" w:eastAsiaTheme="minorEastAsia" w:hAnsiTheme="minorHAnsi" w:cstheme="minorBidi"/>
        </w:rPr>
        <w:t>.</w:t>
      </w:r>
      <w:r>
        <w:rPr>
          <w:rStyle w:val="FootnoteReference"/>
          <w:rFonts w:asciiTheme="minorHAnsi" w:eastAsiaTheme="minorEastAsia" w:hAnsiTheme="minorHAnsi" w:cstheme="minorBidi"/>
        </w:rPr>
        <w:footnoteReference w:id="10"/>
      </w:r>
      <w:r w:rsidR="008C4F19">
        <w:rPr>
          <w:rFonts w:asciiTheme="minorHAnsi" w:eastAsiaTheme="minorEastAsia" w:hAnsiTheme="minorHAnsi" w:cstheme="minorBidi"/>
        </w:rPr>
        <w:t xml:space="preserve"> As a result, bevacizumab may not be recommended for patients over the age </w:t>
      </w:r>
      <w:r w:rsidR="00CB3511">
        <w:rPr>
          <w:rFonts w:asciiTheme="minorHAnsi" w:eastAsiaTheme="minorEastAsia" w:hAnsiTheme="minorHAnsi" w:cstheme="minorBidi"/>
        </w:rPr>
        <w:t>of 65 years or who</w:t>
      </w:r>
      <w:r w:rsidR="008C4F19">
        <w:rPr>
          <w:rFonts w:asciiTheme="minorHAnsi" w:eastAsiaTheme="minorEastAsia" w:hAnsiTheme="minorHAnsi" w:cstheme="minorBidi"/>
        </w:rPr>
        <w:t xml:space="preserve"> have prior heart conditions.</w:t>
      </w:r>
    </w:p>
    <w:p w14:paraId="065F7BD1" w14:textId="6FF664A1" w:rsidR="00A13D16" w:rsidRDefault="00016A85" w:rsidP="00A13D16">
      <w:pPr>
        <w:pStyle w:val="NormalWeb"/>
        <w:shd w:val="clear" w:color="auto" w:fill="FFFFFF"/>
        <w:spacing w:before="0" w:beforeAutospacing="0" w:after="225" w:afterAutospacing="0"/>
        <w:rPr>
          <w:rFonts w:asciiTheme="minorHAnsi" w:eastAsiaTheme="minorEastAsia" w:hAnsiTheme="minorHAnsi" w:cstheme="minorBidi"/>
        </w:rPr>
      </w:pPr>
      <w:r>
        <w:rPr>
          <w:rFonts w:asciiTheme="minorHAnsi" w:eastAsiaTheme="minorEastAsia" w:hAnsiTheme="minorHAnsi" w:cstheme="minorBidi"/>
        </w:rPr>
        <w:t xml:space="preserve">The decision to first initiate </w:t>
      </w:r>
      <w:r w:rsidR="009F4408">
        <w:rPr>
          <w:rFonts w:asciiTheme="minorHAnsi" w:eastAsiaTheme="minorEastAsia" w:hAnsiTheme="minorHAnsi" w:cstheme="minorBidi"/>
        </w:rPr>
        <w:t>an individual</w:t>
      </w:r>
      <w:r>
        <w:rPr>
          <w:rFonts w:asciiTheme="minorHAnsi" w:eastAsiaTheme="minorEastAsia" w:hAnsiTheme="minorHAnsi" w:cstheme="minorBidi"/>
        </w:rPr>
        <w:t xml:space="preserve"> on bevacizumab, cetuximab or panitumumab is </w:t>
      </w:r>
      <w:r w:rsidR="00120F2C">
        <w:rPr>
          <w:rFonts w:asciiTheme="minorHAnsi" w:eastAsiaTheme="minorEastAsia" w:hAnsiTheme="minorHAnsi" w:cstheme="minorBidi"/>
        </w:rPr>
        <w:t xml:space="preserve">also </w:t>
      </w:r>
      <w:r>
        <w:rPr>
          <w:rFonts w:asciiTheme="minorHAnsi" w:eastAsiaTheme="minorEastAsia" w:hAnsiTheme="minorHAnsi" w:cstheme="minorBidi"/>
        </w:rPr>
        <w:t xml:space="preserve">dependant on whether </w:t>
      </w:r>
      <w:r w:rsidR="009F4408">
        <w:rPr>
          <w:rFonts w:asciiTheme="minorHAnsi" w:eastAsiaTheme="minorEastAsia" w:hAnsiTheme="minorHAnsi" w:cstheme="minorBidi"/>
        </w:rPr>
        <w:t>they have</w:t>
      </w:r>
      <w:r>
        <w:rPr>
          <w:rFonts w:asciiTheme="minorHAnsi" w:eastAsiaTheme="minorEastAsia" w:hAnsiTheme="minorHAnsi" w:cstheme="minorBidi"/>
        </w:rPr>
        <w:t xml:space="preserve"> a diagnosis of </w:t>
      </w:r>
      <w:r w:rsidRPr="001E476C">
        <w:rPr>
          <w:rFonts w:asciiTheme="minorHAnsi" w:eastAsiaTheme="minorEastAsia" w:hAnsiTheme="minorHAnsi" w:cstheme="minorBidi"/>
        </w:rPr>
        <w:t>RAS oncogene</w:t>
      </w:r>
      <w:r>
        <w:rPr>
          <w:rFonts w:asciiTheme="minorHAnsi" w:eastAsiaTheme="minorEastAsia" w:hAnsiTheme="minorHAnsi" w:cstheme="minorBidi"/>
        </w:rPr>
        <w:t xml:space="preserve"> mutation. </w:t>
      </w:r>
      <w:r w:rsidR="00A13D16" w:rsidRPr="007F6A1B">
        <w:rPr>
          <w:rFonts w:asciiTheme="minorHAnsi" w:eastAsiaTheme="minorEastAsia" w:hAnsiTheme="minorHAnsi" w:cstheme="minorBidi"/>
        </w:rPr>
        <w:t xml:space="preserve">The prevalence </w:t>
      </w:r>
      <w:r w:rsidR="00A13D16">
        <w:rPr>
          <w:rFonts w:asciiTheme="minorHAnsi" w:eastAsiaTheme="minorEastAsia" w:hAnsiTheme="minorHAnsi" w:cstheme="minorBidi"/>
        </w:rPr>
        <w:t xml:space="preserve">of RAS mutations </w:t>
      </w:r>
      <w:r w:rsidR="00A13D16" w:rsidRPr="007F6A1B">
        <w:rPr>
          <w:rFonts w:asciiTheme="minorHAnsi" w:eastAsiaTheme="minorEastAsia" w:hAnsiTheme="minorHAnsi" w:cstheme="minorBidi"/>
        </w:rPr>
        <w:t>occur</w:t>
      </w:r>
      <w:r w:rsidR="00A13D16">
        <w:rPr>
          <w:rFonts w:asciiTheme="minorHAnsi" w:eastAsiaTheme="minorEastAsia" w:hAnsiTheme="minorHAnsi" w:cstheme="minorBidi"/>
        </w:rPr>
        <w:t>s</w:t>
      </w:r>
      <w:r w:rsidR="00A13D16" w:rsidRPr="007F6A1B">
        <w:rPr>
          <w:rFonts w:asciiTheme="minorHAnsi" w:eastAsiaTheme="minorEastAsia" w:hAnsiTheme="minorHAnsi" w:cstheme="minorBidi"/>
        </w:rPr>
        <w:t xml:space="preserve"> in around half of </w:t>
      </w:r>
      <w:r w:rsidR="003741A5">
        <w:rPr>
          <w:rFonts w:asciiTheme="minorHAnsi" w:eastAsiaTheme="minorEastAsia" w:hAnsiTheme="minorHAnsi" w:cstheme="minorBidi"/>
        </w:rPr>
        <w:t>people</w:t>
      </w:r>
      <w:r w:rsidR="00A13D16">
        <w:rPr>
          <w:rFonts w:asciiTheme="minorHAnsi" w:eastAsiaTheme="minorEastAsia" w:hAnsiTheme="minorHAnsi" w:cstheme="minorBidi"/>
        </w:rPr>
        <w:t xml:space="preserve"> with mCRC (Peeters et al., 2015; Sorich et al., 2015, </w:t>
      </w:r>
      <w:r w:rsidR="00A13D16" w:rsidRPr="007F6A1B">
        <w:rPr>
          <w:rFonts w:asciiTheme="minorHAnsi" w:eastAsiaTheme="minorEastAsia" w:hAnsiTheme="minorHAnsi" w:cstheme="minorBidi"/>
        </w:rPr>
        <w:t>Boleij et al. 2016).</w:t>
      </w:r>
      <w:r w:rsidR="00A13D16">
        <w:rPr>
          <w:rFonts w:asciiTheme="minorHAnsi" w:eastAsiaTheme="minorEastAsia" w:hAnsiTheme="minorHAnsi" w:cstheme="minorBidi"/>
        </w:rPr>
        <w:t xml:space="preserve"> The proportion of RAS </w:t>
      </w:r>
      <w:r w:rsidR="00AE3E6A">
        <w:rPr>
          <w:rFonts w:asciiTheme="minorHAnsi" w:eastAsiaTheme="minorEastAsia" w:hAnsiTheme="minorHAnsi" w:cstheme="minorBidi"/>
        </w:rPr>
        <w:t xml:space="preserve">oncogenes </w:t>
      </w:r>
      <w:r w:rsidR="00A13D16">
        <w:rPr>
          <w:rFonts w:asciiTheme="minorHAnsi" w:eastAsiaTheme="minorEastAsia" w:hAnsiTheme="minorHAnsi" w:cstheme="minorBidi"/>
        </w:rPr>
        <w:t xml:space="preserve">that are wild-type is reported to be around 40 percent (Harle et al., 2016). </w:t>
      </w:r>
    </w:p>
    <w:p w14:paraId="65845520" w14:textId="3EBF3E54" w:rsidR="00CB0318" w:rsidRDefault="00016A85" w:rsidP="007F6A1B">
      <w:pPr>
        <w:pStyle w:val="NormalWeb"/>
        <w:shd w:val="clear" w:color="auto" w:fill="FFFFFF"/>
        <w:spacing w:before="0" w:beforeAutospacing="0" w:after="225" w:afterAutospacing="0"/>
        <w:rPr>
          <w:rFonts w:asciiTheme="minorHAnsi" w:eastAsiaTheme="minorEastAsia" w:hAnsiTheme="minorHAnsi" w:cstheme="minorBidi"/>
        </w:rPr>
      </w:pPr>
      <w:r w:rsidRPr="00016A85">
        <w:rPr>
          <w:rFonts w:asciiTheme="minorHAnsi" w:eastAsiaTheme="minorEastAsia" w:hAnsiTheme="minorHAnsi" w:cstheme="minorBidi"/>
        </w:rPr>
        <w:t xml:space="preserve">Available </w:t>
      </w:r>
      <w:r>
        <w:rPr>
          <w:rFonts w:asciiTheme="minorHAnsi" w:eastAsiaTheme="minorEastAsia" w:hAnsiTheme="minorHAnsi" w:cstheme="minorBidi"/>
        </w:rPr>
        <w:t xml:space="preserve">evidence indicates that </w:t>
      </w:r>
      <w:r w:rsidR="001049A5" w:rsidRPr="0045415B">
        <w:rPr>
          <w:rFonts w:asciiTheme="minorHAnsi" w:eastAsiaTheme="minorEastAsia" w:hAnsiTheme="minorHAnsi" w:cstheme="minorBidi"/>
        </w:rPr>
        <w:t xml:space="preserve">epidermal growth factor receptor (EGFR) inhibitors, </w:t>
      </w:r>
      <w:r w:rsidR="001049A5">
        <w:rPr>
          <w:rFonts w:asciiTheme="minorHAnsi" w:eastAsiaTheme="minorEastAsia" w:hAnsiTheme="minorHAnsi" w:cstheme="minorBidi"/>
        </w:rPr>
        <w:t xml:space="preserve">including </w:t>
      </w:r>
      <w:r w:rsidRPr="00016A85">
        <w:rPr>
          <w:rFonts w:asciiTheme="minorHAnsi" w:eastAsiaTheme="minorEastAsia" w:hAnsiTheme="minorHAnsi" w:cstheme="minorBidi"/>
        </w:rPr>
        <w:t>cetuximab and panitumumab</w:t>
      </w:r>
      <w:r w:rsidR="001049A5">
        <w:rPr>
          <w:rFonts w:asciiTheme="minorHAnsi" w:eastAsiaTheme="minorEastAsia" w:hAnsiTheme="minorHAnsi" w:cstheme="minorBidi"/>
        </w:rPr>
        <w:t>,</w:t>
      </w:r>
      <w:r w:rsidRPr="00016A85">
        <w:rPr>
          <w:rFonts w:asciiTheme="minorHAnsi" w:eastAsiaTheme="minorEastAsia" w:hAnsiTheme="minorHAnsi" w:cstheme="minorBidi"/>
        </w:rPr>
        <w:t xml:space="preserve"> should only be </w:t>
      </w:r>
      <w:r>
        <w:rPr>
          <w:rFonts w:asciiTheme="minorHAnsi" w:eastAsiaTheme="minorEastAsia" w:hAnsiTheme="minorHAnsi" w:cstheme="minorBidi"/>
        </w:rPr>
        <w:t xml:space="preserve">used to treat </w:t>
      </w:r>
      <w:r w:rsidRPr="00016A85">
        <w:rPr>
          <w:rFonts w:asciiTheme="minorHAnsi" w:eastAsiaTheme="minorEastAsia" w:hAnsiTheme="minorHAnsi" w:cstheme="minorBidi"/>
        </w:rPr>
        <w:t xml:space="preserve">mCRC </w:t>
      </w:r>
      <w:r>
        <w:rPr>
          <w:rFonts w:asciiTheme="minorHAnsi" w:eastAsiaTheme="minorEastAsia" w:hAnsiTheme="minorHAnsi" w:cstheme="minorBidi"/>
        </w:rPr>
        <w:t xml:space="preserve">where </w:t>
      </w:r>
      <w:r w:rsidR="001F23E4">
        <w:rPr>
          <w:rFonts w:asciiTheme="minorHAnsi" w:eastAsiaTheme="minorEastAsia" w:hAnsiTheme="minorHAnsi" w:cstheme="minorBidi"/>
        </w:rPr>
        <w:t>patients</w:t>
      </w:r>
      <w:r>
        <w:rPr>
          <w:rFonts w:asciiTheme="minorHAnsi" w:eastAsiaTheme="minorEastAsia" w:hAnsiTheme="minorHAnsi" w:cstheme="minorBidi"/>
        </w:rPr>
        <w:t xml:space="preserve"> are</w:t>
      </w:r>
      <w:r w:rsidR="009D2414">
        <w:rPr>
          <w:rFonts w:asciiTheme="minorHAnsi" w:eastAsiaTheme="minorEastAsia" w:hAnsiTheme="minorHAnsi" w:cstheme="minorBidi"/>
        </w:rPr>
        <w:t xml:space="preserve"> wild-</w:t>
      </w:r>
      <w:r w:rsidRPr="00016A85">
        <w:rPr>
          <w:rFonts w:asciiTheme="minorHAnsi" w:eastAsiaTheme="minorEastAsia" w:hAnsiTheme="minorHAnsi" w:cstheme="minorBidi"/>
        </w:rPr>
        <w:t xml:space="preserve">type for all known RAS-activating </w:t>
      </w:r>
      <w:r w:rsidR="00AE3E6A">
        <w:rPr>
          <w:rFonts w:asciiTheme="minorHAnsi" w:eastAsiaTheme="minorEastAsia" w:hAnsiTheme="minorHAnsi" w:cstheme="minorBidi"/>
        </w:rPr>
        <w:t xml:space="preserve">loci </w:t>
      </w:r>
      <w:r>
        <w:rPr>
          <w:rFonts w:asciiTheme="minorHAnsi" w:eastAsiaTheme="minorEastAsia" w:hAnsiTheme="minorHAnsi" w:cstheme="minorBidi"/>
        </w:rPr>
        <w:t xml:space="preserve">(Sorich et al., 2015). </w:t>
      </w:r>
      <w:r w:rsidR="00921502">
        <w:rPr>
          <w:rFonts w:asciiTheme="minorHAnsi" w:eastAsiaTheme="minorEastAsia" w:hAnsiTheme="minorHAnsi" w:cstheme="minorBidi"/>
        </w:rPr>
        <w:t xml:space="preserve">Access to PBS subsidised cetuximab and panitumumab requires a diagnosis of RAS wild-type </w:t>
      </w:r>
      <w:r w:rsidR="00AE3E6A">
        <w:rPr>
          <w:rFonts w:asciiTheme="minorHAnsi" w:eastAsiaTheme="minorEastAsia" w:hAnsiTheme="minorHAnsi" w:cstheme="minorBidi"/>
        </w:rPr>
        <w:t xml:space="preserve">status </w:t>
      </w:r>
      <w:r w:rsidR="00921502">
        <w:rPr>
          <w:rFonts w:asciiTheme="minorHAnsi" w:eastAsiaTheme="minorEastAsia" w:hAnsiTheme="minorHAnsi" w:cstheme="minorBidi"/>
        </w:rPr>
        <w:t>whereas bevacizumab does not have this restriction.</w:t>
      </w:r>
    </w:p>
    <w:p w14:paraId="14EFA99C" w14:textId="21E1716D" w:rsidR="00917B68" w:rsidRDefault="0012470B" w:rsidP="007F6A1B">
      <w:pPr>
        <w:pStyle w:val="NormalWeb"/>
        <w:shd w:val="clear" w:color="auto" w:fill="FFFFFF"/>
        <w:spacing w:before="0" w:beforeAutospacing="0" w:after="225" w:afterAutospacing="0"/>
        <w:rPr>
          <w:rFonts w:asciiTheme="minorHAnsi" w:eastAsiaTheme="minorEastAsia" w:hAnsiTheme="minorHAnsi" w:cstheme="minorBidi"/>
        </w:rPr>
      </w:pPr>
      <w:r>
        <w:rPr>
          <w:rFonts w:asciiTheme="minorHAnsi" w:eastAsiaTheme="minorEastAsia" w:hAnsiTheme="minorHAnsi" w:cstheme="minorBidi"/>
        </w:rPr>
        <w:t>A</w:t>
      </w:r>
      <w:r w:rsidR="000C0539">
        <w:rPr>
          <w:rFonts w:asciiTheme="minorHAnsi" w:eastAsiaTheme="minorEastAsia" w:hAnsiTheme="minorHAnsi" w:cstheme="minorBidi"/>
        </w:rPr>
        <w:t>round 75 percent</w:t>
      </w:r>
      <w:r w:rsidR="00984BEC">
        <w:rPr>
          <w:rFonts w:asciiTheme="minorHAnsi" w:eastAsiaTheme="minorEastAsia" w:hAnsiTheme="minorHAnsi" w:cstheme="minorBidi"/>
        </w:rPr>
        <w:t xml:space="preserve"> of </w:t>
      </w:r>
      <w:r w:rsidR="001F23E4">
        <w:rPr>
          <w:rFonts w:asciiTheme="minorHAnsi" w:eastAsiaTheme="minorEastAsia" w:hAnsiTheme="minorHAnsi" w:cstheme="minorBidi"/>
        </w:rPr>
        <w:t>patients</w:t>
      </w:r>
      <w:r w:rsidR="00984BEC">
        <w:rPr>
          <w:rFonts w:asciiTheme="minorHAnsi" w:eastAsiaTheme="minorEastAsia" w:hAnsiTheme="minorHAnsi" w:cstheme="minorBidi"/>
        </w:rPr>
        <w:t xml:space="preserve"> first initiated on a</w:t>
      </w:r>
      <w:r w:rsidR="00560FFC">
        <w:rPr>
          <w:rFonts w:asciiTheme="minorHAnsi" w:eastAsiaTheme="minorEastAsia" w:hAnsiTheme="minorHAnsi" w:cstheme="minorBidi"/>
        </w:rPr>
        <w:t xml:space="preserve"> targeted therapy in 2016 were on</w:t>
      </w:r>
      <w:r w:rsidR="00984BEC">
        <w:rPr>
          <w:rFonts w:asciiTheme="minorHAnsi" w:eastAsiaTheme="minorEastAsia" w:hAnsiTheme="minorHAnsi" w:cstheme="minorBidi"/>
        </w:rPr>
        <w:t xml:space="preserve"> drug regimen</w:t>
      </w:r>
      <w:r w:rsidR="00AE3E6A">
        <w:rPr>
          <w:rFonts w:asciiTheme="minorHAnsi" w:eastAsiaTheme="minorEastAsia" w:hAnsiTheme="minorHAnsi" w:cstheme="minorBidi"/>
        </w:rPr>
        <w:t>s</w:t>
      </w:r>
      <w:r w:rsidR="00984BEC">
        <w:rPr>
          <w:rFonts w:asciiTheme="minorHAnsi" w:eastAsiaTheme="minorEastAsia" w:hAnsiTheme="minorHAnsi" w:cstheme="minorBidi"/>
        </w:rPr>
        <w:t xml:space="preserve"> containing bevacizumab. </w:t>
      </w:r>
      <w:r w:rsidR="0045415B">
        <w:rPr>
          <w:rFonts w:asciiTheme="minorHAnsi" w:eastAsiaTheme="minorEastAsia" w:hAnsiTheme="minorHAnsi" w:cstheme="minorBidi"/>
        </w:rPr>
        <w:t xml:space="preserve">The lower </w:t>
      </w:r>
      <w:r w:rsidR="00B21985">
        <w:rPr>
          <w:rFonts w:asciiTheme="minorHAnsi" w:eastAsiaTheme="minorEastAsia" w:hAnsiTheme="minorHAnsi" w:cstheme="minorBidi"/>
        </w:rPr>
        <w:t>number of initiators on</w:t>
      </w:r>
      <w:r w:rsidR="001049A5">
        <w:rPr>
          <w:rFonts w:asciiTheme="minorHAnsi" w:eastAsiaTheme="minorEastAsia" w:hAnsiTheme="minorHAnsi" w:cstheme="minorBidi"/>
        </w:rPr>
        <w:t xml:space="preserve"> </w:t>
      </w:r>
      <w:r w:rsidR="0045415B" w:rsidRPr="0045415B">
        <w:rPr>
          <w:rFonts w:asciiTheme="minorHAnsi" w:eastAsiaTheme="minorEastAsia" w:hAnsiTheme="minorHAnsi" w:cstheme="minorBidi"/>
        </w:rPr>
        <w:t>cetuxim</w:t>
      </w:r>
      <w:r w:rsidR="00917B68">
        <w:rPr>
          <w:rFonts w:asciiTheme="minorHAnsi" w:eastAsiaTheme="minorEastAsia" w:hAnsiTheme="minorHAnsi" w:cstheme="minorBidi"/>
        </w:rPr>
        <w:t xml:space="preserve">ab and panitumumab may relate to their </w:t>
      </w:r>
      <w:r w:rsidR="00470821">
        <w:rPr>
          <w:rFonts w:asciiTheme="minorHAnsi" w:eastAsiaTheme="minorEastAsia" w:hAnsiTheme="minorHAnsi" w:cstheme="minorBidi"/>
        </w:rPr>
        <w:t>restricted</w:t>
      </w:r>
      <w:r w:rsidR="00917B68">
        <w:rPr>
          <w:rFonts w:asciiTheme="minorHAnsi" w:eastAsiaTheme="minorEastAsia" w:hAnsiTheme="minorHAnsi" w:cstheme="minorBidi"/>
        </w:rPr>
        <w:t xml:space="preserve"> use in </w:t>
      </w:r>
      <w:r w:rsidR="00AE3E6A">
        <w:rPr>
          <w:rFonts w:asciiTheme="minorHAnsi" w:eastAsiaTheme="minorEastAsia" w:hAnsiTheme="minorHAnsi" w:cstheme="minorBidi"/>
        </w:rPr>
        <w:t xml:space="preserve">people with </w:t>
      </w:r>
      <w:r w:rsidR="00917B68">
        <w:rPr>
          <w:rFonts w:asciiTheme="minorHAnsi" w:eastAsiaTheme="minorEastAsia" w:hAnsiTheme="minorHAnsi" w:cstheme="minorBidi"/>
        </w:rPr>
        <w:t xml:space="preserve">RAS wild-type </w:t>
      </w:r>
      <w:r w:rsidR="00AE3E6A">
        <w:rPr>
          <w:rFonts w:asciiTheme="minorHAnsi" w:eastAsiaTheme="minorEastAsia" w:hAnsiTheme="minorHAnsi" w:cstheme="minorBidi"/>
        </w:rPr>
        <w:t xml:space="preserve">status </w:t>
      </w:r>
      <w:r w:rsidR="00470821">
        <w:rPr>
          <w:rFonts w:asciiTheme="minorHAnsi" w:eastAsiaTheme="minorEastAsia" w:hAnsiTheme="minorHAnsi" w:cstheme="minorBidi"/>
        </w:rPr>
        <w:t>only</w:t>
      </w:r>
      <w:r w:rsidR="00917B68">
        <w:rPr>
          <w:rFonts w:asciiTheme="minorHAnsi" w:eastAsiaTheme="minorEastAsia" w:hAnsiTheme="minorHAnsi" w:cstheme="minorBidi"/>
        </w:rPr>
        <w:t xml:space="preserve">. </w:t>
      </w:r>
      <w:r w:rsidR="00470821">
        <w:rPr>
          <w:rFonts w:asciiTheme="minorHAnsi" w:eastAsiaTheme="minorEastAsia" w:hAnsiTheme="minorHAnsi" w:cstheme="minorBidi"/>
        </w:rPr>
        <w:t>Cetuximab and panitumumab</w:t>
      </w:r>
      <w:r w:rsidR="00A973F5">
        <w:rPr>
          <w:rFonts w:asciiTheme="minorHAnsi" w:eastAsiaTheme="minorEastAsia" w:hAnsiTheme="minorHAnsi" w:cstheme="minorBidi"/>
        </w:rPr>
        <w:t xml:space="preserve"> are also associated with </w:t>
      </w:r>
      <w:r w:rsidR="00DA5AA1">
        <w:rPr>
          <w:rFonts w:asciiTheme="minorHAnsi" w:eastAsiaTheme="minorEastAsia" w:hAnsiTheme="minorHAnsi" w:cstheme="minorBidi"/>
        </w:rPr>
        <w:t xml:space="preserve">infusion reactions, including </w:t>
      </w:r>
      <w:r w:rsidR="00E21D44">
        <w:rPr>
          <w:rFonts w:asciiTheme="minorHAnsi" w:eastAsiaTheme="minorEastAsia" w:hAnsiTheme="minorHAnsi" w:cstheme="minorBidi"/>
        </w:rPr>
        <w:t xml:space="preserve">skin toxicities and anaphylaxis </w:t>
      </w:r>
      <w:r w:rsidR="00970DBE">
        <w:rPr>
          <w:rFonts w:asciiTheme="minorHAnsi" w:eastAsiaTheme="minorEastAsia" w:hAnsiTheme="minorHAnsi" w:cstheme="minorBidi"/>
        </w:rPr>
        <w:t>(NCCN guidelines</w:t>
      </w:r>
      <w:r w:rsidR="00DA5AA1">
        <w:rPr>
          <w:rFonts w:asciiTheme="minorHAnsi" w:eastAsiaTheme="minorEastAsia" w:hAnsiTheme="minorHAnsi" w:cstheme="minorBidi"/>
        </w:rPr>
        <w:t xml:space="preserve">, </w:t>
      </w:r>
      <w:r w:rsidR="002418DA">
        <w:rPr>
          <w:rFonts w:asciiTheme="minorHAnsi" w:eastAsiaTheme="minorEastAsia" w:hAnsiTheme="minorHAnsi" w:cstheme="minorBidi"/>
        </w:rPr>
        <w:t>2017, p.3</w:t>
      </w:r>
      <w:r w:rsidR="00E21D44">
        <w:rPr>
          <w:rFonts w:asciiTheme="minorHAnsi" w:eastAsiaTheme="minorEastAsia" w:hAnsiTheme="minorHAnsi" w:cstheme="minorBidi"/>
        </w:rPr>
        <w:t>82)</w:t>
      </w:r>
      <w:r w:rsidR="00AE3E6A">
        <w:rPr>
          <w:rFonts w:asciiTheme="minorHAnsi" w:eastAsiaTheme="minorEastAsia" w:hAnsiTheme="minorHAnsi" w:cstheme="minorBidi"/>
        </w:rPr>
        <w:t>,</w:t>
      </w:r>
      <w:r w:rsidR="00E21D44">
        <w:rPr>
          <w:rFonts w:asciiTheme="minorHAnsi" w:eastAsiaTheme="minorEastAsia" w:hAnsiTheme="minorHAnsi" w:cstheme="minorBidi"/>
        </w:rPr>
        <w:t xml:space="preserve"> </w:t>
      </w:r>
      <w:r w:rsidR="00A973F5">
        <w:rPr>
          <w:rFonts w:asciiTheme="minorHAnsi" w:eastAsiaTheme="minorEastAsia" w:hAnsiTheme="minorHAnsi" w:cstheme="minorBidi"/>
        </w:rPr>
        <w:t xml:space="preserve">which may have </w:t>
      </w:r>
      <w:r w:rsidR="00A17849">
        <w:rPr>
          <w:rFonts w:asciiTheme="minorHAnsi" w:eastAsiaTheme="minorEastAsia" w:hAnsiTheme="minorHAnsi" w:cstheme="minorBidi"/>
        </w:rPr>
        <w:t>influenced clinician</w:t>
      </w:r>
      <w:r w:rsidR="00A973F5">
        <w:rPr>
          <w:rFonts w:asciiTheme="minorHAnsi" w:eastAsiaTheme="minorEastAsia" w:hAnsiTheme="minorHAnsi" w:cstheme="minorBidi"/>
        </w:rPr>
        <w:t>s</w:t>
      </w:r>
      <w:r w:rsidR="00A17849">
        <w:rPr>
          <w:rFonts w:asciiTheme="minorHAnsi" w:eastAsiaTheme="minorEastAsia" w:hAnsiTheme="minorHAnsi" w:cstheme="minorBidi"/>
        </w:rPr>
        <w:t>’</w:t>
      </w:r>
      <w:r w:rsidR="00A973F5">
        <w:rPr>
          <w:rFonts w:asciiTheme="minorHAnsi" w:eastAsiaTheme="minorEastAsia" w:hAnsiTheme="minorHAnsi" w:cstheme="minorBidi"/>
        </w:rPr>
        <w:t xml:space="preserve"> choice </w:t>
      </w:r>
      <w:r w:rsidR="00CA2EFA">
        <w:rPr>
          <w:rFonts w:asciiTheme="minorHAnsi" w:eastAsiaTheme="minorEastAsia" w:hAnsiTheme="minorHAnsi" w:cstheme="minorBidi"/>
        </w:rPr>
        <w:t>in the use of these drugs</w:t>
      </w:r>
      <w:r w:rsidR="00A973F5">
        <w:rPr>
          <w:rFonts w:asciiTheme="minorHAnsi" w:eastAsiaTheme="minorEastAsia" w:hAnsiTheme="minorHAnsi" w:cstheme="minorBidi"/>
        </w:rPr>
        <w:t xml:space="preserve">. </w:t>
      </w:r>
      <w:r w:rsidR="00027B9C">
        <w:rPr>
          <w:rFonts w:asciiTheme="minorHAnsi" w:eastAsiaTheme="minorEastAsia" w:hAnsiTheme="minorHAnsi" w:cstheme="minorBidi"/>
        </w:rPr>
        <w:t xml:space="preserve">In its recommendation for cetuximab in 2014, the PBAC noted that there was a </w:t>
      </w:r>
      <w:r w:rsidR="00027B9C" w:rsidRPr="00D957B3">
        <w:rPr>
          <w:rFonts w:asciiTheme="minorHAnsi" w:eastAsiaTheme="minorEastAsia" w:hAnsiTheme="minorHAnsi" w:cstheme="minorBidi"/>
        </w:rPr>
        <w:t>higher frequency of skin-related adverse events for ce</w:t>
      </w:r>
      <w:r w:rsidR="00027B9C">
        <w:rPr>
          <w:rFonts w:asciiTheme="minorHAnsi" w:eastAsiaTheme="minorEastAsia" w:hAnsiTheme="minorHAnsi" w:cstheme="minorBidi"/>
        </w:rPr>
        <w:t>tuximab (</w:t>
      </w:r>
      <w:hyperlink r:id="rId36" w:history="1">
        <w:r w:rsidR="00027B9C" w:rsidRPr="00027B9C">
          <w:rPr>
            <w:rStyle w:val="Hyperlink"/>
            <w:rFonts w:asciiTheme="minorHAnsi" w:eastAsiaTheme="minorEastAsia" w:hAnsiTheme="minorHAnsi" w:cstheme="minorBidi"/>
          </w:rPr>
          <w:t>Public Summary Document for the November 2014 PBAC meeting</w:t>
        </w:r>
      </w:hyperlink>
      <w:r w:rsidR="00027B9C">
        <w:rPr>
          <w:rFonts w:asciiTheme="minorHAnsi" w:eastAsiaTheme="minorEastAsia" w:hAnsiTheme="minorHAnsi" w:cstheme="minorBidi"/>
        </w:rPr>
        <w:t>).</w:t>
      </w:r>
    </w:p>
    <w:p w14:paraId="5691390B" w14:textId="29C8147F" w:rsidR="00A457D2" w:rsidRPr="00B83147" w:rsidRDefault="005C1355" w:rsidP="00B83147">
      <w:pPr>
        <w:pStyle w:val="NormalWeb"/>
        <w:shd w:val="clear" w:color="auto" w:fill="FFFFFF"/>
        <w:spacing w:before="0" w:beforeAutospacing="0" w:after="225" w:afterAutospacing="0"/>
        <w:rPr>
          <w:rFonts w:asciiTheme="minorHAnsi" w:eastAsiaTheme="minorEastAsia" w:hAnsiTheme="minorHAnsi" w:cstheme="minorBidi"/>
        </w:rPr>
      </w:pPr>
      <w:r>
        <w:rPr>
          <w:rFonts w:asciiTheme="minorHAnsi" w:eastAsiaTheme="minorEastAsia" w:hAnsiTheme="minorHAnsi" w:cstheme="minorBidi"/>
        </w:rPr>
        <w:t xml:space="preserve">The March 2015 recommendation for </w:t>
      </w:r>
      <w:r w:rsidR="00D76230">
        <w:rPr>
          <w:rFonts w:asciiTheme="minorHAnsi" w:eastAsiaTheme="minorEastAsia" w:hAnsiTheme="minorHAnsi" w:cstheme="minorBidi"/>
        </w:rPr>
        <w:t xml:space="preserve">panitumumab </w:t>
      </w:r>
      <w:r>
        <w:rPr>
          <w:rFonts w:asciiTheme="minorHAnsi" w:eastAsiaTheme="minorEastAsia" w:hAnsiTheme="minorHAnsi" w:cstheme="minorBidi"/>
        </w:rPr>
        <w:t>in first-line noted that cetuximab and panitumumab were clinically equivalent (</w:t>
      </w:r>
      <w:hyperlink r:id="rId37" w:history="1">
        <w:r w:rsidR="009A6B02" w:rsidRPr="009A6B02">
          <w:rPr>
            <w:rStyle w:val="Hyperlink"/>
            <w:rFonts w:asciiTheme="minorHAnsi" w:eastAsiaTheme="minorEastAsia" w:hAnsiTheme="minorHAnsi" w:cstheme="minorBidi"/>
          </w:rPr>
          <w:t>Public Summary Document from the March 2015 PBAC meeting</w:t>
        </w:r>
      </w:hyperlink>
      <w:r w:rsidR="009A6B02">
        <w:rPr>
          <w:rFonts w:asciiTheme="minorHAnsi" w:eastAsiaTheme="minorEastAsia" w:hAnsiTheme="minorHAnsi" w:cstheme="minorBidi"/>
        </w:rPr>
        <w:t xml:space="preserve">). </w:t>
      </w:r>
      <w:r w:rsidR="008D32BD">
        <w:rPr>
          <w:rFonts w:asciiTheme="minorHAnsi" w:eastAsiaTheme="minorEastAsia" w:hAnsiTheme="minorHAnsi" w:cstheme="minorBidi"/>
        </w:rPr>
        <w:t>An</w:t>
      </w:r>
      <w:r w:rsidR="000630F3">
        <w:rPr>
          <w:rFonts w:asciiTheme="minorHAnsi" w:eastAsiaTheme="minorEastAsia" w:hAnsiTheme="minorHAnsi" w:cstheme="minorBidi"/>
        </w:rPr>
        <w:t xml:space="preserve"> analysis of first initiators in 2016 showed that </w:t>
      </w:r>
      <w:r w:rsidR="006711B5">
        <w:rPr>
          <w:rFonts w:asciiTheme="minorHAnsi" w:eastAsiaTheme="minorEastAsia" w:hAnsiTheme="minorHAnsi" w:cstheme="minorBidi"/>
        </w:rPr>
        <w:t>there was a higher proportional use of cetuximab (18%) compared to panitumumab (6%) for first-line therapy (Table 4).</w:t>
      </w:r>
      <w:r w:rsidR="008D32BD">
        <w:rPr>
          <w:rFonts w:asciiTheme="minorHAnsi" w:eastAsiaTheme="minorEastAsia" w:hAnsiTheme="minorHAnsi" w:cstheme="minorBidi"/>
        </w:rPr>
        <w:t>Th</w:t>
      </w:r>
      <w:r w:rsidR="00BF36F1">
        <w:rPr>
          <w:rFonts w:asciiTheme="minorHAnsi" w:eastAsiaTheme="minorEastAsia" w:hAnsiTheme="minorHAnsi" w:cstheme="minorBidi"/>
        </w:rPr>
        <w:t>is likely reflects that cetuximab had more time to become established in the market due to its longer period of listing compared to panitumumab.</w:t>
      </w:r>
    </w:p>
    <w:p w14:paraId="141C6F22" w14:textId="21E0365B" w:rsidR="00257AF6" w:rsidRPr="00167179" w:rsidRDefault="00257AF6" w:rsidP="00167179">
      <w:pPr>
        <w:pStyle w:val="Heading2"/>
      </w:pPr>
      <w:r w:rsidRPr="00167179">
        <w:t>Time on therapy</w:t>
      </w:r>
    </w:p>
    <w:p w14:paraId="72110E5F" w14:textId="3E654FF9" w:rsidR="00890F84" w:rsidRDefault="009A077F" w:rsidP="00554408">
      <w:r>
        <w:t>For patients first initiating on a targeted agent in 2014, the median time on all episodes of treatment was 517 days (aroun</w:t>
      </w:r>
      <w:r w:rsidR="006711CC">
        <w:t>d 17 m</w:t>
      </w:r>
      <w:r w:rsidR="00002DB6">
        <w:t>onths) (Table 5</w:t>
      </w:r>
      <w:r>
        <w:t xml:space="preserve">). </w:t>
      </w:r>
    </w:p>
    <w:p w14:paraId="439F73F7" w14:textId="6986BF57" w:rsidR="00B64D59" w:rsidRDefault="00CC69D1" w:rsidP="00554408">
      <w:r>
        <w:t xml:space="preserve">The time on any first-line targeted therapy compared with bevacizumab was similar (median 409 vs 427 days, respectively) as bevacizumab accounted for the majority of use </w:t>
      </w:r>
      <w:r w:rsidR="000A6F9B">
        <w:t xml:space="preserve">(88%) </w:t>
      </w:r>
      <w:r>
        <w:t xml:space="preserve">in first-line </w:t>
      </w:r>
      <w:r w:rsidR="003524D4">
        <w:t xml:space="preserve">(Figure 3). </w:t>
      </w:r>
      <w:r w:rsidR="00696962">
        <w:t xml:space="preserve">Based on the results of the </w:t>
      </w:r>
      <w:r w:rsidR="00696962" w:rsidRPr="00D318F8">
        <w:t xml:space="preserve">AVF2107g, AVF2192g and </w:t>
      </w:r>
      <w:r w:rsidR="00696962" w:rsidRPr="00D318F8">
        <w:lastRenderedPageBreak/>
        <w:t xml:space="preserve">AVF0780g trials presented in the </w:t>
      </w:r>
      <w:hyperlink r:id="rId38" w:history="1">
        <w:r w:rsidR="00696962" w:rsidRPr="00D0553F">
          <w:rPr>
            <w:rStyle w:val="Hyperlink"/>
          </w:rPr>
          <w:t>March 2008 PBAC submission for bevacizumab</w:t>
        </w:r>
      </w:hyperlink>
      <w:r w:rsidR="00696962" w:rsidRPr="00D318F8">
        <w:t>, the</w:t>
      </w:r>
      <w:r w:rsidR="00A74DC7" w:rsidRPr="00D318F8">
        <w:t xml:space="preserve"> mean</w:t>
      </w:r>
      <w:r w:rsidR="00696962" w:rsidRPr="00D318F8">
        <w:t xml:space="preserve"> progression-free survival (PFS)</w:t>
      </w:r>
      <w:r w:rsidR="00E32C1E" w:rsidRPr="00D318F8">
        <w:t xml:space="preserve"> time</w:t>
      </w:r>
      <w:r w:rsidR="00696962" w:rsidRPr="00D318F8">
        <w:t xml:space="preserve"> for bevacizumab in combination with either with 5-FU/LV or irinotecan plus 5-FU/LV</w:t>
      </w:r>
      <w:r w:rsidR="00A74DC7" w:rsidRPr="00D318F8">
        <w:t xml:space="preserve"> </w:t>
      </w:r>
      <w:r w:rsidR="00E32C1E" w:rsidRPr="00D318F8">
        <w:t xml:space="preserve">for previously untreated mCRC patients </w:t>
      </w:r>
      <w:r w:rsidR="00A74DC7" w:rsidRPr="00D318F8">
        <w:t>was around 11</w:t>
      </w:r>
      <w:r w:rsidR="007242EA">
        <w:t> </w:t>
      </w:r>
      <w:r w:rsidR="00A74DC7" w:rsidRPr="00D318F8">
        <w:t>months (341 days)</w:t>
      </w:r>
      <w:r w:rsidR="00696962" w:rsidRPr="00D318F8">
        <w:t xml:space="preserve">. </w:t>
      </w:r>
      <w:r w:rsidR="00386359">
        <w:t xml:space="preserve">For the more commonly used chemotherapy partner identified in the analysis, XELOX, similar PFS times are reported in the literature (e.g. </w:t>
      </w:r>
      <w:r w:rsidR="00707702" w:rsidRPr="00AE524B">
        <w:t>Antonuzzo</w:t>
      </w:r>
      <w:r w:rsidR="00707702">
        <w:t xml:space="preserve"> et al., 2015</w:t>
      </w:r>
      <w:r w:rsidR="00386359">
        <w:t xml:space="preserve">; Matsui et al., 2016). </w:t>
      </w:r>
      <w:r w:rsidR="004E1E81">
        <w:t>Based on the FIRE-3 trial, the PFS for cetuximab in combination with FOLFIRI was 10.4 months with an upper confidence limit of 12.2 months (around 378</w:t>
      </w:r>
      <w:r w:rsidR="007242EA">
        <w:t> </w:t>
      </w:r>
      <w:r w:rsidR="004E1E81">
        <w:t>days), (</w:t>
      </w:r>
      <w:hyperlink r:id="rId39" w:history="1">
        <w:r w:rsidR="004E1E81" w:rsidRPr="004E1E81">
          <w:rPr>
            <w:rStyle w:val="Hyperlink"/>
          </w:rPr>
          <w:t>Public Summary Document for the cetuximab November 2014 submission</w:t>
        </w:r>
      </w:hyperlink>
      <w:r w:rsidR="004E1E81">
        <w:t xml:space="preserve">). </w:t>
      </w:r>
      <w:r w:rsidR="008F58D9">
        <w:t xml:space="preserve">The median time on any first-line targeted therapy or bevacizumab alone appeared to be longer than the PFS following first-line targeted therapy </w:t>
      </w:r>
      <w:r w:rsidR="003206BF">
        <w:t xml:space="preserve">observed in </w:t>
      </w:r>
      <w:r w:rsidR="008F58D9">
        <w:t xml:space="preserve">clinical </w:t>
      </w:r>
      <w:r w:rsidR="003206BF">
        <w:t>trials.</w:t>
      </w:r>
      <w:r w:rsidR="009B569B">
        <w:t xml:space="preserve"> </w:t>
      </w:r>
      <w:r w:rsidR="000610D3">
        <w:t xml:space="preserve">This suggests that there may have been some use of </w:t>
      </w:r>
      <w:r w:rsidR="00FD7B49">
        <w:t xml:space="preserve">the targeted drugs </w:t>
      </w:r>
      <w:r w:rsidR="000610D3">
        <w:t>after disease progression</w:t>
      </w:r>
      <w:r w:rsidR="00326D95">
        <w:t xml:space="preserve"> which is not permitted under their restrictions</w:t>
      </w:r>
      <w:r w:rsidR="000610D3">
        <w:t xml:space="preserve">. </w:t>
      </w:r>
      <w:r w:rsidR="00BB381C">
        <w:t xml:space="preserve">Investigations on the use of bevacizumab beyond disease progression have </w:t>
      </w:r>
      <w:r w:rsidR="009C3EA6">
        <w:t xml:space="preserve">reported incremental benefits for overall survival (Cartwright et al., 2012; </w:t>
      </w:r>
      <w:r w:rsidR="00A70FEC" w:rsidRPr="00A70FEC">
        <w:t>Bennouna</w:t>
      </w:r>
      <w:r w:rsidR="00A70FEC">
        <w:t xml:space="preserve"> et al., 2013)</w:t>
      </w:r>
      <w:r w:rsidR="00C2180A">
        <w:t xml:space="preserve"> which may encourage this practice</w:t>
      </w:r>
      <w:r w:rsidR="00A70FEC">
        <w:t xml:space="preserve">. </w:t>
      </w:r>
      <w:r w:rsidR="00B64D59">
        <w:t xml:space="preserve">For the trials considered in the March 2008 submission, the </w:t>
      </w:r>
      <w:r w:rsidR="007242EA">
        <w:t>i</w:t>
      </w:r>
      <w:r w:rsidR="00B64D59" w:rsidRPr="00B64D59">
        <w:t>nvestigators assessed tumo</w:t>
      </w:r>
      <w:r w:rsidR="00B64D59">
        <w:t>u</w:t>
      </w:r>
      <w:r w:rsidR="00B64D59" w:rsidRPr="00B64D59">
        <w:t xml:space="preserve">r responses and </w:t>
      </w:r>
      <w:r w:rsidR="00B64D59">
        <w:t xml:space="preserve">disease </w:t>
      </w:r>
      <w:r w:rsidR="00B64D59" w:rsidRPr="00B64D59">
        <w:t>progression using the Response Evaluation Criteria in Solid Tumo</w:t>
      </w:r>
      <w:r w:rsidR="00B64D59">
        <w:t>u</w:t>
      </w:r>
      <w:r w:rsidR="00B64D59" w:rsidRPr="00B64D59">
        <w:t>rs</w:t>
      </w:r>
      <w:r w:rsidR="00E067B6">
        <w:t xml:space="preserve"> (e.g. Hurwitz et al., 2005)</w:t>
      </w:r>
      <w:r w:rsidR="00B64D59">
        <w:t>.</w:t>
      </w:r>
      <w:r w:rsidR="00E067B6">
        <w:t xml:space="preserve"> The PBS restrictions for targeted the</w:t>
      </w:r>
      <w:r w:rsidR="00DB74AF">
        <w:t>rapy do not specify a particular assessment criterion</w:t>
      </w:r>
      <w:r w:rsidR="00E067B6">
        <w:t xml:space="preserve"> to determine if a patient has progressive disease.</w:t>
      </w:r>
    </w:p>
    <w:p w14:paraId="2F2799A9" w14:textId="0D12C2D4" w:rsidR="00673EEA" w:rsidRDefault="00207AAF" w:rsidP="00554408">
      <w:r>
        <w:t>The time on second-line targeted therapy (media</w:t>
      </w:r>
      <w:r w:rsidR="00002DB6">
        <w:t>n 129 days, Table 5</w:t>
      </w:r>
      <w:r>
        <w:t xml:space="preserve">), which mainly comprised of cetuximab (71%, Table 5), was similar to PFS data previously considered by PBAC for second-line cetuximab therapy. </w:t>
      </w:r>
      <w:r w:rsidR="00027B5B">
        <w:t xml:space="preserve">The November 2008 submission for cetuximab </w:t>
      </w:r>
      <w:r w:rsidR="00E67086">
        <w:t>reported the PFS results</w:t>
      </w:r>
      <w:r w:rsidR="00027B5B">
        <w:t xml:space="preserve"> from the BOND trial (Cunningham et al., 2004) </w:t>
      </w:r>
      <w:r w:rsidR="00E67086">
        <w:t>where irinotecan refractory patients had a PFS of 4.1 months (around 127 days) when treated with cetuximab plus irinotecan in second line (</w:t>
      </w:r>
      <w:hyperlink r:id="rId40" w:history="1">
        <w:r w:rsidR="00E67086" w:rsidRPr="00E67086">
          <w:rPr>
            <w:rStyle w:val="Hyperlink"/>
          </w:rPr>
          <w:t>Public Summary Document for the cetuximab November 2008 submission</w:t>
        </w:r>
      </w:hyperlink>
      <w:r w:rsidR="00E67086">
        <w:t xml:space="preserve">). </w:t>
      </w:r>
    </w:p>
    <w:p w14:paraId="20CFBD73" w14:textId="77777777" w:rsidR="008764F7" w:rsidRPr="00C160D3" w:rsidRDefault="008764F7" w:rsidP="00C160D3">
      <w:pPr>
        <w:pStyle w:val="Heading1"/>
        <w:spacing w:before="0" w:after="0"/>
        <w:contextualSpacing/>
        <w:rPr>
          <w:sz w:val="32"/>
          <w:szCs w:val="32"/>
        </w:rPr>
      </w:pPr>
      <w:r w:rsidRPr="00C160D3">
        <w:rPr>
          <w:sz w:val="32"/>
          <w:szCs w:val="32"/>
        </w:rPr>
        <w:t>DUSC consideration</w:t>
      </w:r>
    </w:p>
    <w:p w14:paraId="661623FC" w14:textId="77777777" w:rsidR="004D21BE" w:rsidRDefault="004D21BE" w:rsidP="00C160D3">
      <w:pPr>
        <w:spacing w:after="0"/>
        <w:contextualSpacing/>
        <w:rPr>
          <w:lang w:val="en-US"/>
        </w:rPr>
      </w:pPr>
    </w:p>
    <w:p w14:paraId="27BB73DC" w14:textId="6191CC6A" w:rsidR="003430AD" w:rsidRPr="003430AD" w:rsidRDefault="003430AD" w:rsidP="005E154A">
      <w:pPr>
        <w:spacing w:after="0"/>
        <w:contextualSpacing/>
      </w:pPr>
      <w:r w:rsidRPr="003430AD">
        <w:rPr>
          <w:lang w:val="en-US"/>
        </w:rPr>
        <w:t xml:space="preserve">Colorectal cancer is the second most common cause of cancer death in Australia after lung cancer. </w:t>
      </w:r>
      <w:r w:rsidRPr="003430AD">
        <w:t xml:space="preserve"> The growth in the number of patients treated with bevacizumab, cetuximab and panitumumab began to slow in 2013 and had reached a plateau in 2016. DUSC noted the suggestion in the utilisation report that the declining growth in the use of the targeted therapies may reflect that some PBS eligible patients were participating in clinical trials instead of seeking PBS subsidised therapy. DUSC did not consider that this was a major factor noting that most of the current trials being conducted in Australia were for third-line therapy. DUSC also did not consider that the National Bowel Cancer Screening Program would have an impact on the number of patients with mCRC presenting for PBS subsidised therapy. DUSC noted that this program primarily detected patients in early stage disease and considered that patients with mCRC would be diagnosed early outside of this program.</w:t>
      </w:r>
    </w:p>
    <w:p w14:paraId="26267959" w14:textId="315BE1F0" w:rsidR="003430AD" w:rsidRPr="003430AD" w:rsidRDefault="003430AD" w:rsidP="003430AD">
      <w:pPr>
        <w:rPr>
          <w:lang w:val="en-US"/>
        </w:rPr>
      </w:pPr>
      <w:r w:rsidRPr="003430AD">
        <w:t xml:space="preserve">DUSC noted that most patients were initiated on bevacizumab. DUSC considered that there may have been a preference for bevacizumab as side effects from this therapy were less common. DUSC noted that the development of </w:t>
      </w:r>
      <w:r w:rsidRPr="003430AD">
        <w:rPr>
          <w:lang w:val="en-US"/>
        </w:rPr>
        <w:t xml:space="preserve">acneiform skin rash was common in patients treated with cetuximab or panitumumab. The utilisation of cetuximab and panitumumab may have been lower relative to bevacizumab due to the impact of these therapies on a patient’s physical appearance. </w:t>
      </w:r>
    </w:p>
    <w:p w14:paraId="7694B96F" w14:textId="2CF78F74" w:rsidR="003430AD" w:rsidRPr="003430AD" w:rsidRDefault="003430AD" w:rsidP="003430AD">
      <w:r w:rsidRPr="003430AD">
        <w:rPr>
          <w:lang w:val="en-US"/>
        </w:rPr>
        <w:lastRenderedPageBreak/>
        <w:t>DUSC noted that cetuximab had a greater market share compared to panitumumab. DUSC considered that this was likely to be due to cetuximab entering the market earlier than panitumumab rather than differences in the side effect profiles between the drugs. DUSC noted that panitumumab was fully humanised and may have less infusion related adverse events compared with cetuximab.</w:t>
      </w:r>
    </w:p>
    <w:p w14:paraId="46BBC547" w14:textId="304711C2" w:rsidR="003430AD" w:rsidRPr="003430AD" w:rsidRDefault="003430AD" w:rsidP="003430AD">
      <w:r w:rsidRPr="003430AD">
        <w:t>DUSC noted that there were differences in the response to treatment with regard to whether the tumour location is left-sided or right-sided in patients with mCRC. This relates to differing mutational profiles between each side with right-sided cancer generally having worse outcomes. DUSC noted that left-sided mCRC occurs in around two-thirds of patients. DUSC noted that left-sided mCRC favoured cetuximab in first-line</w:t>
      </w:r>
      <w:r w:rsidRPr="003430AD">
        <w:rPr>
          <w:rStyle w:val="FootnoteReference"/>
        </w:rPr>
        <w:footnoteReference w:id="11"/>
      </w:r>
      <w:r w:rsidRPr="003430AD">
        <w:t xml:space="preserve">. DUSC considered that the increase in the utilisation of cetuximab in first-line from 2016 Quarter 2 could relate to the introduction of recommendations in clinical guidelines of its use to treat left-sided mCRC. DUSC commented that the choice of therapy may change in the future with further evidence around the impact of tumour sidedness on response to therapy. </w:t>
      </w:r>
    </w:p>
    <w:p w14:paraId="1228E4E6" w14:textId="2CC5F36E" w:rsidR="003430AD" w:rsidRPr="003430AD" w:rsidRDefault="003430AD" w:rsidP="003430AD">
      <w:r w:rsidRPr="003430AD">
        <w:t>Subsidised bevacizumab must be used in combination with chemotherapy. DUSC noted that there were very few cases where bevacizumab was potentially supplied as monotherapy.</w:t>
      </w:r>
    </w:p>
    <w:p w14:paraId="0D4BE1B0" w14:textId="7ED6F4DF" w:rsidR="003430AD" w:rsidRPr="003430AD" w:rsidRDefault="003430AD" w:rsidP="003430AD">
      <w:r w:rsidRPr="003430AD">
        <w:t>DUSC noted that the median time on bevacizumab (14 months) was longer than the progression-free survival time observed in clinical trials. Disease progression in the trials was evaluated using the RECIST (Response Evaluation Criteria In Solid Tumors) criteria whereas the PBS restriction for bevacizumab does not specify any criteria to determine if a patient has progressive disease.  DUSC considered that this may indicate that there was some use of bevacizumab beyond disease progression and that this may be driven by its more favourable toxicity profile. DUSC noted that there was evidence (e.g. Bennouna et al., 2013)</w:t>
      </w:r>
      <w:r w:rsidRPr="003430AD">
        <w:rPr>
          <w:rStyle w:val="FootnoteReference"/>
        </w:rPr>
        <w:footnoteReference w:id="12"/>
      </w:r>
      <w:r w:rsidRPr="003430AD">
        <w:t xml:space="preserve"> of overall survival benefits from the use of bevacizumab beyond progression however this use is not TGA approved or PBS subsidised. </w:t>
      </w:r>
    </w:p>
    <w:p w14:paraId="1CC5422B" w14:textId="23BCD285" w:rsidR="003430AD" w:rsidRPr="003430AD" w:rsidRDefault="003430AD" w:rsidP="003430AD">
      <w:r w:rsidRPr="003430AD">
        <w:t xml:space="preserve">DUSC noted the results from the time to re-supply analysis for the targeted therapies. DUSC considered that the pattern of re-supply times were consistent with recommendations except for cetuximab. The Product Information recommends that cetuximab is administered once a week for all indications. DUSC noted that a relatively high proportion of patients were dispensed a further supply of cetuximab between 13 to 15 days. DUSC </w:t>
      </w:r>
      <w:r w:rsidRPr="003430AD">
        <w:lastRenderedPageBreak/>
        <w:t>noted that there was trial evidence</w:t>
      </w:r>
      <w:r w:rsidRPr="003430AD">
        <w:rPr>
          <w:rStyle w:val="FootnoteReference"/>
        </w:rPr>
        <w:footnoteReference w:id="13"/>
      </w:r>
      <w:r w:rsidRPr="003430AD">
        <w:t xml:space="preserve"> showing that cetuximab administered on an every-other-week (q2w) dosing schedule was comparable to the results obtained from a weekly regimen. DUSC considered that a q2w schedule would be preferred by patients and would decrease compounding and administration costs.</w:t>
      </w:r>
      <w:r w:rsidRPr="003430AD">
        <w:rPr>
          <w:rFonts w:ascii="Arial" w:hAnsi="Arial" w:cs="Arial"/>
          <w:color w:val="000000"/>
          <w:sz w:val="20"/>
          <w:szCs w:val="20"/>
          <w:shd w:val="clear" w:color="auto" w:fill="FFFFFF"/>
        </w:rPr>
        <w:t xml:space="preserve"> </w:t>
      </w:r>
      <w:r w:rsidRPr="003430AD">
        <w:t>DUSC considered that there were possible financial incentives for private providers to administer cetuximab as a weekly regimen.</w:t>
      </w:r>
    </w:p>
    <w:p w14:paraId="56883B58" w14:textId="77777777" w:rsidR="003430AD" w:rsidRPr="003430AD" w:rsidRDefault="003430AD" w:rsidP="0074112D">
      <w:pPr>
        <w:spacing w:after="0"/>
        <w:contextualSpacing/>
      </w:pPr>
      <w:r w:rsidRPr="003430AD">
        <w:t xml:space="preserve">Based on patients first initiating on targeted therapy in 2014 or 2016, the main chemotherapy partners used in combination with the targeted therapies were XELOX and FU-LV. The data analyses indicated that there was minimal use of irinotecan based therapies, including XELIRI and FOLFIRI. The data for the 2016 cohort were too premature to fully examine use in later lines of therapy. DUSC considered that the drug sequence results for the 2014 initiating cohort were surprising. The patterns of treatment identified from the analysis were inconsistent with the Committee’s understanding of current practice. Anomalies noted in the results included: </w:t>
      </w:r>
    </w:p>
    <w:p w14:paraId="43598300" w14:textId="77777777" w:rsidR="003430AD" w:rsidRPr="00E37A2F" w:rsidRDefault="003430AD" w:rsidP="0074112D">
      <w:pPr>
        <w:pStyle w:val="ListParagraph"/>
        <w:numPr>
          <w:ilvl w:val="0"/>
          <w:numId w:val="23"/>
        </w:numPr>
        <w:spacing w:after="0"/>
        <w:ind w:left="357" w:hanging="357"/>
      </w:pPr>
      <w:r w:rsidRPr="00E37A2F">
        <w:t>a potential underrepresentation of irinotecan-based regimens;  and</w:t>
      </w:r>
    </w:p>
    <w:p w14:paraId="081E7B89" w14:textId="177CFDE9" w:rsidR="003430AD" w:rsidRDefault="003430AD" w:rsidP="003430AD">
      <w:pPr>
        <w:pStyle w:val="ListParagraph"/>
        <w:numPr>
          <w:ilvl w:val="0"/>
          <w:numId w:val="23"/>
        </w:numPr>
        <w:spacing w:after="0"/>
      </w:pPr>
      <w:r w:rsidRPr="00E37A2F">
        <w:t xml:space="preserve">XELOX was detected as being used in later lines of therapy. In this setting, it would be more common for capecitabine to be used as monotherapy or in combination with irinotecan-based chemotherapy. </w:t>
      </w:r>
    </w:p>
    <w:p w14:paraId="5822837F" w14:textId="77777777" w:rsidR="00E37A2F" w:rsidRPr="00E37A2F" w:rsidRDefault="00E37A2F" w:rsidP="00E37A2F">
      <w:pPr>
        <w:pStyle w:val="ListParagraph"/>
        <w:spacing w:after="0"/>
        <w:ind w:left="360"/>
      </w:pPr>
    </w:p>
    <w:p w14:paraId="0ACDA2E2" w14:textId="3F1B7DFF" w:rsidR="003430AD" w:rsidRPr="00E37A2F" w:rsidRDefault="003430AD" w:rsidP="003430AD">
      <w:r w:rsidRPr="00E37A2F">
        <w:t xml:space="preserve">DUSC noted the difficulties in attempting to identify the supply of chemotherapy regimens using PBS claims data. DUSC noted that the sequence of therapy by stage of disease may not be readily identified as some of the restrictions for chemotherapy drugs do not define the line of therapy or when treatment is given during disease progression. DUSC commented that it is usual practice that when chemotherapy regimens are de-intensified this occurs in the same line of therapy. This will be difficult to detect using PBS data alone. The approach used in the analysis was to set a “window” of time to detect chemotherapy medicines which may have been co-administered as part of a regimen. </w:t>
      </w:r>
      <w:r w:rsidRPr="00E37A2F">
        <w:rPr>
          <w:rFonts w:eastAsia="Calibri"/>
        </w:rPr>
        <w:t xml:space="preserve">Except for folinic acid and leucovorin, a drug was assumed to be co-administered with another drug if its date of supply was within 42 days (i.e. median time to re-supply of 14 days multiplied by three) of the previous or next supply. The co-administration of folinic acid with other drugs was assumed if its supply occurred within 186 days (i.e. median time to re-supply of folinic acid of 62 days multiplied by three) before or after the date of supply of another drug. </w:t>
      </w:r>
      <w:r w:rsidRPr="00E37A2F">
        <w:t xml:space="preserve">DUSC noted that oxaliplatin, irinotecan and capecitabine are unrestricted listings and that the use of these medicines for a particular stage of disease cannot be readily determined. DUSC commented that surplus medicines could potentially be used to make up a chemotherapy regimen and therefore some components of the regimen may not be dispensed at the time of other components.  </w:t>
      </w:r>
    </w:p>
    <w:p w14:paraId="4A57AE8A" w14:textId="2DA361A2" w:rsidR="008764F7" w:rsidRDefault="003430AD" w:rsidP="00E37A2F">
      <w:r w:rsidRPr="00E37A2F">
        <w:lastRenderedPageBreak/>
        <w:t>DUSC noted that there was a need to improve the ability to identify the use of drug regimens within claims data to better understand the utilisation of PBS subsidised chemotherapy. DUSC requested that further work be done out-of-session to investigate the development of improved methods to undertake analyses on the use of chemotherapy regimens. DUSC recommended that pharmacists should be consulted to ensure that the methods account for particular dispensing practices which may influence the detection of co-administered drugs. DUSC considered that confirming medicine discontinuation due to death prior to undertaking an analysis of regimen use may lead to more robust results. DUSC noted that death data cannot be readily obtained for incorporation into DUSC reporting. DUSC requested that its Secretariat follow-up on the availability and process to request death data. DUSC considered this may also be beneficial for duration of therapy analyses and for reviewing utilisation in therapeutic areas other than cancer medicines. DUSC suggested that consideration should also be given to the use of a proxy for actual death data.</w:t>
      </w:r>
    </w:p>
    <w:p w14:paraId="6FCB480B" w14:textId="77777777" w:rsidR="008764F7" w:rsidRPr="003A1977" w:rsidRDefault="008764F7" w:rsidP="00F17ADC">
      <w:pPr>
        <w:pStyle w:val="Heading1"/>
        <w:spacing w:before="240"/>
        <w:rPr>
          <w:sz w:val="32"/>
          <w:szCs w:val="32"/>
        </w:rPr>
      </w:pPr>
      <w:r w:rsidRPr="003A1977">
        <w:rPr>
          <w:sz w:val="32"/>
          <w:szCs w:val="32"/>
        </w:rPr>
        <w:t>DUSC actions</w:t>
      </w:r>
    </w:p>
    <w:p w14:paraId="7BC70685" w14:textId="77777777" w:rsidR="00E37A2F" w:rsidRPr="00E37A2F" w:rsidRDefault="00E37A2F" w:rsidP="00E37A2F">
      <w:pPr>
        <w:numPr>
          <w:ilvl w:val="0"/>
          <w:numId w:val="24"/>
        </w:numPr>
        <w:spacing w:after="0"/>
        <w:rPr>
          <w:rFonts w:eastAsia="Calibri" w:cs="Times New Roman"/>
        </w:rPr>
      </w:pPr>
      <w:r w:rsidRPr="00E37A2F">
        <w:rPr>
          <w:rFonts w:eastAsia="Calibri" w:cs="Times New Roman"/>
        </w:rPr>
        <w:t xml:space="preserve">DUSC requested that the report be provided to the PBAC. </w:t>
      </w:r>
    </w:p>
    <w:p w14:paraId="1D520F2F" w14:textId="77777777" w:rsidR="00E37A2F" w:rsidRPr="00E37A2F" w:rsidRDefault="00E37A2F" w:rsidP="00E37A2F">
      <w:pPr>
        <w:numPr>
          <w:ilvl w:val="0"/>
          <w:numId w:val="24"/>
        </w:numPr>
        <w:spacing w:after="0"/>
        <w:rPr>
          <w:rFonts w:eastAsia="Calibri" w:cs="Times New Roman"/>
        </w:rPr>
      </w:pPr>
      <w:r w:rsidRPr="00E37A2F">
        <w:rPr>
          <w:rFonts w:eastAsia="Calibri" w:cs="Times New Roman"/>
        </w:rPr>
        <w:t>DUSC requested the DUSC Secretariat investigate options for the development of analytical techniques to improve the detection of chemotherapy regimens within the PBS claims data.</w:t>
      </w:r>
    </w:p>
    <w:p w14:paraId="5CA3AC08" w14:textId="21154DB4" w:rsidR="008764F7" w:rsidRPr="003A1977" w:rsidRDefault="00E37A2F" w:rsidP="008764F7">
      <w:pPr>
        <w:numPr>
          <w:ilvl w:val="0"/>
          <w:numId w:val="24"/>
        </w:numPr>
        <w:spacing w:after="0"/>
        <w:rPr>
          <w:rFonts w:eastAsia="Calibri" w:cs="Times New Roman"/>
        </w:rPr>
      </w:pPr>
      <w:r w:rsidRPr="00E37A2F">
        <w:rPr>
          <w:rFonts w:eastAsia="Calibri" w:cs="Times New Roman"/>
        </w:rPr>
        <w:t xml:space="preserve">DUSC suggested that the analysis of chemotherapy regimens be removed from the report before publication. </w:t>
      </w:r>
    </w:p>
    <w:p w14:paraId="29E56BAF" w14:textId="77777777" w:rsidR="008764F7" w:rsidRPr="003A1977" w:rsidRDefault="008764F7" w:rsidP="00F17ADC">
      <w:pPr>
        <w:pStyle w:val="Heading1"/>
        <w:spacing w:before="240"/>
        <w:rPr>
          <w:sz w:val="32"/>
          <w:szCs w:val="32"/>
        </w:rPr>
      </w:pPr>
      <w:r w:rsidRPr="003A1977">
        <w:rPr>
          <w:sz w:val="32"/>
          <w:szCs w:val="32"/>
        </w:rPr>
        <w:t>Context for analysis</w:t>
      </w:r>
    </w:p>
    <w:p w14:paraId="6160F436" w14:textId="77777777" w:rsidR="008764F7" w:rsidRDefault="008764F7" w:rsidP="008764F7">
      <w:r>
        <w:t>The DUSC is a Sub Committee of the Pharmaceutical Benefits Advisory Committee (PBAC). The DUSC assesses estimates on projected usage and financial cost of medicines.</w:t>
      </w:r>
    </w:p>
    <w:p w14:paraId="5F859B13" w14:textId="77777777" w:rsidR="008764F7" w:rsidRDefault="008764F7" w:rsidP="008764F7">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239B117A" w14:textId="77777777" w:rsidR="008764F7" w:rsidRDefault="008764F7" w:rsidP="008764F7">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0EFA4C8A" w14:textId="77777777" w:rsidR="008764F7" w:rsidRDefault="008764F7" w:rsidP="008764F7">
      <w:r>
        <w:t>The utilisation analysis report was provided to the pharmaceutical sponsors of each drug and comments on the report were provided to DUSC prior to its consideration of the analysis.</w:t>
      </w:r>
    </w:p>
    <w:p w14:paraId="6644D84D" w14:textId="77777777" w:rsidR="008764F7" w:rsidRDefault="008764F7" w:rsidP="00AA44AB">
      <w:pPr>
        <w:pStyle w:val="Heading1"/>
        <w:spacing w:before="240"/>
        <w:rPr>
          <w:sz w:val="32"/>
          <w:szCs w:val="32"/>
        </w:rPr>
      </w:pPr>
      <w:r w:rsidRPr="003A1977">
        <w:rPr>
          <w:sz w:val="32"/>
          <w:szCs w:val="32"/>
        </w:rPr>
        <w:t>Sponsors’ comments</w:t>
      </w:r>
    </w:p>
    <w:p w14:paraId="582164F4" w14:textId="142ACE5E" w:rsidR="00900752" w:rsidRPr="00900752" w:rsidRDefault="00900752" w:rsidP="00900752">
      <w:r>
        <w:t>The sponsors had no comment.</w:t>
      </w:r>
    </w:p>
    <w:p w14:paraId="37FBF0DA" w14:textId="77777777" w:rsidR="008764F7" w:rsidRPr="003A1977" w:rsidRDefault="008764F7" w:rsidP="00AA44AB">
      <w:pPr>
        <w:pStyle w:val="Heading1"/>
        <w:spacing w:before="240"/>
        <w:rPr>
          <w:sz w:val="32"/>
          <w:szCs w:val="32"/>
        </w:rPr>
      </w:pPr>
      <w:r w:rsidRPr="003A1977">
        <w:rPr>
          <w:sz w:val="32"/>
          <w:szCs w:val="32"/>
        </w:rPr>
        <w:lastRenderedPageBreak/>
        <w:t>Disclaimer</w:t>
      </w:r>
    </w:p>
    <w:p w14:paraId="5753B003" w14:textId="77777777" w:rsidR="008764F7" w:rsidRDefault="008764F7" w:rsidP="008764F7">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4094549B" w14:textId="77777777" w:rsidR="008764F7" w:rsidRDefault="008764F7" w:rsidP="008764F7">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157E9F45" w14:textId="77777777" w:rsidR="008764F7" w:rsidRDefault="008764F7" w:rsidP="008764F7">
      <w:r>
        <w:t xml:space="preserve">To the extent provided by law, DoH makes no warranties or representations as to accuracy or completeness of information contained in this report. </w:t>
      </w:r>
    </w:p>
    <w:p w14:paraId="35B0CF31" w14:textId="77777777" w:rsidR="008764F7" w:rsidRDefault="008764F7" w:rsidP="008764F7">
      <w:r>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26CD37E1" w14:textId="2E934B91" w:rsidR="00AA44AB" w:rsidRDefault="00AA44AB">
      <w:pPr>
        <w:spacing w:line="276" w:lineRule="auto"/>
      </w:pPr>
      <w:r>
        <w:br w:type="page"/>
      </w:r>
    </w:p>
    <w:p w14:paraId="35AA6988" w14:textId="78B246BD" w:rsidR="004B306F" w:rsidRPr="001F6F5F" w:rsidRDefault="004B306F" w:rsidP="001F6F5F">
      <w:pPr>
        <w:pStyle w:val="Heading1"/>
        <w:rPr>
          <w:sz w:val="32"/>
          <w:szCs w:val="32"/>
        </w:rPr>
      </w:pPr>
      <w:r w:rsidRPr="001F6F5F">
        <w:rPr>
          <w:sz w:val="32"/>
          <w:szCs w:val="32"/>
        </w:rPr>
        <w:lastRenderedPageBreak/>
        <w:t>References</w:t>
      </w:r>
    </w:p>
    <w:p w14:paraId="2227817D" w14:textId="57C46B8F" w:rsidR="00F95A43" w:rsidRPr="002948E3" w:rsidRDefault="00F95A43" w:rsidP="00792948">
      <w:r w:rsidRPr="002948E3">
        <w:t>Adelstein BA, Dobbins TA, Harrisalan CA, Marschner C</w:t>
      </w:r>
      <w:r w:rsidR="00321F57" w:rsidRPr="002948E3">
        <w:t>,</w:t>
      </w:r>
      <w:r w:rsidRPr="002948E3">
        <w:t xml:space="preserve"> and Ward R. A systematic review and meta-analysis of KRAS status as the determinant of response to anti-EGFR antibodies and the impact of partner chemotherapy in metastatic colorectal cancer. </w:t>
      </w:r>
      <w:r w:rsidR="00ED666A" w:rsidRPr="002948E3">
        <w:rPr>
          <w:rFonts w:cs="Arial"/>
          <w:color w:val="000000"/>
          <w:shd w:val="clear" w:color="auto" w:fill="FFFFFF"/>
        </w:rPr>
        <w:t>Eur J </w:t>
      </w:r>
      <w:r w:rsidR="00ED666A" w:rsidRPr="002948E3">
        <w:rPr>
          <w:rStyle w:val="highlight"/>
          <w:rFonts w:cs="Arial"/>
          <w:color w:val="000000"/>
          <w:shd w:val="clear" w:color="auto" w:fill="FFFFFF"/>
        </w:rPr>
        <w:t xml:space="preserve">Cancer </w:t>
      </w:r>
      <w:r w:rsidR="00321F57" w:rsidRPr="002948E3">
        <w:rPr>
          <w:rStyle w:val="highlight"/>
          <w:rFonts w:cs="Arial"/>
          <w:color w:val="000000"/>
          <w:shd w:val="clear" w:color="auto" w:fill="FFFFFF"/>
        </w:rPr>
        <w:t xml:space="preserve"> </w:t>
      </w:r>
      <w:r w:rsidRPr="002948E3">
        <w:t>2011;</w:t>
      </w:r>
      <w:r w:rsidR="00315324" w:rsidRPr="002948E3">
        <w:t xml:space="preserve"> </w:t>
      </w:r>
      <w:r w:rsidRPr="002948E3">
        <w:t>47:1343-54.</w:t>
      </w:r>
    </w:p>
    <w:p w14:paraId="4AC04EDD" w14:textId="50D288DC" w:rsidR="00AE524B" w:rsidRPr="002948E3" w:rsidRDefault="00321F57" w:rsidP="00AE524B">
      <w:pPr>
        <w:autoSpaceDE w:val="0"/>
        <w:autoSpaceDN w:val="0"/>
        <w:adjustRightInd w:val="0"/>
        <w:spacing w:after="0"/>
      </w:pPr>
      <w:r w:rsidRPr="002948E3">
        <w:rPr>
          <w:rFonts w:cs="Arial"/>
          <w:color w:val="303030"/>
          <w:shd w:val="clear" w:color="auto" w:fill="FFFFFF"/>
        </w:rPr>
        <w:t>Antonuzzo L, Giommoni E, Pastorelli D, Latiano T, Pavese I, Azzarello D, et al.</w:t>
      </w:r>
      <w:r w:rsidRPr="002948E3" w:rsidDel="00321F57">
        <w:t xml:space="preserve"> </w:t>
      </w:r>
      <w:r w:rsidR="00AE524B" w:rsidRPr="002948E3">
        <w:t xml:space="preserve">Bevacizumab plus XELOX as first-line treatment of metastatic colorectal cancer: The OBELIX study. </w:t>
      </w:r>
      <w:r w:rsidRPr="002948E3">
        <w:rPr>
          <w:rStyle w:val="highlight"/>
          <w:rFonts w:cs="Arial"/>
          <w:color w:val="000000"/>
          <w:shd w:val="clear" w:color="auto" w:fill="FFFFFF"/>
        </w:rPr>
        <w:t>World</w:t>
      </w:r>
      <w:r w:rsidR="00ED666A" w:rsidRPr="002948E3">
        <w:rPr>
          <w:rFonts w:cs="Arial"/>
          <w:color w:val="000000"/>
          <w:shd w:val="clear" w:color="auto" w:fill="FFFFFF"/>
        </w:rPr>
        <w:t> J</w:t>
      </w:r>
      <w:r w:rsidRPr="002948E3">
        <w:rPr>
          <w:rFonts w:cs="Arial"/>
          <w:color w:val="000000"/>
          <w:shd w:val="clear" w:color="auto" w:fill="FFFFFF"/>
        </w:rPr>
        <w:t xml:space="preserve"> Gastroenterol</w:t>
      </w:r>
      <w:r w:rsidR="00AE524B" w:rsidRPr="002948E3">
        <w:t xml:space="preserve"> 2015; 21(23): 7281-7288.</w:t>
      </w:r>
    </w:p>
    <w:p w14:paraId="06819C88" w14:textId="77777777" w:rsidR="00752CED" w:rsidRPr="002948E3" w:rsidRDefault="00752CED" w:rsidP="00AE524B">
      <w:pPr>
        <w:autoSpaceDE w:val="0"/>
        <w:autoSpaceDN w:val="0"/>
        <w:adjustRightInd w:val="0"/>
        <w:spacing w:after="0"/>
      </w:pPr>
    </w:p>
    <w:p w14:paraId="566F1899" w14:textId="37D94FA4" w:rsidR="00752CED" w:rsidRPr="002948E3" w:rsidRDefault="00752CED" w:rsidP="00AE524B">
      <w:pPr>
        <w:autoSpaceDE w:val="0"/>
        <w:autoSpaceDN w:val="0"/>
        <w:adjustRightInd w:val="0"/>
        <w:spacing w:after="0"/>
      </w:pPr>
      <w:r w:rsidRPr="002948E3">
        <w:t xml:space="preserve">Bennouna J, Sastre J, Arnold D, Österlund P, Greil R, Van Cutsem E, et al. Continuation of bevacizumab after first progression in metastatic colorectal cancer (ML18147): a randomised phase 3 trial, </w:t>
      </w:r>
      <w:r w:rsidRPr="002948E3">
        <w:rPr>
          <w:rFonts w:cs="Arial"/>
          <w:color w:val="000000"/>
          <w:shd w:val="clear" w:color="auto" w:fill="FFFFFF"/>
        </w:rPr>
        <w:t>Lancet Oncol</w:t>
      </w:r>
      <w:r w:rsidRPr="002948E3">
        <w:t xml:space="preserve"> 2013; 14(1): 29-37.  Doi: 10.1016/S1470-2045(12)70477-1.</w:t>
      </w:r>
    </w:p>
    <w:p w14:paraId="7F0F8A48" w14:textId="77777777" w:rsidR="00752CED" w:rsidRPr="002948E3" w:rsidRDefault="00752CED" w:rsidP="00AE524B">
      <w:pPr>
        <w:autoSpaceDE w:val="0"/>
        <w:autoSpaceDN w:val="0"/>
        <w:adjustRightInd w:val="0"/>
        <w:spacing w:after="0"/>
      </w:pPr>
    </w:p>
    <w:p w14:paraId="2D3F8C44" w14:textId="59D3C3AF" w:rsidR="00752CED" w:rsidRPr="002948E3" w:rsidRDefault="00752CED" w:rsidP="00752CED">
      <w:pPr>
        <w:autoSpaceDE w:val="0"/>
        <w:autoSpaceDN w:val="0"/>
        <w:adjustRightInd w:val="0"/>
        <w:spacing w:after="0"/>
      </w:pPr>
      <w:r w:rsidRPr="002948E3">
        <w:t xml:space="preserve">Cartwright TH, Yim YM, Yu E, Chung H, Halm M and Forsyth M. Survival Outcomes of Bevacizumab Beyond Progression in Metastatic Colorectal Cancer Patients Treated in US Community Oncology, </w:t>
      </w:r>
      <w:r w:rsidRPr="002948E3">
        <w:rPr>
          <w:rFonts w:cs="Arial"/>
          <w:color w:val="000000"/>
          <w:shd w:val="clear" w:color="auto" w:fill="FFFFFF"/>
        </w:rPr>
        <w:t>Clin Colorectal Cancer</w:t>
      </w:r>
      <w:r w:rsidRPr="002948E3">
        <w:t xml:space="preserve"> 2012; 11(4): 238-246. Doi: 10.1016/j.clcc.2012.05.005.</w:t>
      </w:r>
    </w:p>
    <w:p w14:paraId="6FCA2D2C" w14:textId="77777777" w:rsidR="00AE524B" w:rsidRPr="002948E3" w:rsidRDefault="00AE524B" w:rsidP="00AE524B">
      <w:pPr>
        <w:autoSpaceDE w:val="0"/>
        <w:autoSpaceDN w:val="0"/>
        <w:adjustRightInd w:val="0"/>
        <w:spacing w:after="0"/>
      </w:pPr>
    </w:p>
    <w:p w14:paraId="44DAD580" w14:textId="6283E2F8" w:rsidR="00696962" w:rsidRPr="002948E3" w:rsidRDefault="00F61D15" w:rsidP="00696962">
      <w:r w:rsidRPr="002948E3">
        <w:t>Australian Institute of Health and Welfare 2017. Cancer in Australia 2017. Cancer series no.101. Cat. no. CAN 100. Canberra: AIHW.</w:t>
      </w:r>
    </w:p>
    <w:p w14:paraId="1A3D6525" w14:textId="26D119C0" w:rsidR="00696962" w:rsidRPr="002948E3" w:rsidRDefault="00696962" w:rsidP="004245A5">
      <w:pPr>
        <w:autoSpaceDE w:val="0"/>
        <w:autoSpaceDN w:val="0"/>
        <w:adjustRightInd w:val="0"/>
        <w:spacing w:after="0"/>
      </w:pPr>
      <w:r w:rsidRPr="002948E3">
        <w:t>AVF2107g trial. Hurwitz H</w:t>
      </w:r>
      <w:r w:rsidR="00ED666A" w:rsidRPr="002948E3">
        <w:t>I</w:t>
      </w:r>
      <w:r w:rsidRPr="002948E3">
        <w:t>,</w:t>
      </w:r>
      <w:r w:rsidR="00ED666A" w:rsidRPr="002948E3">
        <w:t xml:space="preserve"> Fehrenbacher L, Hainsworth JD, Heim W, Berlin J, Holmgren E,</w:t>
      </w:r>
      <w:r w:rsidRPr="002948E3">
        <w:t xml:space="preserve"> et al. Bevacizumab in combination with fluorouracil and leucovorin: an active regimen for first-line metastatic colorectal cancer. </w:t>
      </w:r>
      <w:r w:rsidR="00ED666A" w:rsidRPr="002948E3">
        <w:rPr>
          <w:rFonts w:cs="Arial"/>
          <w:color w:val="000000"/>
          <w:shd w:val="clear" w:color="auto" w:fill="FFFFFF"/>
        </w:rPr>
        <w:t>J Clin Oncol</w:t>
      </w:r>
      <w:r w:rsidR="00ED666A" w:rsidRPr="002948E3" w:rsidDel="00ED666A">
        <w:t xml:space="preserve"> </w:t>
      </w:r>
      <w:r w:rsidRPr="002948E3">
        <w:t>2005; 23(15):3502-8.</w:t>
      </w:r>
    </w:p>
    <w:p w14:paraId="6BBBA797" w14:textId="77777777" w:rsidR="00696962" w:rsidRPr="002948E3" w:rsidRDefault="00696962" w:rsidP="004245A5">
      <w:pPr>
        <w:autoSpaceDE w:val="0"/>
        <w:autoSpaceDN w:val="0"/>
        <w:adjustRightInd w:val="0"/>
        <w:spacing w:after="0"/>
      </w:pPr>
    </w:p>
    <w:p w14:paraId="76B0996C" w14:textId="3ED5A60E" w:rsidR="00696962" w:rsidRPr="002948E3" w:rsidRDefault="00696962" w:rsidP="004245A5">
      <w:pPr>
        <w:autoSpaceDE w:val="0"/>
        <w:autoSpaceDN w:val="0"/>
        <w:adjustRightInd w:val="0"/>
        <w:spacing w:after="0"/>
      </w:pPr>
      <w:r w:rsidRPr="002948E3">
        <w:t xml:space="preserve">AVF0780g trial. Kabbinavar F, </w:t>
      </w:r>
      <w:r w:rsidR="00ED666A" w:rsidRPr="002948E3">
        <w:t xml:space="preserve">Hurwitz HI, Fehrenbacher L, Meropol NJ, Novotny WF, Lieberman G, </w:t>
      </w:r>
      <w:r w:rsidRPr="002948E3">
        <w:t xml:space="preserve">et al. Phase II, randomized trial comparing bevacizumab plus fluorouracil (FU)/leucovorin (LV) with FU/LV alone in patients with metastatic colorectal cancer. </w:t>
      </w:r>
      <w:r w:rsidR="00ED666A" w:rsidRPr="002948E3">
        <w:rPr>
          <w:rFonts w:cs="Arial"/>
          <w:color w:val="000000"/>
          <w:shd w:val="clear" w:color="auto" w:fill="FFFFFF"/>
        </w:rPr>
        <w:t>J Clin Oncol</w:t>
      </w:r>
      <w:r w:rsidR="00ED666A" w:rsidRPr="002948E3" w:rsidDel="00ED666A">
        <w:t xml:space="preserve"> </w:t>
      </w:r>
      <w:r w:rsidRPr="002948E3">
        <w:t>2003; 21(1):60-5.</w:t>
      </w:r>
    </w:p>
    <w:p w14:paraId="5ECCEE7E" w14:textId="77777777" w:rsidR="00696962" w:rsidRPr="002948E3" w:rsidRDefault="00696962" w:rsidP="004245A5">
      <w:pPr>
        <w:autoSpaceDE w:val="0"/>
        <w:autoSpaceDN w:val="0"/>
        <w:adjustRightInd w:val="0"/>
        <w:spacing w:after="0"/>
      </w:pPr>
    </w:p>
    <w:p w14:paraId="791579AD" w14:textId="25502F9E" w:rsidR="00696962" w:rsidRPr="002948E3" w:rsidRDefault="00696962" w:rsidP="004245A5">
      <w:pPr>
        <w:autoSpaceDE w:val="0"/>
        <w:autoSpaceDN w:val="0"/>
        <w:adjustRightInd w:val="0"/>
        <w:spacing w:after="0"/>
      </w:pPr>
      <w:r w:rsidRPr="002948E3">
        <w:t xml:space="preserve">AVF2192g trial. Kabbinavar FF, </w:t>
      </w:r>
      <w:r w:rsidR="0054445D" w:rsidRPr="002948E3">
        <w:t xml:space="preserve">Schulz J, McCleod M, Patel T, Hamm JT, Randolph Hecht J, </w:t>
      </w:r>
      <w:r w:rsidRPr="002948E3">
        <w:t xml:space="preserve">et al. Addition of bevacizumab to bolus fluorouracil and leucovorin in first-line metastatic colorectal cancer: results of a randomized phase II trial. </w:t>
      </w:r>
      <w:r w:rsidR="0054445D" w:rsidRPr="002948E3">
        <w:rPr>
          <w:rFonts w:cs="Arial"/>
          <w:color w:val="000000"/>
          <w:shd w:val="clear" w:color="auto" w:fill="FFFFFF"/>
        </w:rPr>
        <w:t>J Clin Oncol</w:t>
      </w:r>
      <w:r w:rsidR="0054445D" w:rsidRPr="002948E3" w:rsidDel="0054445D">
        <w:t xml:space="preserve"> </w:t>
      </w:r>
      <w:r w:rsidRPr="002948E3">
        <w:t>2005; 23(16):3697-3705</w:t>
      </w:r>
    </w:p>
    <w:p w14:paraId="405E0785" w14:textId="77777777" w:rsidR="00696962" w:rsidRPr="002948E3" w:rsidRDefault="00696962" w:rsidP="004245A5">
      <w:pPr>
        <w:autoSpaceDE w:val="0"/>
        <w:autoSpaceDN w:val="0"/>
        <w:adjustRightInd w:val="0"/>
        <w:spacing w:after="0"/>
      </w:pPr>
    </w:p>
    <w:p w14:paraId="04EA7DD8" w14:textId="7B17F599" w:rsidR="004245A5" w:rsidRPr="002948E3" w:rsidRDefault="004245A5" w:rsidP="004245A5">
      <w:pPr>
        <w:autoSpaceDE w:val="0"/>
        <w:autoSpaceDN w:val="0"/>
        <w:adjustRightInd w:val="0"/>
        <w:spacing w:after="0"/>
      </w:pPr>
      <w:r w:rsidRPr="002948E3">
        <w:t>Boleij A, Tack V, Taylor A</w:t>
      </w:r>
      <w:r w:rsidR="0054445D" w:rsidRPr="002948E3">
        <w:t>, Kafatos G, Jenkins-Anderson S, Tembuyser L,</w:t>
      </w:r>
      <w:r w:rsidRPr="002948E3">
        <w:t xml:space="preserve"> et al. RAS testing practices and RAS mutation prevalence among patients with metastatic colorectal cancer: results from a Europe</w:t>
      </w:r>
      <w:r w:rsidR="0054445D" w:rsidRPr="002948E3">
        <w:t>-</w:t>
      </w:r>
      <w:r w:rsidRPr="002948E3">
        <w:t xml:space="preserve">wide survey of pathology centres. 2016; BMC Cancer 16:825. </w:t>
      </w:r>
    </w:p>
    <w:p w14:paraId="0CFFBBAC" w14:textId="77777777" w:rsidR="004245A5" w:rsidRPr="002948E3" w:rsidRDefault="004245A5" w:rsidP="004245A5">
      <w:pPr>
        <w:autoSpaceDE w:val="0"/>
        <w:autoSpaceDN w:val="0"/>
        <w:adjustRightInd w:val="0"/>
        <w:spacing w:after="0"/>
      </w:pPr>
    </w:p>
    <w:p w14:paraId="36EE1979" w14:textId="3B3BE1B0" w:rsidR="00D67DED" w:rsidRPr="002948E3" w:rsidRDefault="00D67DED" w:rsidP="00792948">
      <w:r w:rsidRPr="002948E3">
        <w:t>Cassidy J, Clarke S, Díaz-Rubio E</w:t>
      </w:r>
      <w:r w:rsidR="0054445D" w:rsidRPr="002948E3">
        <w:t>, Scheithauer W, Figer A, Wong R,</w:t>
      </w:r>
      <w:r w:rsidRPr="002948E3">
        <w:t xml:space="preserve"> et al. XELOX vs FOLFOX-4 as first-line therapy for metastatic colorectal cancer. </w:t>
      </w:r>
      <w:r w:rsidR="0054445D" w:rsidRPr="002948E3">
        <w:rPr>
          <w:rFonts w:cs="Arial"/>
          <w:color w:val="000000"/>
          <w:shd w:val="clear" w:color="auto" w:fill="FFFFFF"/>
        </w:rPr>
        <w:t>Br J </w:t>
      </w:r>
      <w:r w:rsidR="0054445D" w:rsidRPr="002948E3">
        <w:rPr>
          <w:rStyle w:val="highlight"/>
          <w:rFonts w:cs="Arial"/>
          <w:color w:val="000000"/>
          <w:shd w:val="clear" w:color="auto" w:fill="FFFFFF"/>
        </w:rPr>
        <w:t>Cancer</w:t>
      </w:r>
      <w:r w:rsidRPr="002948E3">
        <w:t>. 2011; 105(1):58-64.</w:t>
      </w:r>
    </w:p>
    <w:p w14:paraId="70C40E08" w14:textId="23F24873" w:rsidR="00EF5B93" w:rsidRPr="002948E3" w:rsidRDefault="00EF5B93" w:rsidP="00792948">
      <w:r w:rsidRPr="002948E3">
        <w:lastRenderedPageBreak/>
        <w:t>Cunningham</w:t>
      </w:r>
      <w:r w:rsidR="00280A8F" w:rsidRPr="002948E3">
        <w:t xml:space="preserve"> D</w:t>
      </w:r>
      <w:r w:rsidRPr="002948E3">
        <w:t xml:space="preserve">, </w:t>
      </w:r>
      <w:r w:rsidR="00280A8F" w:rsidRPr="002948E3">
        <w:t xml:space="preserve">Humblet Y, </w:t>
      </w:r>
      <w:r w:rsidRPr="002948E3">
        <w:t xml:space="preserve">Siena S, </w:t>
      </w:r>
      <w:r w:rsidR="00280A8F" w:rsidRPr="002948E3">
        <w:t xml:space="preserve">Khayat D, Bleiberg H, Santoro A, </w:t>
      </w:r>
      <w:r w:rsidRPr="002948E3">
        <w:t xml:space="preserve">et al. Cetuximab monotherapy and cetuximab plus irinotecan in irinotecan-refractory metastatic colorectal cancer. </w:t>
      </w:r>
      <w:r w:rsidR="00280A8F" w:rsidRPr="002948E3">
        <w:rPr>
          <w:rFonts w:cs="Arial"/>
          <w:color w:val="000000"/>
          <w:shd w:val="clear" w:color="auto" w:fill="FFFFFF"/>
        </w:rPr>
        <w:t>N Engl J Med</w:t>
      </w:r>
      <w:r w:rsidR="00280A8F" w:rsidRPr="002948E3" w:rsidDel="00280A8F">
        <w:t xml:space="preserve"> </w:t>
      </w:r>
      <w:r w:rsidRPr="002948E3">
        <w:t>2004; 351:337-345.</w:t>
      </w:r>
    </w:p>
    <w:p w14:paraId="355CCAD5" w14:textId="10E6F820" w:rsidR="00D467AA" w:rsidRPr="002948E3" w:rsidRDefault="00D467AA" w:rsidP="00DE5153">
      <w:pPr>
        <w:spacing w:after="0"/>
        <w:rPr>
          <w:rFonts w:eastAsia="Times New Roman"/>
          <w:snapToGrid w:val="0"/>
          <w:lang w:eastAsia="en-US"/>
        </w:rPr>
      </w:pPr>
      <w:r w:rsidRPr="002948E3">
        <w:rPr>
          <w:rFonts w:eastAsia="Times New Roman"/>
          <w:snapToGrid w:val="0"/>
          <w:lang w:eastAsia="en-US"/>
        </w:rPr>
        <w:t>Di Fiore F</w:t>
      </w:r>
      <w:r w:rsidR="00677C74" w:rsidRPr="002948E3">
        <w:rPr>
          <w:rFonts w:eastAsia="Times New Roman"/>
          <w:snapToGrid w:val="0"/>
          <w:lang w:eastAsia="en-US"/>
        </w:rPr>
        <w:t>,</w:t>
      </w:r>
      <w:r w:rsidR="00280A8F" w:rsidRPr="002948E3">
        <w:rPr>
          <w:rFonts w:eastAsia="Times New Roman"/>
          <w:snapToGrid w:val="0"/>
          <w:lang w:eastAsia="en-US"/>
        </w:rPr>
        <w:t xml:space="preserve"> </w:t>
      </w:r>
      <w:r w:rsidR="00677C74" w:rsidRPr="002948E3">
        <w:rPr>
          <w:rFonts w:eastAsia="Times New Roman"/>
          <w:snapToGrid w:val="0"/>
          <w:lang w:eastAsia="en-US"/>
        </w:rPr>
        <w:t>Van Cutsem</w:t>
      </w:r>
      <w:r w:rsidR="00280A8F" w:rsidRPr="002948E3">
        <w:rPr>
          <w:rFonts w:eastAsia="Times New Roman"/>
          <w:snapToGrid w:val="0"/>
          <w:lang w:eastAsia="en-US"/>
        </w:rPr>
        <w:t xml:space="preserve"> E</w:t>
      </w:r>
      <w:r w:rsidR="00677C74" w:rsidRPr="002948E3">
        <w:rPr>
          <w:rFonts w:eastAsia="Times New Roman"/>
          <w:snapToGrid w:val="0"/>
          <w:lang w:eastAsia="en-US"/>
        </w:rPr>
        <w:t>,</w:t>
      </w:r>
      <w:r w:rsidR="00280A8F" w:rsidRPr="002948E3">
        <w:rPr>
          <w:rFonts w:eastAsia="Times New Roman"/>
          <w:snapToGrid w:val="0"/>
          <w:lang w:eastAsia="en-US"/>
        </w:rPr>
        <w:t xml:space="preserve"> Laurent-Puig P, Siena S, Frattini M, De Roock W,</w:t>
      </w:r>
      <w:r w:rsidR="00677C74" w:rsidRPr="002948E3">
        <w:rPr>
          <w:rFonts w:eastAsia="Times New Roman"/>
          <w:snapToGrid w:val="0"/>
          <w:lang w:eastAsia="en-US"/>
        </w:rPr>
        <w:t xml:space="preserve"> et al. </w:t>
      </w:r>
      <w:r w:rsidRPr="002948E3">
        <w:rPr>
          <w:rFonts w:eastAsia="Times New Roman"/>
          <w:snapToGrid w:val="0"/>
          <w:lang w:eastAsia="en-US"/>
        </w:rPr>
        <w:t xml:space="preserve">Role of KRAS mutation in predicting response, progression-free survival and overall survival in irinotecan-refractory patients treated with cetuximab plus irinotecan with metastatic colorectal cancer: An analysis of 281 individual data from published studies. </w:t>
      </w:r>
      <w:r w:rsidR="00677C74" w:rsidRPr="002948E3">
        <w:rPr>
          <w:rFonts w:eastAsia="Times New Roman"/>
          <w:snapToGrid w:val="0"/>
          <w:lang w:eastAsia="en-US"/>
        </w:rPr>
        <w:t>2008; J Clin Oncol 26: Suppl Abstract 4035.</w:t>
      </w:r>
    </w:p>
    <w:p w14:paraId="12367A1A" w14:textId="77777777" w:rsidR="00DE5153" w:rsidRPr="002948E3" w:rsidRDefault="00DE5153" w:rsidP="00DE5153">
      <w:pPr>
        <w:spacing w:after="0"/>
        <w:rPr>
          <w:rFonts w:eastAsia="Times New Roman"/>
          <w:snapToGrid w:val="0"/>
          <w:lang w:eastAsia="en-US"/>
        </w:rPr>
      </w:pPr>
    </w:p>
    <w:p w14:paraId="02419723" w14:textId="0C762C48" w:rsidR="005E426F" w:rsidRPr="005E154A" w:rsidRDefault="009D245D" w:rsidP="005E154A">
      <w:pPr>
        <w:rPr>
          <w:rFonts w:eastAsia="Times New Roman"/>
          <w:bCs/>
          <w:snapToGrid w:val="0"/>
          <w:lang w:eastAsia="en-US"/>
        </w:rPr>
      </w:pPr>
      <w:hyperlink r:id="rId41" w:history="1">
        <w:r w:rsidR="005E426F" w:rsidRPr="005E154A">
          <w:rPr>
            <w:rFonts w:eastAsia="Times New Roman"/>
            <w:bCs/>
            <w:snapToGrid w:val="0"/>
            <w:lang w:eastAsia="en-US"/>
          </w:rPr>
          <w:t>Douillard JY</w:t>
        </w:r>
      </w:hyperlink>
      <w:r w:rsidR="005E426F" w:rsidRPr="005E154A">
        <w:rPr>
          <w:rFonts w:eastAsia="Times New Roman"/>
          <w:bCs/>
          <w:snapToGrid w:val="0"/>
          <w:lang w:eastAsia="en-US"/>
        </w:rPr>
        <w:t>, </w:t>
      </w:r>
      <w:hyperlink r:id="rId42" w:history="1">
        <w:r w:rsidR="005E426F" w:rsidRPr="005E154A">
          <w:rPr>
            <w:rFonts w:eastAsia="Times New Roman"/>
            <w:bCs/>
            <w:snapToGrid w:val="0"/>
            <w:lang w:eastAsia="en-US"/>
          </w:rPr>
          <w:t>Siena S</w:t>
        </w:r>
      </w:hyperlink>
      <w:r w:rsidR="005E426F" w:rsidRPr="005E154A">
        <w:rPr>
          <w:rFonts w:eastAsia="Times New Roman"/>
          <w:bCs/>
          <w:snapToGrid w:val="0"/>
          <w:lang w:eastAsia="en-US"/>
        </w:rPr>
        <w:t>, </w:t>
      </w:r>
      <w:hyperlink r:id="rId43" w:history="1">
        <w:r w:rsidR="005E426F" w:rsidRPr="005E154A">
          <w:rPr>
            <w:rFonts w:eastAsia="Times New Roman"/>
            <w:bCs/>
            <w:snapToGrid w:val="0"/>
            <w:lang w:eastAsia="en-US"/>
          </w:rPr>
          <w:t>Cassidy J</w:t>
        </w:r>
      </w:hyperlink>
      <w:r w:rsidR="008342D2" w:rsidRPr="005E154A">
        <w:rPr>
          <w:rFonts w:eastAsia="Times New Roman"/>
          <w:bCs/>
          <w:snapToGrid w:val="0"/>
          <w:lang w:eastAsia="en-US"/>
        </w:rPr>
        <w:t>, Tabernero J, Burkes R, Barugel M,</w:t>
      </w:r>
      <w:r w:rsidR="005E426F" w:rsidRPr="005E154A">
        <w:rPr>
          <w:rFonts w:eastAsia="Times New Roman"/>
          <w:bCs/>
          <w:snapToGrid w:val="0"/>
          <w:lang w:eastAsia="en-US"/>
        </w:rPr>
        <w:t xml:space="preserve"> et al. Final results from PRIME: randomized phase III study of panitumumab with FOLFOX4 for first-line treatment of metastatic colorectal cancer. Ann Oncol 2014; 25(7):1346-55.</w:t>
      </w:r>
    </w:p>
    <w:p w14:paraId="0F4B2366" w14:textId="4A83AB1C" w:rsidR="00EE46C2" w:rsidRPr="0086404A" w:rsidRDefault="005535BD" w:rsidP="0086404A">
      <w:pPr>
        <w:rPr>
          <w:rFonts w:eastAsia="Times New Roman"/>
          <w:bCs/>
          <w:snapToGrid w:val="0"/>
          <w:lang w:eastAsia="en-US"/>
        </w:rPr>
      </w:pPr>
      <w:r w:rsidRPr="005E154A">
        <w:rPr>
          <w:rFonts w:eastAsia="Times New Roman"/>
          <w:bCs/>
          <w:snapToGrid w:val="0"/>
          <w:lang w:eastAsia="en-US"/>
        </w:rPr>
        <w:t>Goldstein DA, Chen Q</w:t>
      </w:r>
      <w:r w:rsidR="008342D2" w:rsidRPr="005E154A">
        <w:rPr>
          <w:rFonts w:eastAsia="Times New Roman"/>
          <w:bCs/>
          <w:snapToGrid w:val="0"/>
          <w:lang w:eastAsia="en-US"/>
        </w:rPr>
        <w:t>,</w:t>
      </w:r>
      <w:r w:rsidRPr="005E154A">
        <w:rPr>
          <w:rFonts w:eastAsia="Times New Roman"/>
          <w:bCs/>
          <w:snapToGrid w:val="0"/>
          <w:lang w:eastAsia="en-US"/>
        </w:rPr>
        <w:t xml:space="preserve"> </w:t>
      </w:r>
      <w:r w:rsidR="008342D2" w:rsidRPr="005E154A">
        <w:rPr>
          <w:rFonts w:eastAsia="Times New Roman"/>
          <w:bCs/>
          <w:snapToGrid w:val="0"/>
          <w:lang w:eastAsia="en-US"/>
        </w:rPr>
        <w:t>Ayer T, Howard DH, Lipscomb J, El-Rayes BF, et al.</w:t>
      </w:r>
      <w:r w:rsidRPr="005E154A">
        <w:rPr>
          <w:rFonts w:eastAsia="Times New Roman"/>
          <w:bCs/>
          <w:snapToGrid w:val="0"/>
          <w:lang w:eastAsia="en-US"/>
        </w:rPr>
        <w:t xml:space="preserve"> First- and Second-Line Bevacizumab in Addition to Chemotherapy for Metastatic Colorectal Cancer: A United States–Based Cost-Effectiveness Analysis. </w:t>
      </w:r>
      <w:r w:rsidR="008342D2" w:rsidRPr="005E154A">
        <w:rPr>
          <w:rFonts w:eastAsia="Times New Roman"/>
          <w:bCs/>
          <w:snapToGrid w:val="0"/>
          <w:lang w:eastAsia="en-US"/>
        </w:rPr>
        <w:t>J Clin Oncol</w:t>
      </w:r>
      <w:r w:rsidRPr="005E154A">
        <w:rPr>
          <w:rFonts w:eastAsia="Times New Roman"/>
          <w:bCs/>
          <w:snapToGrid w:val="0"/>
          <w:lang w:eastAsia="en-US"/>
        </w:rPr>
        <w:t xml:space="preserve"> 2015;</w:t>
      </w:r>
      <w:r w:rsidR="008342D2" w:rsidRPr="005E154A">
        <w:rPr>
          <w:rFonts w:eastAsia="Times New Roman"/>
          <w:bCs/>
          <w:snapToGrid w:val="0"/>
          <w:lang w:eastAsia="en-US"/>
        </w:rPr>
        <w:t xml:space="preserve"> </w:t>
      </w:r>
      <w:r w:rsidRPr="005E154A">
        <w:rPr>
          <w:rFonts w:eastAsia="Times New Roman"/>
          <w:bCs/>
          <w:snapToGrid w:val="0"/>
          <w:lang w:eastAsia="en-US"/>
        </w:rPr>
        <w:t>33(10):111</w:t>
      </w:r>
      <w:r w:rsidR="0086404A">
        <w:rPr>
          <w:rFonts w:eastAsia="Times New Roman"/>
          <w:bCs/>
          <w:snapToGrid w:val="0"/>
          <w:lang w:eastAsia="en-US"/>
        </w:rPr>
        <w:t>2-1118.</w:t>
      </w:r>
    </w:p>
    <w:p w14:paraId="33C2E61A" w14:textId="684B7F42" w:rsidR="00B047A4" w:rsidRPr="002948E3" w:rsidRDefault="00B047A4" w:rsidP="00792948">
      <w:r w:rsidRPr="002948E3">
        <w:t>Harle A, Filhine-Tresarrieu P, Husson</w:t>
      </w:r>
      <w:r w:rsidR="003A4FCD" w:rsidRPr="002948E3">
        <w:t xml:space="preserve"> </w:t>
      </w:r>
      <w:r w:rsidRPr="002948E3">
        <w:t>M</w:t>
      </w:r>
      <w:r w:rsidR="003A4FCD" w:rsidRPr="002948E3">
        <w:t xml:space="preserve">, </w:t>
      </w:r>
      <w:r w:rsidRPr="002948E3">
        <w:t xml:space="preserve"> </w:t>
      </w:r>
      <w:r w:rsidR="003A4FCD" w:rsidRPr="002948E3">
        <w:t xml:space="preserve">Boidot R, Rouyer M, Dubois C, </w:t>
      </w:r>
      <w:r w:rsidRPr="002948E3">
        <w:t>et al. Rare RAS Mutations in Metastatic Colorectal Cancer Detected During Routine RAS Genotyping Using Next Generation Sequencing. Targ Oncol 2016; 11:363–370.</w:t>
      </w:r>
    </w:p>
    <w:p w14:paraId="47943CE3" w14:textId="38481D00" w:rsidR="00572899" w:rsidRPr="002948E3" w:rsidRDefault="00571234" w:rsidP="0086404A">
      <w:r w:rsidRPr="002948E3">
        <w:t xml:space="preserve">Heinemann V, von Weikersthal </w:t>
      </w:r>
      <w:r w:rsidR="00CC378D" w:rsidRPr="002948E3">
        <w:t>L</w:t>
      </w:r>
      <w:r w:rsidRPr="002948E3">
        <w:t>F, Decker T</w:t>
      </w:r>
      <w:r w:rsidR="00CC378D" w:rsidRPr="002948E3">
        <w:t>, Kiani A, Vehling-Kaiser U, Al-Batran SE,</w:t>
      </w:r>
      <w:r w:rsidRPr="002948E3">
        <w:t xml:space="preserve"> et al. FOLFIRI plus cetuximab versus FOLFIRI plus bevacizumab as first-line treatment for patients with metastatic colorectal cancer (FIRE-3): a randomised, open-label, phase 3 trial. The Lancet 2014; </w:t>
      </w:r>
      <w:hyperlink r:id="rId44" w:history="1">
        <w:r w:rsidRPr="002948E3">
          <w:t>Volume 15, No. 10</w:t>
        </w:r>
      </w:hyperlink>
      <w:r w:rsidRPr="002948E3">
        <w:t>: 1065–1075.</w:t>
      </w:r>
    </w:p>
    <w:p w14:paraId="2D8AF82B" w14:textId="2A953F3C" w:rsidR="005A0F70" w:rsidRPr="002948E3" w:rsidRDefault="005A0F70" w:rsidP="00572899">
      <w:pPr>
        <w:spacing w:after="0"/>
        <w:ind w:right="62"/>
        <w:textAlignment w:val="baseline"/>
      </w:pPr>
      <w:r w:rsidRPr="002948E3">
        <w:t>Matsui T, Nagata N, Hirata K</w:t>
      </w:r>
      <w:r w:rsidR="00CC378D" w:rsidRPr="002948E3">
        <w:t>, Okazaki S, Sato S, Nakamura M,</w:t>
      </w:r>
      <w:r w:rsidRPr="002948E3">
        <w:t xml:space="preserve"> et al. Bi-weekly Capecitabine–Oxaliplatin (XELOX) plus Bevacizumab as First-line Treatment of Metastatic Colorectal Cancer –The PHOENiX Trial. Anticancer Res 2016; vol. 36 no. 7: 3437-3443.</w:t>
      </w:r>
    </w:p>
    <w:p w14:paraId="18CF02F9" w14:textId="77777777" w:rsidR="00596953" w:rsidRPr="002948E3" w:rsidRDefault="00596953" w:rsidP="00572899">
      <w:pPr>
        <w:spacing w:after="0"/>
      </w:pPr>
    </w:p>
    <w:p w14:paraId="2CD940B5" w14:textId="172F7ABE" w:rsidR="00571234" w:rsidRPr="002948E3" w:rsidRDefault="00596953" w:rsidP="00572899">
      <w:pPr>
        <w:spacing w:after="0"/>
      </w:pPr>
      <w:r w:rsidRPr="002948E3">
        <w:t xml:space="preserve">Mocellin S, Baretta Z, Roqué i Figuls M, Solà I, Martin-Richard M, Hallum S, </w:t>
      </w:r>
      <w:r w:rsidR="00CC378D" w:rsidRPr="002948E3">
        <w:t>et al.</w:t>
      </w:r>
      <w:r w:rsidRPr="002948E3">
        <w:t xml:space="preserve"> Second-line systemic therapy for metastatic colorectal cancer. </w:t>
      </w:r>
      <w:r w:rsidR="00CC378D" w:rsidRPr="002948E3">
        <w:rPr>
          <w:rFonts w:cs="Arial"/>
          <w:color w:val="000000"/>
          <w:shd w:val="clear" w:color="auto" w:fill="FFFFFF"/>
        </w:rPr>
        <w:t>Cochrane Database Syst Rev</w:t>
      </w:r>
      <w:r w:rsidRPr="002948E3">
        <w:t xml:space="preserve"> 2017, Issue 1. Art. No.: CD006875. DOI: 10.1002/14651858.CD006875.pub3.</w:t>
      </w:r>
    </w:p>
    <w:p w14:paraId="20505DA5" w14:textId="77777777" w:rsidR="00572899" w:rsidRPr="002948E3" w:rsidRDefault="00572899" w:rsidP="00572899">
      <w:pPr>
        <w:spacing w:after="0"/>
      </w:pPr>
    </w:p>
    <w:p w14:paraId="351E99F0" w14:textId="08830AF7" w:rsidR="00471B4E" w:rsidRPr="002948E3" w:rsidRDefault="00C910F7" w:rsidP="00572899">
      <w:pPr>
        <w:spacing w:line="276" w:lineRule="auto"/>
      </w:pPr>
      <w:r w:rsidRPr="002948E3">
        <w:t>Peeters</w:t>
      </w:r>
      <w:r w:rsidR="00CC378D" w:rsidRPr="002948E3">
        <w:t xml:space="preserve"> </w:t>
      </w:r>
      <w:r w:rsidRPr="002948E3">
        <w:t>M, Kafatos G, Taylor A</w:t>
      </w:r>
      <w:r w:rsidR="00CC378D" w:rsidRPr="002948E3">
        <w:t>, Gastanaga VM, Yu H, Oliner KS,</w:t>
      </w:r>
      <w:r w:rsidRPr="002948E3">
        <w:t xml:space="preserve"> et al. Prevalence of RAS mutations among patients with metastatic colorectal cancer by country and region in randomized clinical trials: A pooled analysis. </w:t>
      </w:r>
      <w:r w:rsidR="00CC378D" w:rsidRPr="002948E3">
        <w:t>J Clin Oncol</w:t>
      </w:r>
      <w:r w:rsidRPr="002948E3">
        <w:t> 2015; 33, no. 3_suppl:  520-520.</w:t>
      </w:r>
    </w:p>
    <w:p w14:paraId="110E0A94" w14:textId="339CBC98" w:rsidR="00471B4E" w:rsidRPr="002948E3" w:rsidRDefault="00471B4E" w:rsidP="00471B4E">
      <w:pPr>
        <w:pStyle w:val="Default"/>
        <w:rPr>
          <w:rFonts w:asciiTheme="minorHAnsi" w:hAnsiTheme="minorHAnsi" w:cstheme="minorBidi"/>
          <w:color w:val="auto"/>
        </w:rPr>
      </w:pPr>
      <w:r w:rsidRPr="002948E3">
        <w:rPr>
          <w:rFonts w:asciiTheme="minorHAnsi" w:hAnsiTheme="minorHAnsi" w:cstheme="minorBidi"/>
          <w:color w:val="auto"/>
        </w:rPr>
        <w:t>Saltz LB, Clarke S, Diaz-Rubio E</w:t>
      </w:r>
      <w:r w:rsidR="003A4FCD" w:rsidRPr="002948E3">
        <w:rPr>
          <w:rFonts w:asciiTheme="minorHAnsi" w:hAnsiTheme="minorHAnsi" w:cstheme="minorBidi"/>
          <w:color w:val="auto"/>
        </w:rPr>
        <w:t>, Scheithauer W, Figer A, Wong R,</w:t>
      </w:r>
      <w:r w:rsidRPr="002948E3">
        <w:rPr>
          <w:rFonts w:asciiTheme="minorHAnsi" w:hAnsiTheme="minorHAnsi" w:cstheme="minorBidi"/>
          <w:color w:val="auto"/>
        </w:rPr>
        <w:t xml:space="preserve"> et al. Bevacizumab in combination with oxaliplatin-based chemotherapy as first-line therapy in metastatic colorectal cancer: a randomized phase III study. J Clin Oncol 2008;</w:t>
      </w:r>
      <w:r w:rsidR="00560870" w:rsidRPr="002948E3">
        <w:rPr>
          <w:rFonts w:asciiTheme="minorHAnsi" w:hAnsiTheme="minorHAnsi" w:cstheme="minorBidi"/>
          <w:color w:val="auto"/>
        </w:rPr>
        <w:t xml:space="preserve"> </w:t>
      </w:r>
      <w:r w:rsidRPr="002948E3">
        <w:rPr>
          <w:rFonts w:asciiTheme="minorHAnsi" w:hAnsiTheme="minorHAnsi" w:cstheme="minorBidi"/>
          <w:color w:val="auto"/>
        </w:rPr>
        <w:t xml:space="preserve">26:2013–2019. </w:t>
      </w:r>
    </w:p>
    <w:p w14:paraId="0E464932" w14:textId="77777777" w:rsidR="00CF352D" w:rsidRPr="002948E3" w:rsidRDefault="00CF352D" w:rsidP="00471B4E">
      <w:pPr>
        <w:pStyle w:val="Default"/>
        <w:rPr>
          <w:rFonts w:asciiTheme="minorHAnsi" w:hAnsiTheme="minorHAnsi" w:cstheme="minorBidi"/>
          <w:color w:val="auto"/>
        </w:rPr>
      </w:pPr>
    </w:p>
    <w:p w14:paraId="39BEDD13" w14:textId="74B90093" w:rsidR="00B24514" w:rsidRPr="002948E3" w:rsidRDefault="00B24514" w:rsidP="00172D4E">
      <w:pPr>
        <w:spacing w:line="276" w:lineRule="auto"/>
      </w:pPr>
      <w:r w:rsidRPr="002948E3">
        <w:t>Sorich MJ, Wiese MD, Rowland A</w:t>
      </w:r>
      <w:r w:rsidR="003A4FCD" w:rsidRPr="002948E3">
        <w:t>, Kichenadasse G, McKinnon RA and Karapetis CS</w:t>
      </w:r>
      <w:r w:rsidRPr="002948E3">
        <w:t xml:space="preserve">. Extended RAS mutations and anti-EGFR monoclonal antibody survival benefit in metastatic colorectal cancer: a meta-analysis of randomized, controlled trials. Ann Oncol </w:t>
      </w:r>
      <w:r w:rsidR="003A4FCD" w:rsidRPr="002948E3">
        <w:t xml:space="preserve">2015; </w:t>
      </w:r>
      <w:r w:rsidRPr="002948E3">
        <w:t>26: 13–21.</w:t>
      </w:r>
    </w:p>
    <w:p w14:paraId="2BCF1245" w14:textId="77777777" w:rsidR="005D0CB2" w:rsidRDefault="004111DA" w:rsidP="00C910F7">
      <w:pPr>
        <w:spacing w:line="276" w:lineRule="auto"/>
      </w:pPr>
      <w:r w:rsidRPr="002948E3">
        <w:lastRenderedPageBreak/>
        <w:t xml:space="preserve">Vogel </w:t>
      </w:r>
      <w:r w:rsidR="003A4FCD" w:rsidRPr="002948E3">
        <w:t>A</w:t>
      </w:r>
      <w:r w:rsidRPr="002948E3">
        <w:t xml:space="preserve">, Hofheinz RD, Kubicka S and Arnold D. </w:t>
      </w:r>
      <w:r w:rsidR="003913BD" w:rsidRPr="002948E3">
        <w:t xml:space="preserve">Treatment decisions in metastatic colorectal cancer – Beyond first and second line combination therapies. </w:t>
      </w:r>
      <w:r w:rsidR="003A4FCD" w:rsidRPr="002948E3">
        <w:rPr>
          <w:rFonts w:cs="Arial"/>
          <w:color w:val="000000"/>
          <w:shd w:val="clear" w:color="auto" w:fill="FFFFFF"/>
        </w:rPr>
        <w:t>Cancer Treat Rev</w:t>
      </w:r>
      <w:r w:rsidR="003A4FCD" w:rsidRPr="002948E3" w:rsidDel="003A4FCD">
        <w:t xml:space="preserve"> </w:t>
      </w:r>
      <w:r w:rsidR="003913BD" w:rsidRPr="002948E3">
        <w:t>2017; 59: 54–60.</w:t>
      </w:r>
    </w:p>
    <w:p w14:paraId="25D65B04" w14:textId="41FC9A3D" w:rsidR="00792B06" w:rsidRDefault="00792B06" w:rsidP="00C910F7">
      <w:pPr>
        <w:spacing w:line="276" w:lineRule="auto"/>
      </w:pPr>
      <w:r>
        <w:br w:type="page"/>
      </w:r>
    </w:p>
    <w:p w14:paraId="369C6A8A" w14:textId="0DBDDC31" w:rsidR="00C27344" w:rsidRPr="005D0CB2" w:rsidRDefault="00C27344" w:rsidP="005D0CB2">
      <w:pPr>
        <w:pStyle w:val="Heading1"/>
        <w:rPr>
          <w:sz w:val="32"/>
          <w:szCs w:val="32"/>
        </w:rPr>
      </w:pPr>
      <w:r w:rsidRPr="005D0CB2">
        <w:rPr>
          <w:sz w:val="32"/>
          <w:szCs w:val="32"/>
        </w:rPr>
        <w:lastRenderedPageBreak/>
        <w:t>Appendix 1: PBS listings for bevacizumab, cetuximab and panitumumab as at 1 October 2017</w:t>
      </w:r>
    </w:p>
    <w:p w14:paraId="61674808" w14:textId="6D7170E9" w:rsidR="00C27344" w:rsidRPr="00420085" w:rsidRDefault="00B97F93" w:rsidP="00420085">
      <w:pPr>
        <w:rPr>
          <w:b/>
        </w:rPr>
      </w:pPr>
      <w:r w:rsidRPr="00420085">
        <w:rPr>
          <w:b/>
        </w:rPr>
        <w:t xml:space="preserve">Table A1.1: </w:t>
      </w:r>
      <w:r w:rsidR="00C27344" w:rsidRPr="00420085">
        <w:rPr>
          <w:b/>
        </w:rPr>
        <w:t>PBS listings of bevacizumab, cetuximab and panitumumab</w:t>
      </w:r>
    </w:p>
    <w:tbl>
      <w:tblPr>
        <w:tblStyle w:val="TableGrid"/>
        <w:tblW w:w="9064" w:type="dxa"/>
        <w:tblLayout w:type="fixed"/>
        <w:tblLook w:val="04A0" w:firstRow="1" w:lastRow="0" w:firstColumn="1" w:lastColumn="0" w:noHBand="0" w:noVBand="1"/>
        <w:tblCaption w:val="Table A1.1"/>
        <w:tblDescription w:val="PBS listing details"/>
      </w:tblPr>
      <w:tblGrid>
        <w:gridCol w:w="1242"/>
        <w:gridCol w:w="3261"/>
        <w:gridCol w:w="992"/>
        <w:gridCol w:w="709"/>
        <w:gridCol w:w="1134"/>
        <w:gridCol w:w="1726"/>
      </w:tblGrid>
      <w:tr w:rsidR="00C27344" w:rsidRPr="00A35800" w14:paraId="2231D971" w14:textId="77777777" w:rsidTr="007F16DA">
        <w:trPr>
          <w:trHeight w:val="694"/>
          <w:tblHeader/>
        </w:trPr>
        <w:tc>
          <w:tcPr>
            <w:tcW w:w="1242" w:type="dxa"/>
            <w:tcBorders>
              <w:bottom w:val="single" w:sz="4" w:space="0" w:color="auto"/>
            </w:tcBorders>
            <w:shd w:val="clear" w:color="auto" w:fill="BFBFBF" w:themeFill="background1" w:themeFillShade="BF"/>
          </w:tcPr>
          <w:p w14:paraId="52435124" w14:textId="77777777" w:rsidR="00C27344" w:rsidRPr="00A35800" w:rsidRDefault="00C27344" w:rsidP="00991170">
            <w:pPr>
              <w:pStyle w:val="Tableheading"/>
              <w:rPr>
                <w:sz w:val="20"/>
                <w:szCs w:val="20"/>
              </w:rPr>
            </w:pPr>
            <w:r w:rsidRPr="00A35800">
              <w:rPr>
                <w:sz w:val="20"/>
                <w:szCs w:val="20"/>
              </w:rPr>
              <w:t>Item</w:t>
            </w:r>
          </w:p>
        </w:tc>
        <w:tc>
          <w:tcPr>
            <w:tcW w:w="3261" w:type="dxa"/>
            <w:shd w:val="clear" w:color="auto" w:fill="BFBFBF" w:themeFill="background1" w:themeFillShade="BF"/>
          </w:tcPr>
          <w:p w14:paraId="7B8CC40A" w14:textId="77777777" w:rsidR="00C27344" w:rsidRPr="00A35800" w:rsidRDefault="00C27344" w:rsidP="00991170">
            <w:pPr>
              <w:pStyle w:val="Tableheading"/>
              <w:rPr>
                <w:sz w:val="20"/>
                <w:szCs w:val="20"/>
              </w:rPr>
            </w:pPr>
            <w:r w:rsidRPr="00A35800">
              <w:rPr>
                <w:sz w:val="20"/>
                <w:szCs w:val="20"/>
              </w:rPr>
              <w:t>Name, form &amp; strength, pack size</w:t>
            </w:r>
          </w:p>
        </w:tc>
        <w:tc>
          <w:tcPr>
            <w:tcW w:w="992" w:type="dxa"/>
            <w:tcBorders>
              <w:bottom w:val="single" w:sz="4" w:space="0" w:color="auto"/>
            </w:tcBorders>
            <w:shd w:val="clear" w:color="auto" w:fill="BFBFBF" w:themeFill="background1" w:themeFillShade="BF"/>
          </w:tcPr>
          <w:p w14:paraId="6249BE66" w14:textId="77777777" w:rsidR="00C27344" w:rsidRPr="00A35800" w:rsidRDefault="00C27344" w:rsidP="00991170">
            <w:pPr>
              <w:pStyle w:val="Tableheading"/>
              <w:rPr>
                <w:sz w:val="20"/>
                <w:szCs w:val="20"/>
              </w:rPr>
            </w:pPr>
            <w:r w:rsidRPr="00A35800">
              <w:rPr>
                <w:sz w:val="20"/>
                <w:szCs w:val="20"/>
              </w:rPr>
              <w:t xml:space="preserve">Max. </w:t>
            </w:r>
            <w:r>
              <w:rPr>
                <w:sz w:val="20"/>
                <w:szCs w:val="20"/>
              </w:rPr>
              <w:t>amount</w:t>
            </w:r>
          </w:p>
        </w:tc>
        <w:tc>
          <w:tcPr>
            <w:tcW w:w="709" w:type="dxa"/>
            <w:tcBorders>
              <w:bottom w:val="single" w:sz="4" w:space="0" w:color="auto"/>
            </w:tcBorders>
            <w:shd w:val="clear" w:color="auto" w:fill="BFBFBF" w:themeFill="background1" w:themeFillShade="BF"/>
          </w:tcPr>
          <w:p w14:paraId="421A382E" w14:textId="77777777" w:rsidR="00C27344" w:rsidRPr="00A35800" w:rsidRDefault="00C27344" w:rsidP="00991170">
            <w:pPr>
              <w:pStyle w:val="Tableheading"/>
              <w:rPr>
                <w:sz w:val="20"/>
                <w:szCs w:val="20"/>
              </w:rPr>
            </w:pPr>
            <w:r w:rsidRPr="00A35800">
              <w:rPr>
                <w:sz w:val="20"/>
                <w:szCs w:val="20"/>
              </w:rPr>
              <w:t xml:space="preserve">Rpts </w:t>
            </w:r>
          </w:p>
        </w:tc>
        <w:tc>
          <w:tcPr>
            <w:tcW w:w="1134" w:type="dxa"/>
            <w:tcBorders>
              <w:bottom w:val="single" w:sz="4" w:space="0" w:color="auto"/>
            </w:tcBorders>
            <w:shd w:val="clear" w:color="auto" w:fill="BFBFBF" w:themeFill="background1" w:themeFillShade="BF"/>
          </w:tcPr>
          <w:p w14:paraId="02EA107C" w14:textId="517F3B32" w:rsidR="00C27344" w:rsidRPr="00FA4F31" w:rsidRDefault="00C27344" w:rsidP="00991170">
            <w:pPr>
              <w:pStyle w:val="Tableheading"/>
              <w:rPr>
                <w:sz w:val="20"/>
                <w:szCs w:val="20"/>
                <w:vertAlign w:val="superscript"/>
              </w:rPr>
            </w:pPr>
            <w:r>
              <w:rPr>
                <w:sz w:val="20"/>
                <w:szCs w:val="20"/>
              </w:rPr>
              <w:t>DPMA</w:t>
            </w:r>
            <w:r w:rsidR="00FA4F31">
              <w:rPr>
                <w:sz w:val="20"/>
                <w:szCs w:val="20"/>
                <w:vertAlign w:val="superscript"/>
              </w:rPr>
              <w:t>1</w:t>
            </w:r>
          </w:p>
        </w:tc>
        <w:tc>
          <w:tcPr>
            <w:tcW w:w="1726" w:type="dxa"/>
            <w:tcBorders>
              <w:bottom w:val="single" w:sz="4" w:space="0" w:color="auto"/>
            </w:tcBorders>
            <w:shd w:val="clear" w:color="auto" w:fill="BFBFBF" w:themeFill="background1" w:themeFillShade="BF"/>
          </w:tcPr>
          <w:p w14:paraId="68871B5E" w14:textId="77777777" w:rsidR="00C27344" w:rsidRPr="00A35800" w:rsidRDefault="00C27344" w:rsidP="00991170">
            <w:pPr>
              <w:pStyle w:val="Tableheading"/>
              <w:rPr>
                <w:sz w:val="20"/>
                <w:szCs w:val="20"/>
              </w:rPr>
            </w:pPr>
            <w:r w:rsidRPr="00A35800">
              <w:rPr>
                <w:sz w:val="20"/>
                <w:szCs w:val="20"/>
              </w:rPr>
              <w:t>Brand name and manufacturer</w:t>
            </w:r>
          </w:p>
        </w:tc>
      </w:tr>
      <w:tr w:rsidR="00C27344" w:rsidRPr="00A35800" w14:paraId="18285DE6" w14:textId="77777777" w:rsidTr="007F16DA">
        <w:trPr>
          <w:trHeight w:val="552"/>
        </w:trPr>
        <w:tc>
          <w:tcPr>
            <w:tcW w:w="1242" w:type="dxa"/>
            <w:tcBorders>
              <w:bottom w:val="nil"/>
            </w:tcBorders>
            <w:shd w:val="clear" w:color="auto" w:fill="auto"/>
          </w:tcPr>
          <w:p w14:paraId="6D6F8AEE" w14:textId="77777777" w:rsidR="00C27344" w:rsidRPr="00A35800" w:rsidRDefault="00C27344" w:rsidP="00991170">
            <w:pPr>
              <w:pStyle w:val="Tablewriting"/>
            </w:pPr>
            <w:r w:rsidRPr="00F3390B">
              <w:t>4400N</w:t>
            </w:r>
          </w:p>
        </w:tc>
        <w:tc>
          <w:tcPr>
            <w:tcW w:w="3261" w:type="dxa"/>
            <w:shd w:val="clear" w:color="auto" w:fill="auto"/>
          </w:tcPr>
          <w:p w14:paraId="6B31C638" w14:textId="77777777" w:rsidR="00C27344" w:rsidRPr="00A35800" w:rsidRDefault="00C27344" w:rsidP="00991170">
            <w:pPr>
              <w:pStyle w:val="Tablewriting"/>
            </w:pPr>
            <w:r w:rsidRPr="003911C2">
              <w:t>Bevacizumab, Solution for I.V. infusion 100 mg in 4 mL</w:t>
            </w:r>
          </w:p>
        </w:tc>
        <w:tc>
          <w:tcPr>
            <w:tcW w:w="992" w:type="dxa"/>
            <w:tcBorders>
              <w:bottom w:val="nil"/>
            </w:tcBorders>
            <w:shd w:val="clear" w:color="auto" w:fill="auto"/>
          </w:tcPr>
          <w:p w14:paraId="6F8E32A0" w14:textId="77777777" w:rsidR="00C27344" w:rsidRPr="00A35800" w:rsidRDefault="00C27344" w:rsidP="00991170">
            <w:pPr>
              <w:pStyle w:val="Tablewriting"/>
            </w:pPr>
            <w:r>
              <w:t>900 mg</w:t>
            </w:r>
          </w:p>
        </w:tc>
        <w:tc>
          <w:tcPr>
            <w:tcW w:w="709" w:type="dxa"/>
            <w:tcBorders>
              <w:bottom w:val="nil"/>
            </w:tcBorders>
            <w:shd w:val="clear" w:color="auto" w:fill="auto"/>
          </w:tcPr>
          <w:p w14:paraId="3D390DB3" w14:textId="77777777" w:rsidR="00C27344" w:rsidRPr="00A35800" w:rsidRDefault="00C27344" w:rsidP="00991170">
            <w:pPr>
              <w:pStyle w:val="Tablewriting"/>
            </w:pPr>
            <w:r>
              <w:t>11</w:t>
            </w:r>
          </w:p>
        </w:tc>
        <w:tc>
          <w:tcPr>
            <w:tcW w:w="1134" w:type="dxa"/>
            <w:tcBorders>
              <w:bottom w:val="nil"/>
            </w:tcBorders>
            <w:shd w:val="clear" w:color="auto" w:fill="auto"/>
          </w:tcPr>
          <w:p w14:paraId="50CF6351" w14:textId="77777777" w:rsidR="00C27344" w:rsidRPr="00A35800" w:rsidRDefault="00C27344" w:rsidP="00991170">
            <w:pPr>
              <w:pStyle w:val="Tablewriting"/>
            </w:pPr>
            <w:r w:rsidRPr="00AD34C1">
              <w:t>$3760.33</w:t>
            </w:r>
          </w:p>
        </w:tc>
        <w:tc>
          <w:tcPr>
            <w:tcW w:w="1726" w:type="dxa"/>
            <w:tcBorders>
              <w:bottom w:val="nil"/>
            </w:tcBorders>
            <w:shd w:val="clear" w:color="auto" w:fill="auto"/>
          </w:tcPr>
          <w:p w14:paraId="3F220BB8" w14:textId="77777777" w:rsidR="00C27344" w:rsidRPr="00A35800" w:rsidRDefault="00C27344" w:rsidP="00991170">
            <w:pPr>
              <w:pStyle w:val="Tablewriting"/>
            </w:pPr>
            <w:r w:rsidRPr="003D72E9">
              <w:t xml:space="preserve">Avastin, </w:t>
            </w:r>
            <w:r>
              <w:t>Roche Products Pty Ltd</w:t>
            </w:r>
          </w:p>
        </w:tc>
      </w:tr>
      <w:tr w:rsidR="00C27344" w:rsidRPr="00A35800" w14:paraId="27FE23CE" w14:textId="77777777" w:rsidTr="007F16DA">
        <w:trPr>
          <w:trHeight w:val="546"/>
        </w:trPr>
        <w:tc>
          <w:tcPr>
            <w:tcW w:w="1242" w:type="dxa"/>
            <w:tcBorders>
              <w:top w:val="nil"/>
              <w:bottom w:val="single" w:sz="4" w:space="0" w:color="auto"/>
            </w:tcBorders>
            <w:shd w:val="clear" w:color="auto" w:fill="auto"/>
          </w:tcPr>
          <w:p w14:paraId="5FA7020A" w14:textId="77777777" w:rsidR="00C27344" w:rsidRPr="00A35800" w:rsidRDefault="00C27344" w:rsidP="00991170">
            <w:pPr>
              <w:pStyle w:val="Tablewriting"/>
            </w:pPr>
          </w:p>
        </w:tc>
        <w:tc>
          <w:tcPr>
            <w:tcW w:w="3261" w:type="dxa"/>
            <w:shd w:val="clear" w:color="auto" w:fill="auto"/>
          </w:tcPr>
          <w:p w14:paraId="25063065" w14:textId="77777777" w:rsidR="00C27344" w:rsidRPr="00A35800" w:rsidRDefault="00C27344" w:rsidP="00991170">
            <w:pPr>
              <w:pStyle w:val="Tablewriting"/>
            </w:pPr>
            <w:r w:rsidRPr="003911C2">
              <w:t>Bevacizumab, Solution for I.V. infusion 400 mg in 16 mL</w:t>
            </w:r>
          </w:p>
        </w:tc>
        <w:tc>
          <w:tcPr>
            <w:tcW w:w="992" w:type="dxa"/>
            <w:tcBorders>
              <w:top w:val="nil"/>
              <w:bottom w:val="single" w:sz="4" w:space="0" w:color="auto"/>
            </w:tcBorders>
            <w:shd w:val="clear" w:color="auto" w:fill="auto"/>
          </w:tcPr>
          <w:p w14:paraId="797B68B5" w14:textId="77777777" w:rsidR="00C27344" w:rsidRPr="00A35800" w:rsidRDefault="00C27344" w:rsidP="00991170">
            <w:pPr>
              <w:pStyle w:val="Tablewriting"/>
            </w:pPr>
          </w:p>
        </w:tc>
        <w:tc>
          <w:tcPr>
            <w:tcW w:w="709" w:type="dxa"/>
            <w:tcBorders>
              <w:top w:val="nil"/>
              <w:bottom w:val="single" w:sz="4" w:space="0" w:color="auto"/>
            </w:tcBorders>
            <w:shd w:val="clear" w:color="auto" w:fill="auto"/>
          </w:tcPr>
          <w:p w14:paraId="0E6CD5AD" w14:textId="77777777" w:rsidR="00C27344" w:rsidRPr="00A35800" w:rsidRDefault="00C27344" w:rsidP="00991170">
            <w:pPr>
              <w:pStyle w:val="Tablewriting"/>
            </w:pPr>
          </w:p>
        </w:tc>
        <w:tc>
          <w:tcPr>
            <w:tcW w:w="1134" w:type="dxa"/>
            <w:tcBorders>
              <w:top w:val="nil"/>
              <w:bottom w:val="single" w:sz="4" w:space="0" w:color="auto"/>
            </w:tcBorders>
            <w:shd w:val="clear" w:color="auto" w:fill="auto"/>
          </w:tcPr>
          <w:p w14:paraId="004E134F" w14:textId="77777777" w:rsidR="00C27344" w:rsidRPr="00A35800" w:rsidRDefault="00C27344" w:rsidP="00991170">
            <w:pPr>
              <w:pStyle w:val="Tablewriting"/>
            </w:pPr>
          </w:p>
        </w:tc>
        <w:tc>
          <w:tcPr>
            <w:tcW w:w="1726" w:type="dxa"/>
            <w:tcBorders>
              <w:top w:val="nil"/>
              <w:bottom w:val="single" w:sz="4" w:space="0" w:color="auto"/>
            </w:tcBorders>
            <w:shd w:val="clear" w:color="auto" w:fill="auto"/>
          </w:tcPr>
          <w:p w14:paraId="4E477FC9" w14:textId="77777777" w:rsidR="00C27344" w:rsidRPr="00A35800" w:rsidRDefault="00C27344" w:rsidP="00991170">
            <w:pPr>
              <w:pStyle w:val="Tablewriting"/>
            </w:pPr>
          </w:p>
        </w:tc>
      </w:tr>
      <w:tr w:rsidR="00C27344" w:rsidRPr="00A35800" w14:paraId="08B57BDA" w14:textId="77777777" w:rsidTr="007F16DA">
        <w:trPr>
          <w:trHeight w:val="546"/>
        </w:trPr>
        <w:tc>
          <w:tcPr>
            <w:tcW w:w="1242" w:type="dxa"/>
            <w:tcBorders>
              <w:bottom w:val="nil"/>
            </w:tcBorders>
            <w:shd w:val="clear" w:color="auto" w:fill="auto"/>
          </w:tcPr>
          <w:p w14:paraId="5BB05945" w14:textId="77777777" w:rsidR="00C27344" w:rsidRPr="00A35800" w:rsidRDefault="00C27344" w:rsidP="00991170">
            <w:pPr>
              <w:pStyle w:val="Tablewriting"/>
            </w:pPr>
            <w:r w:rsidRPr="00F3390B">
              <w:t>7243F</w:t>
            </w:r>
          </w:p>
        </w:tc>
        <w:tc>
          <w:tcPr>
            <w:tcW w:w="3261" w:type="dxa"/>
            <w:shd w:val="clear" w:color="auto" w:fill="auto"/>
          </w:tcPr>
          <w:p w14:paraId="175D9831" w14:textId="77777777" w:rsidR="00C27344" w:rsidRPr="00A35800" w:rsidRDefault="00C27344" w:rsidP="00991170">
            <w:pPr>
              <w:pStyle w:val="Tablewriting"/>
            </w:pPr>
            <w:r w:rsidRPr="003911C2">
              <w:t>Bevacizumab, Solution for I.V. infusion 100 mg in 4 mL</w:t>
            </w:r>
          </w:p>
        </w:tc>
        <w:tc>
          <w:tcPr>
            <w:tcW w:w="992" w:type="dxa"/>
            <w:tcBorders>
              <w:bottom w:val="nil"/>
            </w:tcBorders>
            <w:shd w:val="clear" w:color="auto" w:fill="auto"/>
          </w:tcPr>
          <w:p w14:paraId="7CA44765" w14:textId="77777777" w:rsidR="00C27344" w:rsidRPr="00A35800" w:rsidRDefault="00C27344" w:rsidP="00991170">
            <w:pPr>
              <w:pStyle w:val="Tablewriting"/>
            </w:pPr>
            <w:r>
              <w:t>900 mg</w:t>
            </w:r>
          </w:p>
        </w:tc>
        <w:tc>
          <w:tcPr>
            <w:tcW w:w="709" w:type="dxa"/>
            <w:tcBorders>
              <w:bottom w:val="nil"/>
            </w:tcBorders>
            <w:shd w:val="clear" w:color="auto" w:fill="auto"/>
          </w:tcPr>
          <w:p w14:paraId="4553E55A" w14:textId="77777777" w:rsidR="00C27344" w:rsidRPr="00A35800" w:rsidRDefault="00C27344" w:rsidP="00991170">
            <w:pPr>
              <w:pStyle w:val="Tablewriting"/>
            </w:pPr>
            <w:r>
              <w:t>11</w:t>
            </w:r>
          </w:p>
        </w:tc>
        <w:tc>
          <w:tcPr>
            <w:tcW w:w="1134" w:type="dxa"/>
            <w:tcBorders>
              <w:bottom w:val="nil"/>
            </w:tcBorders>
            <w:shd w:val="clear" w:color="auto" w:fill="auto"/>
          </w:tcPr>
          <w:p w14:paraId="3E928AAF" w14:textId="77777777" w:rsidR="00C27344" w:rsidRPr="00A35800" w:rsidRDefault="00C27344" w:rsidP="00991170">
            <w:pPr>
              <w:pStyle w:val="Tablewriting"/>
            </w:pPr>
            <w:r w:rsidRPr="00AD34C1">
              <w:t>$3850.45</w:t>
            </w:r>
          </w:p>
        </w:tc>
        <w:tc>
          <w:tcPr>
            <w:tcW w:w="1726" w:type="dxa"/>
            <w:tcBorders>
              <w:bottom w:val="nil"/>
            </w:tcBorders>
            <w:shd w:val="clear" w:color="auto" w:fill="auto"/>
          </w:tcPr>
          <w:p w14:paraId="16DF1F03" w14:textId="77777777" w:rsidR="00C27344" w:rsidRPr="00A35800" w:rsidRDefault="00C27344" w:rsidP="00991170">
            <w:pPr>
              <w:pStyle w:val="Tablewriting"/>
            </w:pPr>
            <w:r w:rsidRPr="003D72E9">
              <w:t xml:space="preserve">Avastin, </w:t>
            </w:r>
            <w:r>
              <w:t>Roche Products Pty Ltd</w:t>
            </w:r>
          </w:p>
        </w:tc>
      </w:tr>
      <w:tr w:rsidR="00C27344" w:rsidRPr="00A35800" w14:paraId="18D6668A" w14:textId="77777777" w:rsidTr="007F16DA">
        <w:trPr>
          <w:trHeight w:val="546"/>
        </w:trPr>
        <w:tc>
          <w:tcPr>
            <w:tcW w:w="1242" w:type="dxa"/>
            <w:tcBorders>
              <w:top w:val="nil"/>
              <w:bottom w:val="single" w:sz="4" w:space="0" w:color="auto"/>
            </w:tcBorders>
            <w:shd w:val="clear" w:color="auto" w:fill="auto"/>
          </w:tcPr>
          <w:p w14:paraId="355D11CB" w14:textId="77777777" w:rsidR="00C27344" w:rsidRPr="00A35800" w:rsidRDefault="00C27344" w:rsidP="00991170">
            <w:pPr>
              <w:pStyle w:val="Tablewriting"/>
            </w:pPr>
          </w:p>
        </w:tc>
        <w:tc>
          <w:tcPr>
            <w:tcW w:w="3261" w:type="dxa"/>
            <w:shd w:val="clear" w:color="auto" w:fill="auto"/>
          </w:tcPr>
          <w:p w14:paraId="4E806A0B" w14:textId="77777777" w:rsidR="00C27344" w:rsidRPr="00A35800" w:rsidRDefault="00C27344" w:rsidP="00991170">
            <w:pPr>
              <w:pStyle w:val="Tablewriting"/>
            </w:pPr>
            <w:r w:rsidRPr="003911C2">
              <w:t>Bevacizumab, Solution for I.V. infusion 400 mg in 16 mL</w:t>
            </w:r>
          </w:p>
        </w:tc>
        <w:tc>
          <w:tcPr>
            <w:tcW w:w="992" w:type="dxa"/>
            <w:tcBorders>
              <w:top w:val="nil"/>
              <w:bottom w:val="single" w:sz="4" w:space="0" w:color="auto"/>
            </w:tcBorders>
            <w:shd w:val="clear" w:color="auto" w:fill="auto"/>
          </w:tcPr>
          <w:p w14:paraId="2F7104E9" w14:textId="77777777" w:rsidR="00C27344" w:rsidRPr="00A35800" w:rsidRDefault="00C27344" w:rsidP="00991170">
            <w:pPr>
              <w:pStyle w:val="Tablewriting"/>
            </w:pPr>
          </w:p>
        </w:tc>
        <w:tc>
          <w:tcPr>
            <w:tcW w:w="709" w:type="dxa"/>
            <w:tcBorders>
              <w:top w:val="nil"/>
              <w:bottom w:val="single" w:sz="4" w:space="0" w:color="auto"/>
            </w:tcBorders>
            <w:shd w:val="clear" w:color="auto" w:fill="auto"/>
          </w:tcPr>
          <w:p w14:paraId="1DD61B1D" w14:textId="77777777" w:rsidR="00C27344" w:rsidRPr="00A35800" w:rsidRDefault="00C27344" w:rsidP="00991170">
            <w:pPr>
              <w:pStyle w:val="Tablewriting"/>
            </w:pPr>
          </w:p>
        </w:tc>
        <w:tc>
          <w:tcPr>
            <w:tcW w:w="1134" w:type="dxa"/>
            <w:tcBorders>
              <w:top w:val="nil"/>
              <w:bottom w:val="single" w:sz="4" w:space="0" w:color="auto"/>
            </w:tcBorders>
            <w:shd w:val="clear" w:color="auto" w:fill="auto"/>
          </w:tcPr>
          <w:p w14:paraId="39DAF16A" w14:textId="77777777" w:rsidR="00C27344" w:rsidRPr="00A35800" w:rsidRDefault="00C27344" w:rsidP="00991170">
            <w:pPr>
              <w:pStyle w:val="Tablewriting"/>
            </w:pPr>
          </w:p>
        </w:tc>
        <w:tc>
          <w:tcPr>
            <w:tcW w:w="1726" w:type="dxa"/>
            <w:tcBorders>
              <w:top w:val="nil"/>
              <w:bottom w:val="single" w:sz="4" w:space="0" w:color="auto"/>
            </w:tcBorders>
            <w:shd w:val="clear" w:color="auto" w:fill="auto"/>
          </w:tcPr>
          <w:p w14:paraId="1F6C4D18" w14:textId="77777777" w:rsidR="00C27344" w:rsidRPr="00A35800" w:rsidRDefault="00C27344" w:rsidP="00991170">
            <w:pPr>
              <w:pStyle w:val="Tablewriting"/>
            </w:pPr>
          </w:p>
        </w:tc>
      </w:tr>
      <w:tr w:rsidR="00C27344" w:rsidRPr="00A35800" w14:paraId="4D0BECFA" w14:textId="77777777" w:rsidTr="007F16DA">
        <w:trPr>
          <w:trHeight w:val="546"/>
        </w:trPr>
        <w:tc>
          <w:tcPr>
            <w:tcW w:w="1242" w:type="dxa"/>
            <w:tcBorders>
              <w:bottom w:val="nil"/>
            </w:tcBorders>
            <w:shd w:val="clear" w:color="auto" w:fill="auto"/>
          </w:tcPr>
          <w:p w14:paraId="74288748" w14:textId="77777777" w:rsidR="00C27344" w:rsidRDefault="00C27344" w:rsidP="00991170">
            <w:pPr>
              <w:pStyle w:val="Tablewriting"/>
            </w:pPr>
            <w:r w:rsidRPr="00F3390B">
              <w:t>4436L</w:t>
            </w:r>
          </w:p>
          <w:p w14:paraId="51DADC7A" w14:textId="77777777" w:rsidR="00C27344" w:rsidRPr="00A35800" w:rsidRDefault="00C27344" w:rsidP="00991170">
            <w:pPr>
              <w:pStyle w:val="Tablewriting"/>
            </w:pPr>
            <w:r>
              <w:t>(Initial)</w:t>
            </w:r>
          </w:p>
        </w:tc>
        <w:tc>
          <w:tcPr>
            <w:tcW w:w="3261" w:type="dxa"/>
            <w:shd w:val="clear" w:color="auto" w:fill="auto"/>
          </w:tcPr>
          <w:p w14:paraId="54490FCF" w14:textId="77777777" w:rsidR="00C27344" w:rsidRPr="00A35800" w:rsidRDefault="00C27344" w:rsidP="00991170">
            <w:pPr>
              <w:pStyle w:val="Tablewriting"/>
            </w:pPr>
            <w:r w:rsidRPr="003911C2">
              <w:t>Cetuximab, Solution for I.V. infusion 100 mg in 20 mL</w:t>
            </w:r>
          </w:p>
        </w:tc>
        <w:tc>
          <w:tcPr>
            <w:tcW w:w="992" w:type="dxa"/>
            <w:tcBorders>
              <w:bottom w:val="nil"/>
            </w:tcBorders>
            <w:shd w:val="clear" w:color="auto" w:fill="auto"/>
          </w:tcPr>
          <w:p w14:paraId="11F049B9" w14:textId="77777777" w:rsidR="00C27344" w:rsidRPr="00A35800" w:rsidRDefault="00C27344" w:rsidP="00991170">
            <w:pPr>
              <w:pStyle w:val="Tablewriting"/>
            </w:pPr>
            <w:r w:rsidRPr="001A3007">
              <w:t>880 mg</w:t>
            </w:r>
          </w:p>
        </w:tc>
        <w:tc>
          <w:tcPr>
            <w:tcW w:w="709" w:type="dxa"/>
            <w:tcBorders>
              <w:bottom w:val="nil"/>
            </w:tcBorders>
            <w:shd w:val="clear" w:color="auto" w:fill="auto"/>
          </w:tcPr>
          <w:p w14:paraId="4A4909A9" w14:textId="77777777" w:rsidR="00C27344" w:rsidRPr="00A35800" w:rsidRDefault="00C27344" w:rsidP="00991170">
            <w:pPr>
              <w:pStyle w:val="Tablewriting"/>
            </w:pPr>
            <w:r>
              <w:t>0</w:t>
            </w:r>
          </w:p>
        </w:tc>
        <w:tc>
          <w:tcPr>
            <w:tcW w:w="1134" w:type="dxa"/>
            <w:tcBorders>
              <w:bottom w:val="nil"/>
            </w:tcBorders>
            <w:shd w:val="clear" w:color="auto" w:fill="auto"/>
          </w:tcPr>
          <w:p w14:paraId="6F046EDC" w14:textId="77777777" w:rsidR="00C27344" w:rsidRPr="00A35800" w:rsidRDefault="00C27344" w:rsidP="00991170">
            <w:pPr>
              <w:pStyle w:val="Tablewriting"/>
            </w:pPr>
            <w:r w:rsidRPr="001A3007">
              <w:t>$2999.38</w:t>
            </w:r>
          </w:p>
        </w:tc>
        <w:tc>
          <w:tcPr>
            <w:tcW w:w="1726" w:type="dxa"/>
            <w:tcBorders>
              <w:bottom w:val="nil"/>
            </w:tcBorders>
            <w:shd w:val="clear" w:color="auto" w:fill="auto"/>
          </w:tcPr>
          <w:p w14:paraId="181DDF4B" w14:textId="77777777" w:rsidR="00C27344" w:rsidRPr="00A35800" w:rsidRDefault="00C27344" w:rsidP="00991170">
            <w:pPr>
              <w:pStyle w:val="Tablewriting"/>
            </w:pPr>
            <w:r>
              <w:t>Erbitux, Merck Serono Australia Pty Ltd</w:t>
            </w:r>
          </w:p>
        </w:tc>
      </w:tr>
      <w:tr w:rsidR="00C27344" w:rsidRPr="00A35800" w14:paraId="761E7780" w14:textId="77777777" w:rsidTr="007F16DA">
        <w:trPr>
          <w:trHeight w:val="546"/>
        </w:trPr>
        <w:tc>
          <w:tcPr>
            <w:tcW w:w="1242" w:type="dxa"/>
            <w:tcBorders>
              <w:top w:val="nil"/>
              <w:bottom w:val="single" w:sz="4" w:space="0" w:color="auto"/>
            </w:tcBorders>
            <w:shd w:val="clear" w:color="auto" w:fill="auto"/>
          </w:tcPr>
          <w:p w14:paraId="5D8F1D84" w14:textId="77777777" w:rsidR="00C27344" w:rsidRPr="00A35800" w:rsidRDefault="00C27344" w:rsidP="00991170">
            <w:pPr>
              <w:pStyle w:val="Tablewriting"/>
            </w:pPr>
          </w:p>
        </w:tc>
        <w:tc>
          <w:tcPr>
            <w:tcW w:w="3261" w:type="dxa"/>
            <w:shd w:val="clear" w:color="auto" w:fill="auto"/>
          </w:tcPr>
          <w:p w14:paraId="566C43F8" w14:textId="77777777" w:rsidR="00C27344" w:rsidRPr="00A35800" w:rsidRDefault="00C27344" w:rsidP="00991170">
            <w:pPr>
              <w:pStyle w:val="Tablewriting"/>
            </w:pPr>
            <w:r w:rsidRPr="003911C2">
              <w:t>Cetuximab, Solution for I.V. infusion 500 mg in 100 mL</w:t>
            </w:r>
          </w:p>
        </w:tc>
        <w:tc>
          <w:tcPr>
            <w:tcW w:w="992" w:type="dxa"/>
            <w:tcBorders>
              <w:top w:val="nil"/>
              <w:bottom w:val="single" w:sz="4" w:space="0" w:color="auto"/>
            </w:tcBorders>
            <w:shd w:val="clear" w:color="auto" w:fill="auto"/>
          </w:tcPr>
          <w:p w14:paraId="127853F8" w14:textId="77777777" w:rsidR="00C27344" w:rsidRPr="00A35800" w:rsidRDefault="00C27344" w:rsidP="00991170">
            <w:pPr>
              <w:pStyle w:val="Tablewriting"/>
            </w:pPr>
          </w:p>
        </w:tc>
        <w:tc>
          <w:tcPr>
            <w:tcW w:w="709" w:type="dxa"/>
            <w:tcBorders>
              <w:top w:val="nil"/>
              <w:bottom w:val="single" w:sz="4" w:space="0" w:color="auto"/>
            </w:tcBorders>
            <w:shd w:val="clear" w:color="auto" w:fill="auto"/>
          </w:tcPr>
          <w:p w14:paraId="2D3A0086" w14:textId="77777777" w:rsidR="00C27344" w:rsidRPr="00A35800" w:rsidRDefault="00C27344" w:rsidP="00991170">
            <w:pPr>
              <w:pStyle w:val="Tablewriting"/>
            </w:pPr>
          </w:p>
        </w:tc>
        <w:tc>
          <w:tcPr>
            <w:tcW w:w="1134" w:type="dxa"/>
            <w:tcBorders>
              <w:top w:val="nil"/>
              <w:bottom w:val="single" w:sz="4" w:space="0" w:color="auto"/>
            </w:tcBorders>
            <w:shd w:val="clear" w:color="auto" w:fill="auto"/>
          </w:tcPr>
          <w:p w14:paraId="2532EDB2" w14:textId="77777777" w:rsidR="00C27344" w:rsidRPr="00A35800" w:rsidRDefault="00C27344" w:rsidP="00991170">
            <w:pPr>
              <w:pStyle w:val="Tablewriting"/>
            </w:pPr>
          </w:p>
        </w:tc>
        <w:tc>
          <w:tcPr>
            <w:tcW w:w="1726" w:type="dxa"/>
            <w:tcBorders>
              <w:top w:val="nil"/>
              <w:bottom w:val="single" w:sz="4" w:space="0" w:color="auto"/>
            </w:tcBorders>
            <w:shd w:val="clear" w:color="auto" w:fill="auto"/>
          </w:tcPr>
          <w:p w14:paraId="2DD5976A" w14:textId="77777777" w:rsidR="00C27344" w:rsidRPr="00A35800" w:rsidRDefault="00C27344" w:rsidP="00991170">
            <w:pPr>
              <w:pStyle w:val="Tablewriting"/>
            </w:pPr>
          </w:p>
        </w:tc>
      </w:tr>
      <w:tr w:rsidR="00C27344" w:rsidRPr="00A35800" w14:paraId="78139BAD" w14:textId="77777777" w:rsidTr="007F16DA">
        <w:trPr>
          <w:trHeight w:val="546"/>
        </w:trPr>
        <w:tc>
          <w:tcPr>
            <w:tcW w:w="1242" w:type="dxa"/>
            <w:tcBorders>
              <w:bottom w:val="nil"/>
            </w:tcBorders>
            <w:shd w:val="clear" w:color="auto" w:fill="auto"/>
          </w:tcPr>
          <w:p w14:paraId="09DB59F9" w14:textId="77777777" w:rsidR="00C27344" w:rsidRDefault="00C27344" w:rsidP="00991170">
            <w:pPr>
              <w:pStyle w:val="Tablewriting"/>
            </w:pPr>
            <w:r w:rsidRPr="00F3390B">
              <w:t>4731B</w:t>
            </w:r>
          </w:p>
          <w:p w14:paraId="3F174B4C" w14:textId="3D57932A" w:rsidR="00C27344" w:rsidRPr="00A35800" w:rsidRDefault="00C27344" w:rsidP="005E2E08">
            <w:pPr>
              <w:pStyle w:val="Tablewriting"/>
            </w:pPr>
            <w:r>
              <w:t>(</w:t>
            </w:r>
            <w:r w:rsidR="005E2E08">
              <w:t>Continuing</w:t>
            </w:r>
            <w:r>
              <w:t>)</w:t>
            </w:r>
          </w:p>
        </w:tc>
        <w:tc>
          <w:tcPr>
            <w:tcW w:w="3261" w:type="dxa"/>
            <w:shd w:val="clear" w:color="auto" w:fill="auto"/>
          </w:tcPr>
          <w:p w14:paraId="7BB07208" w14:textId="77777777" w:rsidR="00C27344" w:rsidRPr="00A35800" w:rsidRDefault="00C27344" w:rsidP="00991170">
            <w:pPr>
              <w:pStyle w:val="Tablewriting"/>
            </w:pPr>
            <w:r w:rsidRPr="003911C2">
              <w:t>Cetuximab, Solution for I.V. infusion 100 mg in 20 mL</w:t>
            </w:r>
          </w:p>
        </w:tc>
        <w:tc>
          <w:tcPr>
            <w:tcW w:w="992" w:type="dxa"/>
            <w:tcBorders>
              <w:bottom w:val="nil"/>
            </w:tcBorders>
            <w:shd w:val="clear" w:color="auto" w:fill="auto"/>
          </w:tcPr>
          <w:p w14:paraId="3B138B6D" w14:textId="77777777" w:rsidR="00C27344" w:rsidRPr="00A35800" w:rsidRDefault="00C27344" w:rsidP="00991170">
            <w:pPr>
              <w:pStyle w:val="Tablewriting"/>
            </w:pPr>
            <w:r w:rsidRPr="00533160">
              <w:t>550 mg</w:t>
            </w:r>
          </w:p>
        </w:tc>
        <w:tc>
          <w:tcPr>
            <w:tcW w:w="709" w:type="dxa"/>
            <w:tcBorders>
              <w:bottom w:val="nil"/>
            </w:tcBorders>
            <w:shd w:val="clear" w:color="auto" w:fill="auto"/>
          </w:tcPr>
          <w:p w14:paraId="77D8AB70" w14:textId="77777777" w:rsidR="00C27344" w:rsidRPr="00A35800" w:rsidRDefault="00C27344" w:rsidP="00991170">
            <w:pPr>
              <w:pStyle w:val="Tablewriting"/>
            </w:pPr>
            <w:r>
              <w:t>11</w:t>
            </w:r>
          </w:p>
        </w:tc>
        <w:tc>
          <w:tcPr>
            <w:tcW w:w="1134" w:type="dxa"/>
            <w:tcBorders>
              <w:bottom w:val="nil"/>
            </w:tcBorders>
            <w:shd w:val="clear" w:color="auto" w:fill="auto"/>
          </w:tcPr>
          <w:p w14:paraId="4E35D588" w14:textId="77777777" w:rsidR="00C27344" w:rsidRPr="00A35800" w:rsidRDefault="00C27344" w:rsidP="00991170">
            <w:pPr>
              <w:pStyle w:val="Tablewriting"/>
            </w:pPr>
            <w:r w:rsidRPr="00533160">
              <w:t>$2027.53</w:t>
            </w:r>
          </w:p>
        </w:tc>
        <w:tc>
          <w:tcPr>
            <w:tcW w:w="1726" w:type="dxa"/>
            <w:tcBorders>
              <w:bottom w:val="nil"/>
            </w:tcBorders>
            <w:shd w:val="clear" w:color="auto" w:fill="auto"/>
          </w:tcPr>
          <w:p w14:paraId="024DA730" w14:textId="77777777" w:rsidR="00C27344" w:rsidRPr="00A35800" w:rsidRDefault="00C27344" w:rsidP="00991170">
            <w:pPr>
              <w:pStyle w:val="Tablewriting"/>
            </w:pPr>
            <w:r>
              <w:t>Erbitux, Merck Serono Australia Pty Ltd</w:t>
            </w:r>
          </w:p>
        </w:tc>
      </w:tr>
      <w:tr w:rsidR="00C27344" w:rsidRPr="00A35800" w14:paraId="07337AE2" w14:textId="77777777" w:rsidTr="007F16DA">
        <w:trPr>
          <w:trHeight w:val="546"/>
        </w:trPr>
        <w:tc>
          <w:tcPr>
            <w:tcW w:w="1242" w:type="dxa"/>
            <w:tcBorders>
              <w:top w:val="nil"/>
              <w:bottom w:val="single" w:sz="4" w:space="0" w:color="auto"/>
            </w:tcBorders>
            <w:shd w:val="clear" w:color="auto" w:fill="auto"/>
          </w:tcPr>
          <w:p w14:paraId="23482161" w14:textId="77777777" w:rsidR="00C27344" w:rsidRPr="00A35800" w:rsidRDefault="00C27344" w:rsidP="00991170">
            <w:pPr>
              <w:pStyle w:val="Tablewriting"/>
            </w:pPr>
          </w:p>
        </w:tc>
        <w:tc>
          <w:tcPr>
            <w:tcW w:w="3261" w:type="dxa"/>
            <w:shd w:val="clear" w:color="auto" w:fill="auto"/>
          </w:tcPr>
          <w:p w14:paraId="21355571" w14:textId="77777777" w:rsidR="00C27344" w:rsidRPr="00A35800" w:rsidRDefault="00C27344" w:rsidP="00991170">
            <w:pPr>
              <w:pStyle w:val="Tablewriting"/>
            </w:pPr>
            <w:r w:rsidRPr="003911C2">
              <w:t>Cetuximab, Solution for I.V. infusion 500 mg in 100 mL</w:t>
            </w:r>
          </w:p>
        </w:tc>
        <w:tc>
          <w:tcPr>
            <w:tcW w:w="992" w:type="dxa"/>
            <w:tcBorders>
              <w:top w:val="nil"/>
              <w:bottom w:val="single" w:sz="4" w:space="0" w:color="auto"/>
            </w:tcBorders>
            <w:shd w:val="clear" w:color="auto" w:fill="auto"/>
          </w:tcPr>
          <w:p w14:paraId="161B834E" w14:textId="77777777" w:rsidR="00C27344" w:rsidRPr="00A35800" w:rsidRDefault="00C27344" w:rsidP="00991170">
            <w:pPr>
              <w:pStyle w:val="Tablewriting"/>
            </w:pPr>
          </w:p>
        </w:tc>
        <w:tc>
          <w:tcPr>
            <w:tcW w:w="709" w:type="dxa"/>
            <w:tcBorders>
              <w:top w:val="nil"/>
              <w:bottom w:val="single" w:sz="4" w:space="0" w:color="auto"/>
            </w:tcBorders>
            <w:shd w:val="clear" w:color="auto" w:fill="auto"/>
          </w:tcPr>
          <w:p w14:paraId="3889041B" w14:textId="77777777" w:rsidR="00C27344" w:rsidRPr="00A35800" w:rsidRDefault="00C27344" w:rsidP="00991170">
            <w:pPr>
              <w:pStyle w:val="Tablewriting"/>
            </w:pPr>
          </w:p>
        </w:tc>
        <w:tc>
          <w:tcPr>
            <w:tcW w:w="1134" w:type="dxa"/>
            <w:tcBorders>
              <w:top w:val="nil"/>
              <w:bottom w:val="single" w:sz="4" w:space="0" w:color="auto"/>
            </w:tcBorders>
            <w:shd w:val="clear" w:color="auto" w:fill="auto"/>
          </w:tcPr>
          <w:p w14:paraId="7B6F3F32" w14:textId="77777777" w:rsidR="00C27344" w:rsidRPr="00A35800" w:rsidRDefault="00C27344" w:rsidP="00991170">
            <w:pPr>
              <w:pStyle w:val="Tablewriting"/>
            </w:pPr>
          </w:p>
        </w:tc>
        <w:tc>
          <w:tcPr>
            <w:tcW w:w="1726" w:type="dxa"/>
            <w:tcBorders>
              <w:top w:val="nil"/>
              <w:bottom w:val="single" w:sz="4" w:space="0" w:color="auto"/>
            </w:tcBorders>
            <w:shd w:val="clear" w:color="auto" w:fill="auto"/>
          </w:tcPr>
          <w:p w14:paraId="75D854A0" w14:textId="77777777" w:rsidR="00C27344" w:rsidRPr="00A35800" w:rsidRDefault="00C27344" w:rsidP="00991170">
            <w:pPr>
              <w:pStyle w:val="Tablewriting"/>
            </w:pPr>
          </w:p>
        </w:tc>
      </w:tr>
      <w:tr w:rsidR="00C27344" w:rsidRPr="00A35800" w14:paraId="6996798C" w14:textId="77777777" w:rsidTr="007F16DA">
        <w:trPr>
          <w:trHeight w:val="546"/>
        </w:trPr>
        <w:tc>
          <w:tcPr>
            <w:tcW w:w="1242" w:type="dxa"/>
            <w:tcBorders>
              <w:bottom w:val="nil"/>
            </w:tcBorders>
            <w:shd w:val="clear" w:color="auto" w:fill="auto"/>
          </w:tcPr>
          <w:p w14:paraId="5CFDF436" w14:textId="77777777" w:rsidR="00C27344" w:rsidRDefault="00C27344" w:rsidP="00991170">
            <w:pPr>
              <w:pStyle w:val="Tablewriting"/>
            </w:pPr>
            <w:r w:rsidRPr="00F3390B">
              <w:t>7242E</w:t>
            </w:r>
          </w:p>
          <w:p w14:paraId="158E99BB" w14:textId="77777777" w:rsidR="00C27344" w:rsidRPr="00A35800" w:rsidRDefault="00C27344" w:rsidP="00991170">
            <w:pPr>
              <w:pStyle w:val="Tablewriting"/>
            </w:pPr>
            <w:r>
              <w:t>(Initial)</w:t>
            </w:r>
          </w:p>
        </w:tc>
        <w:tc>
          <w:tcPr>
            <w:tcW w:w="3261" w:type="dxa"/>
            <w:shd w:val="clear" w:color="auto" w:fill="auto"/>
          </w:tcPr>
          <w:p w14:paraId="1AAC53CF" w14:textId="77777777" w:rsidR="00C27344" w:rsidRPr="00A35800" w:rsidRDefault="00C27344" w:rsidP="00991170">
            <w:pPr>
              <w:pStyle w:val="Tablewriting"/>
            </w:pPr>
            <w:r w:rsidRPr="003911C2">
              <w:t>Cetuximab, Solution for I.V. infusion 100 mg in 20 mL</w:t>
            </w:r>
          </w:p>
        </w:tc>
        <w:tc>
          <w:tcPr>
            <w:tcW w:w="992" w:type="dxa"/>
            <w:tcBorders>
              <w:bottom w:val="nil"/>
            </w:tcBorders>
            <w:shd w:val="clear" w:color="auto" w:fill="auto"/>
          </w:tcPr>
          <w:p w14:paraId="6017DA81" w14:textId="77777777" w:rsidR="00C27344" w:rsidRPr="00A35800" w:rsidRDefault="00C27344" w:rsidP="00991170">
            <w:pPr>
              <w:pStyle w:val="Tablewriting"/>
            </w:pPr>
            <w:r w:rsidRPr="003E32DD">
              <w:t>880 mg</w:t>
            </w:r>
          </w:p>
        </w:tc>
        <w:tc>
          <w:tcPr>
            <w:tcW w:w="709" w:type="dxa"/>
            <w:tcBorders>
              <w:bottom w:val="nil"/>
            </w:tcBorders>
            <w:shd w:val="clear" w:color="auto" w:fill="auto"/>
          </w:tcPr>
          <w:p w14:paraId="0E266A72" w14:textId="77777777" w:rsidR="00C27344" w:rsidRPr="00A35800" w:rsidRDefault="00C27344" w:rsidP="00991170">
            <w:pPr>
              <w:pStyle w:val="Tablewriting"/>
            </w:pPr>
            <w:r>
              <w:t>0</w:t>
            </w:r>
          </w:p>
        </w:tc>
        <w:tc>
          <w:tcPr>
            <w:tcW w:w="1134" w:type="dxa"/>
            <w:tcBorders>
              <w:bottom w:val="nil"/>
            </w:tcBorders>
            <w:shd w:val="clear" w:color="auto" w:fill="auto"/>
          </w:tcPr>
          <w:p w14:paraId="72CE5A3F" w14:textId="77777777" w:rsidR="00C27344" w:rsidRPr="00A35800" w:rsidRDefault="00C27344" w:rsidP="00991170">
            <w:pPr>
              <w:pStyle w:val="Tablewriting"/>
            </w:pPr>
            <w:r w:rsidRPr="003E32DD">
              <w:t>$3078.86</w:t>
            </w:r>
          </w:p>
        </w:tc>
        <w:tc>
          <w:tcPr>
            <w:tcW w:w="1726" w:type="dxa"/>
            <w:tcBorders>
              <w:bottom w:val="nil"/>
            </w:tcBorders>
            <w:shd w:val="clear" w:color="auto" w:fill="auto"/>
          </w:tcPr>
          <w:p w14:paraId="716923FC" w14:textId="77777777" w:rsidR="00C27344" w:rsidRPr="00A35800" w:rsidRDefault="00C27344" w:rsidP="00991170">
            <w:pPr>
              <w:pStyle w:val="Tablewriting"/>
            </w:pPr>
            <w:r>
              <w:t>Erbitux, Merck Serono Australia Pty Ltd</w:t>
            </w:r>
          </w:p>
        </w:tc>
      </w:tr>
      <w:tr w:rsidR="00C27344" w:rsidRPr="00A35800" w14:paraId="5D43708A" w14:textId="77777777" w:rsidTr="007F16DA">
        <w:trPr>
          <w:trHeight w:val="546"/>
        </w:trPr>
        <w:tc>
          <w:tcPr>
            <w:tcW w:w="1242" w:type="dxa"/>
            <w:tcBorders>
              <w:top w:val="nil"/>
              <w:bottom w:val="single" w:sz="4" w:space="0" w:color="auto"/>
            </w:tcBorders>
            <w:shd w:val="clear" w:color="auto" w:fill="auto"/>
          </w:tcPr>
          <w:p w14:paraId="4CC1EB91" w14:textId="77777777" w:rsidR="00C27344" w:rsidRPr="00A35800" w:rsidRDefault="00C27344" w:rsidP="00991170">
            <w:pPr>
              <w:pStyle w:val="Tablewriting"/>
            </w:pPr>
          </w:p>
        </w:tc>
        <w:tc>
          <w:tcPr>
            <w:tcW w:w="3261" w:type="dxa"/>
            <w:shd w:val="clear" w:color="auto" w:fill="auto"/>
          </w:tcPr>
          <w:p w14:paraId="4676EF3E" w14:textId="77777777" w:rsidR="00C27344" w:rsidRPr="00A35800" w:rsidRDefault="00C27344" w:rsidP="00991170">
            <w:pPr>
              <w:pStyle w:val="Tablewriting"/>
            </w:pPr>
            <w:r w:rsidRPr="003911C2">
              <w:t>Cetuximab, Solution for I.V. infusion 500 mg in 100 mL</w:t>
            </w:r>
          </w:p>
        </w:tc>
        <w:tc>
          <w:tcPr>
            <w:tcW w:w="992" w:type="dxa"/>
            <w:tcBorders>
              <w:top w:val="nil"/>
              <w:bottom w:val="single" w:sz="4" w:space="0" w:color="auto"/>
            </w:tcBorders>
            <w:shd w:val="clear" w:color="auto" w:fill="auto"/>
          </w:tcPr>
          <w:p w14:paraId="5BC507FF" w14:textId="77777777" w:rsidR="00C27344" w:rsidRPr="00A35800" w:rsidRDefault="00C27344" w:rsidP="00991170">
            <w:pPr>
              <w:pStyle w:val="Tablewriting"/>
            </w:pPr>
          </w:p>
        </w:tc>
        <w:tc>
          <w:tcPr>
            <w:tcW w:w="709" w:type="dxa"/>
            <w:tcBorders>
              <w:top w:val="nil"/>
              <w:bottom w:val="single" w:sz="4" w:space="0" w:color="auto"/>
            </w:tcBorders>
            <w:shd w:val="clear" w:color="auto" w:fill="auto"/>
          </w:tcPr>
          <w:p w14:paraId="30D09FBF" w14:textId="77777777" w:rsidR="00C27344" w:rsidRPr="00A35800" w:rsidRDefault="00C27344" w:rsidP="00991170">
            <w:pPr>
              <w:pStyle w:val="Tablewriting"/>
            </w:pPr>
          </w:p>
        </w:tc>
        <w:tc>
          <w:tcPr>
            <w:tcW w:w="1134" w:type="dxa"/>
            <w:tcBorders>
              <w:top w:val="nil"/>
              <w:bottom w:val="single" w:sz="4" w:space="0" w:color="auto"/>
            </w:tcBorders>
            <w:shd w:val="clear" w:color="auto" w:fill="auto"/>
          </w:tcPr>
          <w:p w14:paraId="4E8D419F" w14:textId="77777777" w:rsidR="00C27344" w:rsidRPr="00A35800" w:rsidRDefault="00C27344" w:rsidP="00991170">
            <w:pPr>
              <w:pStyle w:val="Tablewriting"/>
            </w:pPr>
          </w:p>
        </w:tc>
        <w:tc>
          <w:tcPr>
            <w:tcW w:w="1726" w:type="dxa"/>
            <w:tcBorders>
              <w:top w:val="nil"/>
              <w:bottom w:val="single" w:sz="4" w:space="0" w:color="auto"/>
            </w:tcBorders>
            <w:shd w:val="clear" w:color="auto" w:fill="auto"/>
          </w:tcPr>
          <w:p w14:paraId="1C1B456F" w14:textId="77777777" w:rsidR="00C27344" w:rsidRPr="00A35800" w:rsidRDefault="00C27344" w:rsidP="00991170">
            <w:pPr>
              <w:pStyle w:val="Tablewriting"/>
            </w:pPr>
          </w:p>
        </w:tc>
      </w:tr>
      <w:tr w:rsidR="00C27344" w:rsidRPr="00A35800" w14:paraId="2C0357FA" w14:textId="77777777" w:rsidTr="007F16DA">
        <w:trPr>
          <w:trHeight w:val="546"/>
        </w:trPr>
        <w:tc>
          <w:tcPr>
            <w:tcW w:w="1242" w:type="dxa"/>
            <w:tcBorders>
              <w:bottom w:val="nil"/>
            </w:tcBorders>
            <w:shd w:val="clear" w:color="auto" w:fill="auto"/>
          </w:tcPr>
          <w:p w14:paraId="7F414754" w14:textId="77777777" w:rsidR="00C27344" w:rsidRDefault="00C27344" w:rsidP="00991170">
            <w:pPr>
              <w:pStyle w:val="Tablewriting"/>
            </w:pPr>
            <w:r w:rsidRPr="00F3390B">
              <w:t>7273T</w:t>
            </w:r>
          </w:p>
          <w:p w14:paraId="065A629F" w14:textId="77777777" w:rsidR="00C27344" w:rsidRPr="00A35800" w:rsidRDefault="00C27344" w:rsidP="00991170">
            <w:pPr>
              <w:pStyle w:val="Tablewriting"/>
            </w:pPr>
            <w:r>
              <w:t>(Continuing)</w:t>
            </w:r>
          </w:p>
        </w:tc>
        <w:tc>
          <w:tcPr>
            <w:tcW w:w="3261" w:type="dxa"/>
            <w:shd w:val="clear" w:color="auto" w:fill="auto"/>
          </w:tcPr>
          <w:p w14:paraId="5486200A" w14:textId="77777777" w:rsidR="00C27344" w:rsidRPr="00A35800" w:rsidRDefault="00C27344" w:rsidP="00991170">
            <w:pPr>
              <w:pStyle w:val="Tablewriting"/>
            </w:pPr>
            <w:r w:rsidRPr="003911C2">
              <w:t>Cetuximab, Solution for I.V. infusion 100 mg in 20 mL</w:t>
            </w:r>
          </w:p>
        </w:tc>
        <w:tc>
          <w:tcPr>
            <w:tcW w:w="992" w:type="dxa"/>
            <w:tcBorders>
              <w:bottom w:val="nil"/>
            </w:tcBorders>
            <w:shd w:val="clear" w:color="auto" w:fill="auto"/>
          </w:tcPr>
          <w:p w14:paraId="3887F4E7" w14:textId="77777777" w:rsidR="00C27344" w:rsidRPr="00A35800" w:rsidRDefault="00C27344" w:rsidP="00991170">
            <w:pPr>
              <w:pStyle w:val="Tablewriting"/>
            </w:pPr>
            <w:r w:rsidRPr="00B254C6">
              <w:t>550 mg</w:t>
            </w:r>
          </w:p>
        </w:tc>
        <w:tc>
          <w:tcPr>
            <w:tcW w:w="709" w:type="dxa"/>
            <w:tcBorders>
              <w:bottom w:val="nil"/>
            </w:tcBorders>
            <w:shd w:val="clear" w:color="auto" w:fill="auto"/>
          </w:tcPr>
          <w:p w14:paraId="52CB1084" w14:textId="77777777" w:rsidR="00C27344" w:rsidRPr="00A35800" w:rsidRDefault="00C27344" w:rsidP="00991170">
            <w:pPr>
              <w:pStyle w:val="Tablewriting"/>
            </w:pPr>
            <w:r>
              <w:t>11</w:t>
            </w:r>
          </w:p>
        </w:tc>
        <w:tc>
          <w:tcPr>
            <w:tcW w:w="1134" w:type="dxa"/>
            <w:tcBorders>
              <w:bottom w:val="nil"/>
            </w:tcBorders>
            <w:shd w:val="clear" w:color="auto" w:fill="auto"/>
          </w:tcPr>
          <w:p w14:paraId="5345868C" w14:textId="77777777" w:rsidR="00C27344" w:rsidRPr="00A35800" w:rsidRDefault="00C27344" w:rsidP="00991170">
            <w:pPr>
              <w:pStyle w:val="Tablewriting"/>
            </w:pPr>
            <w:r w:rsidRPr="00B254C6">
              <w:t>$2093.39</w:t>
            </w:r>
          </w:p>
        </w:tc>
        <w:tc>
          <w:tcPr>
            <w:tcW w:w="1726" w:type="dxa"/>
            <w:tcBorders>
              <w:bottom w:val="nil"/>
            </w:tcBorders>
            <w:shd w:val="clear" w:color="auto" w:fill="auto"/>
          </w:tcPr>
          <w:p w14:paraId="2D478699" w14:textId="77777777" w:rsidR="00C27344" w:rsidRPr="00A35800" w:rsidRDefault="00C27344" w:rsidP="00991170">
            <w:pPr>
              <w:pStyle w:val="Tablewriting"/>
            </w:pPr>
            <w:r>
              <w:t>Erbitux, Merck Serono Australia Pty Ltd</w:t>
            </w:r>
          </w:p>
        </w:tc>
      </w:tr>
      <w:tr w:rsidR="00C27344" w:rsidRPr="00A35800" w14:paraId="4E64AC7C" w14:textId="77777777" w:rsidTr="007F16DA">
        <w:trPr>
          <w:trHeight w:val="546"/>
        </w:trPr>
        <w:tc>
          <w:tcPr>
            <w:tcW w:w="1242" w:type="dxa"/>
            <w:tcBorders>
              <w:top w:val="nil"/>
              <w:bottom w:val="single" w:sz="4" w:space="0" w:color="auto"/>
            </w:tcBorders>
            <w:shd w:val="clear" w:color="auto" w:fill="auto"/>
          </w:tcPr>
          <w:p w14:paraId="1752D4BC" w14:textId="77777777" w:rsidR="00C27344" w:rsidRPr="00A35800" w:rsidRDefault="00C27344" w:rsidP="00991170">
            <w:pPr>
              <w:pStyle w:val="Tablewriting"/>
            </w:pPr>
          </w:p>
        </w:tc>
        <w:tc>
          <w:tcPr>
            <w:tcW w:w="3261" w:type="dxa"/>
            <w:shd w:val="clear" w:color="auto" w:fill="auto"/>
          </w:tcPr>
          <w:p w14:paraId="5FB7EBA3" w14:textId="77777777" w:rsidR="00C27344" w:rsidRPr="00A35800" w:rsidRDefault="00C27344" w:rsidP="00991170">
            <w:pPr>
              <w:pStyle w:val="Tablewriting"/>
            </w:pPr>
            <w:r w:rsidRPr="003911C2">
              <w:t>Cetuximab, Solution for I.V. infusion 500 mg in 100 mL</w:t>
            </w:r>
          </w:p>
        </w:tc>
        <w:tc>
          <w:tcPr>
            <w:tcW w:w="992" w:type="dxa"/>
            <w:tcBorders>
              <w:top w:val="nil"/>
              <w:bottom w:val="single" w:sz="4" w:space="0" w:color="auto"/>
            </w:tcBorders>
            <w:shd w:val="clear" w:color="auto" w:fill="auto"/>
          </w:tcPr>
          <w:p w14:paraId="2DD7C706" w14:textId="77777777" w:rsidR="00C27344" w:rsidRPr="00A35800" w:rsidRDefault="00C27344" w:rsidP="00991170">
            <w:pPr>
              <w:pStyle w:val="Tablewriting"/>
            </w:pPr>
          </w:p>
        </w:tc>
        <w:tc>
          <w:tcPr>
            <w:tcW w:w="709" w:type="dxa"/>
            <w:tcBorders>
              <w:top w:val="nil"/>
              <w:bottom w:val="single" w:sz="4" w:space="0" w:color="auto"/>
            </w:tcBorders>
            <w:shd w:val="clear" w:color="auto" w:fill="auto"/>
          </w:tcPr>
          <w:p w14:paraId="49FAFFDB" w14:textId="77777777" w:rsidR="00C27344" w:rsidRPr="00A35800" w:rsidRDefault="00C27344" w:rsidP="00991170">
            <w:pPr>
              <w:pStyle w:val="Tablewriting"/>
            </w:pPr>
          </w:p>
        </w:tc>
        <w:tc>
          <w:tcPr>
            <w:tcW w:w="1134" w:type="dxa"/>
            <w:tcBorders>
              <w:top w:val="nil"/>
              <w:bottom w:val="single" w:sz="4" w:space="0" w:color="auto"/>
            </w:tcBorders>
            <w:shd w:val="clear" w:color="auto" w:fill="auto"/>
          </w:tcPr>
          <w:p w14:paraId="3D3643C2" w14:textId="77777777" w:rsidR="00C27344" w:rsidRPr="00A35800" w:rsidRDefault="00C27344" w:rsidP="00991170">
            <w:pPr>
              <w:pStyle w:val="Tablewriting"/>
            </w:pPr>
          </w:p>
        </w:tc>
        <w:tc>
          <w:tcPr>
            <w:tcW w:w="1726" w:type="dxa"/>
            <w:tcBorders>
              <w:top w:val="nil"/>
              <w:bottom w:val="single" w:sz="4" w:space="0" w:color="auto"/>
            </w:tcBorders>
            <w:shd w:val="clear" w:color="auto" w:fill="auto"/>
          </w:tcPr>
          <w:p w14:paraId="65D24317" w14:textId="77777777" w:rsidR="00C27344" w:rsidRPr="00A35800" w:rsidRDefault="00C27344" w:rsidP="00991170">
            <w:pPr>
              <w:pStyle w:val="Tablewriting"/>
            </w:pPr>
          </w:p>
        </w:tc>
      </w:tr>
      <w:tr w:rsidR="00C27344" w:rsidRPr="00A35800" w14:paraId="4327524A" w14:textId="77777777" w:rsidTr="007F16DA">
        <w:trPr>
          <w:trHeight w:val="546"/>
        </w:trPr>
        <w:tc>
          <w:tcPr>
            <w:tcW w:w="1242" w:type="dxa"/>
            <w:tcBorders>
              <w:bottom w:val="nil"/>
            </w:tcBorders>
            <w:shd w:val="clear" w:color="auto" w:fill="auto"/>
          </w:tcPr>
          <w:p w14:paraId="0739F6CE" w14:textId="77777777" w:rsidR="00C27344" w:rsidRDefault="00C27344" w:rsidP="00991170">
            <w:pPr>
              <w:pStyle w:val="Tablewriting"/>
            </w:pPr>
            <w:r w:rsidRPr="00F3390B">
              <w:t>10262D</w:t>
            </w:r>
          </w:p>
          <w:p w14:paraId="55BDE393" w14:textId="77777777" w:rsidR="00C27344" w:rsidRPr="00A35800" w:rsidRDefault="00C27344" w:rsidP="00991170">
            <w:pPr>
              <w:pStyle w:val="Tablewriting"/>
            </w:pPr>
            <w:r>
              <w:t>(Continuing)</w:t>
            </w:r>
          </w:p>
        </w:tc>
        <w:tc>
          <w:tcPr>
            <w:tcW w:w="3261" w:type="dxa"/>
            <w:shd w:val="clear" w:color="auto" w:fill="auto"/>
          </w:tcPr>
          <w:p w14:paraId="70D054B8" w14:textId="77777777" w:rsidR="00C27344" w:rsidRPr="00A35800" w:rsidRDefault="00C27344" w:rsidP="00991170">
            <w:pPr>
              <w:pStyle w:val="Tablewriting"/>
            </w:pPr>
            <w:r w:rsidRPr="003911C2">
              <w:t>Cetuximab, Solution for I.V. infusion 100 mg in 20 mL</w:t>
            </w:r>
          </w:p>
        </w:tc>
        <w:tc>
          <w:tcPr>
            <w:tcW w:w="992" w:type="dxa"/>
            <w:tcBorders>
              <w:bottom w:val="nil"/>
            </w:tcBorders>
            <w:shd w:val="clear" w:color="auto" w:fill="auto"/>
          </w:tcPr>
          <w:p w14:paraId="034EFA47" w14:textId="77777777" w:rsidR="00C27344" w:rsidRPr="00A35800" w:rsidRDefault="00C27344" w:rsidP="00991170">
            <w:pPr>
              <w:pStyle w:val="Tablewriting"/>
            </w:pPr>
            <w:r w:rsidRPr="0081598D">
              <w:t>550 mg</w:t>
            </w:r>
          </w:p>
        </w:tc>
        <w:tc>
          <w:tcPr>
            <w:tcW w:w="709" w:type="dxa"/>
            <w:tcBorders>
              <w:bottom w:val="nil"/>
            </w:tcBorders>
            <w:shd w:val="clear" w:color="auto" w:fill="auto"/>
          </w:tcPr>
          <w:p w14:paraId="07E42AC5" w14:textId="77777777" w:rsidR="00C27344" w:rsidRPr="00A35800" w:rsidRDefault="00C27344" w:rsidP="00991170">
            <w:pPr>
              <w:pStyle w:val="Tablewriting"/>
            </w:pPr>
            <w:r>
              <w:t>18</w:t>
            </w:r>
          </w:p>
        </w:tc>
        <w:tc>
          <w:tcPr>
            <w:tcW w:w="1134" w:type="dxa"/>
            <w:tcBorders>
              <w:bottom w:val="nil"/>
            </w:tcBorders>
            <w:shd w:val="clear" w:color="auto" w:fill="auto"/>
          </w:tcPr>
          <w:p w14:paraId="57498B27" w14:textId="77777777" w:rsidR="00C27344" w:rsidRPr="00A35800" w:rsidRDefault="00C27344" w:rsidP="00991170">
            <w:pPr>
              <w:pStyle w:val="Tablewriting"/>
            </w:pPr>
            <w:r w:rsidRPr="0081598D">
              <w:t>$2027.53</w:t>
            </w:r>
          </w:p>
        </w:tc>
        <w:tc>
          <w:tcPr>
            <w:tcW w:w="1726" w:type="dxa"/>
            <w:tcBorders>
              <w:bottom w:val="nil"/>
            </w:tcBorders>
            <w:shd w:val="clear" w:color="auto" w:fill="auto"/>
          </w:tcPr>
          <w:p w14:paraId="3B6C41DB" w14:textId="77777777" w:rsidR="00C27344" w:rsidRPr="00A35800" w:rsidRDefault="00C27344" w:rsidP="00991170">
            <w:pPr>
              <w:pStyle w:val="Tablewriting"/>
            </w:pPr>
            <w:r>
              <w:t>Erbitux, Merck Serono Australia Pty Ltd</w:t>
            </w:r>
          </w:p>
        </w:tc>
      </w:tr>
      <w:tr w:rsidR="00C27344" w:rsidRPr="00A35800" w14:paraId="26DF0B63" w14:textId="77777777" w:rsidTr="007F16DA">
        <w:trPr>
          <w:trHeight w:val="546"/>
        </w:trPr>
        <w:tc>
          <w:tcPr>
            <w:tcW w:w="1242" w:type="dxa"/>
            <w:tcBorders>
              <w:top w:val="nil"/>
              <w:bottom w:val="single" w:sz="4" w:space="0" w:color="auto"/>
            </w:tcBorders>
            <w:shd w:val="clear" w:color="auto" w:fill="auto"/>
          </w:tcPr>
          <w:p w14:paraId="568CB1A8" w14:textId="77777777" w:rsidR="00C27344" w:rsidRPr="00A35800" w:rsidRDefault="00C27344" w:rsidP="00991170">
            <w:pPr>
              <w:pStyle w:val="Tablewriting"/>
            </w:pPr>
          </w:p>
        </w:tc>
        <w:tc>
          <w:tcPr>
            <w:tcW w:w="3261" w:type="dxa"/>
            <w:shd w:val="clear" w:color="auto" w:fill="auto"/>
          </w:tcPr>
          <w:p w14:paraId="6E884C86" w14:textId="77777777" w:rsidR="00C27344" w:rsidRPr="00A35800" w:rsidRDefault="00C27344" w:rsidP="00991170">
            <w:pPr>
              <w:pStyle w:val="Tablewriting"/>
            </w:pPr>
            <w:r w:rsidRPr="003911C2">
              <w:t>Cetuximab, Solution for I.V. infusion 500 mg in 100 mL</w:t>
            </w:r>
          </w:p>
        </w:tc>
        <w:tc>
          <w:tcPr>
            <w:tcW w:w="992" w:type="dxa"/>
            <w:tcBorders>
              <w:top w:val="nil"/>
              <w:bottom w:val="single" w:sz="4" w:space="0" w:color="auto"/>
            </w:tcBorders>
            <w:shd w:val="clear" w:color="auto" w:fill="auto"/>
          </w:tcPr>
          <w:p w14:paraId="7DECB05B" w14:textId="77777777" w:rsidR="00C27344" w:rsidRPr="00A35800" w:rsidRDefault="00C27344" w:rsidP="00991170">
            <w:pPr>
              <w:pStyle w:val="Tablewriting"/>
            </w:pPr>
          </w:p>
        </w:tc>
        <w:tc>
          <w:tcPr>
            <w:tcW w:w="709" w:type="dxa"/>
            <w:tcBorders>
              <w:top w:val="nil"/>
              <w:bottom w:val="single" w:sz="4" w:space="0" w:color="auto"/>
            </w:tcBorders>
            <w:shd w:val="clear" w:color="auto" w:fill="auto"/>
          </w:tcPr>
          <w:p w14:paraId="7C3680AD" w14:textId="77777777" w:rsidR="00C27344" w:rsidRPr="00A35800" w:rsidRDefault="00C27344" w:rsidP="00991170">
            <w:pPr>
              <w:pStyle w:val="Tablewriting"/>
            </w:pPr>
          </w:p>
        </w:tc>
        <w:tc>
          <w:tcPr>
            <w:tcW w:w="1134" w:type="dxa"/>
            <w:tcBorders>
              <w:top w:val="nil"/>
              <w:bottom w:val="single" w:sz="4" w:space="0" w:color="auto"/>
            </w:tcBorders>
            <w:shd w:val="clear" w:color="auto" w:fill="auto"/>
          </w:tcPr>
          <w:p w14:paraId="51F36329" w14:textId="77777777" w:rsidR="00C27344" w:rsidRPr="00A35800" w:rsidRDefault="00C27344" w:rsidP="00991170">
            <w:pPr>
              <w:pStyle w:val="Tablewriting"/>
            </w:pPr>
          </w:p>
        </w:tc>
        <w:tc>
          <w:tcPr>
            <w:tcW w:w="1726" w:type="dxa"/>
            <w:tcBorders>
              <w:top w:val="nil"/>
              <w:bottom w:val="single" w:sz="4" w:space="0" w:color="auto"/>
            </w:tcBorders>
            <w:shd w:val="clear" w:color="auto" w:fill="auto"/>
          </w:tcPr>
          <w:p w14:paraId="012FEE8B" w14:textId="77777777" w:rsidR="00C27344" w:rsidRPr="00A35800" w:rsidRDefault="00C27344" w:rsidP="00991170">
            <w:pPr>
              <w:pStyle w:val="Tablewriting"/>
            </w:pPr>
          </w:p>
        </w:tc>
      </w:tr>
      <w:tr w:rsidR="00C27344" w:rsidRPr="00A35800" w14:paraId="79DD745D" w14:textId="77777777" w:rsidTr="007F16DA">
        <w:trPr>
          <w:trHeight w:val="546"/>
        </w:trPr>
        <w:tc>
          <w:tcPr>
            <w:tcW w:w="1242" w:type="dxa"/>
            <w:tcBorders>
              <w:bottom w:val="nil"/>
            </w:tcBorders>
            <w:shd w:val="clear" w:color="auto" w:fill="auto"/>
          </w:tcPr>
          <w:p w14:paraId="55C493FB" w14:textId="77777777" w:rsidR="00C27344" w:rsidRDefault="00C27344" w:rsidP="00991170">
            <w:pPr>
              <w:pStyle w:val="Tablewriting"/>
            </w:pPr>
            <w:r w:rsidRPr="00F3390B">
              <w:t>10265G</w:t>
            </w:r>
          </w:p>
          <w:p w14:paraId="716DE04E" w14:textId="77777777" w:rsidR="00C27344" w:rsidRPr="00A35800" w:rsidRDefault="00C27344" w:rsidP="00991170">
            <w:pPr>
              <w:pStyle w:val="Tablewriting"/>
            </w:pPr>
            <w:r>
              <w:t>(Continuing)</w:t>
            </w:r>
          </w:p>
        </w:tc>
        <w:tc>
          <w:tcPr>
            <w:tcW w:w="3261" w:type="dxa"/>
            <w:shd w:val="clear" w:color="auto" w:fill="auto"/>
          </w:tcPr>
          <w:p w14:paraId="1F4309F2" w14:textId="77777777" w:rsidR="00C27344" w:rsidRPr="00A35800" w:rsidRDefault="00C27344" w:rsidP="00991170">
            <w:pPr>
              <w:pStyle w:val="Tablewriting"/>
            </w:pPr>
            <w:r w:rsidRPr="003911C2">
              <w:t>Cetuximab, Solution for I.V. infusion 100 mg in 20 mL</w:t>
            </w:r>
          </w:p>
        </w:tc>
        <w:tc>
          <w:tcPr>
            <w:tcW w:w="992" w:type="dxa"/>
            <w:tcBorders>
              <w:bottom w:val="nil"/>
            </w:tcBorders>
            <w:shd w:val="clear" w:color="auto" w:fill="auto"/>
          </w:tcPr>
          <w:p w14:paraId="69E15B42" w14:textId="77777777" w:rsidR="00C27344" w:rsidRPr="00A35800" w:rsidRDefault="00C27344" w:rsidP="00991170">
            <w:pPr>
              <w:pStyle w:val="Tablewriting"/>
            </w:pPr>
            <w:r w:rsidRPr="00DC106C">
              <w:t>550 mg</w:t>
            </w:r>
          </w:p>
        </w:tc>
        <w:tc>
          <w:tcPr>
            <w:tcW w:w="709" w:type="dxa"/>
            <w:tcBorders>
              <w:bottom w:val="nil"/>
            </w:tcBorders>
            <w:shd w:val="clear" w:color="auto" w:fill="auto"/>
          </w:tcPr>
          <w:p w14:paraId="0576E4B9" w14:textId="77777777" w:rsidR="00C27344" w:rsidRPr="00A35800" w:rsidRDefault="00C27344" w:rsidP="00991170">
            <w:pPr>
              <w:pStyle w:val="Tablewriting"/>
            </w:pPr>
            <w:r>
              <w:t>18</w:t>
            </w:r>
          </w:p>
        </w:tc>
        <w:tc>
          <w:tcPr>
            <w:tcW w:w="1134" w:type="dxa"/>
            <w:tcBorders>
              <w:bottom w:val="nil"/>
            </w:tcBorders>
            <w:shd w:val="clear" w:color="auto" w:fill="auto"/>
          </w:tcPr>
          <w:p w14:paraId="3D313658" w14:textId="77777777" w:rsidR="00C27344" w:rsidRPr="00A35800" w:rsidRDefault="00C27344" w:rsidP="00991170">
            <w:pPr>
              <w:pStyle w:val="Tablewriting"/>
            </w:pPr>
            <w:r w:rsidRPr="00DC106C">
              <w:t>$2093.39</w:t>
            </w:r>
          </w:p>
        </w:tc>
        <w:tc>
          <w:tcPr>
            <w:tcW w:w="1726" w:type="dxa"/>
            <w:tcBorders>
              <w:bottom w:val="nil"/>
            </w:tcBorders>
            <w:shd w:val="clear" w:color="auto" w:fill="auto"/>
          </w:tcPr>
          <w:p w14:paraId="23FE9D18" w14:textId="77777777" w:rsidR="00C27344" w:rsidRPr="00A35800" w:rsidRDefault="00C27344" w:rsidP="00991170">
            <w:pPr>
              <w:pStyle w:val="Tablewriting"/>
            </w:pPr>
            <w:r>
              <w:t>Erbitux, Merck Serono Australia Pty Ltd</w:t>
            </w:r>
          </w:p>
        </w:tc>
      </w:tr>
      <w:tr w:rsidR="00C27344" w:rsidRPr="00A35800" w14:paraId="3ADB9898" w14:textId="77777777" w:rsidTr="007F16DA">
        <w:trPr>
          <w:trHeight w:val="546"/>
        </w:trPr>
        <w:tc>
          <w:tcPr>
            <w:tcW w:w="1242" w:type="dxa"/>
            <w:tcBorders>
              <w:top w:val="nil"/>
              <w:bottom w:val="single" w:sz="4" w:space="0" w:color="auto"/>
            </w:tcBorders>
            <w:shd w:val="clear" w:color="auto" w:fill="auto"/>
          </w:tcPr>
          <w:p w14:paraId="3FC5FB09" w14:textId="77777777" w:rsidR="00C27344" w:rsidRPr="00A35800" w:rsidRDefault="00C27344" w:rsidP="00991170">
            <w:pPr>
              <w:pStyle w:val="Tablewriting"/>
            </w:pPr>
          </w:p>
        </w:tc>
        <w:tc>
          <w:tcPr>
            <w:tcW w:w="3261" w:type="dxa"/>
            <w:shd w:val="clear" w:color="auto" w:fill="auto"/>
          </w:tcPr>
          <w:p w14:paraId="293C6DA6" w14:textId="77777777" w:rsidR="00C27344" w:rsidRPr="00A35800" w:rsidRDefault="00C27344" w:rsidP="00991170">
            <w:pPr>
              <w:pStyle w:val="Tablewriting"/>
            </w:pPr>
            <w:r w:rsidRPr="003911C2">
              <w:t xml:space="preserve">Cetuximab, Solution for I.V. infusion </w:t>
            </w:r>
            <w:r w:rsidRPr="003911C2">
              <w:lastRenderedPageBreak/>
              <w:t>500 mg in 100 mL</w:t>
            </w:r>
          </w:p>
        </w:tc>
        <w:tc>
          <w:tcPr>
            <w:tcW w:w="992" w:type="dxa"/>
            <w:tcBorders>
              <w:top w:val="nil"/>
              <w:bottom w:val="single" w:sz="4" w:space="0" w:color="auto"/>
            </w:tcBorders>
            <w:shd w:val="clear" w:color="auto" w:fill="auto"/>
          </w:tcPr>
          <w:p w14:paraId="0E4749EE" w14:textId="77777777" w:rsidR="00C27344" w:rsidRPr="00A35800" w:rsidRDefault="00C27344" w:rsidP="00991170">
            <w:pPr>
              <w:pStyle w:val="Tablewriting"/>
            </w:pPr>
          </w:p>
        </w:tc>
        <w:tc>
          <w:tcPr>
            <w:tcW w:w="709" w:type="dxa"/>
            <w:tcBorders>
              <w:top w:val="nil"/>
              <w:bottom w:val="single" w:sz="4" w:space="0" w:color="auto"/>
            </w:tcBorders>
            <w:shd w:val="clear" w:color="auto" w:fill="auto"/>
          </w:tcPr>
          <w:p w14:paraId="5FEBF405" w14:textId="77777777" w:rsidR="00C27344" w:rsidRPr="00A35800" w:rsidRDefault="00C27344" w:rsidP="00991170">
            <w:pPr>
              <w:pStyle w:val="Tablewriting"/>
            </w:pPr>
          </w:p>
        </w:tc>
        <w:tc>
          <w:tcPr>
            <w:tcW w:w="1134" w:type="dxa"/>
            <w:tcBorders>
              <w:top w:val="nil"/>
              <w:bottom w:val="single" w:sz="4" w:space="0" w:color="auto"/>
            </w:tcBorders>
            <w:shd w:val="clear" w:color="auto" w:fill="auto"/>
          </w:tcPr>
          <w:p w14:paraId="79FD455F" w14:textId="77777777" w:rsidR="00C27344" w:rsidRPr="00A35800" w:rsidRDefault="00C27344" w:rsidP="00991170">
            <w:pPr>
              <w:pStyle w:val="Tablewriting"/>
            </w:pPr>
          </w:p>
        </w:tc>
        <w:tc>
          <w:tcPr>
            <w:tcW w:w="1726" w:type="dxa"/>
            <w:tcBorders>
              <w:top w:val="nil"/>
              <w:bottom w:val="single" w:sz="4" w:space="0" w:color="auto"/>
            </w:tcBorders>
            <w:shd w:val="clear" w:color="auto" w:fill="auto"/>
          </w:tcPr>
          <w:p w14:paraId="045B3A63" w14:textId="77777777" w:rsidR="00C27344" w:rsidRPr="00A35800" w:rsidRDefault="00C27344" w:rsidP="00991170">
            <w:pPr>
              <w:pStyle w:val="Tablewriting"/>
            </w:pPr>
          </w:p>
        </w:tc>
      </w:tr>
      <w:tr w:rsidR="00C27344" w:rsidRPr="00A35800" w14:paraId="5C1A1260" w14:textId="77777777" w:rsidTr="007F16DA">
        <w:trPr>
          <w:trHeight w:val="546"/>
        </w:trPr>
        <w:tc>
          <w:tcPr>
            <w:tcW w:w="1242" w:type="dxa"/>
            <w:tcBorders>
              <w:bottom w:val="nil"/>
            </w:tcBorders>
            <w:shd w:val="clear" w:color="auto" w:fill="auto"/>
          </w:tcPr>
          <w:p w14:paraId="1579D4A4" w14:textId="77777777" w:rsidR="00C27344" w:rsidRDefault="00C27344" w:rsidP="00991170">
            <w:pPr>
              <w:pStyle w:val="Tablewriting"/>
            </w:pPr>
            <w:r w:rsidRPr="00F3390B">
              <w:lastRenderedPageBreak/>
              <w:t>10069Y</w:t>
            </w:r>
          </w:p>
          <w:p w14:paraId="7DDF4DBF" w14:textId="77777777" w:rsidR="00C27344" w:rsidRPr="00A35800" w:rsidRDefault="00C27344" w:rsidP="00991170">
            <w:pPr>
              <w:pStyle w:val="Tablewriting"/>
            </w:pPr>
            <w:r>
              <w:t>(Private hospital, Initial and continuing)</w:t>
            </w:r>
          </w:p>
        </w:tc>
        <w:tc>
          <w:tcPr>
            <w:tcW w:w="3261" w:type="dxa"/>
            <w:shd w:val="clear" w:color="auto" w:fill="auto"/>
          </w:tcPr>
          <w:p w14:paraId="7AB6A519" w14:textId="77777777" w:rsidR="00C27344" w:rsidRPr="00A35800" w:rsidRDefault="00C27344" w:rsidP="00991170">
            <w:pPr>
              <w:pStyle w:val="Tablewriting"/>
            </w:pPr>
            <w:r w:rsidRPr="003911C2">
              <w:t>Panitumumab, Solution concentrate for I.V. infusion 100 mg in 5 mL</w:t>
            </w:r>
          </w:p>
        </w:tc>
        <w:tc>
          <w:tcPr>
            <w:tcW w:w="992" w:type="dxa"/>
            <w:tcBorders>
              <w:bottom w:val="nil"/>
            </w:tcBorders>
            <w:shd w:val="clear" w:color="auto" w:fill="auto"/>
          </w:tcPr>
          <w:p w14:paraId="4BE8B4EE" w14:textId="77777777" w:rsidR="00C27344" w:rsidRPr="00A35800" w:rsidRDefault="00C27344" w:rsidP="00991170">
            <w:pPr>
              <w:pStyle w:val="Tablewriting"/>
            </w:pPr>
            <w:r>
              <w:t>720 mg</w:t>
            </w:r>
          </w:p>
        </w:tc>
        <w:tc>
          <w:tcPr>
            <w:tcW w:w="709" w:type="dxa"/>
            <w:tcBorders>
              <w:bottom w:val="nil"/>
            </w:tcBorders>
            <w:shd w:val="clear" w:color="auto" w:fill="auto"/>
          </w:tcPr>
          <w:p w14:paraId="3971EA40" w14:textId="77777777" w:rsidR="00C27344" w:rsidRPr="00A35800" w:rsidRDefault="00C27344" w:rsidP="00991170">
            <w:pPr>
              <w:pStyle w:val="Tablewriting"/>
            </w:pPr>
            <w:r>
              <w:t>5</w:t>
            </w:r>
          </w:p>
        </w:tc>
        <w:tc>
          <w:tcPr>
            <w:tcW w:w="1134" w:type="dxa"/>
            <w:tcBorders>
              <w:bottom w:val="nil"/>
            </w:tcBorders>
            <w:shd w:val="clear" w:color="auto" w:fill="auto"/>
          </w:tcPr>
          <w:p w14:paraId="62346048" w14:textId="77777777" w:rsidR="00C27344" w:rsidRPr="00A35800" w:rsidRDefault="00C27344" w:rsidP="00991170">
            <w:pPr>
              <w:pStyle w:val="Tablewriting"/>
            </w:pPr>
            <w:r w:rsidRPr="006B7728">
              <w:t>$6027.99</w:t>
            </w:r>
          </w:p>
        </w:tc>
        <w:tc>
          <w:tcPr>
            <w:tcW w:w="1726" w:type="dxa"/>
            <w:tcBorders>
              <w:bottom w:val="nil"/>
            </w:tcBorders>
            <w:shd w:val="clear" w:color="auto" w:fill="auto"/>
          </w:tcPr>
          <w:p w14:paraId="0E5E8B7E" w14:textId="77777777" w:rsidR="00C27344" w:rsidRPr="00A35800" w:rsidRDefault="00C27344" w:rsidP="00991170">
            <w:pPr>
              <w:pStyle w:val="Tablewriting"/>
            </w:pPr>
            <w:r w:rsidRPr="003D72E9">
              <w:t xml:space="preserve">Vectibix, </w:t>
            </w:r>
            <w:r w:rsidRPr="00931242">
              <w:t>Amgen Australia Pty Limited</w:t>
            </w:r>
          </w:p>
        </w:tc>
      </w:tr>
      <w:tr w:rsidR="00C27344" w:rsidRPr="00A35800" w14:paraId="031803C9" w14:textId="77777777" w:rsidTr="007F16DA">
        <w:trPr>
          <w:trHeight w:val="546"/>
        </w:trPr>
        <w:tc>
          <w:tcPr>
            <w:tcW w:w="1242" w:type="dxa"/>
            <w:tcBorders>
              <w:top w:val="nil"/>
              <w:bottom w:val="single" w:sz="4" w:space="0" w:color="auto"/>
            </w:tcBorders>
            <w:shd w:val="clear" w:color="auto" w:fill="auto"/>
          </w:tcPr>
          <w:p w14:paraId="6F3FD027" w14:textId="77777777" w:rsidR="00C27344" w:rsidRPr="00A35800" w:rsidRDefault="00C27344" w:rsidP="00991170">
            <w:pPr>
              <w:pStyle w:val="Tablewriting"/>
            </w:pPr>
          </w:p>
        </w:tc>
        <w:tc>
          <w:tcPr>
            <w:tcW w:w="3261" w:type="dxa"/>
            <w:shd w:val="clear" w:color="auto" w:fill="auto"/>
          </w:tcPr>
          <w:p w14:paraId="7E215BDB" w14:textId="77777777" w:rsidR="00C27344" w:rsidRPr="00A35800" w:rsidRDefault="00C27344" w:rsidP="00991170">
            <w:pPr>
              <w:pStyle w:val="Tablewriting"/>
            </w:pPr>
            <w:r w:rsidRPr="003911C2">
              <w:t>Panitumumab, Solution concentrate for I.V. infusion 400 mg in 20 mL</w:t>
            </w:r>
          </w:p>
        </w:tc>
        <w:tc>
          <w:tcPr>
            <w:tcW w:w="992" w:type="dxa"/>
            <w:tcBorders>
              <w:top w:val="nil"/>
              <w:bottom w:val="single" w:sz="4" w:space="0" w:color="auto"/>
            </w:tcBorders>
            <w:shd w:val="clear" w:color="auto" w:fill="auto"/>
          </w:tcPr>
          <w:p w14:paraId="60CDCBC8" w14:textId="77777777" w:rsidR="00C27344" w:rsidRPr="00A35800" w:rsidRDefault="00C27344" w:rsidP="00991170">
            <w:pPr>
              <w:pStyle w:val="Tablewriting"/>
            </w:pPr>
          </w:p>
        </w:tc>
        <w:tc>
          <w:tcPr>
            <w:tcW w:w="709" w:type="dxa"/>
            <w:tcBorders>
              <w:top w:val="nil"/>
              <w:bottom w:val="single" w:sz="4" w:space="0" w:color="auto"/>
            </w:tcBorders>
            <w:shd w:val="clear" w:color="auto" w:fill="auto"/>
          </w:tcPr>
          <w:p w14:paraId="520F8ECC" w14:textId="77777777" w:rsidR="00C27344" w:rsidRPr="00A35800" w:rsidRDefault="00C27344" w:rsidP="00991170">
            <w:pPr>
              <w:pStyle w:val="Tablewriting"/>
            </w:pPr>
          </w:p>
        </w:tc>
        <w:tc>
          <w:tcPr>
            <w:tcW w:w="1134" w:type="dxa"/>
            <w:tcBorders>
              <w:top w:val="nil"/>
              <w:bottom w:val="single" w:sz="4" w:space="0" w:color="auto"/>
            </w:tcBorders>
            <w:shd w:val="clear" w:color="auto" w:fill="auto"/>
          </w:tcPr>
          <w:p w14:paraId="39E60B77" w14:textId="77777777" w:rsidR="00C27344" w:rsidRPr="00A35800" w:rsidRDefault="00C27344" w:rsidP="00991170">
            <w:pPr>
              <w:pStyle w:val="Tablewriting"/>
            </w:pPr>
          </w:p>
        </w:tc>
        <w:tc>
          <w:tcPr>
            <w:tcW w:w="1726" w:type="dxa"/>
            <w:tcBorders>
              <w:top w:val="nil"/>
              <w:bottom w:val="single" w:sz="4" w:space="0" w:color="auto"/>
            </w:tcBorders>
            <w:shd w:val="clear" w:color="auto" w:fill="auto"/>
          </w:tcPr>
          <w:p w14:paraId="4952A886" w14:textId="77777777" w:rsidR="00C27344" w:rsidRPr="00A35800" w:rsidRDefault="00C27344" w:rsidP="00991170">
            <w:pPr>
              <w:pStyle w:val="Tablewriting"/>
            </w:pPr>
          </w:p>
        </w:tc>
      </w:tr>
      <w:tr w:rsidR="00C27344" w:rsidRPr="00A35800" w14:paraId="123A0470" w14:textId="77777777" w:rsidTr="007F16DA">
        <w:trPr>
          <w:trHeight w:val="546"/>
        </w:trPr>
        <w:tc>
          <w:tcPr>
            <w:tcW w:w="1242" w:type="dxa"/>
            <w:tcBorders>
              <w:bottom w:val="nil"/>
            </w:tcBorders>
            <w:shd w:val="clear" w:color="auto" w:fill="auto"/>
          </w:tcPr>
          <w:p w14:paraId="4B55E719" w14:textId="77777777" w:rsidR="00C27344" w:rsidRDefault="00C27344" w:rsidP="00991170">
            <w:pPr>
              <w:pStyle w:val="Tablewriting"/>
            </w:pPr>
            <w:r w:rsidRPr="00F3390B">
              <w:t>10082P</w:t>
            </w:r>
          </w:p>
          <w:p w14:paraId="398F82F3" w14:textId="77777777" w:rsidR="00C27344" w:rsidRPr="00A35800" w:rsidRDefault="00C27344" w:rsidP="00991170">
            <w:pPr>
              <w:pStyle w:val="Tablewriting"/>
            </w:pPr>
            <w:r>
              <w:t>(Public hospital,  Initial and continuing)</w:t>
            </w:r>
          </w:p>
        </w:tc>
        <w:tc>
          <w:tcPr>
            <w:tcW w:w="3261" w:type="dxa"/>
            <w:shd w:val="clear" w:color="auto" w:fill="auto"/>
          </w:tcPr>
          <w:p w14:paraId="519F7F17" w14:textId="77777777" w:rsidR="00C27344" w:rsidRPr="00A35800" w:rsidRDefault="00C27344" w:rsidP="00991170">
            <w:pPr>
              <w:pStyle w:val="Tablewriting"/>
            </w:pPr>
            <w:r w:rsidRPr="003911C2">
              <w:t>Panitumumab, Solution concentrate for I.V. infusion 100 mg in 5 mL</w:t>
            </w:r>
          </w:p>
        </w:tc>
        <w:tc>
          <w:tcPr>
            <w:tcW w:w="992" w:type="dxa"/>
            <w:tcBorders>
              <w:bottom w:val="nil"/>
            </w:tcBorders>
            <w:shd w:val="clear" w:color="auto" w:fill="auto"/>
          </w:tcPr>
          <w:p w14:paraId="6EDB74E3" w14:textId="77777777" w:rsidR="00C27344" w:rsidRPr="00A35800" w:rsidRDefault="00C27344" w:rsidP="00991170">
            <w:pPr>
              <w:pStyle w:val="Tablewriting"/>
            </w:pPr>
            <w:r>
              <w:t>720 mg</w:t>
            </w:r>
          </w:p>
        </w:tc>
        <w:tc>
          <w:tcPr>
            <w:tcW w:w="709" w:type="dxa"/>
            <w:tcBorders>
              <w:bottom w:val="nil"/>
            </w:tcBorders>
            <w:shd w:val="clear" w:color="auto" w:fill="auto"/>
          </w:tcPr>
          <w:p w14:paraId="74201901" w14:textId="77777777" w:rsidR="00C27344" w:rsidRPr="00A35800" w:rsidRDefault="00C27344" w:rsidP="00991170">
            <w:pPr>
              <w:pStyle w:val="Tablewriting"/>
            </w:pPr>
            <w:r>
              <w:t>5</w:t>
            </w:r>
          </w:p>
        </w:tc>
        <w:tc>
          <w:tcPr>
            <w:tcW w:w="1134" w:type="dxa"/>
            <w:tcBorders>
              <w:bottom w:val="nil"/>
            </w:tcBorders>
            <w:shd w:val="clear" w:color="auto" w:fill="auto"/>
          </w:tcPr>
          <w:p w14:paraId="0E6C34D3" w14:textId="77777777" w:rsidR="00C27344" w:rsidRPr="00A35800" w:rsidRDefault="00C27344" w:rsidP="00991170">
            <w:pPr>
              <w:pStyle w:val="Tablewriting"/>
            </w:pPr>
            <w:r w:rsidRPr="006F6F80">
              <w:t>$5907.83</w:t>
            </w:r>
          </w:p>
        </w:tc>
        <w:tc>
          <w:tcPr>
            <w:tcW w:w="1726" w:type="dxa"/>
            <w:tcBorders>
              <w:bottom w:val="nil"/>
            </w:tcBorders>
            <w:shd w:val="clear" w:color="auto" w:fill="auto"/>
          </w:tcPr>
          <w:p w14:paraId="6833470F" w14:textId="77777777" w:rsidR="00C27344" w:rsidRPr="00A35800" w:rsidRDefault="00C27344" w:rsidP="00991170">
            <w:pPr>
              <w:pStyle w:val="Tablewriting"/>
            </w:pPr>
            <w:r w:rsidRPr="003D72E9">
              <w:t xml:space="preserve">Vectibix, </w:t>
            </w:r>
            <w:r w:rsidRPr="00931242">
              <w:t>Amgen Australia Pty Limited</w:t>
            </w:r>
          </w:p>
        </w:tc>
      </w:tr>
      <w:tr w:rsidR="00C27344" w:rsidRPr="00A35800" w14:paraId="01B3D5B2" w14:textId="77777777" w:rsidTr="007F16DA">
        <w:trPr>
          <w:trHeight w:val="546"/>
        </w:trPr>
        <w:tc>
          <w:tcPr>
            <w:tcW w:w="1242" w:type="dxa"/>
            <w:tcBorders>
              <w:top w:val="nil"/>
              <w:bottom w:val="single" w:sz="4" w:space="0" w:color="auto"/>
            </w:tcBorders>
            <w:shd w:val="clear" w:color="auto" w:fill="auto"/>
          </w:tcPr>
          <w:p w14:paraId="56C8E513" w14:textId="77777777" w:rsidR="00C27344" w:rsidRPr="00A35800" w:rsidRDefault="00C27344" w:rsidP="00991170">
            <w:pPr>
              <w:pStyle w:val="Tablewriting"/>
            </w:pPr>
          </w:p>
        </w:tc>
        <w:tc>
          <w:tcPr>
            <w:tcW w:w="3261" w:type="dxa"/>
            <w:shd w:val="clear" w:color="auto" w:fill="auto"/>
          </w:tcPr>
          <w:p w14:paraId="7408E011" w14:textId="77777777" w:rsidR="00C27344" w:rsidRPr="00A35800" w:rsidRDefault="00C27344" w:rsidP="00991170">
            <w:pPr>
              <w:pStyle w:val="Tablewriting"/>
            </w:pPr>
            <w:r w:rsidRPr="003911C2">
              <w:t>Panitumumab, Solution concentrate for I.V. infusion 400 mg in 20 mL</w:t>
            </w:r>
          </w:p>
        </w:tc>
        <w:tc>
          <w:tcPr>
            <w:tcW w:w="992" w:type="dxa"/>
            <w:tcBorders>
              <w:top w:val="nil"/>
              <w:bottom w:val="single" w:sz="4" w:space="0" w:color="auto"/>
            </w:tcBorders>
            <w:shd w:val="clear" w:color="auto" w:fill="auto"/>
          </w:tcPr>
          <w:p w14:paraId="1388E809" w14:textId="77777777" w:rsidR="00C27344" w:rsidRPr="00A35800" w:rsidRDefault="00C27344" w:rsidP="00991170">
            <w:pPr>
              <w:pStyle w:val="Tablewriting"/>
            </w:pPr>
          </w:p>
        </w:tc>
        <w:tc>
          <w:tcPr>
            <w:tcW w:w="709" w:type="dxa"/>
            <w:tcBorders>
              <w:top w:val="nil"/>
              <w:bottom w:val="single" w:sz="4" w:space="0" w:color="auto"/>
            </w:tcBorders>
            <w:shd w:val="clear" w:color="auto" w:fill="auto"/>
          </w:tcPr>
          <w:p w14:paraId="063A5E7D" w14:textId="77777777" w:rsidR="00C27344" w:rsidRPr="00A35800" w:rsidRDefault="00C27344" w:rsidP="00991170">
            <w:pPr>
              <w:pStyle w:val="Tablewriting"/>
            </w:pPr>
          </w:p>
        </w:tc>
        <w:tc>
          <w:tcPr>
            <w:tcW w:w="1134" w:type="dxa"/>
            <w:tcBorders>
              <w:top w:val="nil"/>
              <w:bottom w:val="single" w:sz="4" w:space="0" w:color="auto"/>
            </w:tcBorders>
            <w:shd w:val="clear" w:color="auto" w:fill="auto"/>
          </w:tcPr>
          <w:p w14:paraId="0847A440" w14:textId="77777777" w:rsidR="00C27344" w:rsidRPr="00A35800" w:rsidRDefault="00C27344" w:rsidP="00991170">
            <w:pPr>
              <w:pStyle w:val="Tablewriting"/>
            </w:pPr>
          </w:p>
        </w:tc>
        <w:tc>
          <w:tcPr>
            <w:tcW w:w="1726" w:type="dxa"/>
            <w:tcBorders>
              <w:top w:val="nil"/>
              <w:bottom w:val="single" w:sz="4" w:space="0" w:color="auto"/>
            </w:tcBorders>
            <w:shd w:val="clear" w:color="auto" w:fill="auto"/>
          </w:tcPr>
          <w:p w14:paraId="3F74DFA0" w14:textId="77777777" w:rsidR="00C27344" w:rsidRPr="00A35800" w:rsidRDefault="00C27344" w:rsidP="00991170">
            <w:pPr>
              <w:pStyle w:val="Tablewriting"/>
            </w:pPr>
          </w:p>
        </w:tc>
      </w:tr>
      <w:tr w:rsidR="00C27344" w:rsidRPr="00A35800" w14:paraId="3CBB7E77" w14:textId="77777777" w:rsidTr="007F16DA">
        <w:trPr>
          <w:trHeight w:val="546"/>
        </w:trPr>
        <w:tc>
          <w:tcPr>
            <w:tcW w:w="1242" w:type="dxa"/>
            <w:tcBorders>
              <w:bottom w:val="nil"/>
            </w:tcBorders>
            <w:shd w:val="clear" w:color="auto" w:fill="auto"/>
          </w:tcPr>
          <w:p w14:paraId="6B19B599" w14:textId="77777777" w:rsidR="00C27344" w:rsidRDefault="00C27344" w:rsidP="00991170">
            <w:pPr>
              <w:pStyle w:val="Tablewriting"/>
            </w:pPr>
            <w:r w:rsidRPr="00F3390B">
              <w:t>10508C</w:t>
            </w:r>
            <w:r>
              <w:t xml:space="preserve"> </w:t>
            </w:r>
          </w:p>
          <w:p w14:paraId="5458A7AB" w14:textId="77777777" w:rsidR="00C27344" w:rsidRPr="00A35800" w:rsidRDefault="00C27344" w:rsidP="00991170">
            <w:pPr>
              <w:pStyle w:val="Tablewriting"/>
            </w:pPr>
            <w:r>
              <w:t>(Private hospital, Initial and continuing)</w:t>
            </w:r>
          </w:p>
        </w:tc>
        <w:tc>
          <w:tcPr>
            <w:tcW w:w="3261" w:type="dxa"/>
            <w:shd w:val="clear" w:color="auto" w:fill="auto"/>
          </w:tcPr>
          <w:p w14:paraId="682529E7" w14:textId="77777777" w:rsidR="00C27344" w:rsidRPr="00A35800" w:rsidRDefault="00C27344" w:rsidP="00991170">
            <w:pPr>
              <w:pStyle w:val="Tablewriting"/>
            </w:pPr>
            <w:r w:rsidRPr="003911C2">
              <w:t>Panitumumab, Solution concentrate for I.V. infusion 100 mg in 5 mL</w:t>
            </w:r>
          </w:p>
        </w:tc>
        <w:tc>
          <w:tcPr>
            <w:tcW w:w="992" w:type="dxa"/>
            <w:tcBorders>
              <w:bottom w:val="nil"/>
            </w:tcBorders>
            <w:shd w:val="clear" w:color="auto" w:fill="auto"/>
          </w:tcPr>
          <w:p w14:paraId="74C57A80" w14:textId="77777777" w:rsidR="00C27344" w:rsidRPr="00A35800" w:rsidRDefault="00C27344" w:rsidP="00991170">
            <w:pPr>
              <w:pStyle w:val="Tablewriting"/>
            </w:pPr>
            <w:r>
              <w:t>720 mg</w:t>
            </w:r>
          </w:p>
        </w:tc>
        <w:tc>
          <w:tcPr>
            <w:tcW w:w="709" w:type="dxa"/>
            <w:tcBorders>
              <w:bottom w:val="nil"/>
            </w:tcBorders>
            <w:shd w:val="clear" w:color="auto" w:fill="auto"/>
          </w:tcPr>
          <w:p w14:paraId="56F97CCE" w14:textId="77777777" w:rsidR="00C27344" w:rsidRPr="00A35800" w:rsidRDefault="00C27344" w:rsidP="00991170">
            <w:pPr>
              <w:pStyle w:val="Tablewriting"/>
            </w:pPr>
            <w:r>
              <w:t>9</w:t>
            </w:r>
          </w:p>
        </w:tc>
        <w:tc>
          <w:tcPr>
            <w:tcW w:w="1134" w:type="dxa"/>
            <w:tcBorders>
              <w:bottom w:val="nil"/>
            </w:tcBorders>
            <w:shd w:val="clear" w:color="auto" w:fill="auto"/>
          </w:tcPr>
          <w:p w14:paraId="3C35D1DD" w14:textId="77777777" w:rsidR="00C27344" w:rsidRPr="00A35800" w:rsidRDefault="00C27344" w:rsidP="00991170">
            <w:pPr>
              <w:pStyle w:val="Tablewriting"/>
            </w:pPr>
            <w:r w:rsidRPr="0064514D">
              <w:t>$6027.99</w:t>
            </w:r>
          </w:p>
        </w:tc>
        <w:tc>
          <w:tcPr>
            <w:tcW w:w="1726" w:type="dxa"/>
            <w:tcBorders>
              <w:bottom w:val="nil"/>
            </w:tcBorders>
            <w:shd w:val="clear" w:color="auto" w:fill="auto"/>
          </w:tcPr>
          <w:p w14:paraId="77C0DBC1" w14:textId="77777777" w:rsidR="00C27344" w:rsidRPr="00A35800" w:rsidRDefault="00C27344" w:rsidP="00991170">
            <w:pPr>
              <w:pStyle w:val="Tablewriting"/>
            </w:pPr>
            <w:r w:rsidRPr="003D72E9">
              <w:t xml:space="preserve">Vectibix, </w:t>
            </w:r>
            <w:r w:rsidRPr="00931242">
              <w:t>Amgen Australia Pty Limited</w:t>
            </w:r>
          </w:p>
        </w:tc>
      </w:tr>
      <w:tr w:rsidR="00C27344" w:rsidRPr="00A35800" w14:paraId="1D8668FA" w14:textId="77777777" w:rsidTr="007F16DA">
        <w:trPr>
          <w:trHeight w:val="546"/>
        </w:trPr>
        <w:tc>
          <w:tcPr>
            <w:tcW w:w="1242" w:type="dxa"/>
            <w:tcBorders>
              <w:top w:val="nil"/>
              <w:bottom w:val="single" w:sz="4" w:space="0" w:color="auto"/>
            </w:tcBorders>
            <w:shd w:val="clear" w:color="auto" w:fill="auto"/>
          </w:tcPr>
          <w:p w14:paraId="7FEF5EBD" w14:textId="77777777" w:rsidR="00C27344" w:rsidRPr="00A35800" w:rsidRDefault="00C27344" w:rsidP="00991170">
            <w:pPr>
              <w:pStyle w:val="Tablewriting"/>
            </w:pPr>
          </w:p>
        </w:tc>
        <w:tc>
          <w:tcPr>
            <w:tcW w:w="3261" w:type="dxa"/>
            <w:shd w:val="clear" w:color="auto" w:fill="auto"/>
          </w:tcPr>
          <w:p w14:paraId="1D126BC1" w14:textId="77777777" w:rsidR="00C27344" w:rsidRPr="00A35800" w:rsidRDefault="00C27344" w:rsidP="00991170">
            <w:pPr>
              <w:pStyle w:val="Tablewriting"/>
            </w:pPr>
            <w:r w:rsidRPr="003911C2">
              <w:t>Panitumumab, Solution concentrate for I.V. infusion 400 mg in 20 mL</w:t>
            </w:r>
          </w:p>
        </w:tc>
        <w:tc>
          <w:tcPr>
            <w:tcW w:w="992" w:type="dxa"/>
            <w:tcBorders>
              <w:top w:val="nil"/>
              <w:bottom w:val="single" w:sz="4" w:space="0" w:color="auto"/>
            </w:tcBorders>
            <w:shd w:val="clear" w:color="auto" w:fill="auto"/>
          </w:tcPr>
          <w:p w14:paraId="66BC7E96" w14:textId="77777777" w:rsidR="00C27344" w:rsidRPr="00A35800" w:rsidRDefault="00C27344" w:rsidP="00991170">
            <w:pPr>
              <w:pStyle w:val="Tablewriting"/>
            </w:pPr>
          </w:p>
        </w:tc>
        <w:tc>
          <w:tcPr>
            <w:tcW w:w="709" w:type="dxa"/>
            <w:tcBorders>
              <w:top w:val="nil"/>
              <w:bottom w:val="single" w:sz="4" w:space="0" w:color="auto"/>
            </w:tcBorders>
            <w:shd w:val="clear" w:color="auto" w:fill="auto"/>
          </w:tcPr>
          <w:p w14:paraId="68513886" w14:textId="77777777" w:rsidR="00C27344" w:rsidRPr="00A35800" w:rsidRDefault="00C27344" w:rsidP="00991170">
            <w:pPr>
              <w:pStyle w:val="Tablewriting"/>
            </w:pPr>
          </w:p>
        </w:tc>
        <w:tc>
          <w:tcPr>
            <w:tcW w:w="1134" w:type="dxa"/>
            <w:tcBorders>
              <w:top w:val="nil"/>
              <w:bottom w:val="single" w:sz="4" w:space="0" w:color="auto"/>
            </w:tcBorders>
            <w:shd w:val="clear" w:color="auto" w:fill="auto"/>
          </w:tcPr>
          <w:p w14:paraId="0EF26C70" w14:textId="77777777" w:rsidR="00C27344" w:rsidRPr="00A35800" w:rsidRDefault="00C27344" w:rsidP="00991170">
            <w:pPr>
              <w:pStyle w:val="Tablewriting"/>
            </w:pPr>
          </w:p>
        </w:tc>
        <w:tc>
          <w:tcPr>
            <w:tcW w:w="1726" w:type="dxa"/>
            <w:tcBorders>
              <w:top w:val="nil"/>
              <w:bottom w:val="single" w:sz="4" w:space="0" w:color="auto"/>
            </w:tcBorders>
            <w:shd w:val="clear" w:color="auto" w:fill="auto"/>
          </w:tcPr>
          <w:p w14:paraId="0536AC8E" w14:textId="77777777" w:rsidR="00C27344" w:rsidRPr="00A35800" w:rsidRDefault="00C27344" w:rsidP="00991170">
            <w:pPr>
              <w:pStyle w:val="Tablewriting"/>
            </w:pPr>
          </w:p>
        </w:tc>
      </w:tr>
      <w:tr w:rsidR="00C27344" w:rsidRPr="00A35800" w14:paraId="67B4B3B2" w14:textId="77777777" w:rsidTr="007F16DA">
        <w:trPr>
          <w:trHeight w:val="546"/>
        </w:trPr>
        <w:tc>
          <w:tcPr>
            <w:tcW w:w="1242" w:type="dxa"/>
            <w:tcBorders>
              <w:bottom w:val="nil"/>
            </w:tcBorders>
            <w:shd w:val="clear" w:color="auto" w:fill="auto"/>
          </w:tcPr>
          <w:p w14:paraId="48760ACC" w14:textId="77777777" w:rsidR="00C27344" w:rsidRDefault="00C27344" w:rsidP="00991170">
            <w:pPr>
              <w:pStyle w:val="Tablewriting"/>
            </w:pPr>
            <w:r w:rsidRPr="00F3390B">
              <w:t>10513H</w:t>
            </w:r>
          </w:p>
          <w:p w14:paraId="738914FD" w14:textId="77777777" w:rsidR="00C27344" w:rsidRPr="00A35800" w:rsidRDefault="00C27344" w:rsidP="00991170">
            <w:pPr>
              <w:pStyle w:val="Tablewriting"/>
            </w:pPr>
            <w:r>
              <w:t>(Public hospital,  Initial and continuing)</w:t>
            </w:r>
          </w:p>
        </w:tc>
        <w:tc>
          <w:tcPr>
            <w:tcW w:w="3261" w:type="dxa"/>
            <w:shd w:val="clear" w:color="auto" w:fill="auto"/>
          </w:tcPr>
          <w:p w14:paraId="6CF728CA" w14:textId="77777777" w:rsidR="00C27344" w:rsidRPr="00A35800" w:rsidRDefault="00C27344" w:rsidP="00991170">
            <w:pPr>
              <w:pStyle w:val="Tablewriting"/>
            </w:pPr>
            <w:r w:rsidRPr="003911C2">
              <w:t>Panitumumab, Solution concentrate for I.V. infusion 100 mg in 5 mL</w:t>
            </w:r>
          </w:p>
        </w:tc>
        <w:tc>
          <w:tcPr>
            <w:tcW w:w="992" w:type="dxa"/>
            <w:tcBorders>
              <w:bottom w:val="nil"/>
            </w:tcBorders>
            <w:shd w:val="clear" w:color="auto" w:fill="auto"/>
          </w:tcPr>
          <w:p w14:paraId="60E4C963" w14:textId="77777777" w:rsidR="00C27344" w:rsidRPr="00A35800" w:rsidRDefault="00C27344" w:rsidP="00991170">
            <w:pPr>
              <w:pStyle w:val="Tablewriting"/>
            </w:pPr>
            <w:r>
              <w:t>720 mg</w:t>
            </w:r>
          </w:p>
        </w:tc>
        <w:tc>
          <w:tcPr>
            <w:tcW w:w="709" w:type="dxa"/>
            <w:tcBorders>
              <w:bottom w:val="nil"/>
            </w:tcBorders>
            <w:shd w:val="clear" w:color="auto" w:fill="auto"/>
          </w:tcPr>
          <w:p w14:paraId="440ECC7B" w14:textId="77777777" w:rsidR="00C27344" w:rsidRPr="00A35800" w:rsidRDefault="00C27344" w:rsidP="00991170">
            <w:pPr>
              <w:pStyle w:val="Tablewriting"/>
            </w:pPr>
            <w:r>
              <w:t>9</w:t>
            </w:r>
          </w:p>
        </w:tc>
        <w:tc>
          <w:tcPr>
            <w:tcW w:w="1134" w:type="dxa"/>
            <w:tcBorders>
              <w:bottom w:val="nil"/>
            </w:tcBorders>
            <w:shd w:val="clear" w:color="auto" w:fill="auto"/>
          </w:tcPr>
          <w:p w14:paraId="06C76BA5" w14:textId="77777777" w:rsidR="00C27344" w:rsidRPr="00A35800" w:rsidRDefault="00C27344" w:rsidP="00991170">
            <w:pPr>
              <w:pStyle w:val="Tablewriting"/>
            </w:pPr>
            <w:r w:rsidRPr="0092509A">
              <w:t>$5907.83</w:t>
            </w:r>
          </w:p>
        </w:tc>
        <w:tc>
          <w:tcPr>
            <w:tcW w:w="1726" w:type="dxa"/>
            <w:tcBorders>
              <w:bottom w:val="nil"/>
            </w:tcBorders>
            <w:shd w:val="clear" w:color="auto" w:fill="auto"/>
          </w:tcPr>
          <w:p w14:paraId="2B794E11" w14:textId="77777777" w:rsidR="00C27344" w:rsidRPr="00A35800" w:rsidRDefault="00C27344" w:rsidP="00991170">
            <w:pPr>
              <w:pStyle w:val="Tablewriting"/>
            </w:pPr>
            <w:r w:rsidRPr="003D72E9">
              <w:t xml:space="preserve">Vectibix, </w:t>
            </w:r>
            <w:r w:rsidRPr="00931242">
              <w:t>Amgen Australia Pty Limited</w:t>
            </w:r>
          </w:p>
        </w:tc>
      </w:tr>
      <w:tr w:rsidR="00C27344" w:rsidRPr="00A35800" w14:paraId="3BFCDB45" w14:textId="77777777" w:rsidTr="007F16DA">
        <w:trPr>
          <w:trHeight w:val="546"/>
        </w:trPr>
        <w:tc>
          <w:tcPr>
            <w:tcW w:w="1242" w:type="dxa"/>
            <w:tcBorders>
              <w:top w:val="nil"/>
            </w:tcBorders>
            <w:shd w:val="clear" w:color="auto" w:fill="auto"/>
          </w:tcPr>
          <w:p w14:paraId="1A5EA57C" w14:textId="77777777" w:rsidR="00C27344" w:rsidRPr="00A35800" w:rsidRDefault="00C27344" w:rsidP="00991170">
            <w:pPr>
              <w:pStyle w:val="Tablewriting"/>
            </w:pPr>
          </w:p>
        </w:tc>
        <w:tc>
          <w:tcPr>
            <w:tcW w:w="3261" w:type="dxa"/>
            <w:shd w:val="clear" w:color="auto" w:fill="auto"/>
          </w:tcPr>
          <w:p w14:paraId="3BFF3627" w14:textId="77777777" w:rsidR="00C27344" w:rsidRPr="00A35800" w:rsidRDefault="00C27344" w:rsidP="00991170">
            <w:pPr>
              <w:pStyle w:val="Tablewriting"/>
            </w:pPr>
            <w:r w:rsidRPr="003911C2">
              <w:t>Panitumumab, Solution concentrate for I.V. infusion 400 mg in 20 mL</w:t>
            </w:r>
          </w:p>
        </w:tc>
        <w:tc>
          <w:tcPr>
            <w:tcW w:w="992" w:type="dxa"/>
            <w:tcBorders>
              <w:top w:val="nil"/>
            </w:tcBorders>
            <w:shd w:val="clear" w:color="auto" w:fill="auto"/>
          </w:tcPr>
          <w:p w14:paraId="48CD412C" w14:textId="77777777" w:rsidR="00C27344" w:rsidRPr="00A35800" w:rsidRDefault="00C27344" w:rsidP="00991170">
            <w:pPr>
              <w:pStyle w:val="Tablewriting"/>
            </w:pPr>
          </w:p>
        </w:tc>
        <w:tc>
          <w:tcPr>
            <w:tcW w:w="709" w:type="dxa"/>
            <w:tcBorders>
              <w:top w:val="nil"/>
            </w:tcBorders>
            <w:shd w:val="clear" w:color="auto" w:fill="auto"/>
          </w:tcPr>
          <w:p w14:paraId="054A0802" w14:textId="77777777" w:rsidR="00C27344" w:rsidRPr="00A35800" w:rsidRDefault="00C27344" w:rsidP="00991170">
            <w:pPr>
              <w:pStyle w:val="Tablewriting"/>
            </w:pPr>
          </w:p>
        </w:tc>
        <w:tc>
          <w:tcPr>
            <w:tcW w:w="1134" w:type="dxa"/>
            <w:tcBorders>
              <w:top w:val="nil"/>
            </w:tcBorders>
            <w:shd w:val="clear" w:color="auto" w:fill="auto"/>
          </w:tcPr>
          <w:p w14:paraId="0421F219" w14:textId="77777777" w:rsidR="00C27344" w:rsidRPr="00A35800" w:rsidRDefault="00C27344" w:rsidP="00991170">
            <w:pPr>
              <w:pStyle w:val="Tablewriting"/>
            </w:pPr>
          </w:p>
        </w:tc>
        <w:tc>
          <w:tcPr>
            <w:tcW w:w="1726" w:type="dxa"/>
            <w:tcBorders>
              <w:top w:val="nil"/>
            </w:tcBorders>
            <w:shd w:val="clear" w:color="auto" w:fill="auto"/>
          </w:tcPr>
          <w:p w14:paraId="2551537E" w14:textId="77777777" w:rsidR="00C27344" w:rsidRPr="00A35800" w:rsidRDefault="00C27344" w:rsidP="00991170">
            <w:pPr>
              <w:pStyle w:val="Tablewriting"/>
            </w:pPr>
          </w:p>
        </w:tc>
      </w:tr>
    </w:tbl>
    <w:p w14:paraId="6E74BF61" w14:textId="77777777" w:rsidR="00C27344" w:rsidRDefault="00C27344" w:rsidP="003047A5">
      <w:pPr>
        <w:pStyle w:val="Notes"/>
        <w:spacing w:after="0"/>
      </w:pPr>
      <w:r w:rsidRPr="00A35800">
        <w:t xml:space="preserve">Source: </w:t>
      </w:r>
      <w:r>
        <w:t xml:space="preserve">the </w:t>
      </w:r>
      <w:hyperlink r:id="rId45" w:history="1">
        <w:r w:rsidRPr="001624D7">
          <w:rPr>
            <w:rStyle w:val="Hyperlink"/>
          </w:rPr>
          <w:t>PBS website</w:t>
        </w:r>
      </w:hyperlink>
      <w:r>
        <w:t>.  Special pricing arrangements apply for the listings of bevacizumab, cetuximab and panitumumab.</w:t>
      </w:r>
    </w:p>
    <w:p w14:paraId="190ECB0D" w14:textId="281A25FE" w:rsidR="00FA4F31" w:rsidRPr="00FA4F31" w:rsidRDefault="00FA4F31" w:rsidP="003047A5">
      <w:pPr>
        <w:pStyle w:val="Notes"/>
        <w:spacing w:after="0"/>
      </w:pPr>
      <w:r>
        <w:rPr>
          <w:vertAlign w:val="superscript"/>
        </w:rPr>
        <w:t>1</w:t>
      </w:r>
      <w:r>
        <w:t xml:space="preserve">DPMA = </w:t>
      </w:r>
      <w:r w:rsidR="003047A5" w:rsidRPr="003047A5">
        <w:t>The Dispensed Price for Maximum Amount (DPMA) is given for Efficient Funding of Chemotherapy injectables</w:t>
      </w:r>
      <w:r w:rsidR="003047A5">
        <w:t>.</w:t>
      </w:r>
    </w:p>
    <w:p w14:paraId="29B00973" w14:textId="45FD0AB6" w:rsidR="00FC7BE8" w:rsidRDefault="00FC7BE8">
      <w:pPr>
        <w:spacing w:line="276" w:lineRule="auto"/>
        <w:rPr>
          <w:b/>
          <w:sz w:val="32"/>
          <w:szCs w:val="32"/>
        </w:rPr>
      </w:pPr>
      <w:r>
        <w:br w:type="page"/>
      </w:r>
    </w:p>
    <w:p w14:paraId="01F42F96" w14:textId="5D10EDD0" w:rsidR="00792B06" w:rsidRPr="005D0CB2" w:rsidRDefault="00876881" w:rsidP="005D0CB2">
      <w:pPr>
        <w:pStyle w:val="Heading1"/>
        <w:rPr>
          <w:sz w:val="32"/>
          <w:szCs w:val="32"/>
        </w:rPr>
      </w:pPr>
      <w:r w:rsidRPr="005D0CB2">
        <w:rPr>
          <w:sz w:val="32"/>
          <w:szCs w:val="32"/>
        </w:rPr>
        <w:lastRenderedPageBreak/>
        <w:t>Appendix 2</w:t>
      </w:r>
      <w:r w:rsidR="00792B06" w:rsidRPr="005D0CB2">
        <w:rPr>
          <w:sz w:val="32"/>
          <w:szCs w:val="32"/>
        </w:rPr>
        <w:t xml:space="preserve">: Analyses of </w:t>
      </w:r>
      <w:r w:rsidR="00391B49" w:rsidRPr="005D0CB2">
        <w:rPr>
          <w:sz w:val="32"/>
          <w:szCs w:val="32"/>
        </w:rPr>
        <w:t xml:space="preserve">the </w:t>
      </w:r>
      <w:r w:rsidR="00792B06" w:rsidRPr="005D0CB2">
        <w:rPr>
          <w:sz w:val="32"/>
          <w:szCs w:val="32"/>
        </w:rPr>
        <w:t>time to resupply</w:t>
      </w:r>
    </w:p>
    <w:p w14:paraId="6C55C8A3" w14:textId="27A9E51C" w:rsidR="00792B06" w:rsidRDefault="00792B06" w:rsidP="00792B06">
      <w:r>
        <w:t>To identify the co-administration of drugs, it was assumed that two or more drugs were co-administered if they were supplied within 42 days of the given date of dispensing for each drug. This was derived from the median of 14 coverage days across all drugs multiplied by three to allow for potential breaks in therapy. To examine whether 42 days allowed sufficient time to detect co-administration, the distributions of the time to resupply for each drug was examined.</w:t>
      </w:r>
    </w:p>
    <w:p w14:paraId="5E89C4AA" w14:textId="5716B9E6" w:rsidR="00715308" w:rsidRDefault="00792B06" w:rsidP="00792B06">
      <w:r>
        <w:t>For all drugs included in the co-administration analysis, 98% of prescriptions were dispensed within 42 days of the previous supply of the drug (see Figures A</w:t>
      </w:r>
      <w:r w:rsidR="00FF3AF1">
        <w:t>2</w:t>
      </w:r>
      <w:r>
        <w:t>.1 and A</w:t>
      </w:r>
      <w:r w:rsidR="00FF3AF1">
        <w:t>2</w:t>
      </w:r>
      <w:r>
        <w:t>.2).</w:t>
      </w:r>
    </w:p>
    <w:p w14:paraId="664AA7AA" w14:textId="6DF20F6F" w:rsidR="00715308" w:rsidRDefault="00715308" w:rsidP="00792B06">
      <w:r>
        <w:rPr>
          <w:noProof/>
        </w:rPr>
        <w:drawing>
          <wp:inline distT="0" distB="0" distL="0" distR="0" wp14:anchorId="6E7E3880" wp14:editId="1B96922D">
            <wp:extent cx="4381500" cy="1724711"/>
            <wp:effectExtent l="0" t="0" r="0" b="8890"/>
            <wp:docPr id="3" name="Picture 3" descr="Time between supplies for bevacizumab" title="Figure 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391791" cy="1728762"/>
                    </a:xfrm>
                    <a:prstGeom prst="rect">
                      <a:avLst/>
                    </a:prstGeom>
                    <a:noFill/>
                    <a:ln>
                      <a:noFill/>
                    </a:ln>
                  </pic:spPr>
                </pic:pic>
              </a:graphicData>
            </a:graphic>
          </wp:inline>
        </w:drawing>
      </w:r>
    </w:p>
    <w:p w14:paraId="590F12E7" w14:textId="4A5D4A9F" w:rsidR="00715308" w:rsidRPr="002C2586" w:rsidRDefault="00715308" w:rsidP="00792B06">
      <w:r>
        <w:rPr>
          <w:noProof/>
        </w:rPr>
        <w:drawing>
          <wp:inline distT="0" distB="0" distL="0" distR="0" wp14:anchorId="586BC30E" wp14:editId="3B420956">
            <wp:extent cx="4381500" cy="1732050"/>
            <wp:effectExtent l="0" t="0" r="0" b="1905"/>
            <wp:docPr id="4" name="Picture 4" descr="Time between supplies for cetuximab" title="Figure 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4387860" cy="1734564"/>
                    </a:xfrm>
                    <a:prstGeom prst="rect">
                      <a:avLst/>
                    </a:prstGeom>
                    <a:noFill/>
                    <a:ln>
                      <a:noFill/>
                    </a:ln>
                  </pic:spPr>
                </pic:pic>
              </a:graphicData>
            </a:graphic>
          </wp:inline>
        </w:drawing>
      </w:r>
    </w:p>
    <w:p w14:paraId="5D9DC4C9" w14:textId="0057C694" w:rsidR="00792B06" w:rsidRDefault="00715308" w:rsidP="00792B06">
      <w:r>
        <w:rPr>
          <w:noProof/>
        </w:rPr>
        <w:drawing>
          <wp:inline distT="0" distB="0" distL="0" distR="0" wp14:anchorId="2E26B1CB" wp14:editId="65B970B5">
            <wp:extent cx="4381500" cy="1732051"/>
            <wp:effectExtent l="0" t="0" r="0" b="1905"/>
            <wp:docPr id="13" name="Picture 13" descr="Time between supplies for panitumumab" title="Figure 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4395357" cy="1737529"/>
                    </a:xfrm>
                    <a:prstGeom prst="rect">
                      <a:avLst/>
                    </a:prstGeom>
                    <a:noFill/>
                    <a:ln>
                      <a:noFill/>
                    </a:ln>
                  </pic:spPr>
                </pic:pic>
              </a:graphicData>
            </a:graphic>
          </wp:inline>
        </w:drawing>
      </w:r>
    </w:p>
    <w:p w14:paraId="08932A77" w14:textId="2C3F4AD5" w:rsidR="00792B06" w:rsidRPr="00291FCB" w:rsidRDefault="00792B06" w:rsidP="00792B06">
      <w:pPr>
        <w:rPr>
          <w:b/>
        </w:rPr>
      </w:pPr>
      <w:r w:rsidRPr="00291FCB">
        <w:rPr>
          <w:b/>
        </w:rPr>
        <w:t>Figure A</w:t>
      </w:r>
      <w:r w:rsidR="00492615">
        <w:rPr>
          <w:b/>
        </w:rPr>
        <w:t>2</w:t>
      </w:r>
      <w:r w:rsidRPr="00291FCB">
        <w:rPr>
          <w:b/>
        </w:rPr>
        <w:t>.1. Time to resupply for bevacizumab, cetuximab and panitumumab</w:t>
      </w:r>
    </w:p>
    <w:p w14:paraId="7B50182C" w14:textId="18DA653D" w:rsidR="00CB59B4" w:rsidRDefault="009714CA" w:rsidP="009714CA">
      <w:r w:rsidRPr="00ED761D">
        <w:t xml:space="preserve">The distribution of the resupply times for bevacizumab, cetuximab and bevacizumab were consistent with the recommended dosing regimens. </w:t>
      </w:r>
      <w:r>
        <w:t xml:space="preserve">Bevacizumab is administered </w:t>
      </w:r>
      <w:r w:rsidR="007242EA">
        <w:t>e</w:t>
      </w:r>
      <w:r>
        <w:t xml:space="preserve">very 2 or 3 weeks </w:t>
      </w:r>
      <w:r w:rsidRPr="00ED761D">
        <w:t xml:space="preserve">depending on the body weight of the </w:t>
      </w:r>
      <w:r w:rsidR="001F23E4">
        <w:t>patient</w:t>
      </w:r>
      <w:r w:rsidRPr="00ED761D">
        <w:t xml:space="preserve">. </w:t>
      </w:r>
      <w:r>
        <w:t xml:space="preserve">It was generally resupplied on </w:t>
      </w:r>
      <w:r>
        <w:lastRenderedPageBreak/>
        <w:t>days 14 and 21</w:t>
      </w:r>
      <w:r w:rsidRPr="00ED761D">
        <w:t xml:space="preserve"> (Figure A</w:t>
      </w:r>
      <w:r w:rsidR="00492615">
        <w:t>2</w:t>
      </w:r>
      <w:r w:rsidRPr="00ED761D">
        <w:t xml:space="preserve">.1). The pattern of resupply times for cetuximab was consistent with its recommended once weekly administrations (Figure A.1). </w:t>
      </w:r>
      <w:r>
        <w:t xml:space="preserve">Panitumumab is administered every two weeks and the majority of its resupply occurred on day 14 </w:t>
      </w:r>
      <w:r w:rsidRPr="00ED761D">
        <w:t>(Figure A</w:t>
      </w:r>
      <w:r w:rsidR="00492615">
        <w:t>2</w:t>
      </w:r>
      <w:r w:rsidR="00420085">
        <w:t>.1).</w:t>
      </w:r>
    </w:p>
    <w:p w14:paraId="4ABC4698" w14:textId="33ED23BD" w:rsidR="00CB59B4" w:rsidRDefault="00CB59B4">
      <w:pPr>
        <w:spacing w:line="276" w:lineRule="auto"/>
      </w:pPr>
      <w:r>
        <w:br w:type="page"/>
      </w:r>
    </w:p>
    <w:p w14:paraId="3C5E27F1" w14:textId="03EDC479" w:rsidR="00CB59B4" w:rsidRDefault="001E41C5" w:rsidP="00CB59B4">
      <w:r>
        <w:rPr>
          <w:noProof/>
        </w:rPr>
        <w:lastRenderedPageBreak/>
        <w:drawing>
          <wp:inline distT="0" distB="0" distL="0" distR="0" wp14:anchorId="63E7E638" wp14:editId="5A4F926F">
            <wp:extent cx="3829050" cy="1507248"/>
            <wp:effectExtent l="0" t="0" r="0" b="0"/>
            <wp:docPr id="16" name="Picture 16" descr="Time between supplies for irinotecan" title="Figure A2.2 irinote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3840052" cy="1511579"/>
                    </a:xfrm>
                    <a:prstGeom prst="rect">
                      <a:avLst/>
                    </a:prstGeom>
                    <a:noFill/>
                    <a:ln>
                      <a:noFill/>
                    </a:ln>
                  </pic:spPr>
                </pic:pic>
              </a:graphicData>
            </a:graphic>
          </wp:inline>
        </w:drawing>
      </w:r>
    </w:p>
    <w:p w14:paraId="032F138F" w14:textId="3CDEBF17" w:rsidR="00CB59B4" w:rsidRDefault="001E41C5" w:rsidP="00CB59B4">
      <w:r>
        <w:rPr>
          <w:noProof/>
        </w:rPr>
        <w:drawing>
          <wp:inline distT="0" distB="0" distL="0" distR="0" wp14:anchorId="41D20D6F" wp14:editId="703E3C27">
            <wp:extent cx="3781425" cy="1488501"/>
            <wp:effectExtent l="0" t="0" r="0" b="0"/>
            <wp:docPr id="17" name="Picture 17" descr="Time between supplies for oxaliplatin" title="Figure A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792290" cy="1492778"/>
                    </a:xfrm>
                    <a:prstGeom prst="rect">
                      <a:avLst/>
                    </a:prstGeom>
                    <a:noFill/>
                    <a:ln>
                      <a:noFill/>
                    </a:ln>
                  </pic:spPr>
                </pic:pic>
              </a:graphicData>
            </a:graphic>
          </wp:inline>
        </w:drawing>
      </w:r>
    </w:p>
    <w:p w14:paraId="400E019B" w14:textId="702DE316" w:rsidR="00CB59B4" w:rsidRDefault="001E41C5" w:rsidP="00CB59B4">
      <w:r>
        <w:rPr>
          <w:noProof/>
        </w:rPr>
        <w:drawing>
          <wp:inline distT="0" distB="0" distL="0" distR="0" wp14:anchorId="168BD578" wp14:editId="5A6FBC0F">
            <wp:extent cx="3724275" cy="1484719"/>
            <wp:effectExtent l="0" t="0" r="0" b="1270"/>
            <wp:docPr id="19" name="Picture 19" descr="Time between supplies for folinic acid" title="Figure 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3736858" cy="1489735"/>
                    </a:xfrm>
                    <a:prstGeom prst="rect">
                      <a:avLst/>
                    </a:prstGeom>
                    <a:noFill/>
                    <a:ln>
                      <a:noFill/>
                    </a:ln>
                  </pic:spPr>
                </pic:pic>
              </a:graphicData>
            </a:graphic>
          </wp:inline>
        </w:drawing>
      </w:r>
    </w:p>
    <w:p w14:paraId="66375A58" w14:textId="34D24DD3" w:rsidR="003D2826" w:rsidRDefault="003D2826" w:rsidP="00CB59B4">
      <w:r>
        <w:rPr>
          <w:noProof/>
        </w:rPr>
        <w:drawing>
          <wp:inline distT="0" distB="0" distL="0" distR="0" wp14:anchorId="79645BDF" wp14:editId="5DFBFF32">
            <wp:extent cx="3724275" cy="1466005"/>
            <wp:effectExtent l="0" t="0" r="0" b="1270"/>
            <wp:docPr id="20" name="Picture 20" descr="Time between supplies for fluorouracil" title="Figure 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3736515" cy="1470823"/>
                    </a:xfrm>
                    <a:prstGeom prst="rect">
                      <a:avLst/>
                    </a:prstGeom>
                    <a:noFill/>
                    <a:ln>
                      <a:noFill/>
                    </a:ln>
                  </pic:spPr>
                </pic:pic>
              </a:graphicData>
            </a:graphic>
          </wp:inline>
        </w:drawing>
      </w:r>
    </w:p>
    <w:p w14:paraId="2B7D0D56" w14:textId="77777777" w:rsidR="003D2826" w:rsidRDefault="003D2826" w:rsidP="00CB59B4">
      <w:r>
        <w:rPr>
          <w:noProof/>
        </w:rPr>
        <w:drawing>
          <wp:inline distT="0" distB="0" distL="0" distR="0" wp14:anchorId="59E66A0A" wp14:editId="1FA79D6F">
            <wp:extent cx="3724275" cy="1453527"/>
            <wp:effectExtent l="0" t="0" r="0" b="0"/>
            <wp:docPr id="23" name="Picture 23" descr="Tiem between supplies for capecitabine" title="Figure 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749121" cy="1463224"/>
                    </a:xfrm>
                    <a:prstGeom prst="rect">
                      <a:avLst/>
                    </a:prstGeom>
                    <a:noFill/>
                    <a:ln>
                      <a:noFill/>
                    </a:ln>
                  </pic:spPr>
                </pic:pic>
              </a:graphicData>
            </a:graphic>
          </wp:inline>
        </w:drawing>
      </w:r>
    </w:p>
    <w:p w14:paraId="70945869" w14:textId="48F32EAB" w:rsidR="00CB59B4" w:rsidRDefault="00CB59B4" w:rsidP="00CB59B4">
      <w:pPr>
        <w:rPr>
          <w:b/>
        </w:rPr>
      </w:pPr>
      <w:r>
        <w:rPr>
          <w:b/>
        </w:rPr>
        <w:t>Figure A</w:t>
      </w:r>
      <w:r w:rsidR="00492615">
        <w:rPr>
          <w:b/>
        </w:rPr>
        <w:t>2</w:t>
      </w:r>
      <w:r>
        <w:rPr>
          <w:b/>
        </w:rPr>
        <w:t>.2</w:t>
      </w:r>
      <w:r w:rsidRPr="00291FCB">
        <w:rPr>
          <w:b/>
        </w:rPr>
        <w:t xml:space="preserve">. Time to resupply for </w:t>
      </w:r>
      <w:r>
        <w:rPr>
          <w:b/>
        </w:rPr>
        <w:t>irinotecan, oxaliplatin, folinic acid and fluorouracil</w:t>
      </w:r>
    </w:p>
    <w:p w14:paraId="431FBCFD" w14:textId="33A20A35" w:rsidR="004B72A9" w:rsidRDefault="004B72A9">
      <w:pPr>
        <w:spacing w:line="276" w:lineRule="auto"/>
        <w:rPr>
          <w:b/>
        </w:rPr>
      </w:pPr>
      <w:r>
        <w:rPr>
          <w:b/>
        </w:rPr>
        <w:br w:type="page"/>
      </w:r>
    </w:p>
    <w:p w14:paraId="6A6E53FD" w14:textId="37DBDB96" w:rsidR="004B72A9" w:rsidRPr="005D0CB2" w:rsidRDefault="004B72A9" w:rsidP="005D0CB2">
      <w:pPr>
        <w:pStyle w:val="Heading1"/>
        <w:rPr>
          <w:sz w:val="32"/>
          <w:szCs w:val="32"/>
        </w:rPr>
      </w:pPr>
      <w:r w:rsidRPr="005D0CB2">
        <w:rPr>
          <w:sz w:val="32"/>
          <w:szCs w:val="32"/>
        </w:rPr>
        <w:lastRenderedPageBreak/>
        <w:t>Appendix 3: Number of infusions</w:t>
      </w:r>
    </w:p>
    <w:p w14:paraId="56B99CD9" w14:textId="77777777" w:rsidR="004B72A9" w:rsidRDefault="004B72A9" w:rsidP="004B72A9">
      <w:pPr>
        <w:pStyle w:val="Heading2"/>
        <w:spacing w:before="120" w:after="120"/>
      </w:pPr>
      <w:r>
        <w:t>Number of infusions</w:t>
      </w:r>
    </w:p>
    <w:p w14:paraId="29C3275F" w14:textId="4ED881B0" w:rsidR="004B72A9" w:rsidRDefault="004B72A9" w:rsidP="004B72A9">
      <w:pPr>
        <w:spacing w:after="120"/>
      </w:pPr>
      <w:r>
        <w:t>The number of prescriptions for infusible chemotherapy medicines was influenced by the introduction of the Revised Arrangements for the Efficient Funding of Chemotherapy Drugs (referred to here as the ‘EFC’). Under these arrangements, prescribers submit dose specific prescriptions in milligrams rather than the former arrangements where prescriptions were written for specific forms and strengths of a medicine. Also, suppliers are reimbursed for the most cost efficient combination of vials to make up the required dose. The EFC was introduced for community pharmacies and private hospitals on 1 December 2011 and for public hospital pharmacies by 1 April 2012. To account for the introduction of the EFC arrangements, the number of infusions was examined for bevacizumab, cetuximab and panitumumab. Refer to the ‘Methods’ section for the approach that was used to convert individual vial prescriptions to infusions.</w:t>
      </w:r>
    </w:p>
    <w:p w14:paraId="3ECA28A0" w14:textId="46A1F1BF" w:rsidR="004B72A9" w:rsidRDefault="004B72A9" w:rsidP="004B72A9">
      <w:pPr>
        <w:spacing w:after="120"/>
        <w:rPr>
          <w:iCs/>
        </w:rPr>
      </w:pPr>
      <w:r>
        <w:rPr>
          <w:iCs/>
        </w:rPr>
        <w:t xml:space="preserve">The number of infusions for bevacizumab had remained relatively stable since May 2013 (Figure </w:t>
      </w:r>
      <w:r w:rsidR="00480F87">
        <w:rPr>
          <w:iCs/>
        </w:rPr>
        <w:t>A3.1</w:t>
      </w:r>
      <w:r>
        <w:rPr>
          <w:iCs/>
        </w:rPr>
        <w:t>). A negative trend in the number of infusions for cetuximab occurred from April</w:t>
      </w:r>
      <w:r w:rsidR="007242EA">
        <w:rPr>
          <w:iCs/>
        </w:rPr>
        <w:t> </w:t>
      </w:r>
      <w:r>
        <w:rPr>
          <w:iCs/>
        </w:rPr>
        <w:t xml:space="preserve">2014 which coincided with the first listing of panitumumab (Figure </w:t>
      </w:r>
      <w:r w:rsidR="00480F87">
        <w:rPr>
          <w:iCs/>
        </w:rPr>
        <w:t>A3.2</w:t>
      </w:r>
      <w:r>
        <w:rPr>
          <w:iCs/>
        </w:rPr>
        <w:t xml:space="preserve">). The subsequent increase in the number of infusions for cetuximab from mid-2015 was likely from its listing as a first-line treatment from 1 June 2015 (Figure </w:t>
      </w:r>
      <w:r w:rsidR="00480F87">
        <w:rPr>
          <w:iCs/>
        </w:rPr>
        <w:t>A3.2</w:t>
      </w:r>
      <w:r>
        <w:rPr>
          <w:iCs/>
        </w:rPr>
        <w:t xml:space="preserve">). </w:t>
      </w:r>
    </w:p>
    <w:p w14:paraId="6C85560B" w14:textId="73D98301" w:rsidR="004B72A9" w:rsidRDefault="004B72A9" w:rsidP="004B72A9">
      <w:pPr>
        <w:spacing w:after="120"/>
        <w:rPr>
          <w:iCs/>
        </w:rPr>
      </w:pPr>
      <w:r>
        <w:rPr>
          <w:iCs/>
        </w:rPr>
        <w:t xml:space="preserve">The number of infusions for panitumumab had continued to increase since its first listing in April 2014 (Table </w:t>
      </w:r>
      <w:r w:rsidR="00480F87">
        <w:rPr>
          <w:iCs/>
        </w:rPr>
        <w:t>A3.1</w:t>
      </w:r>
      <w:r>
        <w:rPr>
          <w:iCs/>
        </w:rPr>
        <w:t xml:space="preserve">, Figure </w:t>
      </w:r>
      <w:r w:rsidR="00480F87">
        <w:rPr>
          <w:iCs/>
        </w:rPr>
        <w:t>A3.3</w:t>
      </w:r>
      <w:r>
        <w:rPr>
          <w:iCs/>
        </w:rPr>
        <w:t>).</w:t>
      </w:r>
    </w:p>
    <w:p w14:paraId="5242CE9E" w14:textId="2B8AAFBC" w:rsidR="004B72A9" w:rsidRPr="005E154A" w:rsidRDefault="004B72A9" w:rsidP="005E154A">
      <w:pPr>
        <w:rPr>
          <w:b/>
        </w:rPr>
      </w:pPr>
      <w:r w:rsidRPr="005E154A">
        <w:rPr>
          <w:b/>
        </w:rPr>
        <w:t xml:space="preserve">Table </w:t>
      </w:r>
      <w:r w:rsidR="00480F87" w:rsidRPr="005E154A">
        <w:rPr>
          <w:b/>
        </w:rPr>
        <w:t>A3.1.</w:t>
      </w:r>
      <w:r w:rsidRPr="005E154A">
        <w:rPr>
          <w:b/>
        </w:rPr>
        <w:t xml:space="preserve"> Number of infusions for bevacizumab, cetuximab and panitumumab by line of therapy and by year</w:t>
      </w:r>
    </w:p>
    <w:tbl>
      <w:tblPr>
        <w:tblW w:w="4965" w:type="pct"/>
        <w:tblLayout w:type="fixed"/>
        <w:tblLook w:val="04A0" w:firstRow="1" w:lastRow="0" w:firstColumn="1" w:lastColumn="0" w:noHBand="0" w:noVBand="1"/>
        <w:tblCaption w:val="Table A3.1"/>
        <w:tblDescription w:val="Number of infusions per year by drug"/>
      </w:tblPr>
      <w:tblGrid>
        <w:gridCol w:w="1735"/>
        <w:gridCol w:w="721"/>
        <w:gridCol w:w="891"/>
        <w:gridCol w:w="727"/>
        <w:gridCol w:w="721"/>
        <w:gridCol w:w="721"/>
        <w:gridCol w:w="891"/>
        <w:gridCol w:w="902"/>
        <w:gridCol w:w="898"/>
        <w:gridCol w:w="902"/>
      </w:tblGrid>
      <w:tr w:rsidR="00A457D2" w:rsidRPr="004D1152" w14:paraId="54E866BF" w14:textId="77777777" w:rsidTr="00A457D2">
        <w:trPr>
          <w:trHeight w:val="301"/>
        </w:trPr>
        <w:tc>
          <w:tcPr>
            <w:tcW w:w="952" w:type="pct"/>
            <w:tcBorders>
              <w:top w:val="nil"/>
              <w:left w:val="nil"/>
              <w:bottom w:val="nil"/>
              <w:right w:val="nil"/>
            </w:tcBorders>
            <w:shd w:val="clear" w:color="auto" w:fill="auto"/>
            <w:noWrap/>
            <w:vAlign w:val="bottom"/>
            <w:hideMark/>
          </w:tcPr>
          <w:p w14:paraId="67FD6F85" w14:textId="77777777" w:rsidR="004B72A9" w:rsidRPr="004D1152" w:rsidRDefault="004B72A9" w:rsidP="00393E96">
            <w:pPr>
              <w:spacing w:after="0"/>
              <w:rPr>
                <w:rFonts w:ascii="Arial Narrow" w:eastAsia="Times New Roman" w:hAnsi="Arial Narrow" w:cs="Times New Roman"/>
                <w:b/>
                <w:bCs/>
                <w:color w:val="000000"/>
                <w:sz w:val="20"/>
                <w:szCs w:val="20"/>
              </w:rPr>
            </w:pPr>
          </w:p>
        </w:tc>
        <w:tc>
          <w:tcPr>
            <w:tcW w:w="396"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hideMark/>
          </w:tcPr>
          <w:p w14:paraId="00AC1F48" w14:textId="77777777" w:rsidR="004B72A9" w:rsidRPr="004D1152" w:rsidRDefault="004B72A9" w:rsidP="00393E96">
            <w:pPr>
              <w:spacing w:after="0"/>
              <w:jc w:val="center"/>
              <w:rPr>
                <w:rFonts w:ascii="Arial Narrow" w:eastAsia="Times New Roman" w:hAnsi="Arial Narrow" w:cs="Times New Roman"/>
                <w:b/>
                <w:bCs/>
                <w:color w:val="000000"/>
                <w:sz w:val="20"/>
                <w:szCs w:val="20"/>
                <w:vertAlign w:val="superscript"/>
              </w:rPr>
            </w:pPr>
            <w:r w:rsidRPr="004D1152">
              <w:rPr>
                <w:rFonts w:ascii="Arial Narrow" w:eastAsia="Times New Roman" w:hAnsi="Arial Narrow" w:cs="Times New Roman"/>
                <w:b/>
                <w:bCs/>
                <w:color w:val="000000"/>
                <w:sz w:val="20"/>
                <w:szCs w:val="20"/>
              </w:rPr>
              <w:t>2009 (YTD)</w:t>
            </w:r>
            <w:r>
              <w:rPr>
                <w:rFonts w:ascii="Arial Narrow" w:eastAsia="Times New Roman" w:hAnsi="Arial Narrow" w:cs="Times New Roman"/>
                <w:b/>
                <w:bCs/>
                <w:color w:val="000000"/>
                <w:sz w:val="20"/>
                <w:szCs w:val="20"/>
                <w:vertAlign w:val="superscript"/>
              </w:rPr>
              <w:t>a</w:t>
            </w:r>
          </w:p>
        </w:tc>
        <w:tc>
          <w:tcPr>
            <w:tcW w:w="489" w:type="pct"/>
            <w:tcBorders>
              <w:top w:val="single" w:sz="4" w:space="0" w:color="auto"/>
              <w:left w:val="nil"/>
              <w:bottom w:val="single" w:sz="4" w:space="0" w:color="auto"/>
              <w:right w:val="single" w:sz="4" w:space="0" w:color="auto"/>
            </w:tcBorders>
            <w:shd w:val="clear" w:color="auto" w:fill="BFBFBF" w:themeFill="background1" w:themeFillShade="BF"/>
            <w:noWrap/>
            <w:hideMark/>
          </w:tcPr>
          <w:p w14:paraId="6638B817"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r w:rsidRPr="004D1152">
              <w:rPr>
                <w:rFonts w:ascii="Arial Narrow" w:eastAsia="Times New Roman" w:hAnsi="Arial Narrow" w:cs="Times New Roman"/>
                <w:b/>
                <w:bCs/>
                <w:color w:val="000000"/>
                <w:sz w:val="20"/>
                <w:szCs w:val="20"/>
              </w:rPr>
              <w:t>2010</w:t>
            </w:r>
          </w:p>
        </w:tc>
        <w:tc>
          <w:tcPr>
            <w:tcW w:w="399" w:type="pct"/>
            <w:tcBorders>
              <w:top w:val="single" w:sz="4" w:space="0" w:color="auto"/>
              <w:left w:val="nil"/>
              <w:bottom w:val="single" w:sz="4" w:space="0" w:color="auto"/>
              <w:right w:val="single" w:sz="4" w:space="0" w:color="auto"/>
            </w:tcBorders>
            <w:shd w:val="clear" w:color="auto" w:fill="BFBFBF" w:themeFill="background1" w:themeFillShade="BF"/>
            <w:noWrap/>
            <w:hideMark/>
          </w:tcPr>
          <w:p w14:paraId="28FB2745"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r w:rsidRPr="004D1152">
              <w:rPr>
                <w:rFonts w:ascii="Arial Narrow" w:eastAsia="Times New Roman" w:hAnsi="Arial Narrow" w:cs="Times New Roman"/>
                <w:b/>
                <w:bCs/>
                <w:color w:val="000000"/>
                <w:sz w:val="20"/>
                <w:szCs w:val="20"/>
              </w:rPr>
              <w:t>2011</w:t>
            </w:r>
          </w:p>
        </w:tc>
        <w:tc>
          <w:tcPr>
            <w:tcW w:w="396" w:type="pct"/>
            <w:tcBorders>
              <w:top w:val="single" w:sz="4" w:space="0" w:color="auto"/>
              <w:left w:val="nil"/>
              <w:bottom w:val="single" w:sz="4" w:space="0" w:color="auto"/>
              <w:right w:val="single" w:sz="4" w:space="0" w:color="auto"/>
            </w:tcBorders>
            <w:shd w:val="clear" w:color="auto" w:fill="BFBFBF" w:themeFill="background1" w:themeFillShade="BF"/>
            <w:noWrap/>
            <w:hideMark/>
          </w:tcPr>
          <w:p w14:paraId="461E49FF"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r w:rsidRPr="004D1152">
              <w:rPr>
                <w:rFonts w:ascii="Arial Narrow" w:eastAsia="Times New Roman" w:hAnsi="Arial Narrow" w:cs="Times New Roman"/>
                <w:b/>
                <w:bCs/>
                <w:color w:val="000000"/>
                <w:sz w:val="20"/>
                <w:szCs w:val="20"/>
              </w:rPr>
              <w:t>2012</w:t>
            </w:r>
          </w:p>
        </w:tc>
        <w:tc>
          <w:tcPr>
            <w:tcW w:w="396" w:type="pct"/>
            <w:tcBorders>
              <w:top w:val="single" w:sz="4" w:space="0" w:color="auto"/>
              <w:left w:val="nil"/>
              <w:bottom w:val="single" w:sz="4" w:space="0" w:color="auto"/>
              <w:right w:val="single" w:sz="4" w:space="0" w:color="auto"/>
            </w:tcBorders>
            <w:shd w:val="clear" w:color="auto" w:fill="BFBFBF" w:themeFill="background1" w:themeFillShade="BF"/>
            <w:noWrap/>
            <w:hideMark/>
          </w:tcPr>
          <w:p w14:paraId="1309A3DD"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r w:rsidRPr="004D1152">
              <w:rPr>
                <w:rFonts w:ascii="Arial Narrow" w:eastAsia="Times New Roman" w:hAnsi="Arial Narrow" w:cs="Times New Roman"/>
                <w:b/>
                <w:bCs/>
                <w:color w:val="000000"/>
                <w:sz w:val="20"/>
                <w:szCs w:val="20"/>
              </w:rPr>
              <w:t>2013</w:t>
            </w:r>
          </w:p>
        </w:tc>
        <w:tc>
          <w:tcPr>
            <w:tcW w:w="489" w:type="pct"/>
            <w:tcBorders>
              <w:top w:val="single" w:sz="4" w:space="0" w:color="auto"/>
              <w:left w:val="nil"/>
              <w:bottom w:val="single" w:sz="4" w:space="0" w:color="auto"/>
              <w:right w:val="single" w:sz="4" w:space="0" w:color="auto"/>
            </w:tcBorders>
            <w:shd w:val="clear" w:color="auto" w:fill="BFBFBF" w:themeFill="background1" w:themeFillShade="BF"/>
            <w:noWrap/>
            <w:hideMark/>
          </w:tcPr>
          <w:p w14:paraId="73E02229"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r w:rsidRPr="004D1152">
              <w:rPr>
                <w:rFonts w:ascii="Arial Narrow" w:eastAsia="Times New Roman" w:hAnsi="Arial Narrow" w:cs="Times New Roman"/>
                <w:b/>
                <w:bCs/>
                <w:color w:val="000000"/>
                <w:sz w:val="20"/>
                <w:szCs w:val="20"/>
              </w:rPr>
              <w:t>2014</w:t>
            </w:r>
          </w:p>
        </w:tc>
        <w:tc>
          <w:tcPr>
            <w:tcW w:w="495" w:type="pct"/>
            <w:tcBorders>
              <w:top w:val="single" w:sz="4" w:space="0" w:color="auto"/>
              <w:left w:val="nil"/>
              <w:bottom w:val="single" w:sz="4" w:space="0" w:color="auto"/>
              <w:right w:val="single" w:sz="4" w:space="0" w:color="auto"/>
            </w:tcBorders>
            <w:shd w:val="clear" w:color="auto" w:fill="BFBFBF" w:themeFill="background1" w:themeFillShade="BF"/>
            <w:noWrap/>
            <w:hideMark/>
          </w:tcPr>
          <w:p w14:paraId="788B66AB"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r w:rsidRPr="004D1152">
              <w:rPr>
                <w:rFonts w:ascii="Arial Narrow" w:eastAsia="Times New Roman" w:hAnsi="Arial Narrow" w:cs="Times New Roman"/>
                <w:b/>
                <w:bCs/>
                <w:color w:val="000000"/>
                <w:sz w:val="20"/>
                <w:szCs w:val="20"/>
              </w:rPr>
              <w:t>2015</w:t>
            </w:r>
          </w:p>
        </w:tc>
        <w:tc>
          <w:tcPr>
            <w:tcW w:w="493" w:type="pct"/>
            <w:tcBorders>
              <w:top w:val="single" w:sz="4" w:space="0" w:color="auto"/>
              <w:left w:val="nil"/>
              <w:bottom w:val="single" w:sz="4" w:space="0" w:color="auto"/>
              <w:right w:val="single" w:sz="4" w:space="0" w:color="auto"/>
            </w:tcBorders>
            <w:shd w:val="clear" w:color="auto" w:fill="BFBFBF" w:themeFill="background1" w:themeFillShade="BF"/>
            <w:noWrap/>
            <w:hideMark/>
          </w:tcPr>
          <w:p w14:paraId="16EE9DFE"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r w:rsidRPr="004D1152">
              <w:rPr>
                <w:rFonts w:ascii="Arial Narrow" w:eastAsia="Times New Roman" w:hAnsi="Arial Narrow" w:cs="Times New Roman"/>
                <w:b/>
                <w:bCs/>
                <w:color w:val="000000"/>
                <w:sz w:val="20"/>
                <w:szCs w:val="20"/>
              </w:rPr>
              <w:t>2016</w:t>
            </w:r>
          </w:p>
        </w:tc>
        <w:tc>
          <w:tcPr>
            <w:tcW w:w="495" w:type="pct"/>
            <w:tcBorders>
              <w:top w:val="single" w:sz="4" w:space="0" w:color="auto"/>
              <w:left w:val="nil"/>
              <w:bottom w:val="single" w:sz="4" w:space="0" w:color="auto"/>
              <w:right w:val="single" w:sz="4" w:space="0" w:color="auto"/>
            </w:tcBorders>
            <w:shd w:val="clear" w:color="auto" w:fill="BFBFBF" w:themeFill="background1" w:themeFillShade="BF"/>
            <w:noWrap/>
            <w:hideMark/>
          </w:tcPr>
          <w:p w14:paraId="5B2FD417" w14:textId="77777777" w:rsidR="004B72A9" w:rsidRPr="004D1152" w:rsidRDefault="004B72A9" w:rsidP="00393E96">
            <w:pPr>
              <w:spacing w:after="0"/>
              <w:jc w:val="center"/>
              <w:rPr>
                <w:rFonts w:ascii="Arial Narrow" w:eastAsia="Times New Roman" w:hAnsi="Arial Narrow" w:cs="Times New Roman"/>
                <w:b/>
                <w:bCs/>
                <w:color w:val="000000"/>
                <w:sz w:val="20"/>
                <w:szCs w:val="20"/>
                <w:vertAlign w:val="superscript"/>
              </w:rPr>
            </w:pPr>
            <w:r w:rsidRPr="004D1152">
              <w:rPr>
                <w:rFonts w:ascii="Arial Narrow" w:eastAsia="Times New Roman" w:hAnsi="Arial Narrow" w:cs="Times New Roman"/>
                <w:b/>
                <w:bCs/>
                <w:color w:val="000000"/>
                <w:sz w:val="20"/>
                <w:szCs w:val="20"/>
              </w:rPr>
              <w:t>2017 (YTD)</w:t>
            </w:r>
            <w:r>
              <w:rPr>
                <w:rFonts w:ascii="Arial Narrow" w:eastAsia="Times New Roman" w:hAnsi="Arial Narrow" w:cs="Times New Roman"/>
                <w:b/>
                <w:bCs/>
                <w:color w:val="000000"/>
                <w:sz w:val="20"/>
                <w:szCs w:val="20"/>
                <w:vertAlign w:val="superscript"/>
              </w:rPr>
              <w:t>b</w:t>
            </w:r>
          </w:p>
        </w:tc>
      </w:tr>
      <w:tr w:rsidR="007A4AFD" w:rsidRPr="004D1152" w14:paraId="1AF8E969" w14:textId="77777777" w:rsidTr="007F16DA">
        <w:trPr>
          <w:trHeight w:val="301"/>
        </w:trPr>
        <w:tc>
          <w:tcPr>
            <w:tcW w:w="952" w:type="pct"/>
            <w:tcBorders>
              <w:top w:val="single" w:sz="4" w:space="0" w:color="auto"/>
              <w:left w:val="single" w:sz="4" w:space="0" w:color="auto"/>
              <w:bottom w:val="single" w:sz="4" w:space="0" w:color="auto"/>
              <w:right w:val="nil"/>
            </w:tcBorders>
            <w:shd w:val="clear" w:color="auto" w:fill="auto"/>
            <w:noWrap/>
            <w:vAlign w:val="bottom"/>
            <w:hideMark/>
          </w:tcPr>
          <w:p w14:paraId="72BA98E8" w14:textId="77777777" w:rsidR="004B72A9" w:rsidRDefault="004B72A9" w:rsidP="00393E96">
            <w:pPr>
              <w:spacing w:after="0"/>
              <w:rPr>
                <w:rFonts w:ascii="Arial Narrow" w:eastAsia="Times New Roman" w:hAnsi="Arial Narrow" w:cs="Times New Roman"/>
                <w:b/>
                <w:bCs/>
                <w:color w:val="000000"/>
                <w:sz w:val="20"/>
                <w:szCs w:val="20"/>
              </w:rPr>
            </w:pPr>
            <w:r w:rsidRPr="004D1152">
              <w:rPr>
                <w:rFonts w:ascii="Arial Narrow" w:eastAsia="Times New Roman" w:hAnsi="Arial Narrow" w:cs="Times New Roman"/>
                <w:b/>
                <w:bCs/>
                <w:color w:val="000000"/>
                <w:sz w:val="20"/>
                <w:szCs w:val="20"/>
              </w:rPr>
              <w:t>BEVACIZUMAB</w:t>
            </w:r>
          </w:p>
          <w:p w14:paraId="7B88EF38" w14:textId="77777777" w:rsidR="004B72A9" w:rsidRPr="00FC1867" w:rsidRDefault="004B72A9" w:rsidP="00393E96">
            <w:pPr>
              <w:spacing w:after="0"/>
              <w:rPr>
                <w:rFonts w:ascii="Arial Narrow" w:eastAsia="Times New Roman" w:hAnsi="Arial Narrow" w:cs="Times New Roman"/>
                <w:b/>
                <w:bCs/>
                <w:i/>
                <w:color w:val="000000"/>
                <w:sz w:val="20"/>
                <w:szCs w:val="20"/>
              </w:rPr>
            </w:pPr>
            <w:r w:rsidRPr="00FC1867">
              <w:rPr>
                <w:rFonts w:ascii="Arial Narrow" w:eastAsia="Times New Roman" w:hAnsi="Arial Narrow" w:cs="Times New Roman"/>
                <w:b/>
                <w:bCs/>
                <w:i/>
                <w:color w:val="000000"/>
                <w:sz w:val="20"/>
                <w:szCs w:val="20"/>
              </w:rPr>
              <w:t>Subtotal – all lines</w:t>
            </w:r>
          </w:p>
        </w:tc>
        <w:tc>
          <w:tcPr>
            <w:tcW w:w="396" w:type="pct"/>
            <w:tcBorders>
              <w:top w:val="nil"/>
              <w:left w:val="single" w:sz="4" w:space="0" w:color="auto"/>
              <w:bottom w:val="single" w:sz="4" w:space="0" w:color="auto"/>
              <w:right w:val="single" w:sz="4" w:space="0" w:color="auto"/>
            </w:tcBorders>
            <w:shd w:val="clear" w:color="auto" w:fill="auto"/>
            <w:noWrap/>
            <w:vAlign w:val="bottom"/>
            <w:hideMark/>
          </w:tcPr>
          <w:p w14:paraId="4F4E299C" w14:textId="77777777" w:rsidR="004B72A9" w:rsidRPr="004D1152" w:rsidRDefault="004B72A9" w:rsidP="00393E96">
            <w:pPr>
              <w:spacing w:after="0"/>
              <w:jc w:val="center"/>
              <w:rPr>
                <w:rFonts w:ascii="Arial Narrow" w:eastAsia="Times New Roman" w:hAnsi="Arial Narrow" w:cs="Times New Roman"/>
                <w:b/>
                <w:bCs/>
                <w:i/>
                <w:color w:val="000000"/>
                <w:sz w:val="20"/>
                <w:szCs w:val="20"/>
              </w:rPr>
            </w:pPr>
            <w:r w:rsidRPr="004D1152">
              <w:rPr>
                <w:rFonts w:ascii="Arial Narrow" w:eastAsia="Times New Roman" w:hAnsi="Arial Narrow" w:cs="Times New Roman"/>
                <w:b/>
                <w:bCs/>
                <w:i/>
                <w:color w:val="000000"/>
                <w:sz w:val="20"/>
                <w:szCs w:val="20"/>
              </w:rPr>
              <w:t>5,767</w:t>
            </w:r>
          </w:p>
        </w:tc>
        <w:tc>
          <w:tcPr>
            <w:tcW w:w="489" w:type="pct"/>
            <w:tcBorders>
              <w:top w:val="nil"/>
              <w:left w:val="nil"/>
              <w:bottom w:val="single" w:sz="4" w:space="0" w:color="auto"/>
              <w:right w:val="single" w:sz="4" w:space="0" w:color="auto"/>
            </w:tcBorders>
            <w:shd w:val="clear" w:color="auto" w:fill="auto"/>
            <w:noWrap/>
            <w:vAlign w:val="bottom"/>
            <w:hideMark/>
          </w:tcPr>
          <w:p w14:paraId="049F1FAA" w14:textId="77777777" w:rsidR="004B72A9" w:rsidRPr="004D1152" w:rsidRDefault="004B72A9" w:rsidP="00393E96">
            <w:pPr>
              <w:spacing w:after="0"/>
              <w:jc w:val="center"/>
              <w:rPr>
                <w:rFonts w:ascii="Arial Narrow" w:eastAsia="Times New Roman" w:hAnsi="Arial Narrow" w:cs="Times New Roman"/>
                <w:b/>
                <w:bCs/>
                <w:i/>
                <w:color w:val="000000"/>
                <w:sz w:val="20"/>
                <w:szCs w:val="20"/>
              </w:rPr>
            </w:pPr>
            <w:r w:rsidRPr="004D1152">
              <w:rPr>
                <w:rFonts w:ascii="Arial Narrow" w:eastAsia="Times New Roman" w:hAnsi="Arial Narrow" w:cs="Times New Roman"/>
                <w:b/>
                <w:bCs/>
                <w:i/>
                <w:color w:val="000000"/>
                <w:sz w:val="20"/>
                <w:szCs w:val="20"/>
              </w:rPr>
              <w:t>21,147</w:t>
            </w:r>
          </w:p>
        </w:tc>
        <w:tc>
          <w:tcPr>
            <w:tcW w:w="399" w:type="pct"/>
            <w:tcBorders>
              <w:top w:val="nil"/>
              <w:left w:val="nil"/>
              <w:bottom w:val="single" w:sz="4" w:space="0" w:color="auto"/>
              <w:right w:val="single" w:sz="4" w:space="0" w:color="auto"/>
            </w:tcBorders>
            <w:shd w:val="clear" w:color="auto" w:fill="auto"/>
            <w:noWrap/>
            <w:vAlign w:val="bottom"/>
            <w:hideMark/>
          </w:tcPr>
          <w:p w14:paraId="678E7600" w14:textId="77777777" w:rsidR="004B72A9" w:rsidRPr="004D1152" w:rsidRDefault="004B72A9" w:rsidP="00393E96">
            <w:pPr>
              <w:spacing w:after="0"/>
              <w:jc w:val="center"/>
              <w:rPr>
                <w:rFonts w:ascii="Arial Narrow" w:eastAsia="Times New Roman" w:hAnsi="Arial Narrow" w:cs="Times New Roman"/>
                <w:b/>
                <w:bCs/>
                <w:i/>
                <w:color w:val="000000"/>
                <w:sz w:val="20"/>
                <w:szCs w:val="20"/>
              </w:rPr>
            </w:pPr>
            <w:r w:rsidRPr="004D1152">
              <w:rPr>
                <w:rFonts w:ascii="Arial Narrow" w:eastAsia="Times New Roman" w:hAnsi="Arial Narrow" w:cs="Times New Roman"/>
                <w:b/>
                <w:bCs/>
                <w:i/>
                <w:color w:val="000000"/>
                <w:sz w:val="20"/>
                <w:szCs w:val="20"/>
              </w:rPr>
              <w:t>24,762</w:t>
            </w:r>
          </w:p>
        </w:tc>
        <w:tc>
          <w:tcPr>
            <w:tcW w:w="396" w:type="pct"/>
            <w:tcBorders>
              <w:top w:val="nil"/>
              <w:left w:val="nil"/>
              <w:bottom w:val="single" w:sz="4" w:space="0" w:color="auto"/>
              <w:right w:val="single" w:sz="4" w:space="0" w:color="auto"/>
            </w:tcBorders>
            <w:shd w:val="clear" w:color="auto" w:fill="auto"/>
            <w:noWrap/>
            <w:vAlign w:val="bottom"/>
            <w:hideMark/>
          </w:tcPr>
          <w:p w14:paraId="5F51D582" w14:textId="77777777" w:rsidR="004B72A9" w:rsidRPr="004D1152" w:rsidRDefault="004B72A9" w:rsidP="00393E96">
            <w:pPr>
              <w:spacing w:after="0"/>
              <w:jc w:val="center"/>
              <w:rPr>
                <w:rFonts w:ascii="Arial Narrow" w:eastAsia="Times New Roman" w:hAnsi="Arial Narrow" w:cs="Times New Roman"/>
                <w:b/>
                <w:bCs/>
                <w:i/>
                <w:color w:val="000000"/>
                <w:sz w:val="20"/>
                <w:szCs w:val="20"/>
              </w:rPr>
            </w:pPr>
            <w:r w:rsidRPr="004D1152">
              <w:rPr>
                <w:rFonts w:ascii="Arial Narrow" w:eastAsia="Times New Roman" w:hAnsi="Arial Narrow" w:cs="Times New Roman"/>
                <w:b/>
                <w:bCs/>
                <w:i/>
                <w:color w:val="000000"/>
                <w:sz w:val="20"/>
                <w:szCs w:val="20"/>
              </w:rPr>
              <w:t>27,275</w:t>
            </w:r>
          </w:p>
        </w:tc>
        <w:tc>
          <w:tcPr>
            <w:tcW w:w="396" w:type="pct"/>
            <w:tcBorders>
              <w:top w:val="nil"/>
              <w:left w:val="nil"/>
              <w:bottom w:val="single" w:sz="4" w:space="0" w:color="auto"/>
              <w:right w:val="single" w:sz="4" w:space="0" w:color="auto"/>
            </w:tcBorders>
            <w:shd w:val="clear" w:color="auto" w:fill="auto"/>
            <w:noWrap/>
            <w:vAlign w:val="bottom"/>
            <w:hideMark/>
          </w:tcPr>
          <w:p w14:paraId="6178D190" w14:textId="77777777" w:rsidR="004B72A9" w:rsidRPr="004D1152" w:rsidRDefault="004B72A9" w:rsidP="00393E96">
            <w:pPr>
              <w:spacing w:after="0"/>
              <w:jc w:val="center"/>
              <w:rPr>
                <w:rFonts w:ascii="Arial Narrow" w:eastAsia="Times New Roman" w:hAnsi="Arial Narrow" w:cs="Times New Roman"/>
                <w:b/>
                <w:bCs/>
                <w:i/>
                <w:color w:val="000000"/>
                <w:sz w:val="20"/>
                <w:szCs w:val="20"/>
              </w:rPr>
            </w:pPr>
            <w:r w:rsidRPr="004D1152">
              <w:rPr>
                <w:rFonts w:ascii="Arial Narrow" w:eastAsia="Times New Roman" w:hAnsi="Arial Narrow" w:cs="Times New Roman"/>
                <w:b/>
                <w:bCs/>
                <w:i/>
                <w:color w:val="000000"/>
                <w:sz w:val="20"/>
                <w:szCs w:val="20"/>
              </w:rPr>
              <w:t>31,023</w:t>
            </w:r>
          </w:p>
        </w:tc>
        <w:tc>
          <w:tcPr>
            <w:tcW w:w="489" w:type="pct"/>
            <w:tcBorders>
              <w:top w:val="nil"/>
              <w:left w:val="nil"/>
              <w:bottom w:val="single" w:sz="4" w:space="0" w:color="auto"/>
              <w:right w:val="single" w:sz="4" w:space="0" w:color="auto"/>
            </w:tcBorders>
            <w:shd w:val="clear" w:color="auto" w:fill="auto"/>
            <w:noWrap/>
            <w:vAlign w:val="bottom"/>
            <w:hideMark/>
          </w:tcPr>
          <w:p w14:paraId="730C6C62" w14:textId="77777777" w:rsidR="004B72A9" w:rsidRPr="004D1152" w:rsidRDefault="004B72A9" w:rsidP="00393E96">
            <w:pPr>
              <w:spacing w:after="0"/>
              <w:jc w:val="center"/>
              <w:rPr>
                <w:rFonts w:ascii="Arial Narrow" w:eastAsia="Times New Roman" w:hAnsi="Arial Narrow" w:cs="Times New Roman"/>
                <w:b/>
                <w:bCs/>
                <w:i/>
                <w:color w:val="000000"/>
                <w:sz w:val="20"/>
                <w:szCs w:val="20"/>
              </w:rPr>
            </w:pPr>
            <w:r w:rsidRPr="004D1152">
              <w:rPr>
                <w:rFonts w:ascii="Arial Narrow" w:eastAsia="Times New Roman" w:hAnsi="Arial Narrow" w:cs="Times New Roman"/>
                <w:b/>
                <w:bCs/>
                <w:i/>
                <w:color w:val="000000"/>
                <w:sz w:val="20"/>
                <w:szCs w:val="20"/>
              </w:rPr>
              <w:t>31,903</w:t>
            </w:r>
          </w:p>
        </w:tc>
        <w:tc>
          <w:tcPr>
            <w:tcW w:w="495" w:type="pct"/>
            <w:tcBorders>
              <w:top w:val="nil"/>
              <w:left w:val="nil"/>
              <w:bottom w:val="single" w:sz="4" w:space="0" w:color="auto"/>
              <w:right w:val="single" w:sz="4" w:space="0" w:color="auto"/>
            </w:tcBorders>
            <w:shd w:val="clear" w:color="auto" w:fill="auto"/>
            <w:noWrap/>
            <w:vAlign w:val="bottom"/>
            <w:hideMark/>
          </w:tcPr>
          <w:p w14:paraId="3EA6DB18" w14:textId="77777777" w:rsidR="004B72A9" w:rsidRPr="004D1152" w:rsidRDefault="004B72A9" w:rsidP="00393E96">
            <w:pPr>
              <w:spacing w:after="0"/>
              <w:jc w:val="center"/>
              <w:rPr>
                <w:rFonts w:ascii="Arial Narrow" w:eastAsia="Times New Roman" w:hAnsi="Arial Narrow" w:cs="Times New Roman"/>
                <w:b/>
                <w:bCs/>
                <w:i/>
                <w:color w:val="000000"/>
                <w:sz w:val="20"/>
                <w:szCs w:val="20"/>
              </w:rPr>
            </w:pPr>
            <w:r w:rsidRPr="004D1152">
              <w:rPr>
                <w:rFonts w:ascii="Arial Narrow" w:eastAsia="Times New Roman" w:hAnsi="Arial Narrow" w:cs="Times New Roman"/>
                <w:b/>
                <w:bCs/>
                <w:i/>
                <w:color w:val="000000"/>
                <w:sz w:val="20"/>
                <w:szCs w:val="20"/>
              </w:rPr>
              <w:t>32,681</w:t>
            </w:r>
          </w:p>
        </w:tc>
        <w:tc>
          <w:tcPr>
            <w:tcW w:w="493" w:type="pct"/>
            <w:tcBorders>
              <w:top w:val="nil"/>
              <w:left w:val="nil"/>
              <w:bottom w:val="single" w:sz="4" w:space="0" w:color="auto"/>
              <w:right w:val="single" w:sz="4" w:space="0" w:color="auto"/>
            </w:tcBorders>
            <w:shd w:val="clear" w:color="auto" w:fill="auto"/>
            <w:noWrap/>
            <w:vAlign w:val="bottom"/>
            <w:hideMark/>
          </w:tcPr>
          <w:p w14:paraId="22300C59" w14:textId="77777777" w:rsidR="004B72A9" w:rsidRPr="004D1152" w:rsidRDefault="004B72A9" w:rsidP="00393E96">
            <w:pPr>
              <w:spacing w:after="0"/>
              <w:jc w:val="center"/>
              <w:rPr>
                <w:rFonts w:ascii="Arial Narrow" w:eastAsia="Times New Roman" w:hAnsi="Arial Narrow" w:cs="Times New Roman"/>
                <w:b/>
                <w:bCs/>
                <w:i/>
                <w:color w:val="000000"/>
                <w:sz w:val="20"/>
                <w:szCs w:val="20"/>
              </w:rPr>
            </w:pPr>
            <w:r w:rsidRPr="004D1152">
              <w:rPr>
                <w:rFonts w:ascii="Arial Narrow" w:eastAsia="Times New Roman" w:hAnsi="Arial Narrow" w:cs="Times New Roman"/>
                <w:b/>
                <w:bCs/>
                <w:i/>
                <w:color w:val="000000"/>
                <w:sz w:val="20"/>
                <w:szCs w:val="20"/>
              </w:rPr>
              <w:t>32,659</w:t>
            </w:r>
          </w:p>
        </w:tc>
        <w:tc>
          <w:tcPr>
            <w:tcW w:w="495" w:type="pct"/>
            <w:tcBorders>
              <w:top w:val="nil"/>
              <w:left w:val="nil"/>
              <w:bottom w:val="single" w:sz="4" w:space="0" w:color="auto"/>
              <w:right w:val="single" w:sz="4" w:space="0" w:color="auto"/>
            </w:tcBorders>
            <w:shd w:val="clear" w:color="auto" w:fill="auto"/>
            <w:noWrap/>
            <w:vAlign w:val="bottom"/>
            <w:hideMark/>
          </w:tcPr>
          <w:p w14:paraId="28568A00" w14:textId="77777777" w:rsidR="004B72A9" w:rsidRPr="004D1152" w:rsidRDefault="004B72A9" w:rsidP="00393E96">
            <w:pPr>
              <w:spacing w:after="0"/>
              <w:jc w:val="center"/>
              <w:rPr>
                <w:rFonts w:ascii="Arial Narrow" w:eastAsia="Times New Roman" w:hAnsi="Arial Narrow" w:cs="Times New Roman"/>
                <w:b/>
                <w:bCs/>
                <w:i/>
                <w:color w:val="000000"/>
                <w:sz w:val="20"/>
                <w:szCs w:val="20"/>
              </w:rPr>
            </w:pPr>
            <w:r w:rsidRPr="004D1152">
              <w:rPr>
                <w:rFonts w:ascii="Arial Narrow" w:eastAsia="Times New Roman" w:hAnsi="Arial Narrow" w:cs="Times New Roman"/>
                <w:b/>
                <w:bCs/>
                <w:i/>
                <w:color w:val="000000"/>
                <w:sz w:val="20"/>
                <w:szCs w:val="20"/>
              </w:rPr>
              <w:t>18,180</w:t>
            </w:r>
          </w:p>
        </w:tc>
      </w:tr>
      <w:tr w:rsidR="007A4AFD" w:rsidRPr="004D1152" w14:paraId="4F2DB0DC" w14:textId="77777777" w:rsidTr="007F16DA">
        <w:trPr>
          <w:trHeight w:val="301"/>
        </w:trPr>
        <w:tc>
          <w:tcPr>
            <w:tcW w:w="952" w:type="pct"/>
            <w:tcBorders>
              <w:top w:val="nil"/>
              <w:left w:val="single" w:sz="4" w:space="0" w:color="auto"/>
              <w:bottom w:val="single" w:sz="4" w:space="0" w:color="auto"/>
              <w:right w:val="single" w:sz="4" w:space="0" w:color="auto"/>
            </w:tcBorders>
            <w:shd w:val="clear" w:color="auto" w:fill="auto"/>
            <w:noWrap/>
            <w:hideMark/>
          </w:tcPr>
          <w:p w14:paraId="5A1F1897" w14:textId="77777777" w:rsidR="004B72A9" w:rsidRPr="004D1152" w:rsidRDefault="004B72A9" w:rsidP="00393E96">
            <w:pPr>
              <w:spacing w:after="0"/>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1: First-line</w:t>
            </w:r>
          </w:p>
        </w:tc>
        <w:tc>
          <w:tcPr>
            <w:tcW w:w="396" w:type="pct"/>
            <w:tcBorders>
              <w:top w:val="nil"/>
              <w:left w:val="nil"/>
              <w:bottom w:val="single" w:sz="4" w:space="0" w:color="auto"/>
              <w:right w:val="single" w:sz="4" w:space="0" w:color="auto"/>
            </w:tcBorders>
            <w:shd w:val="clear" w:color="auto" w:fill="auto"/>
            <w:noWrap/>
            <w:vAlign w:val="bottom"/>
            <w:hideMark/>
          </w:tcPr>
          <w:p w14:paraId="75FF4294"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5,767</w:t>
            </w:r>
          </w:p>
        </w:tc>
        <w:tc>
          <w:tcPr>
            <w:tcW w:w="489" w:type="pct"/>
            <w:tcBorders>
              <w:top w:val="nil"/>
              <w:left w:val="nil"/>
              <w:bottom w:val="single" w:sz="4" w:space="0" w:color="auto"/>
              <w:right w:val="single" w:sz="4" w:space="0" w:color="auto"/>
            </w:tcBorders>
            <w:shd w:val="clear" w:color="auto" w:fill="auto"/>
            <w:noWrap/>
            <w:vAlign w:val="bottom"/>
            <w:hideMark/>
          </w:tcPr>
          <w:p w14:paraId="5CAA0CEB"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21,147</w:t>
            </w:r>
          </w:p>
        </w:tc>
        <w:tc>
          <w:tcPr>
            <w:tcW w:w="399" w:type="pct"/>
            <w:tcBorders>
              <w:top w:val="nil"/>
              <w:left w:val="nil"/>
              <w:bottom w:val="single" w:sz="4" w:space="0" w:color="auto"/>
              <w:right w:val="single" w:sz="4" w:space="0" w:color="auto"/>
            </w:tcBorders>
            <w:shd w:val="clear" w:color="auto" w:fill="auto"/>
            <w:noWrap/>
            <w:vAlign w:val="bottom"/>
            <w:hideMark/>
          </w:tcPr>
          <w:p w14:paraId="02BE7575"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24,745</w:t>
            </w:r>
          </w:p>
        </w:tc>
        <w:tc>
          <w:tcPr>
            <w:tcW w:w="396" w:type="pct"/>
            <w:tcBorders>
              <w:top w:val="nil"/>
              <w:left w:val="nil"/>
              <w:bottom w:val="single" w:sz="4" w:space="0" w:color="auto"/>
              <w:right w:val="single" w:sz="4" w:space="0" w:color="auto"/>
            </w:tcBorders>
            <w:shd w:val="clear" w:color="auto" w:fill="auto"/>
            <w:noWrap/>
            <w:vAlign w:val="bottom"/>
            <w:hideMark/>
          </w:tcPr>
          <w:p w14:paraId="5FACB410"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27,101</w:t>
            </w:r>
          </w:p>
        </w:tc>
        <w:tc>
          <w:tcPr>
            <w:tcW w:w="396" w:type="pct"/>
            <w:tcBorders>
              <w:top w:val="nil"/>
              <w:left w:val="nil"/>
              <w:bottom w:val="single" w:sz="4" w:space="0" w:color="auto"/>
              <w:right w:val="single" w:sz="4" w:space="0" w:color="auto"/>
            </w:tcBorders>
            <w:shd w:val="clear" w:color="auto" w:fill="auto"/>
            <w:noWrap/>
            <w:vAlign w:val="bottom"/>
            <w:hideMark/>
          </w:tcPr>
          <w:p w14:paraId="7F84AA3E"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30,862</w:t>
            </w:r>
          </w:p>
        </w:tc>
        <w:tc>
          <w:tcPr>
            <w:tcW w:w="489" w:type="pct"/>
            <w:tcBorders>
              <w:top w:val="nil"/>
              <w:left w:val="nil"/>
              <w:bottom w:val="single" w:sz="4" w:space="0" w:color="auto"/>
              <w:right w:val="single" w:sz="4" w:space="0" w:color="auto"/>
            </w:tcBorders>
            <w:shd w:val="clear" w:color="auto" w:fill="auto"/>
            <w:noWrap/>
            <w:vAlign w:val="bottom"/>
            <w:hideMark/>
          </w:tcPr>
          <w:p w14:paraId="1F841AF7"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31,737</w:t>
            </w:r>
          </w:p>
        </w:tc>
        <w:tc>
          <w:tcPr>
            <w:tcW w:w="495" w:type="pct"/>
            <w:tcBorders>
              <w:top w:val="nil"/>
              <w:left w:val="nil"/>
              <w:bottom w:val="single" w:sz="4" w:space="0" w:color="auto"/>
              <w:right w:val="single" w:sz="4" w:space="0" w:color="auto"/>
            </w:tcBorders>
            <w:shd w:val="clear" w:color="auto" w:fill="auto"/>
            <w:noWrap/>
            <w:vAlign w:val="bottom"/>
            <w:hideMark/>
          </w:tcPr>
          <w:p w14:paraId="2A0B34BF"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32,349</w:t>
            </w:r>
          </w:p>
        </w:tc>
        <w:tc>
          <w:tcPr>
            <w:tcW w:w="493" w:type="pct"/>
            <w:tcBorders>
              <w:top w:val="nil"/>
              <w:left w:val="nil"/>
              <w:bottom w:val="single" w:sz="4" w:space="0" w:color="auto"/>
              <w:right w:val="single" w:sz="4" w:space="0" w:color="auto"/>
            </w:tcBorders>
            <w:shd w:val="clear" w:color="auto" w:fill="auto"/>
            <w:noWrap/>
            <w:vAlign w:val="bottom"/>
            <w:hideMark/>
          </w:tcPr>
          <w:p w14:paraId="0AF35403"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31,715</w:t>
            </w:r>
          </w:p>
        </w:tc>
        <w:tc>
          <w:tcPr>
            <w:tcW w:w="495" w:type="pct"/>
            <w:tcBorders>
              <w:top w:val="nil"/>
              <w:left w:val="nil"/>
              <w:bottom w:val="single" w:sz="4" w:space="0" w:color="auto"/>
              <w:right w:val="single" w:sz="4" w:space="0" w:color="auto"/>
            </w:tcBorders>
            <w:shd w:val="clear" w:color="auto" w:fill="auto"/>
            <w:noWrap/>
            <w:vAlign w:val="bottom"/>
            <w:hideMark/>
          </w:tcPr>
          <w:p w14:paraId="33EABBA6"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17,337</w:t>
            </w:r>
          </w:p>
        </w:tc>
      </w:tr>
      <w:tr w:rsidR="007A4AFD" w:rsidRPr="004D1152" w14:paraId="59AD42B5" w14:textId="77777777" w:rsidTr="007F16DA">
        <w:trPr>
          <w:trHeight w:val="301"/>
        </w:trPr>
        <w:tc>
          <w:tcPr>
            <w:tcW w:w="952" w:type="pct"/>
            <w:tcBorders>
              <w:top w:val="nil"/>
              <w:left w:val="single" w:sz="4" w:space="0" w:color="auto"/>
              <w:bottom w:val="single" w:sz="4" w:space="0" w:color="auto"/>
              <w:right w:val="single" w:sz="4" w:space="0" w:color="auto"/>
            </w:tcBorders>
            <w:shd w:val="clear" w:color="auto" w:fill="auto"/>
            <w:noWrap/>
            <w:hideMark/>
          </w:tcPr>
          <w:p w14:paraId="26E6D4CB" w14:textId="77777777" w:rsidR="004B72A9" w:rsidRPr="004D1152" w:rsidRDefault="004B72A9" w:rsidP="00393E96">
            <w:pPr>
              <w:spacing w:after="0"/>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2: Second-line</w:t>
            </w:r>
          </w:p>
        </w:tc>
        <w:tc>
          <w:tcPr>
            <w:tcW w:w="396" w:type="pct"/>
            <w:tcBorders>
              <w:top w:val="nil"/>
              <w:left w:val="nil"/>
              <w:bottom w:val="single" w:sz="4" w:space="0" w:color="auto"/>
              <w:right w:val="single" w:sz="4" w:space="0" w:color="auto"/>
            </w:tcBorders>
            <w:shd w:val="clear" w:color="auto" w:fill="F2F2F2" w:themeFill="background1" w:themeFillShade="F2"/>
            <w:noWrap/>
            <w:vAlign w:val="bottom"/>
            <w:hideMark/>
          </w:tcPr>
          <w:p w14:paraId="007E46AB"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489" w:type="pct"/>
            <w:tcBorders>
              <w:top w:val="nil"/>
              <w:left w:val="nil"/>
              <w:bottom w:val="single" w:sz="4" w:space="0" w:color="auto"/>
              <w:right w:val="single" w:sz="4" w:space="0" w:color="auto"/>
            </w:tcBorders>
            <w:shd w:val="clear" w:color="auto" w:fill="F2F2F2" w:themeFill="background1" w:themeFillShade="F2"/>
            <w:noWrap/>
            <w:vAlign w:val="bottom"/>
            <w:hideMark/>
          </w:tcPr>
          <w:p w14:paraId="0769B636"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399" w:type="pct"/>
            <w:tcBorders>
              <w:top w:val="nil"/>
              <w:left w:val="nil"/>
              <w:bottom w:val="single" w:sz="4" w:space="0" w:color="auto"/>
              <w:right w:val="single" w:sz="4" w:space="0" w:color="auto"/>
            </w:tcBorders>
            <w:shd w:val="clear" w:color="auto" w:fill="F2F2F2" w:themeFill="background1" w:themeFillShade="F2"/>
            <w:noWrap/>
            <w:vAlign w:val="bottom"/>
            <w:hideMark/>
          </w:tcPr>
          <w:p w14:paraId="7D7FEFE9"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396" w:type="pct"/>
            <w:tcBorders>
              <w:top w:val="nil"/>
              <w:left w:val="nil"/>
              <w:bottom w:val="single" w:sz="4" w:space="0" w:color="auto"/>
              <w:right w:val="single" w:sz="4" w:space="0" w:color="auto"/>
            </w:tcBorders>
            <w:shd w:val="clear" w:color="auto" w:fill="auto"/>
            <w:noWrap/>
            <w:vAlign w:val="bottom"/>
            <w:hideMark/>
          </w:tcPr>
          <w:p w14:paraId="3023AF20"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53</w:t>
            </w:r>
          </w:p>
        </w:tc>
        <w:tc>
          <w:tcPr>
            <w:tcW w:w="396" w:type="pct"/>
            <w:tcBorders>
              <w:top w:val="nil"/>
              <w:left w:val="nil"/>
              <w:bottom w:val="single" w:sz="4" w:space="0" w:color="auto"/>
              <w:right w:val="single" w:sz="4" w:space="0" w:color="auto"/>
            </w:tcBorders>
            <w:shd w:val="clear" w:color="auto" w:fill="auto"/>
            <w:noWrap/>
            <w:vAlign w:val="bottom"/>
            <w:hideMark/>
          </w:tcPr>
          <w:p w14:paraId="640228E1"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26</w:t>
            </w:r>
          </w:p>
        </w:tc>
        <w:tc>
          <w:tcPr>
            <w:tcW w:w="489" w:type="pct"/>
            <w:tcBorders>
              <w:top w:val="nil"/>
              <w:left w:val="nil"/>
              <w:bottom w:val="single" w:sz="4" w:space="0" w:color="auto"/>
              <w:right w:val="single" w:sz="4" w:space="0" w:color="auto"/>
            </w:tcBorders>
            <w:shd w:val="clear" w:color="auto" w:fill="auto"/>
            <w:noWrap/>
            <w:vAlign w:val="bottom"/>
            <w:hideMark/>
          </w:tcPr>
          <w:p w14:paraId="41E719CD"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22</w:t>
            </w:r>
          </w:p>
        </w:tc>
        <w:tc>
          <w:tcPr>
            <w:tcW w:w="495" w:type="pct"/>
            <w:tcBorders>
              <w:top w:val="nil"/>
              <w:left w:val="nil"/>
              <w:bottom w:val="single" w:sz="4" w:space="0" w:color="auto"/>
              <w:right w:val="single" w:sz="4" w:space="0" w:color="auto"/>
            </w:tcBorders>
            <w:shd w:val="clear" w:color="auto" w:fill="auto"/>
            <w:noWrap/>
            <w:vAlign w:val="bottom"/>
            <w:hideMark/>
          </w:tcPr>
          <w:p w14:paraId="59D5B40C"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122</w:t>
            </w:r>
          </w:p>
        </w:tc>
        <w:tc>
          <w:tcPr>
            <w:tcW w:w="493" w:type="pct"/>
            <w:tcBorders>
              <w:top w:val="nil"/>
              <w:left w:val="nil"/>
              <w:bottom w:val="single" w:sz="4" w:space="0" w:color="auto"/>
              <w:right w:val="single" w:sz="4" w:space="0" w:color="auto"/>
            </w:tcBorders>
            <w:shd w:val="clear" w:color="auto" w:fill="auto"/>
            <w:noWrap/>
            <w:vAlign w:val="bottom"/>
            <w:hideMark/>
          </w:tcPr>
          <w:p w14:paraId="766923BF"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573</w:t>
            </w:r>
          </w:p>
        </w:tc>
        <w:tc>
          <w:tcPr>
            <w:tcW w:w="495" w:type="pct"/>
            <w:tcBorders>
              <w:top w:val="nil"/>
              <w:left w:val="nil"/>
              <w:bottom w:val="single" w:sz="4" w:space="0" w:color="auto"/>
              <w:right w:val="single" w:sz="4" w:space="0" w:color="auto"/>
            </w:tcBorders>
            <w:shd w:val="clear" w:color="auto" w:fill="auto"/>
            <w:noWrap/>
            <w:vAlign w:val="bottom"/>
            <w:hideMark/>
          </w:tcPr>
          <w:p w14:paraId="3A8D4C1A"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613</w:t>
            </w:r>
          </w:p>
        </w:tc>
      </w:tr>
      <w:tr w:rsidR="007A4AFD" w:rsidRPr="004D1152" w14:paraId="53F5B2E6" w14:textId="77777777" w:rsidTr="007F16DA">
        <w:trPr>
          <w:trHeight w:val="301"/>
        </w:trPr>
        <w:tc>
          <w:tcPr>
            <w:tcW w:w="952" w:type="pct"/>
            <w:tcBorders>
              <w:top w:val="nil"/>
              <w:left w:val="single" w:sz="4" w:space="0" w:color="auto"/>
              <w:bottom w:val="single" w:sz="4" w:space="0" w:color="auto"/>
              <w:right w:val="single" w:sz="4" w:space="0" w:color="auto"/>
            </w:tcBorders>
            <w:shd w:val="clear" w:color="auto" w:fill="auto"/>
            <w:noWrap/>
            <w:hideMark/>
          </w:tcPr>
          <w:p w14:paraId="66E4FB9C" w14:textId="77777777" w:rsidR="004B72A9" w:rsidRPr="004D1152" w:rsidRDefault="004B72A9" w:rsidP="00393E96">
            <w:pPr>
              <w:spacing w:after="0"/>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3: After second-line</w:t>
            </w:r>
          </w:p>
        </w:tc>
        <w:tc>
          <w:tcPr>
            <w:tcW w:w="396" w:type="pct"/>
            <w:tcBorders>
              <w:top w:val="nil"/>
              <w:left w:val="nil"/>
              <w:bottom w:val="single" w:sz="4" w:space="0" w:color="auto"/>
              <w:right w:val="single" w:sz="4" w:space="0" w:color="auto"/>
            </w:tcBorders>
            <w:shd w:val="clear" w:color="auto" w:fill="F2F2F2" w:themeFill="background1" w:themeFillShade="F2"/>
            <w:noWrap/>
            <w:vAlign w:val="bottom"/>
            <w:hideMark/>
          </w:tcPr>
          <w:p w14:paraId="7995720D"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489" w:type="pct"/>
            <w:tcBorders>
              <w:top w:val="nil"/>
              <w:left w:val="nil"/>
              <w:bottom w:val="single" w:sz="4" w:space="0" w:color="auto"/>
              <w:right w:val="single" w:sz="4" w:space="0" w:color="auto"/>
            </w:tcBorders>
            <w:shd w:val="clear" w:color="auto" w:fill="F2F2F2" w:themeFill="background1" w:themeFillShade="F2"/>
            <w:noWrap/>
            <w:vAlign w:val="bottom"/>
            <w:hideMark/>
          </w:tcPr>
          <w:p w14:paraId="75454984"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399" w:type="pct"/>
            <w:tcBorders>
              <w:top w:val="nil"/>
              <w:left w:val="nil"/>
              <w:bottom w:val="single" w:sz="4" w:space="0" w:color="auto"/>
              <w:right w:val="single" w:sz="4" w:space="0" w:color="auto"/>
            </w:tcBorders>
            <w:shd w:val="clear" w:color="auto" w:fill="auto"/>
            <w:noWrap/>
            <w:vAlign w:val="bottom"/>
            <w:hideMark/>
          </w:tcPr>
          <w:p w14:paraId="7E224343" w14:textId="77777777" w:rsidR="004B72A9" w:rsidRPr="004D1152" w:rsidRDefault="004B72A9" w:rsidP="00393E96">
            <w:pPr>
              <w:spacing w:after="0"/>
              <w:jc w:val="center"/>
              <w:rPr>
                <w:rFonts w:ascii="Arial Narrow" w:eastAsia="Times New Roman" w:hAnsi="Arial Narrow" w:cs="Times New Roman"/>
                <w:color w:val="000000"/>
                <w:sz w:val="20"/>
                <w:szCs w:val="20"/>
              </w:rPr>
            </w:pPr>
            <w:r>
              <w:rPr>
                <w:rFonts w:ascii="Arial Narrow" w:eastAsia="Times New Roman" w:hAnsi="Arial Narrow" w:cs="Times New Roman"/>
                <w:color w:val="000000"/>
                <w:sz w:val="20"/>
                <w:szCs w:val="20"/>
              </w:rPr>
              <w:t>17</w:t>
            </w:r>
          </w:p>
        </w:tc>
        <w:tc>
          <w:tcPr>
            <w:tcW w:w="396" w:type="pct"/>
            <w:tcBorders>
              <w:top w:val="nil"/>
              <w:left w:val="nil"/>
              <w:bottom w:val="single" w:sz="4" w:space="0" w:color="auto"/>
              <w:right w:val="single" w:sz="4" w:space="0" w:color="auto"/>
            </w:tcBorders>
            <w:shd w:val="clear" w:color="auto" w:fill="auto"/>
            <w:noWrap/>
            <w:vAlign w:val="bottom"/>
            <w:hideMark/>
          </w:tcPr>
          <w:p w14:paraId="037B5A5A"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121</w:t>
            </w:r>
          </w:p>
        </w:tc>
        <w:tc>
          <w:tcPr>
            <w:tcW w:w="396" w:type="pct"/>
            <w:tcBorders>
              <w:top w:val="nil"/>
              <w:left w:val="nil"/>
              <w:bottom w:val="single" w:sz="4" w:space="0" w:color="auto"/>
              <w:right w:val="single" w:sz="4" w:space="0" w:color="auto"/>
            </w:tcBorders>
            <w:shd w:val="clear" w:color="auto" w:fill="auto"/>
            <w:noWrap/>
            <w:vAlign w:val="bottom"/>
            <w:hideMark/>
          </w:tcPr>
          <w:p w14:paraId="2E45EFA9"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135</w:t>
            </w:r>
          </w:p>
        </w:tc>
        <w:tc>
          <w:tcPr>
            <w:tcW w:w="489" w:type="pct"/>
            <w:tcBorders>
              <w:top w:val="nil"/>
              <w:left w:val="nil"/>
              <w:bottom w:val="single" w:sz="4" w:space="0" w:color="auto"/>
              <w:right w:val="single" w:sz="4" w:space="0" w:color="auto"/>
            </w:tcBorders>
            <w:shd w:val="clear" w:color="auto" w:fill="auto"/>
            <w:noWrap/>
            <w:vAlign w:val="bottom"/>
            <w:hideMark/>
          </w:tcPr>
          <w:p w14:paraId="4C07EC61"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144</w:t>
            </w:r>
          </w:p>
        </w:tc>
        <w:tc>
          <w:tcPr>
            <w:tcW w:w="495" w:type="pct"/>
            <w:tcBorders>
              <w:top w:val="nil"/>
              <w:left w:val="nil"/>
              <w:bottom w:val="single" w:sz="4" w:space="0" w:color="auto"/>
              <w:right w:val="single" w:sz="4" w:space="0" w:color="auto"/>
            </w:tcBorders>
            <w:shd w:val="clear" w:color="auto" w:fill="auto"/>
            <w:noWrap/>
            <w:vAlign w:val="bottom"/>
            <w:hideMark/>
          </w:tcPr>
          <w:p w14:paraId="670411BD"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210</w:t>
            </w:r>
          </w:p>
        </w:tc>
        <w:tc>
          <w:tcPr>
            <w:tcW w:w="493" w:type="pct"/>
            <w:tcBorders>
              <w:top w:val="nil"/>
              <w:left w:val="nil"/>
              <w:bottom w:val="single" w:sz="4" w:space="0" w:color="auto"/>
              <w:right w:val="single" w:sz="4" w:space="0" w:color="auto"/>
            </w:tcBorders>
            <w:shd w:val="clear" w:color="auto" w:fill="auto"/>
            <w:noWrap/>
            <w:vAlign w:val="bottom"/>
            <w:hideMark/>
          </w:tcPr>
          <w:p w14:paraId="22296AF6"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371</w:t>
            </w:r>
          </w:p>
        </w:tc>
        <w:tc>
          <w:tcPr>
            <w:tcW w:w="495" w:type="pct"/>
            <w:tcBorders>
              <w:top w:val="nil"/>
              <w:left w:val="nil"/>
              <w:bottom w:val="single" w:sz="4" w:space="0" w:color="auto"/>
              <w:right w:val="single" w:sz="4" w:space="0" w:color="auto"/>
            </w:tcBorders>
            <w:shd w:val="clear" w:color="auto" w:fill="auto"/>
            <w:noWrap/>
            <w:vAlign w:val="bottom"/>
            <w:hideMark/>
          </w:tcPr>
          <w:p w14:paraId="29F9170A"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230</w:t>
            </w:r>
          </w:p>
        </w:tc>
      </w:tr>
      <w:tr w:rsidR="007A4AFD" w:rsidRPr="004D1152" w14:paraId="59BFCF65" w14:textId="77777777" w:rsidTr="007F16DA">
        <w:trPr>
          <w:trHeight w:val="301"/>
        </w:trPr>
        <w:tc>
          <w:tcPr>
            <w:tcW w:w="9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CFA59" w14:textId="77777777" w:rsidR="004B72A9" w:rsidRDefault="004B72A9" w:rsidP="00393E96">
            <w:pPr>
              <w:spacing w:after="0"/>
              <w:rPr>
                <w:rFonts w:ascii="Arial Narrow" w:eastAsia="Times New Roman" w:hAnsi="Arial Narrow" w:cs="Times New Roman"/>
                <w:b/>
                <w:bCs/>
                <w:color w:val="000000"/>
                <w:sz w:val="20"/>
                <w:szCs w:val="20"/>
              </w:rPr>
            </w:pPr>
            <w:r w:rsidRPr="004D1152">
              <w:rPr>
                <w:rFonts w:ascii="Arial Narrow" w:eastAsia="Times New Roman" w:hAnsi="Arial Narrow" w:cs="Times New Roman"/>
                <w:b/>
                <w:bCs/>
                <w:color w:val="000000"/>
                <w:sz w:val="20"/>
                <w:szCs w:val="20"/>
              </w:rPr>
              <w:t>CETUXIMAB</w:t>
            </w:r>
          </w:p>
          <w:p w14:paraId="1F7CE52D" w14:textId="77777777" w:rsidR="004B72A9" w:rsidRPr="004D1152" w:rsidRDefault="004B72A9" w:rsidP="00393E96">
            <w:pPr>
              <w:spacing w:after="0"/>
              <w:rPr>
                <w:rFonts w:ascii="Arial Narrow" w:eastAsia="Times New Roman" w:hAnsi="Arial Narrow" w:cs="Times New Roman"/>
                <w:b/>
                <w:bCs/>
                <w:color w:val="000000"/>
                <w:sz w:val="20"/>
                <w:szCs w:val="20"/>
              </w:rPr>
            </w:pPr>
            <w:r w:rsidRPr="00FC1867">
              <w:rPr>
                <w:rFonts w:ascii="Arial Narrow" w:eastAsia="Times New Roman" w:hAnsi="Arial Narrow" w:cs="Times New Roman"/>
                <w:b/>
                <w:bCs/>
                <w:i/>
                <w:color w:val="000000"/>
                <w:sz w:val="20"/>
                <w:szCs w:val="20"/>
              </w:rPr>
              <w:t>Subtotal – all lines</w:t>
            </w:r>
          </w:p>
        </w:tc>
        <w:tc>
          <w:tcPr>
            <w:tcW w:w="396"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570B5B5"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p>
        </w:tc>
        <w:tc>
          <w:tcPr>
            <w:tcW w:w="489"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hideMark/>
          </w:tcPr>
          <w:p w14:paraId="1FF7A9BD"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p>
        </w:tc>
        <w:tc>
          <w:tcPr>
            <w:tcW w:w="39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3767FC" w14:textId="77777777" w:rsidR="004B72A9" w:rsidRPr="004D1152" w:rsidRDefault="004B72A9" w:rsidP="00393E96">
            <w:pPr>
              <w:spacing w:after="0"/>
              <w:jc w:val="center"/>
              <w:rPr>
                <w:rFonts w:ascii="Arial Narrow" w:eastAsia="Times New Roman" w:hAnsi="Arial Narrow" w:cs="Times New Roman"/>
                <w:b/>
                <w:bCs/>
                <w:i/>
                <w:color w:val="000000"/>
                <w:sz w:val="20"/>
                <w:szCs w:val="20"/>
              </w:rPr>
            </w:pPr>
            <w:r w:rsidRPr="00943BD3">
              <w:rPr>
                <w:rFonts w:ascii="Arial Narrow" w:eastAsia="Times New Roman" w:hAnsi="Arial Narrow" w:cs="Times New Roman"/>
                <w:b/>
                <w:bCs/>
                <w:i/>
                <w:color w:val="000000"/>
                <w:sz w:val="20"/>
                <w:szCs w:val="20"/>
              </w:rPr>
              <w:t>2,</w:t>
            </w:r>
            <w:r w:rsidRPr="004D1152">
              <w:rPr>
                <w:rFonts w:ascii="Arial Narrow" w:eastAsia="Times New Roman" w:hAnsi="Arial Narrow" w:cs="Times New Roman"/>
                <w:b/>
                <w:bCs/>
                <w:i/>
                <w:color w:val="000000"/>
                <w:sz w:val="20"/>
                <w:szCs w:val="20"/>
              </w:rPr>
              <w:t>958</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9D34D2" w14:textId="77777777" w:rsidR="004B72A9" w:rsidRPr="004D1152" w:rsidRDefault="004B72A9" w:rsidP="00393E96">
            <w:pPr>
              <w:spacing w:after="0"/>
              <w:jc w:val="center"/>
              <w:rPr>
                <w:rFonts w:ascii="Arial Narrow" w:eastAsia="Times New Roman" w:hAnsi="Arial Narrow" w:cs="Times New Roman"/>
                <w:b/>
                <w:bCs/>
                <w:i/>
                <w:color w:val="000000"/>
                <w:sz w:val="20"/>
                <w:szCs w:val="20"/>
              </w:rPr>
            </w:pPr>
            <w:r w:rsidRPr="004D1152">
              <w:rPr>
                <w:rFonts w:ascii="Arial Narrow" w:eastAsia="Times New Roman" w:hAnsi="Arial Narrow" w:cs="Times New Roman"/>
                <w:b/>
                <w:bCs/>
                <w:i/>
                <w:color w:val="000000"/>
                <w:sz w:val="20"/>
                <w:szCs w:val="20"/>
              </w:rPr>
              <w:t>14,808</w:t>
            </w:r>
          </w:p>
        </w:tc>
        <w:tc>
          <w:tcPr>
            <w:tcW w:w="39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0022F3" w14:textId="77777777" w:rsidR="004B72A9" w:rsidRPr="004D1152" w:rsidRDefault="004B72A9" w:rsidP="00393E96">
            <w:pPr>
              <w:spacing w:after="0"/>
              <w:jc w:val="center"/>
              <w:rPr>
                <w:rFonts w:ascii="Arial Narrow" w:eastAsia="Times New Roman" w:hAnsi="Arial Narrow" w:cs="Times New Roman"/>
                <w:b/>
                <w:bCs/>
                <w:i/>
                <w:color w:val="000000"/>
                <w:sz w:val="20"/>
                <w:szCs w:val="20"/>
              </w:rPr>
            </w:pPr>
            <w:r w:rsidRPr="004D1152">
              <w:rPr>
                <w:rFonts w:ascii="Arial Narrow" w:eastAsia="Times New Roman" w:hAnsi="Arial Narrow" w:cs="Times New Roman"/>
                <w:b/>
                <w:bCs/>
                <w:i/>
                <w:color w:val="000000"/>
                <w:sz w:val="20"/>
                <w:szCs w:val="20"/>
              </w:rPr>
              <w:t>15,935</w:t>
            </w:r>
          </w:p>
        </w:tc>
        <w:tc>
          <w:tcPr>
            <w:tcW w:w="48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982C4" w14:textId="77777777" w:rsidR="004B72A9" w:rsidRPr="004D1152" w:rsidRDefault="004B72A9" w:rsidP="00393E96">
            <w:pPr>
              <w:spacing w:after="0"/>
              <w:jc w:val="center"/>
              <w:rPr>
                <w:rFonts w:ascii="Arial Narrow" w:eastAsia="Times New Roman" w:hAnsi="Arial Narrow" w:cs="Times New Roman"/>
                <w:b/>
                <w:bCs/>
                <w:i/>
                <w:color w:val="000000"/>
                <w:sz w:val="20"/>
                <w:szCs w:val="20"/>
              </w:rPr>
            </w:pPr>
            <w:r w:rsidRPr="004D1152">
              <w:rPr>
                <w:rFonts w:ascii="Arial Narrow" w:eastAsia="Times New Roman" w:hAnsi="Arial Narrow" w:cs="Times New Roman"/>
                <w:b/>
                <w:bCs/>
                <w:i/>
                <w:color w:val="000000"/>
                <w:sz w:val="20"/>
                <w:szCs w:val="20"/>
              </w:rPr>
              <w:t>15,269</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A85C7" w14:textId="77777777" w:rsidR="004B72A9" w:rsidRPr="004D1152" w:rsidRDefault="004B72A9" w:rsidP="00393E96">
            <w:pPr>
              <w:spacing w:after="0"/>
              <w:jc w:val="center"/>
              <w:rPr>
                <w:rFonts w:ascii="Arial Narrow" w:eastAsia="Times New Roman" w:hAnsi="Arial Narrow" w:cs="Times New Roman"/>
                <w:b/>
                <w:bCs/>
                <w:i/>
                <w:color w:val="000000"/>
                <w:sz w:val="20"/>
                <w:szCs w:val="20"/>
              </w:rPr>
            </w:pPr>
            <w:r w:rsidRPr="004D1152">
              <w:rPr>
                <w:rFonts w:ascii="Arial Narrow" w:eastAsia="Times New Roman" w:hAnsi="Arial Narrow" w:cs="Times New Roman"/>
                <w:b/>
                <w:bCs/>
                <w:i/>
                <w:color w:val="000000"/>
                <w:sz w:val="20"/>
                <w:szCs w:val="20"/>
              </w:rPr>
              <w:t>13,536</w:t>
            </w:r>
          </w:p>
        </w:tc>
        <w:tc>
          <w:tcPr>
            <w:tcW w:w="4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5ADE69" w14:textId="77777777" w:rsidR="004B72A9" w:rsidRPr="004D1152" w:rsidRDefault="004B72A9" w:rsidP="00393E96">
            <w:pPr>
              <w:spacing w:after="0"/>
              <w:jc w:val="center"/>
              <w:rPr>
                <w:rFonts w:ascii="Arial Narrow" w:eastAsia="Times New Roman" w:hAnsi="Arial Narrow" w:cs="Times New Roman"/>
                <w:b/>
                <w:bCs/>
                <w:i/>
                <w:color w:val="000000"/>
                <w:sz w:val="20"/>
                <w:szCs w:val="20"/>
              </w:rPr>
            </w:pPr>
            <w:r w:rsidRPr="004D1152">
              <w:rPr>
                <w:rFonts w:ascii="Arial Narrow" w:eastAsia="Times New Roman" w:hAnsi="Arial Narrow" w:cs="Times New Roman"/>
                <w:b/>
                <w:bCs/>
                <w:i/>
                <w:color w:val="000000"/>
                <w:sz w:val="20"/>
                <w:szCs w:val="20"/>
              </w:rPr>
              <w:t>14,929</w:t>
            </w:r>
          </w:p>
        </w:tc>
        <w:tc>
          <w:tcPr>
            <w:tcW w:w="4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13480D" w14:textId="77777777" w:rsidR="004B72A9" w:rsidRPr="004D1152" w:rsidRDefault="004B72A9" w:rsidP="00393E96">
            <w:pPr>
              <w:spacing w:after="0"/>
              <w:jc w:val="center"/>
              <w:rPr>
                <w:rFonts w:ascii="Arial Narrow" w:eastAsia="Times New Roman" w:hAnsi="Arial Narrow" w:cs="Times New Roman"/>
                <w:b/>
                <w:bCs/>
                <w:i/>
                <w:color w:val="000000"/>
                <w:sz w:val="20"/>
                <w:szCs w:val="20"/>
              </w:rPr>
            </w:pPr>
            <w:r w:rsidRPr="004D1152">
              <w:rPr>
                <w:rFonts w:ascii="Arial Narrow" w:eastAsia="Times New Roman" w:hAnsi="Arial Narrow" w:cs="Times New Roman"/>
                <w:b/>
                <w:bCs/>
                <w:i/>
                <w:color w:val="000000"/>
                <w:sz w:val="20"/>
                <w:szCs w:val="20"/>
              </w:rPr>
              <w:t>7,692</w:t>
            </w:r>
          </w:p>
        </w:tc>
      </w:tr>
      <w:tr w:rsidR="007A4AFD" w:rsidRPr="004D1152" w14:paraId="32020EF4" w14:textId="77777777" w:rsidTr="007F16DA">
        <w:trPr>
          <w:trHeight w:val="301"/>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2E844A22" w14:textId="77777777" w:rsidR="004B72A9" w:rsidRPr="004D1152" w:rsidRDefault="004B72A9" w:rsidP="00393E96">
            <w:pPr>
              <w:spacing w:after="0"/>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1: First-line</w:t>
            </w:r>
          </w:p>
        </w:tc>
        <w:tc>
          <w:tcPr>
            <w:tcW w:w="396" w:type="pct"/>
            <w:tcBorders>
              <w:top w:val="nil"/>
              <w:left w:val="nil"/>
              <w:bottom w:val="single" w:sz="4" w:space="0" w:color="auto"/>
              <w:right w:val="single" w:sz="4" w:space="0" w:color="auto"/>
            </w:tcBorders>
            <w:shd w:val="clear" w:color="auto" w:fill="F2F2F2" w:themeFill="background1" w:themeFillShade="F2"/>
            <w:noWrap/>
            <w:vAlign w:val="bottom"/>
            <w:hideMark/>
          </w:tcPr>
          <w:p w14:paraId="241CB82B"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489" w:type="pct"/>
            <w:tcBorders>
              <w:top w:val="nil"/>
              <w:left w:val="nil"/>
              <w:bottom w:val="single" w:sz="4" w:space="0" w:color="auto"/>
              <w:right w:val="single" w:sz="4" w:space="0" w:color="auto"/>
            </w:tcBorders>
            <w:shd w:val="clear" w:color="auto" w:fill="F2F2F2" w:themeFill="background1" w:themeFillShade="F2"/>
            <w:noWrap/>
            <w:vAlign w:val="bottom"/>
            <w:hideMark/>
          </w:tcPr>
          <w:p w14:paraId="7CD21DD6"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399" w:type="pct"/>
            <w:tcBorders>
              <w:top w:val="nil"/>
              <w:left w:val="nil"/>
              <w:bottom w:val="single" w:sz="4" w:space="0" w:color="auto"/>
              <w:right w:val="single" w:sz="4" w:space="0" w:color="auto"/>
            </w:tcBorders>
            <w:shd w:val="clear" w:color="auto" w:fill="auto"/>
            <w:noWrap/>
            <w:vAlign w:val="bottom"/>
            <w:hideMark/>
          </w:tcPr>
          <w:p w14:paraId="23CFA13E"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1,150</w:t>
            </w:r>
          </w:p>
        </w:tc>
        <w:tc>
          <w:tcPr>
            <w:tcW w:w="396" w:type="pct"/>
            <w:tcBorders>
              <w:top w:val="nil"/>
              <w:left w:val="nil"/>
              <w:bottom w:val="single" w:sz="4" w:space="0" w:color="auto"/>
              <w:right w:val="single" w:sz="4" w:space="0" w:color="auto"/>
            </w:tcBorders>
            <w:shd w:val="clear" w:color="auto" w:fill="auto"/>
            <w:noWrap/>
            <w:vAlign w:val="bottom"/>
            <w:hideMark/>
          </w:tcPr>
          <w:p w14:paraId="6F697CCB"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5,255</w:t>
            </w:r>
          </w:p>
        </w:tc>
        <w:tc>
          <w:tcPr>
            <w:tcW w:w="396" w:type="pct"/>
            <w:tcBorders>
              <w:top w:val="nil"/>
              <w:left w:val="nil"/>
              <w:bottom w:val="single" w:sz="4" w:space="0" w:color="auto"/>
              <w:right w:val="single" w:sz="4" w:space="0" w:color="auto"/>
            </w:tcBorders>
            <w:shd w:val="clear" w:color="auto" w:fill="auto"/>
            <w:noWrap/>
            <w:vAlign w:val="bottom"/>
            <w:hideMark/>
          </w:tcPr>
          <w:p w14:paraId="3CE57D92"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4,832</w:t>
            </w:r>
          </w:p>
        </w:tc>
        <w:tc>
          <w:tcPr>
            <w:tcW w:w="489" w:type="pct"/>
            <w:tcBorders>
              <w:top w:val="nil"/>
              <w:left w:val="nil"/>
              <w:bottom w:val="single" w:sz="4" w:space="0" w:color="auto"/>
              <w:right w:val="single" w:sz="4" w:space="0" w:color="auto"/>
            </w:tcBorders>
            <w:shd w:val="clear" w:color="auto" w:fill="auto"/>
            <w:noWrap/>
            <w:vAlign w:val="bottom"/>
            <w:hideMark/>
          </w:tcPr>
          <w:p w14:paraId="4B0F0D40"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4,486</w:t>
            </w:r>
          </w:p>
        </w:tc>
        <w:tc>
          <w:tcPr>
            <w:tcW w:w="495" w:type="pct"/>
            <w:tcBorders>
              <w:top w:val="nil"/>
              <w:left w:val="nil"/>
              <w:bottom w:val="single" w:sz="4" w:space="0" w:color="auto"/>
              <w:right w:val="single" w:sz="4" w:space="0" w:color="auto"/>
            </w:tcBorders>
            <w:shd w:val="clear" w:color="auto" w:fill="auto"/>
            <w:noWrap/>
            <w:vAlign w:val="bottom"/>
            <w:hideMark/>
          </w:tcPr>
          <w:p w14:paraId="1B7C2778"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4,369</w:t>
            </w:r>
          </w:p>
        </w:tc>
        <w:tc>
          <w:tcPr>
            <w:tcW w:w="493" w:type="pct"/>
            <w:tcBorders>
              <w:top w:val="nil"/>
              <w:left w:val="nil"/>
              <w:bottom w:val="single" w:sz="4" w:space="0" w:color="auto"/>
              <w:right w:val="single" w:sz="4" w:space="0" w:color="auto"/>
            </w:tcBorders>
            <w:shd w:val="clear" w:color="auto" w:fill="auto"/>
            <w:noWrap/>
            <w:vAlign w:val="bottom"/>
            <w:hideMark/>
          </w:tcPr>
          <w:p w14:paraId="0502EA8F"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6,925</w:t>
            </w:r>
          </w:p>
        </w:tc>
        <w:tc>
          <w:tcPr>
            <w:tcW w:w="495" w:type="pct"/>
            <w:tcBorders>
              <w:top w:val="nil"/>
              <w:left w:val="nil"/>
              <w:bottom w:val="single" w:sz="4" w:space="0" w:color="auto"/>
              <w:right w:val="single" w:sz="4" w:space="0" w:color="auto"/>
            </w:tcBorders>
            <w:shd w:val="clear" w:color="auto" w:fill="auto"/>
            <w:noWrap/>
            <w:vAlign w:val="bottom"/>
            <w:hideMark/>
          </w:tcPr>
          <w:p w14:paraId="5BED19C2"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3,836</w:t>
            </w:r>
          </w:p>
        </w:tc>
      </w:tr>
      <w:tr w:rsidR="007A4AFD" w:rsidRPr="004D1152" w14:paraId="75A046CC" w14:textId="77777777" w:rsidTr="007F16DA">
        <w:trPr>
          <w:trHeight w:val="301"/>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14047A90" w14:textId="77777777" w:rsidR="004B72A9" w:rsidRPr="004D1152" w:rsidRDefault="004B72A9" w:rsidP="00393E96">
            <w:pPr>
              <w:spacing w:after="0"/>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2: Second-line</w:t>
            </w:r>
          </w:p>
        </w:tc>
        <w:tc>
          <w:tcPr>
            <w:tcW w:w="396" w:type="pct"/>
            <w:tcBorders>
              <w:top w:val="nil"/>
              <w:left w:val="nil"/>
              <w:bottom w:val="single" w:sz="4" w:space="0" w:color="auto"/>
              <w:right w:val="single" w:sz="4" w:space="0" w:color="auto"/>
            </w:tcBorders>
            <w:shd w:val="clear" w:color="auto" w:fill="F2F2F2" w:themeFill="background1" w:themeFillShade="F2"/>
            <w:noWrap/>
            <w:vAlign w:val="bottom"/>
            <w:hideMark/>
          </w:tcPr>
          <w:p w14:paraId="0ADEAA93"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489" w:type="pct"/>
            <w:tcBorders>
              <w:top w:val="nil"/>
              <w:left w:val="nil"/>
              <w:bottom w:val="single" w:sz="4" w:space="0" w:color="auto"/>
              <w:right w:val="single" w:sz="4" w:space="0" w:color="auto"/>
            </w:tcBorders>
            <w:shd w:val="clear" w:color="auto" w:fill="F2F2F2" w:themeFill="background1" w:themeFillShade="F2"/>
            <w:noWrap/>
            <w:vAlign w:val="bottom"/>
            <w:hideMark/>
          </w:tcPr>
          <w:p w14:paraId="1B428F17"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399" w:type="pct"/>
            <w:tcBorders>
              <w:top w:val="nil"/>
              <w:left w:val="nil"/>
              <w:bottom w:val="single" w:sz="4" w:space="0" w:color="auto"/>
              <w:right w:val="single" w:sz="4" w:space="0" w:color="auto"/>
            </w:tcBorders>
            <w:shd w:val="clear" w:color="auto" w:fill="auto"/>
            <w:noWrap/>
            <w:vAlign w:val="bottom"/>
            <w:hideMark/>
          </w:tcPr>
          <w:p w14:paraId="637815FB"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1,786</w:t>
            </w:r>
          </w:p>
        </w:tc>
        <w:tc>
          <w:tcPr>
            <w:tcW w:w="396" w:type="pct"/>
            <w:tcBorders>
              <w:top w:val="nil"/>
              <w:left w:val="nil"/>
              <w:bottom w:val="single" w:sz="4" w:space="0" w:color="auto"/>
              <w:right w:val="single" w:sz="4" w:space="0" w:color="auto"/>
            </w:tcBorders>
            <w:shd w:val="clear" w:color="auto" w:fill="auto"/>
            <w:noWrap/>
            <w:vAlign w:val="bottom"/>
            <w:hideMark/>
          </w:tcPr>
          <w:p w14:paraId="10F039F8"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9,337</w:t>
            </w:r>
          </w:p>
        </w:tc>
        <w:tc>
          <w:tcPr>
            <w:tcW w:w="396" w:type="pct"/>
            <w:tcBorders>
              <w:top w:val="nil"/>
              <w:left w:val="nil"/>
              <w:bottom w:val="single" w:sz="4" w:space="0" w:color="auto"/>
              <w:right w:val="single" w:sz="4" w:space="0" w:color="auto"/>
            </w:tcBorders>
            <w:shd w:val="clear" w:color="auto" w:fill="auto"/>
            <w:noWrap/>
            <w:vAlign w:val="bottom"/>
            <w:hideMark/>
          </w:tcPr>
          <w:p w14:paraId="6AEC9544"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10,888</w:t>
            </w:r>
          </w:p>
        </w:tc>
        <w:tc>
          <w:tcPr>
            <w:tcW w:w="489" w:type="pct"/>
            <w:tcBorders>
              <w:top w:val="nil"/>
              <w:left w:val="nil"/>
              <w:bottom w:val="single" w:sz="4" w:space="0" w:color="auto"/>
              <w:right w:val="single" w:sz="4" w:space="0" w:color="auto"/>
            </w:tcBorders>
            <w:shd w:val="clear" w:color="auto" w:fill="auto"/>
            <w:noWrap/>
            <w:vAlign w:val="bottom"/>
            <w:hideMark/>
          </w:tcPr>
          <w:p w14:paraId="1127380F"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10,594</w:t>
            </w:r>
          </w:p>
        </w:tc>
        <w:tc>
          <w:tcPr>
            <w:tcW w:w="495" w:type="pct"/>
            <w:tcBorders>
              <w:top w:val="nil"/>
              <w:left w:val="nil"/>
              <w:bottom w:val="single" w:sz="4" w:space="0" w:color="auto"/>
              <w:right w:val="single" w:sz="4" w:space="0" w:color="auto"/>
            </w:tcBorders>
            <w:shd w:val="clear" w:color="auto" w:fill="auto"/>
            <w:noWrap/>
            <w:vAlign w:val="bottom"/>
            <w:hideMark/>
          </w:tcPr>
          <w:p w14:paraId="289E4F93"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8,810</w:t>
            </w:r>
          </w:p>
        </w:tc>
        <w:tc>
          <w:tcPr>
            <w:tcW w:w="493" w:type="pct"/>
            <w:tcBorders>
              <w:top w:val="nil"/>
              <w:left w:val="nil"/>
              <w:bottom w:val="single" w:sz="4" w:space="0" w:color="auto"/>
              <w:right w:val="single" w:sz="4" w:space="0" w:color="auto"/>
            </w:tcBorders>
            <w:shd w:val="clear" w:color="auto" w:fill="auto"/>
            <w:noWrap/>
            <w:vAlign w:val="bottom"/>
            <w:hideMark/>
          </w:tcPr>
          <w:p w14:paraId="5C5F6FC0"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7,563</w:t>
            </w:r>
          </w:p>
        </w:tc>
        <w:tc>
          <w:tcPr>
            <w:tcW w:w="495" w:type="pct"/>
            <w:tcBorders>
              <w:top w:val="nil"/>
              <w:left w:val="nil"/>
              <w:bottom w:val="single" w:sz="4" w:space="0" w:color="auto"/>
              <w:right w:val="single" w:sz="4" w:space="0" w:color="auto"/>
            </w:tcBorders>
            <w:shd w:val="clear" w:color="auto" w:fill="auto"/>
            <w:noWrap/>
            <w:vAlign w:val="bottom"/>
            <w:hideMark/>
          </w:tcPr>
          <w:p w14:paraId="544EFF2D"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3,618</w:t>
            </w:r>
          </w:p>
        </w:tc>
      </w:tr>
      <w:tr w:rsidR="007A4AFD" w:rsidRPr="004D1152" w14:paraId="73FE23D4" w14:textId="77777777" w:rsidTr="007F16DA">
        <w:trPr>
          <w:trHeight w:val="301"/>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20C8FE11" w14:textId="77777777" w:rsidR="004B72A9" w:rsidRPr="004D1152" w:rsidRDefault="004B72A9" w:rsidP="00393E96">
            <w:pPr>
              <w:spacing w:after="0"/>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3: After second-line</w:t>
            </w:r>
          </w:p>
        </w:tc>
        <w:tc>
          <w:tcPr>
            <w:tcW w:w="396" w:type="pct"/>
            <w:tcBorders>
              <w:top w:val="nil"/>
              <w:left w:val="nil"/>
              <w:bottom w:val="single" w:sz="4" w:space="0" w:color="auto"/>
              <w:right w:val="single" w:sz="4" w:space="0" w:color="auto"/>
            </w:tcBorders>
            <w:shd w:val="clear" w:color="auto" w:fill="F2F2F2" w:themeFill="background1" w:themeFillShade="F2"/>
            <w:noWrap/>
            <w:vAlign w:val="bottom"/>
            <w:hideMark/>
          </w:tcPr>
          <w:p w14:paraId="59C792B0"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489" w:type="pct"/>
            <w:tcBorders>
              <w:top w:val="nil"/>
              <w:left w:val="nil"/>
              <w:bottom w:val="single" w:sz="4" w:space="0" w:color="auto"/>
              <w:right w:val="single" w:sz="4" w:space="0" w:color="auto"/>
            </w:tcBorders>
            <w:shd w:val="clear" w:color="auto" w:fill="F2F2F2" w:themeFill="background1" w:themeFillShade="F2"/>
            <w:noWrap/>
            <w:vAlign w:val="bottom"/>
            <w:hideMark/>
          </w:tcPr>
          <w:p w14:paraId="585352D6"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399" w:type="pct"/>
            <w:tcBorders>
              <w:top w:val="nil"/>
              <w:left w:val="nil"/>
              <w:bottom w:val="single" w:sz="4" w:space="0" w:color="auto"/>
              <w:right w:val="single" w:sz="4" w:space="0" w:color="auto"/>
            </w:tcBorders>
            <w:shd w:val="clear" w:color="auto" w:fill="auto"/>
            <w:noWrap/>
            <w:vAlign w:val="bottom"/>
            <w:hideMark/>
          </w:tcPr>
          <w:p w14:paraId="0F9DC0F9"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22</w:t>
            </w:r>
          </w:p>
        </w:tc>
        <w:tc>
          <w:tcPr>
            <w:tcW w:w="396" w:type="pct"/>
            <w:tcBorders>
              <w:top w:val="nil"/>
              <w:left w:val="nil"/>
              <w:bottom w:val="single" w:sz="4" w:space="0" w:color="auto"/>
              <w:right w:val="single" w:sz="4" w:space="0" w:color="auto"/>
            </w:tcBorders>
            <w:shd w:val="clear" w:color="auto" w:fill="auto"/>
            <w:noWrap/>
            <w:vAlign w:val="bottom"/>
            <w:hideMark/>
          </w:tcPr>
          <w:p w14:paraId="3200D325"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216</w:t>
            </w:r>
          </w:p>
        </w:tc>
        <w:tc>
          <w:tcPr>
            <w:tcW w:w="396" w:type="pct"/>
            <w:tcBorders>
              <w:top w:val="nil"/>
              <w:left w:val="nil"/>
              <w:bottom w:val="single" w:sz="4" w:space="0" w:color="auto"/>
              <w:right w:val="single" w:sz="4" w:space="0" w:color="auto"/>
            </w:tcBorders>
            <w:shd w:val="clear" w:color="auto" w:fill="auto"/>
            <w:noWrap/>
            <w:vAlign w:val="bottom"/>
            <w:hideMark/>
          </w:tcPr>
          <w:p w14:paraId="64B0FF3E"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215</w:t>
            </w:r>
          </w:p>
        </w:tc>
        <w:tc>
          <w:tcPr>
            <w:tcW w:w="489" w:type="pct"/>
            <w:tcBorders>
              <w:top w:val="nil"/>
              <w:left w:val="nil"/>
              <w:bottom w:val="single" w:sz="4" w:space="0" w:color="auto"/>
              <w:right w:val="single" w:sz="4" w:space="0" w:color="auto"/>
            </w:tcBorders>
            <w:shd w:val="clear" w:color="auto" w:fill="auto"/>
            <w:noWrap/>
            <w:vAlign w:val="bottom"/>
            <w:hideMark/>
          </w:tcPr>
          <w:p w14:paraId="753CCE54"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189</w:t>
            </w:r>
          </w:p>
        </w:tc>
        <w:tc>
          <w:tcPr>
            <w:tcW w:w="495" w:type="pct"/>
            <w:tcBorders>
              <w:top w:val="nil"/>
              <w:left w:val="nil"/>
              <w:bottom w:val="single" w:sz="4" w:space="0" w:color="auto"/>
              <w:right w:val="single" w:sz="4" w:space="0" w:color="auto"/>
            </w:tcBorders>
            <w:shd w:val="clear" w:color="auto" w:fill="auto"/>
            <w:noWrap/>
            <w:vAlign w:val="bottom"/>
            <w:hideMark/>
          </w:tcPr>
          <w:p w14:paraId="38C4606E"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357</w:t>
            </w:r>
          </w:p>
        </w:tc>
        <w:tc>
          <w:tcPr>
            <w:tcW w:w="493" w:type="pct"/>
            <w:tcBorders>
              <w:top w:val="nil"/>
              <w:left w:val="nil"/>
              <w:bottom w:val="single" w:sz="4" w:space="0" w:color="auto"/>
              <w:right w:val="single" w:sz="4" w:space="0" w:color="auto"/>
            </w:tcBorders>
            <w:shd w:val="clear" w:color="auto" w:fill="auto"/>
            <w:noWrap/>
            <w:vAlign w:val="bottom"/>
            <w:hideMark/>
          </w:tcPr>
          <w:p w14:paraId="60B435CC"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441</w:t>
            </w:r>
          </w:p>
        </w:tc>
        <w:tc>
          <w:tcPr>
            <w:tcW w:w="495" w:type="pct"/>
            <w:tcBorders>
              <w:top w:val="nil"/>
              <w:left w:val="nil"/>
              <w:bottom w:val="single" w:sz="4" w:space="0" w:color="auto"/>
              <w:right w:val="single" w:sz="4" w:space="0" w:color="auto"/>
            </w:tcBorders>
            <w:shd w:val="clear" w:color="auto" w:fill="auto"/>
            <w:noWrap/>
            <w:vAlign w:val="bottom"/>
            <w:hideMark/>
          </w:tcPr>
          <w:p w14:paraId="7C80CB24"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238</w:t>
            </w:r>
          </w:p>
        </w:tc>
      </w:tr>
      <w:tr w:rsidR="007A4AFD" w:rsidRPr="004D1152" w14:paraId="541A0C4C" w14:textId="77777777" w:rsidTr="007F16DA">
        <w:trPr>
          <w:trHeight w:val="301"/>
        </w:trPr>
        <w:tc>
          <w:tcPr>
            <w:tcW w:w="952" w:type="pct"/>
            <w:tcBorders>
              <w:top w:val="nil"/>
              <w:left w:val="single" w:sz="4" w:space="0" w:color="auto"/>
              <w:bottom w:val="single" w:sz="4" w:space="0" w:color="auto"/>
              <w:right w:val="nil"/>
            </w:tcBorders>
            <w:shd w:val="clear" w:color="auto" w:fill="auto"/>
            <w:noWrap/>
            <w:vAlign w:val="bottom"/>
            <w:hideMark/>
          </w:tcPr>
          <w:p w14:paraId="77B170AD" w14:textId="77777777" w:rsidR="004B72A9" w:rsidRDefault="004B72A9" w:rsidP="00393E96">
            <w:pPr>
              <w:spacing w:after="0"/>
              <w:rPr>
                <w:rFonts w:ascii="Arial Narrow" w:eastAsia="Times New Roman" w:hAnsi="Arial Narrow" w:cs="Times New Roman"/>
                <w:b/>
                <w:bCs/>
                <w:color w:val="000000"/>
                <w:sz w:val="20"/>
                <w:szCs w:val="20"/>
              </w:rPr>
            </w:pPr>
            <w:r w:rsidRPr="004D1152">
              <w:rPr>
                <w:rFonts w:ascii="Arial Narrow" w:eastAsia="Times New Roman" w:hAnsi="Arial Narrow" w:cs="Times New Roman"/>
                <w:b/>
                <w:bCs/>
                <w:color w:val="000000"/>
                <w:sz w:val="20"/>
                <w:szCs w:val="20"/>
              </w:rPr>
              <w:t>PANITUMUMAB</w:t>
            </w:r>
          </w:p>
          <w:p w14:paraId="6D3C9601" w14:textId="77777777" w:rsidR="004B72A9" w:rsidRPr="004D1152" w:rsidRDefault="004B72A9" w:rsidP="00393E96">
            <w:pPr>
              <w:spacing w:after="0"/>
              <w:rPr>
                <w:rFonts w:ascii="Arial Narrow" w:eastAsia="Times New Roman" w:hAnsi="Arial Narrow" w:cs="Times New Roman"/>
                <w:b/>
                <w:bCs/>
                <w:color w:val="000000"/>
                <w:sz w:val="20"/>
                <w:szCs w:val="20"/>
              </w:rPr>
            </w:pPr>
            <w:r w:rsidRPr="00FC1867">
              <w:rPr>
                <w:rFonts w:ascii="Arial Narrow" w:eastAsia="Times New Roman" w:hAnsi="Arial Narrow" w:cs="Times New Roman"/>
                <w:b/>
                <w:bCs/>
                <w:i/>
                <w:color w:val="000000"/>
                <w:sz w:val="20"/>
                <w:szCs w:val="20"/>
              </w:rPr>
              <w:t>Subtotal – all lines</w:t>
            </w:r>
          </w:p>
        </w:tc>
        <w:tc>
          <w:tcPr>
            <w:tcW w:w="396" w:type="pct"/>
            <w:tcBorders>
              <w:top w:val="nil"/>
              <w:left w:val="single" w:sz="4" w:space="0" w:color="auto"/>
              <w:bottom w:val="single" w:sz="4" w:space="0" w:color="auto"/>
              <w:right w:val="single" w:sz="4" w:space="0" w:color="auto"/>
            </w:tcBorders>
            <w:shd w:val="clear" w:color="auto" w:fill="F2F2F2" w:themeFill="background1" w:themeFillShade="F2"/>
            <w:noWrap/>
            <w:vAlign w:val="bottom"/>
            <w:hideMark/>
          </w:tcPr>
          <w:p w14:paraId="485399A0"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p>
        </w:tc>
        <w:tc>
          <w:tcPr>
            <w:tcW w:w="489" w:type="pct"/>
            <w:tcBorders>
              <w:top w:val="nil"/>
              <w:left w:val="nil"/>
              <w:bottom w:val="single" w:sz="4" w:space="0" w:color="auto"/>
              <w:right w:val="single" w:sz="4" w:space="0" w:color="auto"/>
            </w:tcBorders>
            <w:shd w:val="clear" w:color="auto" w:fill="F2F2F2" w:themeFill="background1" w:themeFillShade="F2"/>
            <w:noWrap/>
            <w:vAlign w:val="bottom"/>
            <w:hideMark/>
          </w:tcPr>
          <w:p w14:paraId="4A39734E"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p>
        </w:tc>
        <w:tc>
          <w:tcPr>
            <w:tcW w:w="399" w:type="pct"/>
            <w:tcBorders>
              <w:top w:val="nil"/>
              <w:left w:val="nil"/>
              <w:bottom w:val="single" w:sz="4" w:space="0" w:color="auto"/>
              <w:right w:val="single" w:sz="4" w:space="0" w:color="auto"/>
            </w:tcBorders>
            <w:shd w:val="clear" w:color="auto" w:fill="F2F2F2" w:themeFill="background1" w:themeFillShade="F2"/>
            <w:noWrap/>
            <w:vAlign w:val="bottom"/>
            <w:hideMark/>
          </w:tcPr>
          <w:p w14:paraId="19094B8F"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p>
        </w:tc>
        <w:tc>
          <w:tcPr>
            <w:tcW w:w="396" w:type="pct"/>
            <w:tcBorders>
              <w:top w:val="nil"/>
              <w:left w:val="nil"/>
              <w:bottom w:val="single" w:sz="4" w:space="0" w:color="auto"/>
              <w:right w:val="single" w:sz="4" w:space="0" w:color="auto"/>
            </w:tcBorders>
            <w:shd w:val="clear" w:color="auto" w:fill="F2F2F2" w:themeFill="background1" w:themeFillShade="F2"/>
            <w:noWrap/>
            <w:vAlign w:val="bottom"/>
            <w:hideMark/>
          </w:tcPr>
          <w:p w14:paraId="14A466B9"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p>
        </w:tc>
        <w:tc>
          <w:tcPr>
            <w:tcW w:w="396" w:type="pct"/>
            <w:tcBorders>
              <w:top w:val="nil"/>
              <w:left w:val="nil"/>
              <w:bottom w:val="single" w:sz="4" w:space="0" w:color="auto"/>
              <w:right w:val="single" w:sz="4" w:space="0" w:color="auto"/>
            </w:tcBorders>
            <w:shd w:val="clear" w:color="auto" w:fill="F2F2F2" w:themeFill="background1" w:themeFillShade="F2"/>
            <w:noWrap/>
            <w:vAlign w:val="bottom"/>
            <w:hideMark/>
          </w:tcPr>
          <w:p w14:paraId="02057C69"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p>
        </w:tc>
        <w:tc>
          <w:tcPr>
            <w:tcW w:w="489" w:type="pct"/>
            <w:tcBorders>
              <w:top w:val="nil"/>
              <w:left w:val="nil"/>
              <w:bottom w:val="single" w:sz="4" w:space="0" w:color="auto"/>
              <w:right w:val="single" w:sz="4" w:space="0" w:color="auto"/>
            </w:tcBorders>
            <w:shd w:val="clear" w:color="auto" w:fill="auto"/>
            <w:noWrap/>
            <w:vAlign w:val="bottom"/>
            <w:hideMark/>
          </w:tcPr>
          <w:p w14:paraId="27827A46" w14:textId="77777777" w:rsidR="004B72A9" w:rsidRPr="004D1152" w:rsidRDefault="004B72A9" w:rsidP="00393E96">
            <w:pPr>
              <w:spacing w:after="0"/>
              <w:jc w:val="center"/>
              <w:rPr>
                <w:rFonts w:ascii="Arial Narrow" w:eastAsia="Times New Roman" w:hAnsi="Arial Narrow" w:cs="Times New Roman"/>
                <w:b/>
                <w:bCs/>
                <w:i/>
                <w:color w:val="000000"/>
                <w:sz w:val="20"/>
                <w:szCs w:val="20"/>
              </w:rPr>
            </w:pPr>
            <w:r w:rsidRPr="004D1152">
              <w:rPr>
                <w:rFonts w:ascii="Arial Narrow" w:eastAsia="Times New Roman" w:hAnsi="Arial Narrow" w:cs="Times New Roman"/>
                <w:b/>
                <w:bCs/>
                <w:i/>
                <w:color w:val="000000"/>
                <w:sz w:val="20"/>
                <w:szCs w:val="20"/>
              </w:rPr>
              <w:t>783</w:t>
            </w:r>
          </w:p>
        </w:tc>
        <w:tc>
          <w:tcPr>
            <w:tcW w:w="495" w:type="pct"/>
            <w:tcBorders>
              <w:top w:val="nil"/>
              <w:left w:val="nil"/>
              <w:bottom w:val="single" w:sz="4" w:space="0" w:color="auto"/>
              <w:right w:val="single" w:sz="4" w:space="0" w:color="auto"/>
            </w:tcBorders>
            <w:shd w:val="clear" w:color="auto" w:fill="auto"/>
            <w:noWrap/>
            <w:vAlign w:val="bottom"/>
            <w:hideMark/>
          </w:tcPr>
          <w:p w14:paraId="539996C3" w14:textId="77777777" w:rsidR="004B72A9" w:rsidRPr="004D1152" w:rsidRDefault="004B72A9" w:rsidP="00393E96">
            <w:pPr>
              <w:spacing w:after="0"/>
              <w:jc w:val="center"/>
              <w:rPr>
                <w:rFonts w:ascii="Arial Narrow" w:eastAsia="Times New Roman" w:hAnsi="Arial Narrow" w:cs="Times New Roman"/>
                <w:b/>
                <w:bCs/>
                <w:i/>
                <w:color w:val="000000"/>
                <w:sz w:val="20"/>
                <w:szCs w:val="20"/>
              </w:rPr>
            </w:pPr>
            <w:r w:rsidRPr="004D1152">
              <w:rPr>
                <w:rFonts w:ascii="Arial Narrow" w:eastAsia="Times New Roman" w:hAnsi="Arial Narrow" w:cs="Times New Roman"/>
                <w:b/>
                <w:bCs/>
                <w:i/>
                <w:color w:val="000000"/>
                <w:sz w:val="20"/>
                <w:szCs w:val="20"/>
              </w:rPr>
              <w:t>2,186</w:t>
            </w:r>
          </w:p>
        </w:tc>
        <w:tc>
          <w:tcPr>
            <w:tcW w:w="493" w:type="pct"/>
            <w:tcBorders>
              <w:top w:val="nil"/>
              <w:left w:val="nil"/>
              <w:bottom w:val="single" w:sz="4" w:space="0" w:color="auto"/>
              <w:right w:val="single" w:sz="4" w:space="0" w:color="auto"/>
            </w:tcBorders>
            <w:shd w:val="clear" w:color="auto" w:fill="auto"/>
            <w:noWrap/>
            <w:vAlign w:val="bottom"/>
            <w:hideMark/>
          </w:tcPr>
          <w:p w14:paraId="4639A4AF" w14:textId="77777777" w:rsidR="004B72A9" w:rsidRPr="004D1152" w:rsidRDefault="004B72A9" w:rsidP="00393E96">
            <w:pPr>
              <w:spacing w:after="0"/>
              <w:jc w:val="center"/>
              <w:rPr>
                <w:rFonts w:ascii="Arial Narrow" w:eastAsia="Times New Roman" w:hAnsi="Arial Narrow" w:cs="Times New Roman"/>
                <w:b/>
                <w:bCs/>
                <w:i/>
                <w:color w:val="000000"/>
                <w:sz w:val="20"/>
                <w:szCs w:val="20"/>
              </w:rPr>
            </w:pPr>
            <w:r w:rsidRPr="004D1152">
              <w:rPr>
                <w:rFonts w:ascii="Arial Narrow" w:eastAsia="Times New Roman" w:hAnsi="Arial Narrow" w:cs="Times New Roman"/>
                <w:b/>
                <w:bCs/>
                <w:i/>
                <w:color w:val="000000"/>
                <w:sz w:val="20"/>
                <w:szCs w:val="20"/>
              </w:rPr>
              <w:t>3,529</w:t>
            </w:r>
          </w:p>
        </w:tc>
        <w:tc>
          <w:tcPr>
            <w:tcW w:w="495" w:type="pct"/>
            <w:tcBorders>
              <w:top w:val="nil"/>
              <w:left w:val="nil"/>
              <w:bottom w:val="single" w:sz="4" w:space="0" w:color="auto"/>
              <w:right w:val="single" w:sz="4" w:space="0" w:color="auto"/>
            </w:tcBorders>
            <w:shd w:val="clear" w:color="auto" w:fill="auto"/>
            <w:noWrap/>
            <w:vAlign w:val="bottom"/>
            <w:hideMark/>
          </w:tcPr>
          <w:p w14:paraId="2C6FB25B" w14:textId="77777777" w:rsidR="004B72A9" w:rsidRPr="004D1152" w:rsidRDefault="004B72A9" w:rsidP="00393E96">
            <w:pPr>
              <w:spacing w:after="0"/>
              <w:jc w:val="center"/>
              <w:rPr>
                <w:rFonts w:ascii="Arial Narrow" w:eastAsia="Times New Roman" w:hAnsi="Arial Narrow" w:cs="Times New Roman"/>
                <w:b/>
                <w:bCs/>
                <w:i/>
                <w:color w:val="000000"/>
                <w:sz w:val="20"/>
                <w:szCs w:val="20"/>
              </w:rPr>
            </w:pPr>
            <w:r w:rsidRPr="004D1152">
              <w:rPr>
                <w:rFonts w:ascii="Arial Narrow" w:eastAsia="Times New Roman" w:hAnsi="Arial Narrow" w:cs="Times New Roman"/>
                <w:b/>
                <w:bCs/>
                <w:i/>
                <w:color w:val="000000"/>
                <w:sz w:val="20"/>
                <w:szCs w:val="20"/>
              </w:rPr>
              <w:t>2,876</w:t>
            </w:r>
          </w:p>
        </w:tc>
      </w:tr>
      <w:tr w:rsidR="007A4AFD" w:rsidRPr="004D1152" w14:paraId="26C8E3DF" w14:textId="77777777" w:rsidTr="007F16DA">
        <w:trPr>
          <w:trHeight w:val="301"/>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0656A524" w14:textId="77777777" w:rsidR="004B72A9" w:rsidRPr="004D1152" w:rsidRDefault="004B72A9" w:rsidP="00393E96">
            <w:pPr>
              <w:spacing w:after="0"/>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1: First-line</w:t>
            </w:r>
          </w:p>
        </w:tc>
        <w:tc>
          <w:tcPr>
            <w:tcW w:w="396" w:type="pct"/>
            <w:tcBorders>
              <w:top w:val="nil"/>
              <w:left w:val="nil"/>
              <w:bottom w:val="single" w:sz="4" w:space="0" w:color="auto"/>
              <w:right w:val="single" w:sz="4" w:space="0" w:color="auto"/>
            </w:tcBorders>
            <w:shd w:val="clear" w:color="auto" w:fill="F2F2F2" w:themeFill="background1" w:themeFillShade="F2"/>
            <w:noWrap/>
            <w:vAlign w:val="bottom"/>
            <w:hideMark/>
          </w:tcPr>
          <w:p w14:paraId="450A0E46"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489" w:type="pct"/>
            <w:tcBorders>
              <w:top w:val="nil"/>
              <w:left w:val="nil"/>
              <w:bottom w:val="single" w:sz="4" w:space="0" w:color="auto"/>
              <w:right w:val="single" w:sz="4" w:space="0" w:color="auto"/>
            </w:tcBorders>
            <w:shd w:val="clear" w:color="auto" w:fill="F2F2F2" w:themeFill="background1" w:themeFillShade="F2"/>
            <w:noWrap/>
            <w:vAlign w:val="bottom"/>
            <w:hideMark/>
          </w:tcPr>
          <w:p w14:paraId="2DD2761D"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399" w:type="pct"/>
            <w:tcBorders>
              <w:top w:val="nil"/>
              <w:left w:val="nil"/>
              <w:bottom w:val="single" w:sz="4" w:space="0" w:color="auto"/>
              <w:right w:val="single" w:sz="4" w:space="0" w:color="auto"/>
            </w:tcBorders>
            <w:shd w:val="clear" w:color="auto" w:fill="F2F2F2" w:themeFill="background1" w:themeFillShade="F2"/>
            <w:noWrap/>
            <w:vAlign w:val="bottom"/>
            <w:hideMark/>
          </w:tcPr>
          <w:p w14:paraId="7E09F279"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396" w:type="pct"/>
            <w:tcBorders>
              <w:top w:val="nil"/>
              <w:left w:val="nil"/>
              <w:bottom w:val="single" w:sz="4" w:space="0" w:color="auto"/>
              <w:right w:val="single" w:sz="4" w:space="0" w:color="auto"/>
            </w:tcBorders>
            <w:shd w:val="clear" w:color="auto" w:fill="F2F2F2" w:themeFill="background1" w:themeFillShade="F2"/>
            <w:noWrap/>
            <w:vAlign w:val="bottom"/>
            <w:hideMark/>
          </w:tcPr>
          <w:p w14:paraId="5EA81825"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396" w:type="pct"/>
            <w:tcBorders>
              <w:top w:val="nil"/>
              <w:left w:val="nil"/>
              <w:bottom w:val="single" w:sz="4" w:space="0" w:color="auto"/>
              <w:right w:val="single" w:sz="4" w:space="0" w:color="auto"/>
            </w:tcBorders>
            <w:shd w:val="clear" w:color="auto" w:fill="F2F2F2" w:themeFill="background1" w:themeFillShade="F2"/>
            <w:noWrap/>
            <w:vAlign w:val="bottom"/>
            <w:hideMark/>
          </w:tcPr>
          <w:p w14:paraId="71B33DF2"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489" w:type="pct"/>
            <w:tcBorders>
              <w:top w:val="nil"/>
              <w:left w:val="nil"/>
              <w:bottom w:val="single" w:sz="4" w:space="0" w:color="auto"/>
              <w:right w:val="single" w:sz="4" w:space="0" w:color="auto"/>
            </w:tcBorders>
            <w:shd w:val="clear" w:color="auto" w:fill="auto"/>
            <w:noWrap/>
            <w:vAlign w:val="bottom"/>
            <w:hideMark/>
          </w:tcPr>
          <w:p w14:paraId="045C6C72"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210</w:t>
            </w:r>
          </w:p>
        </w:tc>
        <w:tc>
          <w:tcPr>
            <w:tcW w:w="495" w:type="pct"/>
            <w:tcBorders>
              <w:top w:val="nil"/>
              <w:left w:val="nil"/>
              <w:bottom w:val="single" w:sz="4" w:space="0" w:color="auto"/>
              <w:right w:val="single" w:sz="4" w:space="0" w:color="auto"/>
            </w:tcBorders>
            <w:shd w:val="clear" w:color="auto" w:fill="auto"/>
            <w:noWrap/>
            <w:vAlign w:val="bottom"/>
            <w:hideMark/>
          </w:tcPr>
          <w:p w14:paraId="68B90ABB"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637</w:t>
            </w:r>
          </w:p>
        </w:tc>
        <w:tc>
          <w:tcPr>
            <w:tcW w:w="493" w:type="pct"/>
            <w:tcBorders>
              <w:top w:val="nil"/>
              <w:left w:val="nil"/>
              <w:bottom w:val="single" w:sz="4" w:space="0" w:color="auto"/>
              <w:right w:val="single" w:sz="4" w:space="0" w:color="auto"/>
            </w:tcBorders>
            <w:shd w:val="clear" w:color="auto" w:fill="auto"/>
            <w:noWrap/>
            <w:vAlign w:val="bottom"/>
            <w:hideMark/>
          </w:tcPr>
          <w:p w14:paraId="1DDDA66A"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1,307</w:t>
            </w:r>
          </w:p>
        </w:tc>
        <w:tc>
          <w:tcPr>
            <w:tcW w:w="495" w:type="pct"/>
            <w:tcBorders>
              <w:top w:val="nil"/>
              <w:left w:val="nil"/>
              <w:bottom w:val="single" w:sz="4" w:space="0" w:color="auto"/>
              <w:right w:val="single" w:sz="4" w:space="0" w:color="auto"/>
            </w:tcBorders>
            <w:shd w:val="clear" w:color="auto" w:fill="auto"/>
            <w:noWrap/>
            <w:vAlign w:val="bottom"/>
            <w:hideMark/>
          </w:tcPr>
          <w:p w14:paraId="5B45FB5C"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1,188</w:t>
            </w:r>
          </w:p>
        </w:tc>
      </w:tr>
      <w:tr w:rsidR="007A4AFD" w:rsidRPr="004D1152" w14:paraId="5F16D2AB" w14:textId="77777777" w:rsidTr="007F16DA">
        <w:trPr>
          <w:trHeight w:val="301"/>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03DAA7A0" w14:textId="77777777" w:rsidR="004B72A9" w:rsidRPr="004D1152" w:rsidRDefault="004B72A9" w:rsidP="00393E96">
            <w:pPr>
              <w:spacing w:after="0"/>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2: Second-line</w:t>
            </w:r>
          </w:p>
        </w:tc>
        <w:tc>
          <w:tcPr>
            <w:tcW w:w="396" w:type="pct"/>
            <w:tcBorders>
              <w:top w:val="nil"/>
              <w:left w:val="nil"/>
              <w:bottom w:val="single" w:sz="4" w:space="0" w:color="auto"/>
              <w:right w:val="single" w:sz="4" w:space="0" w:color="auto"/>
            </w:tcBorders>
            <w:shd w:val="clear" w:color="auto" w:fill="F2F2F2" w:themeFill="background1" w:themeFillShade="F2"/>
            <w:noWrap/>
            <w:vAlign w:val="bottom"/>
            <w:hideMark/>
          </w:tcPr>
          <w:p w14:paraId="765D4EC8"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489" w:type="pct"/>
            <w:tcBorders>
              <w:top w:val="nil"/>
              <w:left w:val="nil"/>
              <w:bottom w:val="single" w:sz="4" w:space="0" w:color="auto"/>
              <w:right w:val="single" w:sz="4" w:space="0" w:color="auto"/>
            </w:tcBorders>
            <w:shd w:val="clear" w:color="auto" w:fill="F2F2F2" w:themeFill="background1" w:themeFillShade="F2"/>
            <w:noWrap/>
            <w:vAlign w:val="bottom"/>
            <w:hideMark/>
          </w:tcPr>
          <w:p w14:paraId="74A44E8E"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399" w:type="pct"/>
            <w:tcBorders>
              <w:top w:val="nil"/>
              <w:left w:val="nil"/>
              <w:bottom w:val="single" w:sz="4" w:space="0" w:color="auto"/>
              <w:right w:val="single" w:sz="4" w:space="0" w:color="auto"/>
            </w:tcBorders>
            <w:shd w:val="clear" w:color="auto" w:fill="F2F2F2" w:themeFill="background1" w:themeFillShade="F2"/>
            <w:noWrap/>
            <w:vAlign w:val="bottom"/>
            <w:hideMark/>
          </w:tcPr>
          <w:p w14:paraId="5E66A02F"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396" w:type="pct"/>
            <w:tcBorders>
              <w:top w:val="nil"/>
              <w:left w:val="nil"/>
              <w:bottom w:val="single" w:sz="4" w:space="0" w:color="auto"/>
              <w:right w:val="single" w:sz="4" w:space="0" w:color="auto"/>
            </w:tcBorders>
            <w:shd w:val="clear" w:color="auto" w:fill="F2F2F2" w:themeFill="background1" w:themeFillShade="F2"/>
            <w:noWrap/>
            <w:vAlign w:val="bottom"/>
            <w:hideMark/>
          </w:tcPr>
          <w:p w14:paraId="221C1BFE"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396" w:type="pct"/>
            <w:tcBorders>
              <w:top w:val="nil"/>
              <w:left w:val="nil"/>
              <w:bottom w:val="single" w:sz="4" w:space="0" w:color="auto"/>
              <w:right w:val="single" w:sz="4" w:space="0" w:color="auto"/>
            </w:tcBorders>
            <w:shd w:val="clear" w:color="auto" w:fill="F2F2F2" w:themeFill="background1" w:themeFillShade="F2"/>
            <w:noWrap/>
            <w:vAlign w:val="bottom"/>
            <w:hideMark/>
          </w:tcPr>
          <w:p w14:paraId="2B6AAED9"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489" w:type="pct"/>
            <w:tcBorders>
              <w:top w:val="nil"/>
              <w:left w:val="nil"/>
              <w:bottom w:val="single" w:sz="4" w:space="0" w:color="auto"/>
              <w:right w:val="single" w:sz="4" w:space="0" w:color="auto"/>
            </w:tcBorders>
            <w:shd w:val="clear" w:color="auto" w:fill="auto"/>
            <w:noWrap/>
            <w:vAlign w:val="bottom"/>
            <w:hideMark/>
          </w:tcPr>
          <w:p w14:paraId="36C290ED"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452</w:t>
            </w:r>
          </w:p>
        </w:tc>
        <w:tc>
          <w:tcPr>
            <w:tcW w:w="495" w:type="pct"/>
            <w:tcBorders>
              <w:top w:val="nil"/>
              <w:left w:val="nil"/>
              <w:bottom w:val="single" w:sz="4" w:space="0" w:color="auto"/>
              <w:right w:val="single" w:sz="4" w:space="0" w:color="auto"/>
            </w:tcBorders>
            <w:shd w:val="clear" w:color="auto" w:fill="auto"/>
            <w:noWrap/>
            <w:vAlign w:val="bottom"/>
            <w:hideMark/>
          </w:tcPr>
          <w:p w14:paraId="613EA29F"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1,294</w:t>
            </w:r>
          </w:p>
        </w:tc>
        <w:tc>
          <w:tcPr>
            <w:tcW w:w="493" w:type="pct"/>
            <w:tcBorders>
              <w:top w:val="nil"/>
              <w:left w:val="nil"/>
              <w:bottom w:val="single" w:sz="4" w:space="0" w:color="auto"/>
              <w:right w:val="single" w:sz="4" w:space="0" w:color="auto"/>
            </w:tcBorders>
            <w:shd w:val="clear" w:color="auto" w:fill="auto"/>
            <w:noWrap/>
            <w:vAlign w:val="bottom"/>
            <w:hideMark/>
          </w:tcPr>
          <w:p w14:paraId="3AF19563"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1,910</w:t>
            </w:r>
          </w:p>
        </w:tc>
        <w:tc>
          <w:tcPr>
            <w:tcW w:w="495" w:type="pct"/>
            <w:tcBorders>
              <w:top w:val="nil"/>
              <w:left w:val="nil"/>
              <w:bottom w:val="single" w:sz="4" w:space="0" w:color="auto"/>
              <w:right w:val="single" w:sz="4" w:space="0" w:color="auto"/>
            </w:tcBorders>
            <w:shd w:val="clear" w:color="auto" w:fill="auto"/>
            <w:noWrap/>
            <w:vAlign w:val="bottom"/>
            <w:hideMark/>
          </w:tcPr>
          <w:p w14:paraId="60FCD8D2"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1,449</w:t>
            </w:r>
          </w:p>
        </w:tc>
      </w:tr>
      <w:tr w:rsidR="007A4AFD" w:rsidRPr="004D1152" w14:paraId="7C078D2D" w14:textId="77777777" w:rsidTr="007F16DA">
        <w:trPr>
          <w:trHeight w:val="301"/>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099CD6EC" w14:textId="77777777" w:rsidR="004B72A9" w:rsidRPr="004D1152" w:rsidRDefault="004B72A9" w:rsidP="00393E96">
            <w:pPr>
              <w:spacing w:after="0"/>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3: After second-line</w:t>
            </w:r>
          </w:p>
        </w:tc>
        <w:tc>
          <w:tcPr>
            <w:tcW w:w="396" w:type="pct"/>
            <w:tcBorders>
              <w:top w:val="nil"/>
              <w:left w:val="nil"/>
              <w:bottom w:val="single" w:sz="4" w:space="0" w:color="auto"/>
              <w:right w:val="single" w:sz="4" w:space="0" w:color="auto"/>
            </w:tcBorders>
            <w:shd w:val="clear" w:color="auto" w:fill="F2F2F2" w:themeFill="background1" w:themeFillShade="F2"/>
            <w:noWrap/>
            <w:vAlign w:val="bottom"/>
            <w:hideMark/>
          </w:tcPr>
          <w:p w14:paraId="60EDC551"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489" w:type="pct"/>
            <w:tcBorders>
              <w:top w:val="nil"/>
              <w:left w:val="nil"/>
              <w:bottom w:val="single" w:sz="4" w:space="0" w:color="auto"/>
              <w:right w:val="single" w:sz="4" w:space="0" w:color="auto"/>
            </w:tcBorders>
            <w:shd w:val="clear" w:color="auto" w:fill="F2F2F2" w:themeFill="background1" w:themeFillShade="F2"/>
            <w:noWrap/>
            <w:vAlign w:val="bottom"/>
            <w:hideMark/>
          </w:tcPr>
          <w:p w14:paraId="1CB7AD5D"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399" w:type="pct"/>
            <w:tcBorders>
              <w:top w:val="nil"/>
              <w:left w:val="nil"/>
              <w:bottom w:val="single" w:sz="4" w:space="0" w:color="auto"/>
              <w:right w:val="single" w:sz="4" w:space="0" w:color="auto"/>
            </w:tcBorders>
            <w:shd w:val="clear" w:color="auto" w:fill="F2F2F2" w:themeFill="background1" w:themeFillShade="F2"/>
            <w:noWrap/>
            <w:vAlign w:val="bottom"/>
            <w:hideMark/>
          </w:tcPr>
          <w:p w14:paraId="4D8282B4"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396" w:type="pct"/>
            <w:tcBorders>
              <w:top w:val="nil"/>
              <w:left w:val="nil"/>
              <w:bottom w:val="single" w:sz="4" w:space="0" w:color="auto"/>
              <w:right w:val="single" w:sz="4" w:space="0" w:color="auto"/>
            </w:tcBorders>
            <w:shd w:val="clear" w:color="auto" w:fill="F2F2F2" w:themeFill="background1" w:themeFillShade="F2"/>
            <w:noWrap/>
            <w:vAlign w:val="bottom"/>
            <w:hideMark/>
          </w:tcPr>
          <w:p w14:paraId="22DD1CE4"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396" w:type="pct"/>
            <w:tcBorders>
              <w:top w:val="nil"/>
              <w:left w:val="nil"/>
              <w:bottom w:val="single" w:sz="4" w:space="0" w:color="auto"/>
              <w:right w:val="single" w:sz="4" w:space="0" w:color="auto"/>
            </w:tcBorders>
            <w:shd w:val="clear" w:color="auto" w:fill="F2F2F2" w:themeFill="background1" w:themeFillShade="F2"/>
            <w:noWrap/>
            <w:vAlign w:val="bottom"/>
            <w:hideMark/>
          </w:tcPr>
          <w:p w14:paraId="17AA2714" w14:textId="77777777" w:rsidR="004B72A9" w:rsidRPr="004D1152" w:rsidRDefault="004B72A9" w:rsidP="00393E96">
            <w:pPr>
              <w:spacing w:after="0"/>
              <w:jc w:val="center"/>
              <w:rPr>
                <w:rFonts w:ascii="Arial Narrow" w:eastAsia="Times New Roman" w:hAnsi="Arial Narrow" w:cs="Times New Roman"/>
                <w:color w:val="000000"/>
                <w:sz w:val="20"/>
                <w:szCs w:val="20"/>
              </w:rPr>
            </w:pPr>
          </w:p>
        </w:tc>
        <w:tc>
          <w:tcPr>
            <w:tcW w:w="489" w:type="pct"/>
            <w:tcBorders>
              <w:top w:val="nil"/>
              <w:left w:val="nil"/>
              <w:bottom w:val="single" w:sz="4" w:space="0" w:color="auto"/>
              <w:right w:val="single" w:sz="4" w:space="0" w:color="auto"/>
            </w:tcBorders>
            <w:shd w:val="clear" w:color="auto" w:fill="auto"/>
            <w:noWrap/>
            <w:vAlign w:val="bottom"/>
            <w:hideMark/>
          </w:tcPr>
          <w:p w14:paraId="75A9F258"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121</w:t>
            </w:r>
          </w:p>
        </w:tc>
        <w:tc>
          <w:tcPr>
            <w:tcW w:w="495" w:type="pct"/>
            <w:tcBorders>
              <w:top w:val="nil"/>
              <w:left w:val="nil"/>
              <w:bottom w:val="single" w:sz="4" w:space="0" w:color="auto"/>
              <w:right w:val="single" w:sz="4" w:space="0" w:color="auto"/>
            </w:tcBorders>
            <w:shd w:val="clear" w:color="auto" w:fill="auto"/>
            <w:noWrap/>
            <w:vAlign w:val="bottom"/>
            <w:hideMark/>
          </w:tcPr>
          <w:p w14:paraId="13C31022"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255</w:t>
            </w:r>
          </w:p>
        </w:tc>
        <w:tc>
          <w:tcPr>
            <w:tcW w:w="493" w:type="pct"/>
            <w:tcBorders>
              <w:top w:val="nil"/>
              <w:left w:val="nil"/>
              <w:bottom w:val="single" w:sz="4" w:space="0" w:color="auto"/>
              <w:right w:val="single" w:sz="4" w:space="0" w:color="auto"/>
            </w:tcBorders>
            <w:shd w:val="clear" w:color="auto" w:fill="auto"/>
            <w:noWrap/>
            <w:vAlign w:val="bottom"/>
            <w:hideMark/>
          </w:tcPr>
          <w:p w14:paraId="3D4EAD10"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312</w:t>
            </w:r>
          </w:p>
        </w:tc>
        <w:tc>
          <w:tcPr>
            <w:tcW w:w="495" w:type="pct"/>
            <w:tcBorders>
              <w:top w:val="nil"/>
              <w:left w:val="nil"/>
              <w:bottom w:val="single" w:sz="4" w:space="0" w:color="auto"/>
              <w:right w:val="single" w:sz="4" w:space="0" w:color="auto"/>
            </w:tcBorders>
            <w:shd w:val="clear" w:color="auto" w:fill="auto"/>
            <w:noWrap/>
            <w:vAlign w:val="bottom"/>
            <w:hideMark/>
          </w:tcPr>
          <w:p w14:paraId="0E5207F2" w14:textId="77777777" w:rsidR="004B72A9" w:rsidRPr="004D1152" w:rsidRDefault="004B72A9" w:rsidP="00393E96">
            <w:pPr>
              <w:spacing w:after="0"/>
              <w:jc w:val="center"/>
              <w:rPr>
                <w:rFonts w:ascii="Arial Narrow" w:eastAsia="Times New Roman" w:hAnsi="Arial Narrow" w:cs="Times New Roman"/>
                <w:color w:val="000000"/>
                <w:sz w:val="20"/>
                <w:szCs w:val="20"/>
              </w:rPr>
            </w:pPr>
            <w:r w:rsidRPr="004D1152">
              <w:rPr>
                <w:rFonts w:ascii="Arial Narrow" w:eastAsia="Times New Roman" w:hAnsi="Arial Narrow" w:cs="Times New Roman"/>
                <w:color w:val="000000"/>
                <w:sz w:val="20"/>
                <w:szCs w:val="20"/>
              </w:rPr>
              <w:t>239</w:t>
            </w:r>
          </w:p>
        </w:tc>
      </w:tr>
      <w:tr w:rsidR="007A4AFD" w:rsidRPr="004D1152" w14:paraId="37652CE5" w14:textId="77777777" w:rsidTr="007F16DA">
        <w:trPr>
          <w:trHeight w:val="301"/>
        </w:trPr>
        <w:tc>
          <w:tcPr>
            <w:tcW w:w="952" w:type="pct"/>
            <w:tcBorders>
              <w:top w:val="nil"/>
              <w:left w:val="single" w:sz="4" w:space="0" w:color="auto"/>
              <w:bottom w:val="single" w:sz="4" w:space="0" w:color="auto"/>
              <w:right w:val="single" w:sz="4" w:space="0" w:color="auto"/>
            </w:tcBorders>
            <w:shd w:val="clear" w:color="auto" w:fill="auto"/>
            <w:noWrap/>
            <w:vAlign w:val="bottom"/>
            <w:hideMark/>
          </w:tcPr>
          <w:p w14:paraId="48BFF560" w14:textId="77777777" w:rsidR="004B72A9" w:rsidRPr="004D1152" w:rsidRDefault="004B72A9" w:rsidP="00393E96">
            <w:pPr>
              <w:spacing w:after="0"/>
              <w:rPr>
                <w:rFonts w:ascii="Arial Narrow" w:eastAsia="Times New Roman" w:hAnsi="Arial Narrow" w:cs="Times New Roman"/>
                <w:b/>
                <w:bCs/>
                <w:color w:val="000000"/>
                <w:sz w:val="20"/>
                <w:szCs w:val="20"/>
              </w:rPr>
            </w:pPr>
            <w:r w:rsidRPr="004D1152">
              <w:rPr>
                <w:rFonts w:ascii="Arial Narrow" w:eastAsia="Times New Roman" w:hAnsi="Arial Narrow" w:cs="Times New Roman"/>
                <w:b/>
                <w:bCs/>
                <w:color w:val="000000"/>
                <w:sz w:val="20"/>
                <w:szCs w:val="20"/>
              </w:rPr>
              <w:t>Total infusions</w:t>
            </w:r>
            <w:r>
              <w:rPr>
                <w:rFonts w:ascii="Arial Narrow" w:eastAsia="Times New Roman" w:hAnsi="Arial Narrow" w:cs="Times New Roman"/>
                <w:b/>
                <w:bCs/>
                <w:color w:val="000000"/>
                <w:sz w:val="20"/>
                <w:szCs w:val="20"/>
              </w:rPr>
              <w:t xml:space="preserve"> for all drugs</w:t>
            </w:r>
          </w:p>
        </w:tc>
        <w:tc>
          <w:tcPr>
            <w:tcW w:w="396" w:type="pct"/>
            <w:tcBorders>
              <w:top w:val="nil"/>
              <w:left w:val="nil"/>
              <w:bottom w:val="single" w:sz="4" w:space="0" w:color="auto"/>
              <w:right w:val="single" w:sz="4" w:space="0" w:color="auto"/>
            </w:tcBorders>
            <w:shd w:val="clear" w:color="auto" w:fill="auto"/>
            <w:noWrap/>
            <w:vAlign w:val="bottom"/>
            <w:hideMark/>
          </w:tcPr>
          <w:p w14:paraId="073551A6"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r w:rsidRPr="004D1152">
              <w:rPr>
                <w:rFonts w:ascii="Arial Narrow" w:eastAsia="Times New Roman" w:hAnsi="Arial Narrow" w:cs="Times New Roman"/>
                <w:b/>
                <w:bCs/>
                <w:color w:val="000000"/>
                <w:sz w:val="20"/>
                <w:szCs w:val="20"/>
              </w:rPr>
              <w:t>5,767</w:t>
            </w:r>
          </w:p>
        </w:tc>
        <w:tc>
          <w:tcPr>
            <w:tcW w:w="489" w:type="pct"/>
            <w:tcBorders>
              <w:top w:val="nil"/>
              <w:left w:val="nil"/>
              <w:bottom w:val="single" w:sz="4" w:space="0" w:color="auto"/>
              <w:right w:val="single" w:sz="4" w:space="0" w:color="auto"/>
            </w:tcBorders>
            <w:shd w:val="clear" w:color="auto" w:fill="auto"/>
            <w:noWrap/>
            <w:vAlign w:val="bottom"/>
            <w:hideMark/>
          </w:tcPr>
          <w:p w14:paraId="238A04C1"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r w:rsidRPr="004D1152">
              <w:rPr>
                <w:rFonts w:ascii="Arial Narrow" w:eastAsia="Times New Roman" w:hAnsi="Arial Narrow" w:cs="Times New Roman"/>
                <w:b/>
                <w:bCs/>
                <w:color w:val="000000"/>
                <w:sz w:val="20"/>
                <w:szCs w:val="20"/>
              </w:rPr>
              <w:t>21,147</w:t>
            </w:r>
          </w:p>
        </w:tc>
        <w:tc>
          <w:tcPr>
            <w:tcW w:w="399" w:type="pct"/>
            <w:tcBorders>
              <w:top w:val="nil"/>
              <w:left w:val="nil"/>
              <w:bottom w:val="single" w:sz="4" w:space="0" w:color="auto"/>
              <w:right w:val="single" w:sz="4" w:space="0" w:color="auto"/>
            </w:tcBorders>
            <w:shd w:val="clear" w:color="auto" w:fill="auto"/>
            <w:noWrap/>
            <w:vAlign w:val="bottom"/>
            <w:hideMark/>
          </w:tcPr>
          <w:p w14:paraId="00E5237A"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r w:rsidRPr="004D1152">
              <w:rPr>
                <w:rFonts w:ascii="Arial Narrow" w:eastAsia="Times New Roman" w:hAnsi="Arial Narrow" w:cs="Times New Roman"/>
                <w:b/>
                <w:bCs/>
                <w:color w:val="000000"/>
                <w:sz w:val="20"/>
                <w:szCs w:val="20"/>
              </w:rPr>
              <w:t>27,720</w:t>
            </w:r>
          </w:p>
        </w:tc>
        <w:tc>
          <w:tcPr>
            <w:tcW w:w="396" w:type="pct"/>
            <w:tcBorders>
              <w:top w:val="nil"/>
              <w:left w:val="nil"/>
              <w:bottom w:val="single" w:sz="4" w:space="0" w:color="auto"/>
              <w:right w:val="single" w:sz="4" w:space="0" w:color="auto"/>
            </w:tcBorders>
            <w:shd w:val="clear" w:color="auto" w:fill="auto"/>
            <w:noWrap/>
            <w:vAlign w:val="bottom"/>
            <w:hideMark/>
          </w:tcPr>
          <w:p w14:paraId="718EBE1C"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r w:rsidRPr="004D1152">
              <w:rPr>
                <w:rFonts w:ascii="Arial Narrow" w:eastAsia="Times New Roman" w:hAnsi="Arial Narrow" w:cs="Times New Roman"/>
                <w:b/>
                <w:bCs/>
                <w:color w:val="000000"/>
                <w:sz w:val="20"/>
                <w:szCs w:val="20"/>
              </w:rPr>
              <w:t>42,083</w:t>
            </w:r>
          </w:p>
        </w:tc>
        <w:tc>
          <w:tcPr>
            <w:tcW w:w="396" w:type="pct"/>
            <w:tcBorders>
              <w:top w:val="nil"/>
              <w:left w:val="nil"/>
              <w:bottom w:val="single" w:sz="4" w:space="0" w:color="auto"/>
              <w:right w:val="single" w:sz="4" w:space="0" w:color="auto"/>
            </w:tcBorders>
            <w:shd w:val="clear" w:color="auto" w:fill="auto"/>
            <w:noWrap/>
            <w:vAlign w:val="bottom"/>
            <w:hideMark/>
          </w:tcPr>
          <w:p w14:paraId="0C201A42"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r w:rsidRPr="004D1152">
              <w:rPr>
                <w:rFonts w:ascii="Arial Narrow" w:eastAsia="Times New Roman" w:hAnsi="Arial Narrow" w:cs="Times New Roman"/>
                <w:b/>
                <w:bCs/>
                <w:color w:val="000000"/>
                <w:sz w:val="20"/>
                <w:szCs w:val="20"/>
              </w:rPr>
              <w:t>46,958</w:t>
            </w:r>
          </w:p>
        </w:tc>
        <w:tc>
          <w:tcPr>
            <w:tcW w:w="489" w:type="pct"/>
            <w:tcBorders>
              <w:top w:val="nil"/>
              <w:left w:val="nil"/>
              <w:bottom w:val="single" w:sz="4" w:space="0" w:color="auto"/>
              <w:right w:val="single" w:sz="4" w:space="0" w:color="auto"/>
            </w:tcBorders>
            <w:shd w:val="clear" w:color="auto" w:fill="auto"/>
            <w:noWrap/>
            <w:vAlign w:val="bottom"/>
            <w:hideMark/>
          </w:tcPr>
          <w:p w14:paraId="469C0C00"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r w:rsidRPr="004D1152">
              <w:rPr>
                <w:rFonts w:ascii="Arial Narrow" w:eastAsia="Times New Roman" w:hAnsi="Arial Narrow" w:cs="Times New Roman"/>
                <w:b/>
                <w:bCs/>
                <w:color w:val="000000"/>
                <w:sz w:val="20"/>
                <w:szCs w:val="20"/>
              </w:rPr>
              <w:t>47,955</w:t>
            </w:r>
          </w:p>
        </w:tc>
        <w:tc>
          <w:tcPr>
            <w:tcW w:w="495" w:type="pct"/>
            <w:tcBorders>
              <w:top w:val="nil"/>
              <w:left w:val="nil"/>
              <w:bottom w:val="single" w:sz="4" w:space="0" w:color="auto"/>
              <w:right w:val="single" w:sz="4" w:space="0" w:color="auto"/>
            </w:tcBorders>
            <w:shd w:val="clear" w:color="auto" w:fill="auto"/>
            <w:noWrap/>
            <w:vAlign w:val="bottom"/>
            <w:hideMark/>
          </w:tcPr>
          <w:p w14:paraId="6B85346A"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r w:rsidRPr="004D1152">
              <w:rPr>
                <w:rFonts w:ascii="Arial Narrow" w:eastAsia="Times New Roman" w:hAnsi="Arial Narrow" w:cs="Times New Roman"/>
                <w:b/>
                <w:bCs/>
                <w:color w:val="000000"/>
                <w:sz w:val="20"/>
                <w:szCs w:val="20"/>
              </w:rPr>
              <w:t>48,403</w:t>
            </w:r>
          </w:p>
        </w:tc>
        <w:tc>
          <w:tcPr>
            <w:tcW w:w="493" w:type="pct"/>
            <w:tcBorders>
              <w:top w:val="nil"/>
              <w:left w:val="nil"/>
              <w:bottom w:val="single" w:sz="4" w:space="0" w:color="auto"/>
              <w:right w:val="single" w:sz="4" w:space="0" w:color="auto"/>
            </w:tcBorders>
            <w:shd w:val="clear" w:color="auto" w:fill="auto"/>
            <w:noWrap/>
            <w:vAlign w:val="bottom"/>
            <w:hideMark/>
          </w:tcPr>
          <w:p w14:paraId="7038AD3B"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r w:rsidRPr="004D1152">
              <w:rPr>
                <w:rFonts w:ascii="Arial Narrow" w:eastAsia="Times New Roman" w:hAnsi="Arial Narrow" w:cs="Times New Roman"/>
                <w:b/>
                <w:bCs/>
                <w:color w:val="000000"/>
                <w:sz w:val="20"/>
                <w:szCs w:val="20"/>
              </w:rPr>
              <w:t>51,117</w:t>
            </w:r>
          </w:p>
        </w:tc>
        <w:tc>
          <w:tcPr>
            <w:tcW w:w="495" w:type="pct"/>
            <w:tcBorders>
              <w:top w:val="nil"/>
              <w:left w:val="nil"/>
              <w:bottom w:val="single" w:sz="4" w:space="0" w:color="auto"/>
              <w:right w:val="single" w:sz="4" w:space="0" w:color="auto"/>
            </w:tcBorders>
            <w:shd w:val="clear" w:color="auto" w:fill="auto"/>
            <w:noWrap/>
            <w:vAlign w:val="bottom"/>
            <w:hideMark/>
          </w:tcPr>
          <w:p w14:paraId="495AB1D6" w14:textId="77777777" w:rsidR="004B72A9" w:rsidRPr="004D1152" w:rsidRDefault="004B72A9" w:rsidP="00393E96">
            <w:pPr>
              <w:spacing w:after="0"/>
              <w:jc w:val="center"/>
              <w:rPr>
                <w:rFonts w:ascii="Arial Narrow" w:eastAsia="Times New Roman" w:hAnsi="Arial Narrow" w:cs="Times New Roman"/>
                <w:b/>
                <w:bCs/>
                <w:color w:val="000000"/>
                <w:sz w:val="20"/>
                <w:szCs w:val="20"/>
              </w:rPr>
            </w:pPr>
            <w:r w:rsidRPr="004D1152">
              <w:rPr>
                <w:rFonts w:ascii="Arial Narrow" w:eastAsia="Times New Roman" w:hAnsi="Arial Narrow" w:cs="Times New Roman"/>
                <w:b/>
                <w:bCs/>
                <w:color w:val="000000"/>
                <w:sz w:val="20"/>
                <w:szCs w:val="20"/>
              </w:rPr>
              <w:t>28,748</w:t>
            </w:r>
          </w:p>
        </w:tc>
      </w:tr>
    </w:tbl>
    <w:p w14:paraId="3F7811FA" w14:textId="77777777" w:rsidR="004B72A9" w:rsidRPr="00C74F95" w:rsidRDefault="004B72A9" w:rsidP="004B72A9">
      <w:pPr>
        <w:spacing w:after="0"/>
        <w:contextualSpacing/>
        <w:rPr>
          <w:sz w:val="20"/>
          <w:szCs w:val="20"/>
        </w:rPr>
      </w:pPr>
      <w:r w:rsidRPr="00C74F95">
        <w:rPr>
          <w:sz w:val="20"/>
          <w:szCs w:val="20"/>
        </w:rPr>
        <w:t>Note:</w:t>
      </w:r>
    </w:p>
    <w:p w14:paraId="7C5673EA" w14:textId="77777777" w:rsidR="004B72A9" w:rsidRPr="00C74F95" w:rsidRDefault="004B72A9" w:rsidP="004B72A9">
      <w:pPr>
        <w:spacing w:after="0"/>
        <w:contextualSpacing/>
        <w:rPr>
          <w:sz w:val="20"/>
          <w:szCs w:val="20"/>
        </w:rPr>
      </w:pPr>
      <w:r w:rsidRPr="00C74F95">
        <w:rPr>
          <w:sz w:val="20"/>
          <w:szCs w:val="20"/>
          <w:vertAlign w:val="superscript"/>
        </w:rPr>
        <w:t>a</w:t>
      </w:r>
      <w:r w:rsidRPr="00C74F95">
        <w:rPr>
          <w:sz w:val="20"/>
          <w:szCs w:val="20"/>
        </w:rPr>
        <w:t xml:space="preserve"> Part-year data from 1 July 2009 (</w:t>
      </w:r>
      <w:r>
        <w:rPr>
          <w:sz w:val="20"/>
          <w:szCs w:val="20"/>
        </w:rPr>
        <w:t xml:space="preserve">i.e. </w:t>
      </w:r>
      <w:r w:rsidRPr="00C74F95">
        <w:rPr>
          <w:sz w:val="20"/>
          <w:szCs w:val="20"/>
        </w:rPr>
        <w:t xml:space="preserve">first listing </w:t>
      </w:r>
      <w:r>
        <w:rPr>
          <w:sz w:val="20"/>
          <w:szCs w:val="20"/>
        </w:rPr>
        <w:t>date for</w:t>
      </w:r>
      <w:r w:rsidRPr="00C74F95">
        <w:rPr>
          <w:sz w:val="20"/>
          <w:szCs w:val="20"/>
        </w:rPr>
        <w:t xml:space="preserve"> bevacizumab) to 31 December 2009.</w:t>
      </w:r>
    </w:p>
    <w:p w14:paraId="1BA9DEE2" w14:textId="77777777" w:rsidR="004B72A9" w:rsidRDefault="004B72A9" w:rsidP="004B72A9">
      <w:pPr>
        <w:spacing w:after="0"/>
        <w:contextualSpacing/>
        <w:rPr>
          <w:sz w:val="20"/>
          <w:szCs w:val="20"/>
        </w:rPr>
      </w:pPr>
      <w:r w:rsidRPr="00C74F95">
        <w:rPr>
          <w:sz w:val="20"/>
          <w:szCs w:val="20"/>
          <w:vertAlign w:val="superscript"/>
        </w:rPr>
        <w:t>b</w:t>
      </w:r>
      <w:r w:rsidRPr="00C74F95">
        <w:rPr>
          <w:sz w:val="20"/>
          <w:szCs w:val="20"/>
        </w:rPr>
        <w:t xml:space="preserve"> Part-year data from 1 January 2017 to 31 July 2017.</w:t>
      </w:r>
    </w:p>
    <w:p w14:paraId="4F5B3264" w14:textId="77777777" w:rsidR="004B72A9" w:rsidRDefault="004B72A9" w:rsidP="004B72A9">
      <w:pPr>
        <w:rPr>
          <w:u w:val="single"/>
        </w:rPr>
      </w:pPr>
      <w:r>
        <w:rPr>
          <w:u w:val="single"/>
        </w:rPr>
        <w:lastRenderedPageBreak/>
        <w:t>Bevacizumab</w:t>
      </w:r>
    </w:p>
    <w:p w14:paraId="78A90D5A" w14:textId="77777777" w:rsidR="004B72A9" w:rsidRPr="008D0C98" w:rsidRDefault="004B72A9" w:rsidP="004B72A9">
      <w:pPr>
        <w:rPr>
          <w:u w:val="single"/>
        </w:rPr>
      </w:pPr>
      <w:r>
        <w:rPr>
          <w:noProof/>
        </w:rPr>
        <w:drawing>
          <wp:inline distT="0" distB="0" distL="0" distR="0" wp14:anchorId="0B0707BC" wp14:editId="4448375C">
            <wp:extent cx="5687695" cy="2848101"/>
            <wp:effectExtent l="0" t="0" r="8255" b="0"/>
            <wp:docPr id="6" name="Chart 6" descr="Number of infusions of bevacizumab" title="Figure A2.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08722C89" w14:textId="028483DC" w:rsidR="004B72A9" w:rsidRPr="006725A2" w:rsidRDefault="004B72A9" w:rsidP="004B72A9">
      <w:r>
        <w:t xml:space="preserve"> </w:t>
      </w:r>
      <w:r>
        <w:rPr>
          <w:b/>
        </w:rPr>
        <w:t xml:space="preserve">Figure </w:t>
      </w:r>
      <w:r w:rsidR="00480F87">
        <w:rPr>
          <w:b/>
        </w:rPr>
        <w:t>A3.1</w:t>
      </w:r>
      <w:r>
        <w:rPr>
          <w:b/>
        </w:rPr>
        <w:t>. Number of infusions for bevacizumab</w:t>
      </w:r>
    </w:p>
    <w:p w14:paraId="1F233A65" w14:textId="77777777" w:rsidR="004B72A9" w:rsidRDefault="004B72A9" w:rsidP="004B72A9">
      <w:pPr>
        <w:pStyle w:val="Heading2"/>
        <w:rPr>
          <w:b w:val="0"/>
          <w:i w:val="0"/>
          <w:u w:val="single"/>
        </w:rPr>
      </w:pPr>
      <w:r>
        <w:rPr>
          <w:b w:val="0"/>
          <w:i w:val="0"/>
          <w:u w:val="single"/>
        </w:rPr>
        <w:t>Cetuximab</w:t>
      </w:r>
    </w:p>
    <w:p w14:paraId="2583F821" w14:textId="77777777" w:rsidR="004B72A9" w:rsidRPr="00C012B0" w:rsidRDefault="004B72A9" w:rsidP="004B72A9">
      <w:r>
        <w:rPr>
          <w:noProof/>
        </w:rPr>
        <w:drawing>
          <wp:inline distT="0" distB="0" distL="0" distR="0" wp14:anchorId="1D344F70" wp14:editId="234FDD32">
            <wp:extent cx="5687695" cy="2925274"/>
            <wp:effectExtent l="0" t="0" r="8255" b="8890"/>
            <wp:docPr id="7" name="Chart 7" descr="Number of infusions of cetuximab" title="Figure A3.2"/>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14:paraId="52D2CFBF" w14:textId="30C34A1E" w:rsidR="004B72A9" w:rsidRPr="00CF4772" w:rsidRDefault="004B72A9" w:rsidP="004B72A9">
      <w:r>
        <w:rPr>
          <w:b/>
        </w:rPr>
        <w:t xml:space="preserve">Figure </w:t>
      </w:r>
      <w:r w:rsidR="00480F87">
        <w:rPr>
          <w:b/>
        </w:rPr>
        <w:t>A3</w:t>
      </w:r>
      <w:r>
        <w:rPr>
          <w:b/>
        </w:rPr>
        <w:t>.</w:t>
      </w:r>
      <w:r w:rsidR="00480F87">
        <w:rPr>
          <w:b/>
        </w:rPr>
        <w:t>2.</w:t>
      </w:r>
      <w:r>
        <w:rPr>
          <w:b/>
        </w:rPr>
        <w:t xml:space="preserve"> Number of infusions for cetuximab</w:t>
      </w:r>
    </w:p>
    <w:p w14:paraId="7C78B058" w14:textId="59467352" w:rsidR="00AA44AB" w:rsidRDefault="00AA44AB">
      <w:pPr>
        <w:spacing w:line="276" w:lineRule="auto"/>
        <w:rPr>
          <w:u w:val="single"/>
        </w:rPr>
      </w:pPr>
      <w:r>
        <w:rPr>
          <w:b/>
          <w:i/>
          <w:u w:val="single"/>
        </w:rPr>
        <w:br w:type="page"/>
      </w:r>
    </w:p>
    <w:p w14:paraId="3B38EF3C" w14:textId="77777777" w:rsidR="004B72A9" w:rsidRDefault="004B72A9" w:rsidP="004B72A9">
      <w:pPr>
        <w:pStyle w:val="Heading2"/>
        <w:rPr>
          <w:b w:val="0"/>
          <w:i w:val="0"/>
          <w:u w:val="single"/>
        </w:rPr>
      </w:pPr>
      <w:r>
        <w:rPr>
          <w:b w:val="0"/>
          <w:i w:val="0"/>
          <w:u w:val="single"/>
        </w:rPr>
        <w:lastRenderedPageBreak/>
        <w:t>Panitumumab</w:t>
      </w:r>
    </w:p>
    <w:p w14:paraId="123EAED6" w14:textId="77777777" w:rsidR="004B72A9" w:rsidRPr="009C316A" w:rsidRDefault="004B72A9" w:rsidP="004B72A9">
      <w:r>
        <w:rPr>
          <w:noProof/>
        </w:rPr>
        <w:drawing>
          <wp:inline distT="0" distB="0" distL="0" distR="0" wp14:anchorId="55CF2AD0" wp14:editId="74529133">
            <wp:extent cx="5686425" cy="2838450"/>
            <wp:effectExtent l="0" t="0" r="0" b="0"/>
            <wp:docPr id="24" name="Chart 24" descr="Number of infusions of panitumumab" title="Figure A3.3"/>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09C5F9A6" w14:textId="4EFF2768" w:rsidR="004B72A9" w:rsidRPr="00CF4772" w:rsidRDefault="004B72A9" w:rsidP="004B72A9">
      <w:r>
        <w:rPr>
          <w:b/>
        </w:rPr>
        <w:t xml:space="preserve">Figure </w:t>
      </w:r>
      <w:r w:rsidR="00480F87">
        <w:rPr>
          <w:b/>
        </w:rPr>
        <w:t>A3.3</w:t>
      </w:r>
      <w:r>
        <w:rPr>
          <w:b/>
        </w:rPr>
        <w:t>. Number of infusions for panitumumab</w:t>
      </w:r>
    </w:p>
    <w:p w14:paraId="3E6AEF71" w14:textId="77777777" w:rsidR="00792B06" w:rsidRDefault="00792B06">
      <w:pPr>
        <w:spacing w:line="276" w:lineRule="auto"/>
      </w:pPr>
    </w:p>
    <w:sectPr w:rsidR="00792B06" w:rsidSect="00DD188C">
      <w:footerReference w:type="even" r:id="rId57"/>
      <w:footerReference w:type="default" r:id="rId58"/>
      <w:footerReference w:type="first" r:id="rId59"/>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50FC2" w14:textId="77777777" w:rsidR="008764F7" w:rsidRDefault="008764F7" w:rsidP="00A35800">
      <w:r>
        <w:separator/>
      </w:r>
    </w:p>
  </w:endnote>
  <w:endnote w:type="continuationSeparator" w:id="0">
    <w:p w14:paraId="45A4A8C8" w14:textId="77777777" w:rsidR="008764F7" w:rsidRDefault="008764F7"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Goudy Oldstyle Std">
    <w:altName w:val="Goudy Oldstyle St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D5E5" w14:textId="77777777" w:rsidR="008764F7" w:rsidRDefault="008764F7"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8764F7" w:rsidRDefault="008764F7"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833149"/>
      <w:docPartObj>
        <w:docPartGallery w:val="Page Numbers (Bottom of Page)"/>
        <w:docPartUnique/>
      </w:docPartObj>
    </w:sdtPr>
    <w:sdtEndPr/>
    <w:sdtContent>
      <w:sdt>
        <w:sdtPr>
          <w:id w:val="-595783696"/>
          <w:docPartObj>
            <w:docPartGallery w:val="Page Numbers (Top of Page)"/>
            <w:docPartUnique/>
          </w:docPartObj>
        </w:sdtPr>
        <w:sdtEndPr/>
        <w:sdtContent>
          <w:p w14:paraId="30682B98" w14:textId="3E33B39C" w:rsidR="008764F7" w:rsidRPr="000E72C6" w:rsidRDefault="002E1D26" w:rsidP="000E72C6">
            <w:pPr>
              <w:pStyle w:val="Footer"/>
              <w:jc w:val="center"/>
              <w:rPr>
                <w:i/>
                <w:sz w:val="20"/>
              </w:rPr>
            </w:pPr>
            <w:r>
              <w:rPr>
                <w:i/>
                <w:sz w:val="20"/>
              </w:rPr>
              <w:t>Public Release Document, February 2018 DUSC Meeting</w:t>
            </w:r>
          </w:p>
          <w:p w14:paraId="10292A9A" w14:textId="275D445E" w:rsidR="008764F7" w:rsidRDefault="008764F7"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9D245D">
              <w:rPr>
                <w:bCs/>
                <w:i/>
                <w:noProof/>
                <w:sz w:val="20"/>
              </w:rPr>
              <w:t>12</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9D245D">
              <w:rPr>
                <w:bCs/>
                <w:i/>
                <w:noProof/>
                <w:sz w:val="20"/>
              </w:rPr>
              <w:t>36</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22E1F" w14:textId="77777777" w:rsidR="008764F7" w:rsidRDefault="008764F7" w:rsidP="007A5733">
    <w:pPr>
      <w:pStyle w:val="Footer"/>
      <w:jc w:val="center"/>
      <w:rPr>
        <w:rStyle w:val="PageNumber"/>
      </w:rPr>
    </w:pPr>
    <w:r>
      <w:rPr>
        <w:rStyle w:val="PageNumber"/>
      </w:rPr>
      <w:t>Committee-in-Confidence</w:t>
    </w:r>
  </w:p>
  <w:p w14:paraId="3CE6880B" w14:textId="77777777" w:rsidR="008764F7" w:rsidRDefault="008764F7"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EEDE" w14:textId="77777777" w:rsidR="008764F7" w:rsidRDefault="008764F7" w:rsidP="00A35800">
      <w:r>
        <w:separator/>
      </w:r>
    </w:p>
  </w:footnote>
  <w:footnote w:type="continuationSeparator" w:id="0">
    <w:p w14:paraId="7E2CA1E4" w14:textId="77777777" w:rsidR="008764F7" w:rsidRDefault="008764F7" w:rsidP="00A35800">
      <w:r>
        <w:continuationSeparator/>
      </w:r>
    </w:p>
  </w:footnote>
  <w:footnote w:id="1">
    <w:p w14:paraId="3D61F89B" w14:textId="77777777" w:rsidR="008764F7" w:rsidRDefault="008764F7" w:rsidP="0014330B">
      <w:pPr>
        <w:pStyle w:val="FootnoteText"/>
      </w:pPr>
      <w:r>
        <w:rPr>
          <w:rStyle w:val="FootnoteReference"/>
        </w:rPr>
        <w:footnoteRef/>
      </w:r>
      <w:r>
        <w:t xml:space="preserve"> Cancer Australia. Bowel cancer statistics. Accessed on 17 October 2017 at: </w:t>
      </w:r>
      <w:r w:rsidRPr="00E26A52">
        <w:t>https://bowel-cancer.canceraustralia.gov.au/statistics</w:t>
      </w:r>
    </w:p>
  </w:footnote>
  <w:footnote w:id="2">
    <w:p w14:paraId="728B294C" w14:textId="77777777" w:rsidR="008764F7" w:rsidRDefault="008764F7" w:rsidP="0014330B">
      <w:pPr>
        <w:pStyle w:val="FootnoteText"/>
      </w:pPr>
      <w:r>
        <w:rPr>
          <w:rStyle w:val="FootnoteReference"/>
        </w:rPr>
        <w:footnoteRef/>
      </w:r>
      <w:r>
        <w:t xml:space="preserve"> Riihimäki, M. et al. Patterns of metastasis in colon and rectal cancer. Sci. Rep. 6, 29765; doi: 10.1038/srep29765 (2016).</w:t>
      </w:r>
    </w:p>
  </w:footnote>
  <w:footnote w:id="3">
    <w:p w14:paraId="5FBC4464" w14:textId="105ADFB7" w:rsidR="008764F7" w:rsidRDefault="008764F7" w:rsidP="0014330B">
      <w:pPr>
        <w:pStyle w:val="FootnoteText"/>
      </w:pPr>
      <w:r>
        <w:rPr>
          <w:rStyle w:val="FootnoteReference"/>
        </w:rPr>
        <w:footnoteRef/>
      </w:r>
      <w:r>
        <w:t xml:space="preserve"> Bowel Cancer Australia. Accessed on 22 November 2017 at: </w:t>
      </w:r>
      <w:r w:rsidRPr="00ED1333">
        <w:t>https://www.bowelcanceraustralia.org/5-year-survival</w:t>
      </w:r>
      <w:r>
        <w:t>.</w:t>
      </w:r>
    </w:p>
  </w:footnote>
  <w:footnote w:id="4">
    <w:p w14:paraId="4C75804C" w14:textId="2EFDA492" w:rsidR="008764F7" w:rsidRDefault="008764F7">
      <w:pPr>
        <w:pStyle w:val="FootnoteText"/>
      </w:pPr>
      <w:r>
        <w:rPr>
          <w:rStyle w:val="FootnoteReference"/>
        </w:rPr>
        <w:footnoteRef/>
      </w:r>
      <w:r>
        <w:t xml:space="preserve"> </w:t>
      </w:r>
      <w:r>
        <w:rPr>
          <w:rFonts w:eastAsia="Calibri"/>
        </w:rPr>
        <w:t>FOLFOX =  folinic acid + fluorouracil + oxaliplatin.</w:t>
      </w:r>
    </w:p>
  </w:footnote>
  <w:footnote w:id="5">
    <w:p w14:paraId="2B3A5249" w14:textId="1C306F6B" w:rsidR="008764F7" w:rsidRDefault="008764F7">
      <w:pPr>
        <w:pStyle w:val="FootnoteText"/>
      </w:pPr>
      <w:r>
        <w:rPr>
          <w:rStyle w:val="FootnoteReference"/>
        </w:rPr>
        <w:footnoteRef/>
      </w:r>
      <w:r>
        <w:t xml:space="preserve"> FOLFIRI = </w:t>
      </w:r>
      <w:r>
        <w:rPr>
          <w:rFonts w:eastAsia="Calibri"/>
        </w:rPr>
        <w:t>i</w:t>
      </w:r>
      <w:r w:rsidRPr="004A513A">
        <w:rPr>
          <w:rFonts w:eastAsia="Calibri"/>
        </w:rPr>
        <w:t>rinotecan + flu</w:t>
      </w:r>
      <w:r>
        <w:rPr>
          <w:rFonts w:eastAsia="Calibri"/>
        </w:rPr>
        <w:t>o</w:t>
      </w:r>
      <w:r w:rsidRPr="004A513A">
        <w:rPr>
          <w:rFonts w:eastAsia="Calibri"/>
        </w:rPr>
        <w:t>rouracil + folinic acid</w:t>
      </w:r>
      <w:r>
        <w:rPr>
          <w:rFonts w:eastAsia="Calibri"/>
        </w:rPr>
        <w:t>.</w:t>
      </w:r>
    </w:p>
  </w:footnote>
  <w:footnote w:id="6">
    <w:p w14:paraId="5004A154" w14:textId="65492727" w:rsidR="008764F7" w:rsidRPr="00DF7E2E" w:rsidRDefault="008764F7" w:rsidP="00381210">
      <w:pPr>
        <w:pStyle w:val="FootnoteText"/>
        <w:rPr>
          <w:sz w:val="20"/>
        </w:rPr>
      </w:pPr>
      <w:r w:rsidRPr="00DF7E2E">
        <w:rPr>
          <w:rStyle w:val="FootnoteReference"/>
          <w:sz w:val="20"/>
        </w:rPr>
        <w:footnoteRef/>
      </w:r>
      <w:r w:rsidRPr="00DF7E2E">
        <w:rPr>
          <w:sz w:val="20"/>
        </w:rPr>
        <w:t xml:space="preserve"> Full implementation of the program is expected by 2020. Under this program, eligible Australians are sent screening tests via mail which can be completed without cost. Source: Bowel Cancer Australia. Accessed on 20</w:t>
      </w:r>
      <w:r>
        <w:rPr>
          <w:sz w:val="20"/>
        </w:rPr>
        <w:t> </w:t>
      </w:r>
      <w:r w:rsidRPr="00DF7E2E">
        <w:rPr>
          <w:sz w:val="20"/>
        </w:rPr>
        <w:t>November 2017 at: http://www.bowelscreenaustralia.org/</w:t>
      </w:r>
    </w:p>
  </w:footnote>
  <w:footnote w:id="7">
    <w:p w14:paraId="0DB5143E" w14:textId="13091E1C" w:rsidR="008764F7" w:rsidRPr="00DF7E2E" w:rsidRDefault="008764F7" w:rsidP="00381210">
      <w:pPr>
        <w:spacing w:after="0"/>
        <w:rPr>
          <w:sz w:val="20"/>
          <w:szCs w:val="20"/>
        </w:rPr>
      </w:pPr>
      <w:r w:rsidRPr="00DF7E2E">
        <w:rPr>
          <w:rStyle w:val="FootnoteReference"/>
          <w:sz w:val="20"/>
          <w:szCs w:val="20"/>
        </w:rPr>
        <w:footnoteRef/>
      </w:r>
      <w:r w:rsidRPr="00DF7E2E">
        <w:rPr>
          <w:sz w:val="20"/>
          <w:szCs w:val="20"/>
        </w:rPr>
        <w:t xml:space="preserve"> BEACON CRC. Study of Encorafenib + Cetuximab Plus or Minus Binimetinib vs. Irinotecan/Cetuximab or Infusional 5-Fluorouracil (5-FU)/Folinic Acid (FA)/Irinotecan (FOLFIRI)/Cetuximab With a Safety Lead-in of Encorafenib + Binimetinib + Cetuximab in Patients With BRAF V600E-mutantMetastatic Colorectal Cancer. ClinTrials.gov Identifier: NCT02928224. Accessed on 20 November 2017 at: https://clinicaltrials.gov</w:t>
      </w:r>
    </w:p>
  </w:footnote>
  <w:footnote w:id="8">
    <w:p w14:paraId="76D64046" w14:textId="77777777" w:rsidR="008764F7" w:rsidRPr="00DF7E2E" w:rsidRDefault="008764F7" w:rsidP="00381210">
      <w:pPr>
        <w:pStyle w:val="FootnoteText"/>
        <w:rPr>
          <w:sz w:val="20"/>
        </w:rPr>
      </w:pPr>
      <w:r w:rsidRPr="00DF7E2E">
        <w:rPr>
          <w:rStyle w:val="FootnoteReference"/>
          <w:sz w:val="20"/>
        </w:rPr>
        <w:footnoteRef/>
      </w:r>
      <w:r w:rsidRPr="00DF7E2E">
        <w:rPr>
          <w:sz w:val="20"/>
        </w:rPr>
        <w:t xml:space="preserve"> ElevatION: CRC-101: A Phase Ib Study of PDR001 in Combination With Bevacizumab and mFOLFOX6 as First Line Therapy in Patients With Metastatic MSS Colorectal Cancer. ClinTrials.gov Identifier: </w:t>
      </w:r>
      <w:r w:rsidRPr="000C10E5">
        <w:rPr>
          <w:sz w:val="20"/>
        </w:rPr>
        <w:t>NCT03176264</w:t>
      </w:r>
      <w:r w:rsidRPr="00DF7E2E">
        <w:rPr>
          <w:sz w:val="20"/>
        </w:rPr>
        <w:t>. Accessed on 20 November 2017 at: https://clinicaltrials.gov</w:t>
      </w:r>
    </w:p>
  </w:footnote>
  <w:footnote w:id="9">
    <w:p w14:paraId="146CAEA6" w14:textId="77777777" w:rsidR="008764F7" w:rsidRDefault="008764F7" w:rsidP="00381210">
      <w:pPr>
        <w:pStyle w:val="FootnoteText"/>
      </w:pPr>
      <w:r w:rsidRPr="00DF7E2E">
        <w:rPr>
          <w:rStyle w:val="FootnoteReference"/>
          <w:sz w:val="20"/>
        </w:rPr>
        <w:footnoteRef/>
      </w:r>
      <w:r w:rsidRPr="00DF7E2E">
        <w:rPr>
          <w:sz w:val="20"/>
        </w:rPr>
        <w:t xml:space="preserve"> A Phase I/II Study of Safety and Efficacy of Ribociclib (LEE011) in Combination With Trametinib (TMT212) in Patients With Metastatic or Advanced Solid Tumors. ClinTrials.gov Identifier: </w:t>
      </w:r>
      <w:r w:rsidRPr="000C10E5">
        <w:rPr>
          <w:sz w:val="20"/>
        </w:rPr>
        <w:t>NCT02703571</w:t>
      </w:r>
      <w:r w:rsidRPr="00DF7E2E">
        <w:rPr>
          <w:sz w:val="20"/>
        </w:rPr>
        <w:t>. Accessed on 20 November 2017 at: https://clinicaltrials.gov</w:t>
      </w:r>
    </w:p>
  </w:footnote>
  <w:footnote w:id="10">
    <w:p w14:paraId="5EBD74E0" w14:textId="4D2F14A6" w:rsidR="008764F7" w:rsidRDefault="008764F7">
      <w:pPr>
        <w:pStyle w:val="FootnoteText"/>
      </w:pPr>
      <w:r w:rsidRPr="00284EDE">
        <w:rPr>
          <w:rStyle w:val="FootnoteReference"/>
        </w:rPr>
        <w:footnoteRef/>
      </w:r>
      <w:r w:rsidRPr="00284EDE">
        <w:rPr>
          <w:rStyle w:val="FootnoteReference"/>
        </w:rPr>
        <w:t xml:space="preserve"> </w:t>
      </w:r>
      <w:r w:rsidRPr="00284EDE">
        <w:rPr>
          <w:sz w:val="20"/>
        </w:rPr>
        <w:t>Grothey, A. and Clark, J.W. (2017) Patient education: Colorectal cancer treatment; metastatic cancer (Beyond the Basics). Accessed on 30 November 2017 at: https://www.uptodate.com</w:t>
      </w:r>
    </w:p>
  </w:footnote>
  <w:footnote w:id="11">
    <w:p w14:paraId="0C491978" w14:textId="77777777" w:rsidR="003430AD" w:rsidRPr="004A5C05" w:rsidRDefault="003430AD" w:rsidP="003430AD">
      <w:pPr>
        <w:rPr>
          <w:sz w:val="20"/>
          <w:szCs w:val="20"/>
        </w:rPr>
      </w:pPr>
      <w:r>
        <w:rPr>
          <w:rStyle w:val="FootnoteReference"/>
        </w:rPr>
        <w:footnoteRef/>
      </w:r>
      <w:r>
        <w:t xml:space="preserve"> </w:t>
      </w:r>
      <w:r w:rsidRPr="00B27CF5">
        <w:rPr>
          <w:sz w:val="20"/>
          <w:szCs w:val="20"/>
        </w:rPr>
        <w:t>Tejpar, S., Stintzing, S., Ciardiello, F. et al. Prognostic and Predictive Relevance of Primary Tumor Location in Patients With RAS Wild-Type Metastatic Colorectal Cancer Retros</w:t>
      </w:r>
      <w:r>
        <w:rPr>
          <w:sz w:val="20"/>
          <w:szCs w:val="20"/>
        </w:rPr>
        <w:t>pective Analyses of the CRYSTAL</w:t>
      </w:r>
      <w:r w:rsidRPr="00B27CF5">
        <w:rPr>
          <w:sz w:val="20"/>
          <w:szCs w:val="20"/>
        </w:rPr>
        <w:t>and FIRE-3 Trials</w:t>
      </w:r>
      <w:r>
        <w:rPr>
          <w:sz w:val="20"/>
          <w:szCs w:val="20"/>
        </w:rPr>
        <w:t xml:space="preserve">. </w:t>
      </w:r>
      <w:r w:rsidRPr="00B27CF5">
        <w:rPr>
          <w:sz w:val="20"/>
          <w:szCs w:val="20"/>
        </w:rPr>
        <w:t>JAMA Oncol. doi:10.1001/jamaoncol.2016.3797</w:t>
      </w:r>
      <w:r>
        <w:rPr>
          <w:sz w:val="20"/>
          <w:szCs w:val="20"/>
        </w:rPr>
        <w:t xml:space="preserve">. </w:t>
      </w:r>
    </w:p>
  </w:footnote>
  <w:footnote w:id="12">
    <w:p w14:paraId="6B62D4ED" w14:textId="77777777" w:rsidR="003430AD" w:rsidRDefault="003430AD" w:rsidP="003430AD">
      <w:pPr>
        <w:autoSpaceDE w:val="0"/>
        <w:autoSpaceDN w:val="0"/>
        <w:adjustRightInd w:val="0"/>
      </w:pPr>
      <w:r w:rsidRPr="006C2345">
        <w:rPr>
          <w:rStyle w:val="FootnoteReference"/>
        </w:rPr>
        <w:footnoteRef/>
      </w:r>
      <w:r w:rsidRPr="006C2345">
        <w:t xml:space="preserve"> </w:t>
      </w:r>
      <w:r w:rsidRPr="006C2345">
        <w:rPr>
          <w:sz w:val="20"/>
          <w:szCs w:val="20"/>
        </w:rPr>
        <w:t xml:space="preserve">Bennouna J, Sastre J, Arnold D, Österlund P, Greil R, Van Cutsem E, et al. Continuation of bevacizumab after first progression in metastatic colorectal cancer (ML18147): a randomised phase 3 trial, </w:t>
      </w:r>
      <w:r w:rsidRPr="006C2345">
        <w:rPr>
          <w:rFonts w:cs="Arial"/>
          <w:color w:val="000000"/>
          <w:sz w:val="20"/>
          <w:szCs w:val="20"/>
          <w:shd w:val="clear" w:color="auto" w:fill="FFFFFF"/>
        </w:rPr>
        <w:t>Lancet Oncol</w:t>
      </w:r>
      <w:r w:rsidRPr="006C2345">
        <w:rPr>
          <w:sz w:val="20"/>
          <w:szCs w:val="20"/>
        </w:rPr>
        <w:t xml:space="preserve"> 2013; 14(1): 29-37.  Doi: 10.1016/S1470-2045(12)70477-1.</w:t>
      </w:r>
    </w:p>
  </w:footnote>
  <w:footnote w:id="13">
    <w:p w14:paraId="498F7B1D" w14:textId="77777777" w:rsidR="003430AD" w:rsidRDefault="003430AD" w:rsidP="003430AD">
      <w:pPr>
        <w:pStyle w:val="Heading1"/>
        <w:shd w:val="clear" w:color="auto" w:fill="FFFFFF"/>
        <w:rPr>
          <w:color w:val="000000"/>
          <w:sz w:val="34"/>
          <w:szCs w:val="34"/>
        </w:rPr>
      </w:pPr>
      <w:r w:rsidRPr="00BF7D56">
        <w:rPr>
          <w:rStyle w:val="FootnoteReference"/>
          <w:b w:val="0"/>
          <w:sz w:val="22"/>
        </w:rPr>
        <w:footnoteRef/>
      </w:r>
      <w:r>
        <w:t xml:space="preserve"> </w:t>
      </w:r>
      <w:r w:rsidRPr="00BF7D56">
        <w:rPr>
          <w:b w:val="0"/>
          <w:sz w:val="20"/>
          <w:szCs w:val="20"/>
        </w:rPr>
        <w:t xml:space="preserve">Hubbard, J.M and Alberts, S.J. (2013) Alternate dosing of cetuximab for patients with metastatic colorectal cancer. </w:t>
      </w:r>
      <w:hyperlink r:id="rId1" w:tooltip="Gastrointestinal cancer research : GCR." w:history="1">
        <w:r w:rsidRPr="00BF7D56">
          <w:rPr>
            <w:b w:val="0"/>
            <w:sz w:val="20"/>
            <w:szCs w:val="20"/>
          </w:rPr>
          <w:t>Gastrointest Cancer Res.</w:t>
        </w:r>
      </w:hyperlink>
      <w:r w:rsidRPr="00BF7D56">
        <w:rPr>
          <w:b w:val="0"/>
          <w:sz w:val="20"/>
          <w:szCs w:val="20"/>
        </w:rPr>
        <w:t> 2013 Mar;6(2):47-55.</w:t>
      </w:r>
    </w:p>
    <w:p w14:paraId="2072DA7C" w14:textId="77777777" w:rsidR="003430AD" w:rsidRDefault="003430AD" w:rsidP="003430AD">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4EFB"/>
    <w:multiLevelType w:val="hybridMultilevel"/>
    <w:tmpl w:val="745EDE3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BFB3EA8"/>
    <w:multiLevelType w:val="hybridMultilevel"/>
    <w:tmpl w:val="D30ABB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D6C13E0"/>
    <w:multiLevelType w:val="hybridMultilevel"/>
    <w:tmpl w:val="5748F8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DAB7F91"/>
    <w:multiLevelType w:val="multilevel"/>
    <w:tmpl w:val="589A8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99D43E0"/>
    <w:multiLevelType w:val="hybridMultilevel"/>
    <w:tmpl w:val="5AC4AC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2D08D6"/>
    <w:multiLevelType w:val="multilevel"/>
    <w:tmpl w:val="31CA7510"/>
    <w:lvl w:ilvl="0">
      <w:start w:val="1"/>
      <w:numFmt w:val="decimal"/>
      <w:lvlText w:val="%1"/>
      <w:lvlJc w:val="left"/>
      <w:pPr>
        <w:ind w:left="720" w:hanging="720"/>
      </w:pPr>
      <w:rPr>
        <w:rFonts w:cs="Times New Roman" w:hint="default"/>
        <w:b/>
        <w:i w:val="0"/>
      </w:rPr>
    </w:lvl>
    <w:lvl w:ilvl="1">
      <w:start w:val="1"/>
      <w:numFmt w:val="decimal"/>
      <w:lvlText w:val="%1.%2"/>
      <w:lvlJc w:val="left"/>
      <w:pPr>
        <w:ind w:left="720" w:hanging="72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34990D63"/>
    <w:multiLevelType w:val="hybridMultilevel"/>
    <w:tmpl w:val="85F0DF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5472BC4"/>
    <w:multiLevelType w:val="multilevel"/>
    <w:tmpl w:val="31CA7510"/>
    <w:lvl w:ilvl="0">
      <w:start w:val="1"/>
      <w:numFmt w:val="decimal"/>
      <w:lvlText w:val="%1"/>
      <w:lvlJc w:val="left"/>
      <w:pPr>
        <w:ind w:left="720" w:hanging="720"/>
      </w:pPr>
      <w:rPr>
        <w:rFonts w:cs="Times New Roman" w:hint="default"/>
        <w:b/>
        <w:i w:val="0"/>
      </w:rPr>
    </w:lvl>
    <w:lvl w:ilvl="1">
      <w:start w:val="1"/>
      <w:numFmt w:val="decimal"/>
      <w:lvlText w:val="%1.%2"/>
      <w:lvlJc w:val="left"/>
      <w:pPr>
        <w:ind w:left="720" w:hanging="720"/>
      </w:pPr>
      <w:rPr>
        <w:rFonts w:cs="Times New Roman" w:hint="default"/>
        <w:b w:val="0"/>
        <w:i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72A7DB4"/>
    <w:multiLevelType w:val="multilevel"/>
    <w:tmpl w:val="D58A9EDE"/>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0D15EE0"/>
    <w:multiLevelType w:val="hybridMultilevel"/>
    <w:tmpl w:val="201C36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446B063E"/>
    <w:multiLevelType w:val="hybridMultilevel"/>
    <w:tmpl w:val="7554A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8EB2B5C"/>
    <w:multiLevelType w:val="multilevel"/>
    <w:tmpl w:val="36B2B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582717"/>
    <w:multiLevelType w:val="hybridMultilevel"/>
    <w:tmpl w:val="AAE47E56"/>
    <w:lvl w:ilvl="0" w:tplc="C14AE0FC">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17B29A8"/>
    <w:multiLevelType w:val="hybridMultilevel"/>
    <w:tmpl w:val="A4FE42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60C4457"/>
    <w:multiLevelType w:val="hybridMultilevel"/>
    <w:tmpl w:val="F4CA7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61E75CD"/>
    <w:multiLevelType w:val="hybridMultilevel"/>
    <w:tmpl w:val="1BDC34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6CBF3A1C"/>
    <w:multiLevelType w:val="hybridMultilevel"/>
    <w:tmpl w:val="012A1F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714377FB"/>
    <w:multiLevelType w:val="hybridMultilevel"/>
    <w:tmpl w:val="460215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71E05EFE"/>
    <w:multiLevelType w:val="multilevel"/>
    <w:tmpl w:val="05D66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84D033C"/>
    <w:multiLevelType w:val="multilevel"/>
    <w:tmpl w:val="FC66636A"/>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7DDC3608"/>
    <w:multiLevelType w:val="multilevel"/>
    <w:tmpl w:val="45064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7"/>
  </w:num>
  <w:num w:numId="3">
    <w:abstractNumId w:val="5"/>
  </w:num>
  <w:num w:numId="4">
    <w:abstractNumId w:val="22"/>
  </w:num>
  <w:num w:numId="5">
    <w:abstractNumId w:val="16"/>
  </w:num>
  <w:num w:numId="6">
    <w:abstractNumId w:val="18"/>
  </w:num>
  <w:num w:numId="7">
    <w:abstractNumId w:val="9"/>
  </w:num>
  <w:num w:numId="8">
    <w:abstractNumId w:val="6"/>
  </w:num>
  <w:num w:numId="9">
    <w:abstractNumId w:val="8"/>
  </w:num>
  <w:num w:numId="10">
    <w:abstractNumId w:val="4"/>
  </w:num>
  <w:num w:numId="11">
    <w:abstractNumId w:val="10"/>
  </w:num>
  <w:num w:numId="12">
    <w:abstractNumId w:val="13"/>
  </w:num>
  <w:num w:numId="13">
    <w:abstractNumId w:val="3"/>
  </w:num>
  <w:num w:numId="14">
    <w:abstractNumId w:val="0"/>
  </w:num>
  <w:num w:numId="15">
    <w:abstractNumId w:val="23"/>
  </w:num>
  <w:num w:numId="16">
    <w:abstractNumId w:val="2"/>
  </w:num>
  <w:num w:numId="17">
    <w:abstractNumId w:val="14"/>
  </w:num>
  <w:num w:numId="18">
    <w:abstractNumId w:val="1"/>
  </w:num>
  <w:num w:numId="19">
    <w:abstractNumId w:val="12"/>
  </w:num>
  <w:num w:numId="20">
    <w:abstractNumId w:val="15"/>
  </w:num>
  <w:num w:numId="21">
    <w:abstractNumId w:val="11"/>
  </w:num>
  <w:num w:numId="22">
    <w:abstractNumId w:val="20"/>
  </w:num>
  <w:num w:numId="23">
    <w:abstractNumId w:val="1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5155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11EE"/>
    <w:rsid w:val="00001B54"/>
    <w:rsid w:val="00002D04"/>
    <w:rsid w:val="00002DB6"/>
    <w:rsid w:val="00003AA2"/>
    <w:rsid w:val="000046E5"/>
    <w:rsid w:val="00006B80"/>
    <w:rsid w:val="00006C48"/>
    <w:rsid w:val="0000705E"/>
    <w:rsid w:val="000072E1"/>
    <w:rsid w:val="000077A3"/>
    <w:rsid w:val="00007E85"/>
    <w:rsid w:val="00010181"/>
    <w:rsid w:val="000105EC"/>
    <w:rsid w:val="0001069C"/>
    <w:rsid w:val="00010B58"/>
    <w:rsid w:val="00013465"/>
    <w:rsid w:val="00013903"/>
    <w:rsid w:val="00013CE1"/>
    <w:rsid w:val="00014FB0"/>
    <w:rsid w:val="00015AD4"/>
    <w:rsid w:val="00015D3B"/>
    <w:rsid w:val="00016024"/>
    <w:rsid w:val="0001677B"/>
    <w:rsid w:val="00016A85"/>
    <w:rsid w:val="00017110"/>
    <w:rsid w:val="000178DF"/>
    <w:rsid w:val="00017979"/>
    <w:rsid w:val="00017A17"/>
    <w:rsid w:val="000207FB"/>
    <w:rsid w:val="00020E6A"/>
    <w:rsid w:val="000226B3"/>
    <w:rsid w:val="0002303E"/>
    <w:rsid w:val="00023D65"/>
    <w:rsid w:val="00023F5A"/>
    <w:rsid w:val="00024549"/>
    <w:rsid w:val="0002465E"/>
    <w:rsid w:val="00024851"/>
    <w:rsid w:val="00024E55"/>
    <w:rsid w:val="00025236"/>
    <w:rsid w:val="000253E2"/>
    <w:rsid w:val="0002666A"/>
    <w:rsid w:val="00027B5B"/>
    <w:rsid w:val="00027B9C"/>
    <w:rsid w:val="000316B8"/>
    <w:rsid w:val="000322FB"/>
    <w:rsid w:val="00034B07"/>
    <w:rsid w:val="000353B8"/>
    <w:rsid w:val="000355E0"/>
    <w:rsid w:val="00035B9F"/>
    <w:rsid w:val="00036326"/>
    <w:rsid w:val="00036448"/>
    <w:rsid w:val="00036B5B"/>
    <w:rsid w:val="000372C6"/>
    <w:rsid w:val="000408E9"/>
    <w:rsid w:val="00041DB4"/>
    <w:rsid w:val="00042A80"/>
    <w:rsid w:val="00043D17"/>
    <w:rsid w:val="00044908"/>
    <w:rsid w:val="00044B4C"/>
    <w:rsid w:val="00046E31"/>
    <w:rsid w:val="00051631"/>
    <w:rsid w:val="00051A62"/>
    <w:rsid w:val="000521CE"/>
    <w:rsid w:val="00052239"/>
    <w:rsid w:val="00052E42"/>
    <w:rsid w:val="000534CF"/>
    <w:rsid w:val="00053942"/>
    <w:rsid w:val="000544B6"/>
    <w:rsid w:val="0005472D"/>
    <w:rsid w:val="000549B6"/>
    <w:rsid w:val="0005529A"/>
    <w:rsid w:val="000563F5"/>
    <w:rsid w:val="0005657F"/>
    <w:rsid w:val="00056D03"/>
    <w:rsid w:val="000602D9"/>
    <w:rsid w:val="000604AF"/>
    <w:rsid w:val="00060F2B"/>
    <w:rsid w:val="000610D3"/>
    <w:rsid w:val="00062752"/>
    <w:rsid w:val="000630BE"/>
    <w:rsid w:val="000630F3"/>
    <w:rsid w:val="000638D5"/>
    <w:rsid w:val="00065368"/>
    <w:rsid w:val="00065612"/>
    <w:rsid w:val="0006580B"/>
    <w:rsid w:val="000665F8"/>
    <w:rsid w:val="00066E03"/>
    <w:rsid w:val="000715DF"/>
    <w:rsid w:val="0007169E"/>
    <w:rsid w:val="00072FF2"/>
    <w:rsid w:val="0007379A"/>
    <w:rsid w:val="00074299"/>
    <w:rsid w:val="00076508"/>
    <w:rsid w:val="00077474"/>
    <w:rsid w:val="0008172D"/>
    <w:rsid w:val="00082634"/>
    <w:rsid w:val="0008269A"/>
    <w:rsid w:val="00082752"/>
    <w:rsid w:val="00082ECE"/>
    <w:rsid w:val="000831DB"/>
    <w:rsid w:val="000832CC"/>
    <w:rsid w:val="00086433"/>
    <w:rsid w:val="00086469"/>
    <w:rsid w:val="00086C11"/>
    <w:rsid w:val="00090447"/>
    <w:rsid w:val="000920F5"/>
    <w:rsid w:val="00093319"/>
    <w:rsid w:val="0009426B"/>
    <w:rsid w:val="00094DCF"/>
    <w:rsid w:val="000952EC"/>
    <w:rsid w:val="0009633B"/>
    <w:rsid w:val="00096E6F"/>
    <w:rsid w:val="00096E92"/>
    <w:rsid w:val="000974B5"/>
    <w:rsid w:val="00097C24"/>
    <w:rsid w:val="000A0D2B"/>
    <w:rsid w:val="000A12E9"/>
    <w:rsid w:val="000A171B"/>
    <w:rsid w:val="000A189A"/>
    <w:rsid w:val="000A1E30"/>
    <w:rsid w:val="000A253F"/>
    <w:rsid w:val="000A25AE"/>
    <w:rsid w:val="000A2DFE"/>
    <w:rsid w:val="000A3398"/>
    <w:rsid w:val="000A3584"/>
    <w:rsid w:val="000A432E"/>
    <w:rsid w:val="000A43D6"/>
    <w:rsid w:val="000A4816"/>
    <w:rsid w:val="000A5F10"/>
    <w:rsid w:val="000A6297"/>
    <w:rsid w:val="000A6BE9"/>
    <w:rsid w:val="000A6CFD"/>
    <w:rsid w:val="000A6F9B"/>
    <w:rsid w:val="000A7C2D"/>
    <w:rsid w:val="000B0313"/>
    <w:rsid w:val="000B079B"/>
    <w:rsid w:val="000B0982"/>
    <w:rsid w:val="000B19EA"/>
    <w:rsid w:val="000B1F80"/>
    <w:rsid w:val="000B2AC3"/>
    <w:rsid w:val="000B3932"/>
    <w:rsid w:val="000B55AB"/>
    <w:rsid w:val="000B744F"/>
    <w:rsid w:val="000B755C"/>
    <w:rsid w:val="000B796C"/>
    <w:rsid w:val="000B7995"/>
    <w:rsid w:val="000C0539"/>
    <w:rsid w:val="000C0795"/>
    <w:rsid w:val="000C1032"/>
    <w:rsid w:val="000C10E5"/>
    <w:rsid w:val="000C16DE"/>
    <w:rsid w:val="000C197A"/>
    <w:rsid w:val="000C2AE6"/>
    <w:rsid w:val="000C2C0C"/>
    <w:rsid w:val="000C2DED"/>
    <w:rsid w:val="000C31B0"/>
    <w:rsid w:val="000C4340"/>
    <w:rsid w:val="000C46BB"/>
    <w:rsid w:val="000C4A8E"/>
    <w:rsid w:val="000C4B14"/>
    <w:rsid w:val="000C4C97"/>
    <w:rsid w:val="000C4D9D"/>
    <w:rsid w:val="000C7581"/>
    <w:rsid w:val="000C7C4B"/>
    <w:rsid w:val="000C7D13"/>
    <w:rsid w:val="000C7D8B"/>
    <w:rsid w:val="000C7F4C"/>
    <w:rsid w:val="000D0106"/>
    <w:rsid w:val="000D06F7"/>
    <w:rsid w:val="000D09FB"/>
    <w:rsid w:val="000D10CF"/>
    <w:rsid w:val="000D1FD5"/>
    <w:rsid w:val="000D39EA"/>
    <w:rsid w:val="000D4830"/>
    <w:rsid w:val="000D4AD4"/>
    <w:rsid w:val="000D538A"/>
    <w:rsid w:val="000D564A"/>
    <w:rsid w:val="000D5AA7"/>
    <w:rsid w:val="000D5F2A"/>
    <w:rsid w:val="000D6B85"/>
    <w:rsid w:val="000D7976"/>
    <w:rsid w:val="000D7AE7"/>
    <w:rsid w:val="000E0E81"/>
    <w:rsid w:val="000E0ED9"/>
    <w:rsid w:val="000E167E"/>
    <w:rsid w:val="000E1913"/>
    <w:rsid w:val="000E2227"/>
    <w:rsid w:val="000E2B67"/>
    <w:rsid w:val="000E323E"/>
    <w:rsid w:val="000E41DE"/>
    <w:rsid w:val="000E43A5"/>
    <w:rsid w:val="000E4537"/>
    <w:rsid w:val="000E4549"/>
    <w:rsid w:val="000E485D"/>
    <w:rsid w:val="000E5E2B"/>
    <w:rsid w:val="000E65B4"/>
    <w:rsid w:val="000E72C6"/>
    <w:rsid w:val="000F0848"/>
    <w:rsid w:val="000F0B84"/>
    <w:rsid w:val="000F1893"/>
    <w:rsid w:val="000F2F51"/>
    <w:rsid w:val="000F3017"/>
    <w:rsid w:val="000F3964"/>
    <w:rsid w:val="000F4298"/>
    <w:rsid w:val="000F458A"/>
    <w:rsid w:val="000F4B3B"/>
    <w:rsid w:val="000F5492"/>
    <w:rsid w:val="000F6386"/>
    <w:rsid w:val="000F6686"/>
    <w:rsid w:val="001001C1"/>
    <w:rsid w:val="00100D34"/>
    <w:rsid w:val="00101CC8"/>
    <w:rsid w:val="00101E29"/>
    <w:rsid w:val="00102F36"/>
    <w:rsid w:val="00103469"/>
    <w:rsid w:val="001041F1"/>
    <w:rsid w:val="00104220"/>
    <w:rsid w:val="001049A5"/>
    <w:rsid w:val="0010504E"/>
    <w:rsid w:val="00105F79"/>
    <w:rsid w:val="0010638D"/>
    <w:rsid w:val="00107A75"/>
    <w:rsid w:val="00107DAC"/>
    <w:rsid w:val="00110661"/>
    <w:rsid w:val="00110CEA"/>
    <w:rsid w:val="00111482"/>
    <w:rsid w:val="0011231B"/>
    <w:rsid w:val="00112AB3"/>
    <w:rsid w:val="00113760"/>
    <w:rsid w:val="0011395E"/>
    <w:rsid w:val="00113CF8"/>
    <w:rsid w:val="00113D74"/>
    <w:rsid w:val="0011445E"/>
    <w:rsid w:val="001144DB"/>
    <w:rsid w:val="0011536A"/>
    <w:rsid w:val="00115D51"/>
    <w:rsid w:val="00116450"/>
    <w:rsid w:val="001164AD"/>
    <w:rsid w:val="00117983"/>
    <w:rsid w:val="00117C5C"/>
    <w:rsid w:val="001205F3"/>
    <w:rsid w:val="00120F2C"/>
    <w:rsid w:val="00121651"/>
    <w:rsid w:val="00123638"/>
    <w:rsid w:val="00123EF5"/>
    <w:rsid w:val="001244D5"/>
    <w:rsid w:val="0012470B"/>
    <w:rsid w:val="00125C21"/>
    <w:rsid w:val="001261FE"/>
    <w:rsid w:val="001263DA"/>
    <w:rsid w:val="001308C3"/>
    <w:rsid w:val="001310AE"/>
    <w:rsid w:val="001316BD"/>
    <w:rsid w:val="00131906"/>
    <w:rsid w:val="001321BF"/>
    <w:rsid w:val="00132395"/>
    <w:rsid w:val="00132936"/>
    <w:rsid w:val="001338AC"/>
    <w:rsid w:val="00134855"/>
    <w:rsid w:val="00135130"/>
    <w:rsid w:val="00136586"/>
    <w:rsid w:val="001376A1"/>
    <w:rsid w:val="00137B68"/>
    <w:rsid w:val="001410A7"/>
    <w:rsid w:val="001420B3"/>
    <w:rsid w:val="00143113"/>
    <w:rsid w:val="0014330B"/>
    <w:rsid w:val="00143711"/>
    <w:rsid w:val="00143B30"/>
    <w:rsid w:val="00143B51"/>
    <w:rsid w:val="00143BC4"/>
    <w:rsid w:val="001441A6"/>
    <w:rsid w:val="0014455D"/>
    <w:rsid w:val="00144C08"/>
    <w:rsid w:val="001464C1"/>
    <w:rsid w:val="001466DF"/>
    <w:rsid w:val="0014716D"/>
    <w:rsid w:val="00150FB4"/>
    <w:rsid w:val="00151438"/>
    <w:rsid w:val="001517AD"/>
    <w:rsid w:val="00151DC0"/>
    <w:rsid w:val="001527CB"/>
    <w:rsid w:val="00155B30"/>
    <w:rsid w:val="00155B92"/>
    <w:rsid w:val="00155CAB"/>
    <w:rsid w:val="00156173"/>
    <w:rsid w:val="0015691C"/>
    <w:rsid w:val="001569DD"/>
    <w:rsid w:val="0015776D"/>
    <w:rsid w:val="00157899"/>
    <w:rsid w:val="00157E1C"/>
    <w:rsid w:val="00157E87"/>
    <w:rsid w:val="0016090C"/>
    <w:rsid w:val="00161855"/>
    <w:rsid w:val="00161A29"/>
    <w:rsid w:val="001621F7"/>
    <w:rsid w:val="001624D7"/>
    <w:rsid w:val="00163EAE"/>
    <w:rsid w:val="00164770"/>
    <w:rsid w:val="0016533B"/>
    <w:rsid w:val="0016645A"/>
    <w:rsid w:val="0016670D"/>
    <w:rsid w:val="00166B2C"/>
    <w:rsid w:val="00166C67"/>
    <w:rsid w:val="00167179"/>
    <w:rsid w:val="001677AD"/>
    <w:rsid w:val="00171B80"/>
    <w:rsid w:val="00172D4E"/>
    <w:rsid w:val="0017499E"/>
    <w:rsid w:val="00175413"/>
    <w:rsid w:val="0017572D"/>
    <w:rsid w:val="00175761"/>
    <w:rsid w:val="00176D78"/>
    <w:rsid w:val="00176EB5"/>
    <w:rsid w:val="0017750B"/>
    <w:rsid w:val="001778C4"/>
    <w:rsid w:val="00177B86"/>
    <w:rsid w:val="001806F0"/>
    <w:rsid w:val="001807DE"/>
    <w:rsid w:val="0018090E"/>
    <w:rsid w:val="00180FCD"/>
    <w:rsid w:val="0018115D"/>
    <w:rsid w:val="0018150A"/>
    <w:rsid w:val="0018247D"/>
    <w:rsid w:val="00182585"/>
    <w:rsid w:val="00182BCC"/>
    <w:rsid w:val="00183681"/>
    <w:rsid w:val="00183A90"/>
    <w:rsid w:val="001849E5"/>
    <w:rsid w:val="00185804"/>
    <w:rsid w:val="00185B31"/>
    <w:rsid w:val="00185D09"/>
    <w:rsid w:val="00185E48"/>
    <w:rsid w:val="00185EC7"/>
    <w:rsid w:val="00187505"/>
    <w:rsid w:val="00187736"/>
    <w:rsid w:val="00190322"/>
    <w:rsid w:val="0019105E"/>
    <w:rsid w:val="00191182"/>
    <w:rsid w:val="00191474"/>
    <w:rsid w:val="001933B5"/>
    <w:rsid w:val="0019378E"/>
    <w:rsid w:val="00193823"/>
    <w:rsid w:val="001943BE"/>
    <w:rsid w:val="00195326"/>
    <w:rsid w:val="001953BD"/>
    <w:rsid w:val="00195DFA"/>
    <w:rsid w:val="0019664D"/>
    <w:rsid w:val="00196E6A"/>
    <w:rsid w:val="0019708E"/>
    <w:rsid w:val="00197DF7"/>
    <w:rsid w:val="001A0114"/>
    <w:rsid w:val="001A0B26"/>
    <w:rsid w:val="001A18A2"/>
    <w:rsid w:val="001A18D8"/>
    <w:rsid w:val="001A1D8B"/>
    <w:rsid w:val="001A3007"/>
    <w:rsid w:val="001A37D0"/>
    <w:rsid w:val="001A3C18"/>
    <w:rsid w:val="001A4D34"/>
    <w:rsid w:val="001A5A66"/>
    <w:rsid w:val="001A6103"/>
    <w:rsid w:val="001A6BDB"/>
    <w:rsid w:val="001A6C46"/>
    <w:rsid w:val="001A7329"/>
    <w:rsid w:val="001A79C6"/>
    <w:rsid w:val="001B051C"/>
    <w:rsid w:val="001B0975"/>
    <w:rsid w:val="001B1A36"/>
    <w:rsid w:val="001B2638"/>
    <w:rsid w:val="001B28E5"/>
    <w:rsid w:val="001B40D0"/>
    <w:rsid w:val="001B462D"/>
    <w:rsid w:val="001B58F6"/>
    <w:rsid w:val="001B5D37"/>
    <w:rsid w:val="001B6E4C"/>
    <w:rsid w:val="001B7314"/>
    <w:rsid w:val="001B7624"/>
    <w:rsid w:val="001B78AA"/>
    <w:rsid w:val="001B7A1D"/>
    <w:rsid w:val="001B7FBC"/>
    <w:rsid w:val="001C03EF"/>
    <w:rsid w:val="001C1A32"/>
    <w:rsid w:val="001C1AFA"/>
    <w:rsid w:val="001C2622"/>
    <w:rsid w:val="001C2940"/>
    <w:rsid w:val="001C4016"/>
    <w:rsid w:val="001C44CD"/>
    <w:rsid w:val="001C4EAE"/>
    <w:rsid w:val="001C548D"/>
    <w:rsid w:val="001C664E"/>
    <w:rsid w:val="001C6A5D"/>
    <w:rsid w:val="001C6F08"/>
    <w:rsid w:val="001C712F"/>
    <w:rsid w:val="001C717C"/>
    <w:rsid w:val="001C753B"/>
    <w:rsid w:val="001C7C27"/>
    <w:rsid w:val="001D43BB"/>
    <w:rsid w:val="001D4473"/>
    <w:rsid w:val="001D448A"/>
    <w:rsid w:val="001D6A20"/>
    <w:rsid w:val="001D6E17"/>
    <w:rsid w:val="001D75E2"/>
    <w:rsid w:val="001E0254"/>
    <w:rsid w:val="001E0295"/>
    <w:rsid w:val="001E0590"/>
    <w:rsid w:val="001E12A2"/>
    <w:rsid w:val="001E1355"/>
    <w:rsid w:val="001E135D"/>
    <w:rsid w:val="001E2532"/>
    <w:rsid w:val="001E3165"/>
    <w:rsid w:val="001E31A6"/>
    <w:rsid w:val="001E3A61"/>
    <w:rsid w:val="001E41C5"/>
    <w:rsid w:val="001E42C7"/>
    <w:rsid w:val="001E476C"/>
    <w:rsid w:val="001E4CAB"/>
    <w:rsid w:val="001E585A"/>
    <w:rsid w:val="001E697C"/>
    <w:rsid w:val="001E79A6"/>
    <w:rsid w:val="001E7A7D"/>
    <w:rsid w:val="001F0719"/>
    <w:rsid w:val="001F0BF7"/>
    <w:rsid w:val="001F0DBA"/>
    <w:rsid w:val="001F1B8E"/>
    <w:rsid w:val="001F1CA6"/>
    <w:rsid w:val="001F23E4"/>
    <w:rsid w:val="001F23F3"/>
    <w:rsid w:val="001F2C82"/>
    <w:rsid w:val="001F2F3E"/>
    <w:rsid w:val="001F3BA8"/>
    <w:rsid w:val="001F3ED8"/>
    <w:rsid w:val="001F4906"/>
    <w:rsid w:val="001F537D"/>
    <w:rsid w:val="001F5A46"/>
    <w:rsid w:val="001F5A82"/>
    <w:rsid w:val="001F5D4A"/>
    <w:rsid w:val="001F6F5F"/>
    <w:rsid w:val="001F7468"/>
    <w:rsid w:val="001F7777"/>
    <w:rsid w:val="001F7C4A"/>
    <w:rsid w:val="00200019"/>
    <w:rsid w:val="002004AD"/>
    <w:rsid w:val="002011C4"/>
    <w:rsid w:val="00201B20"/>
    <w:rsid w:val="00202467"/>
    <w:rsid w:val="00203462"/>
    <w:rsid w:val="002037EC"/>
    <w:rsid w:val="0020578A"/>
    <w:rsid w:val="00205FAA"/>
    <w:rsid w:val="00206939"/>
    <w:rsid w:val="00206CA1"/>
    <w:rsid w:val="00207631"/>
    <w:rsid w:val="00207AAF"/>
    <w:rsid w:val="00210520"/>
    <w:rsid w:val="00210D83"/>
    <w:rsid w:val="00211A4B"/>
    <w:rsid w:val="00211FAB"/>
    <w:rsid w:val="00212042"/>
    <w:rsid w:val="0021224C"/>
    <w:rsid w:val="00212CD7"/>
    <w:rsid w:val="00214013"/>
    <w:rsid w:val="00216194"/>
    <w:rsid w:val="002168BD"/>
    <w:rsid w:val="00216CC5"/>
    <w:rsid w:val="00216E42"/>
    <w:rsid w:val="002172C4"/>
    <w:rsid w:val="00220298"/>
    <w:rsid w:val="00220FC1"/>
    <w:rsid w:val="00221F96"/>
    <w:rsid w:val="00222075"/>
    <w:rsid w:val="0022248B"/>
    <w:rsid w:val="00222E9A"/>
    <w:rsid w:val="00223039"/>
    <w:rsid w:val="00223170"/>
    <w:rsid w:val="002233A0"/>
    <w:rsid w:val="0022373D"/>
    <w:rsid w:val="002240EE"/>
    <w:rsid w:val="00224DAD"/>
    <w:rsid w:val="0022623D"/>
    <w:rsid w:val="00226529"/>
    <w:rsid w:val="0022783C"/>
    <w:rsid w:val="00230C4B"/>
    <w:rsid w:val="0023179D"/>
    <w:rsid w:val="00231EFE"/>
    <w:rsid w:val="0023270E"/>
    <w:rsid w:val="00232A0C"/>
    <w:rsid w:val="00232D96"/>
    <w:rsid w:val="00233264"/>
    <w:rsid w:val="002344F6"/>
    <w:rsid w:val="00235004"/>
    <w:rsid w:val="0023584B"/>
    <w:rsid w:val="00236B00"/>
    <w:rsid w:val="00236D90"/>
    <w:rsid w:val="00237850"/>
    <w:rsid w:val="00241843"/>
    <w:rsid w:val="002418DA"/>
    <w:rsid w:val="00242020"/>
    <w:rsid w:val="002421D6"/>
    <w:rsid w:val="00243D6E"/>
    <w:rsid w:val="002442A2"/>
    <w:rsid w:val="00244913"/>
    <w:rsid w:val="00244A14"/>
    <w:rsid w:val="0024515D"/>
    <w:rsid w:val="002451FE"/>
    <w:rsid w:val="002453AE"/>
    <w:rsid w:val="00245EBC"/>
    <w:rsid w:val="00245EC8"/>
    <w:rsid w:val="00246021"/>
    <w:rsid w:val="00246ACB"/>
    <w:rsid w:val="00250288"/>
    <w:rsid w:val="00250574"/>
    <w:rsid w:val="002505D3"/>
    <w:rsid w:val="00251907"/>
    <w:rsid w:val="0025389D"/>
    <w:rsid w:val="0025499B"/>
    <w:rsid w:val="0025540B"/>
    <w:rsid w:val="002559EF"/>
    <w:rsid w:val="00255EA4"/>
    <w:rsid w:val="00256831"/>
    <w:rsid w:val="00256A48"/>
    <w:rsid w:val="00256E41"/>
    <w:rsid w:val="002572E6"/>
    <w:rsid w:val="00257884"/>
    <w:rsid w:val="00257AF6"/>
    <w:rsid w:val="00260142"/>
    <w:rsid w:val="0026017D"/>
    <w:rsid w:val="002604AB"/>
    <w:rsid w:val="00260F5E"/>
    <w:rsid w:val="0026265F"/>
    <w:rsid w:val="00263929"/>
    <w:rsid w:val="00263B7A"/>
    <w:rsid w:val="00263E32"/>
    <w:rsid w:val="00264265"/>
    <w:rsid w:val="00265432"/>
    <w:rsid w:val="00270668"/>
    <w:rsid w:val="00270938"/>
    <w:rsid w:val="002716BF"/>
    <w:rsid w:val="002737CA"/>
    <w:rsid w:val="00273BA0"/>
    <w:rsid w:val="00274F70"/>
    <w:rsid w:val="00275FF2"/>
    <w:rsid w:val="00276414"/>
    <w:rsid w:val="00277130"/>
    <w:rsid w:val="00280633"/>
    <w:rsid w:val="00280665"/>
    <w:rsid w:val="00280A8F"/>
    <w:rsid w:val="00281207"/>
    <w:rsid w:val="00281C81"/>
    <w:rsid w:val="00281CC3"/>
    <w:rsid w:val="00283EAB"/>
    <w:rsid w:val="00284711"/>
    <w:rsid w:val="0028472E"/>
    <w:rsid w:val="00284901"/>
    <w:rsid w:val="00284EDE"/>
    <w:rsid w:val="00285CA7"/>
    <w:rsid w:val="00285D7A"/>
    <w:rsid w:val="00286C3A"/>
    <w:rsid w:val="00290387"/>
    <w:rsid w:val="00290C3D"/>
    <w:rsid w:val="002918BC"/>
    <w:rsid w:val="00291A90"/>
    <w:rsid w:val="00292745"/>
    <w:rsid w:val="00292F72"/>
    <w:rsid w:val="002930F5"/>
    <w:rsid w:val="002931A7"/>
    <w:rsid w:val="0029424F"/>
    <w:rsid w:val="002943DE"/>
    <w:rsid w:val="002948E3"/>
    <w:rsid w:val="00294A6F"/>
    <w:rsid w:val="00294BF4"/>
    <w:rsid w:val="002959ED"/>
    <w:rsid w:val="00295C4A"/>
    <w:rsid w:val="00295D00"/>
    <w:rsid w:val="002A005F"/>
    <w:rsid w:val="002A06B7"/>
    <w:rsid w:val="002A0B5D"/>
    <w:rsid w:val="002A0BEF"/>
    <w:rsid w:val="002A31BE"/>
    <w:rsid w:val="002A3F97"/>
    <w:rsid w:val="002A4C9B"/>
    <w:rsid w:val="002A5034"/>
    <w:rsid w:val="002A5362"/>
    <w:rsid w:val="002A5589"/>
    <w:rsid w:val="002A6C3E"/>
    <w:rsid w:val="002A7B11"/>
    <w:rsid w:val="002B0548"/>
    <w:rsid w:val="002B13CC"/>
    <w:rsid w:val="002B169B"/>
    <w:rsid w:val="002B19B6"/>
    <w:rsid w:val="002B3CF2"/>
    <w:rsid w:val="002B7048"/>
    <w:rsid w:val="002B729E"/>
    <w:rsid w:val="002B74E6"/>
    <w:rsid w:val="002B7A94"/>
    <w:rsid w:val="002C0B42"/>
    <w:rsid w:val="002C132B"/>
    <w:rsid w:val="002C1894"/>
    <w:rsid w:val="002C1C5B"/>
    <w:rsid w:val="002C2A31"/>
    <w:rsid w:val="002C36FE"/>
    <w:rsid w:val="002C4B73"/>
    <w:rsid w:val="002C5576"/>
    <w:rsid w:val="002C5A1E"/>
    <w:rsid w:val="002C673E"/>
    <w:rsid w:val="002C6E0C"/>
    <w:rsid w:val="002C7696"/>
    <w:rsid w:val="002D004A"/>
    <w:rsid w:val="002D045F"/>
    <w:rsid w:val="002D11E4"/>
    <w:rsid w:val="002D144A"/>
    <w:rsid w:val="002D19F4"/>
    <w:rsid w:val="002D30AB"/>
    <w:rsid w:val="002D32FD"/>
    <w:rsid w:val="002D382D"/>
    <w:rsid w:val="002D3B6B"/>
    <w:rsid w:val="002D3ED1"/>
    <w:rsid w:val="002D3FBD"/>
    <w:rsid w:val="002D5505"/>
    <w:rsid w:val="002D5AF0"/>
    <w:rsid w:val="002D6F41"/>
    <w:rsid w:val="002D6FFB"/>
    <w:rsid w:val="002E19A3"/>
    <w:rsid w:val="002E1D26"/>
    <w:rsid w:val="002E212B"/>
    <w:rsid w:val="002E3337"/>
    <w:rsid w:val="002E47B7"/>
    <w:rsid w:val="002E6088"/>
    <w:rsid w:val="002E6D03"/>
    <w:rsid w:val="002E738B"/>
    <w:rsid w:val="002E768B"/>
    <w:rsid w:val="002F025E"/>
    <w:rsid w:val="002F054C"/>
    <w:rsid w:val="002F0A61"/>
    <w:rsid w:val="002F0EE6"/>
    <w:rsid w:val="002F1E31"/>
    <w:rsid w:val="002F2604"/>
    <w:rsid w:val="002F3AD0"/>
    <w:rsid w:val="002F3C38"/>
    <w:rsid w:val="002F3C66"/>
    <w:rsid w:val="002F4107"/>
    <w:rsid w:val="002F4259"/>
    <w:rsid w:val="002F4313"/>
    <w:rsid w:val="002F49A8"/>
    <w:rsid w:val="002F5A71"/>
    <w:rsid w:val="002F5E66"/>
    <w:rsid w:val="002F61CA"/>
    <w:rsid w:val="002F6A26"/>
    <w:rsid w:val="002F7957"/>
    <w:rsid w:val="0030010D"/>
    <w:rsid w:val="00300B15"/>
    <w:rsid w:val="00301255"/>
    <w:rsid w:val="0030146F"/>
    <w:rsid w:val="00301CD2"/>
    <w:rsid w:val="0030209E"/>
    <w:rsid w:val="003022FE"/>
    <w:rsid w:val="0030231E"/>
    <w:rsid w:val="00302861"/>
    <w:rsid w:val="003038FF"/>
    <w:rsid w:val="00303A8E"/>
    <w:rsid w:val="00303F03"/>
    <w:rsid w:val="003047A5"/>
    <w:rsid w:val="00304C75"/>
    <w:rsid w:val="00305141"/>
    <w:rsid w:val="00305588"/>
    <w:rsid w:val="00306806"/>
    <w:rsid w:val="00307041"/>
    <w:rsid w:val="00307437"/>
    <w:rsid w:val="00307C17"/>
    <w:rsid w:val="0031041A"/>
    <w:rsid w:val="00310511"/>
    <w:rsid w:val="00310688"/>
    <w:rsid w:val="003110AB"/>
    <w:rsid w:val="003129A6"/>
    <w:rsid w:val="00312C37"/>
    <w:rsid w:val="0031316F"/>
    <w:rsid w:val="00313453"/>
    <w:rsid w:val="00313A06"/>
    <w:rsid w:val="003141ED"/>
    <w:rsid w:val="00314F89"/>
    <w:rsid w:val="00315071"/>
    <w:rsid w:val="00315324"/>
    <w:rsid w:val="0031540F"/>
    <w:rsid w:val="003155A7"/>
    <w:rsid w:val="00315985"/>
    <w:rsid w:val="00315CE7"/>
    <w:rsid w:val="00315FA0"/>
    <w:rsid w:val="003163D4"/>
    <w:rsid w:val="00316B18"/>
    <w:rsid w:val="00317093"/>
    <w:rsid w:val="00317CCA"/>
    <w:rsid w:val="00317E9B"/>
    <w:rsid w:val="003203C4"/>
    <w:rsid w:val="003206BF"/>
    <w:rsid w:val="003207A0"/>
    <w:rsid w:val="00320E29"/>
    <w:rsid w:val="00321F57"/>
    <w:rsid w:val="0032245A"/>
    <w:rsid w:val="003236DC"/>
    <w:rsid w:val="003239D6"/>
    <w:rsid w:val="00323CD4"/>
    <w:rsid w:val="00324B50"/>
    <w:rsid w:val="00324F88"/>
    <w:rsid w:val="0032507F"/>
    <w:rsid w:val="00325994"/>
    <w:rsid w:val="00326D95"/>
    <w:rsid w:val="00327520"/>
    <w:rsid w:val="003306C9"/>
    <w:rsid w:val="00331BBB"/>
    <w:rsid w:val="00331D16"/>
    <w:rsid w:val="00332BE0"/>
    <w:rsid w:val="00333518"/>
    <w:rsid w:val="00333715"/>
    <w:rsid w:val="00333B60"/>
    <w:rsid w:val="00334217"/>
    <w:rsid w:val="00334322"/>
    <w:rsid w:val="00334438"/>
    <w:rsid w:val="00334866"/>
    <w:rsid w:val="00334954"/>
    <w:rsid w:val="00334AF3"/>
    <w:rsid w:val="0033504C"/>
    <w:rsid w:val="00336437"/>
    <w:rsid w:val="003366E9"/>
    <w:rsid w:val="00336816"/>
    <w:rsid w:val="003370D0"/>
    <w:rsid w:val="00337355"/>
    <w:rsid w:val="003402E4"/>
    <w:rsid w:val="00340BCC"/>
    <w:rsid w:val="00340C7B"/>
    <w:rsid w:val="00340F95"/>
    <w:rsid w:val="0034148D"/>
    <w:rsid w:val="00341E6C"/>
    <w:rsid w:val="0034235C"/>
    <w:rsid w:val="00342797"/>
    <w:rsid w:val="003430AD"/>
    <w:rsid w:val="00343B35"/>
    <w:rsid w:val="003443E4"/>
    <w:rsid w:val="00344506"/>
    <w:rsid w:val="0034456F"/>
    <w:rsid w:val="0034504E"/>
    <w:rsid w:val="00345A60"/>
    <w:rsid w:val="003462EC"/>
    <w:rsid w:val="003466A3"/>
    <w:rsid w:val="003467DB"/>
    <w:rsid w:val="00350711"/>
    <w:rsid w:val="00350C62"/>
    <w:rsid w:val="0035108D"/>
    <w:rsid w:val="00351B03"/>
    <w:rsid w:val="00351C69"/>
    <w:rsid w:val="003524D4"/>
    <w:rsid w:val="003531ED"/>
    <w:rsid w:val="0035389C"/>
    <w:rsid w:val="003544C4"/>
    <w:rsid w:val="00354890"/>
    <w:rsid w:val="00354990"/>
    <w:rsid w:val="00356F40"/>
    <w:rsid w:val="00357478"/>
    <w:rsid w:val="00360253"/>
    <w:rsid w:val="00360B9A"/>
    <w:rsid w:val="00360DA9"/>
    <w:rsid w:val="00362A16"/>
    <w:rsid w:val="00362C97"/>
    <w:rsid w:val="00364777"/>
    <w:rsid w:val="00364964"/>
    <w:rsid w:val="00364CFA"/>
    <w:rsid w:val="0036705C"/>
    <w:rsid w:val="0036735E"/>
    <w:rsid w:val="0036749D"/>
    <w:rsid w:val="00367F63"/>
    <w:rsid w:val="00370A7E"/>
    <w:rsid w:val="003710D2"/>
    <w:rsid w:val="003717CF"/>
    <w:rsid w:val="00371824"/>
    <w:rsid w:val="003718F0"/>
    <w:rsid w:val="00373391"/>
    <w:rsid w:val="00373A8D"/>
    <w:rsid w:val="00373FD4"/>
    <w:rsid w:val="003741A5"/>
    <w:rsid w:val="00374F61"/>
    <w:rsid w:val="003750E0"/>
    <w:rsid w:val="0037520A"/>
    <w:rsid w:val="0037574B"/>
    <w:rsid w:val="003758C4"/>
    <w:rsid w:val="00375C69"/>
    <w:rsid w:val="00376651"/>
    <w:rsid w:val="00376DAD"/>
    <w:rsid w:val="003773C1"/>
    <w:rsid w:val="00377A6F"/>
    <w:rsid w:val="00381210"/>
    <w:rsid w:val="00381A4B"/>
    <w:rsid w:val="00381DC5"/>
    <w:rsid w:val="003839A2"/>
    <w:rsid w:val="003843F6"/>
    <w:rsid w:val="00384485"/>
    <w:rsid w:val="00385681"/>
    <w:rsid w:val="00386359"/>
    <w:rsid w:val="00386484"/>
    <w:rsid w:val="00387012"/>
    <w:rsid w:val="00387421"/>
    <w:rsid w:val="0039017F"/>
    <w:rsid w:val="003906DC"/>
    <w:rsid w:val="00391093"/>
    <w:rsid w:val="003913BD"/>
    <w:rsid w:val="00391970"/>
    <w:rsid w:val="00391B49"/>
    <w:rsid w:val="00392C03"/>
    <w:rsid w:val="00392CC5"/>
    <w:rsid w:val="00393E96"/>
    <w:rsid w:val="00394AEE"/>
    <w:rsid w:val="00396385"/>
    <w:rsid w:val="003964A0"/>
    <w:rsid w:val="00396922"/>
    <w:rsid w:val="00397007"/>
    <w:rsid w:val="003A06BC"/>
    <w:rsid w:val="003A07E7"/>
    <w:rsid w:val="003A0DA7"/>
    <w:rsid w:val="003A0E87"/>
    <w:rsid w:val="003A1977"/>
    <w:rsid w:val="003A2079"/>
    <w:rsid w:val="003A28AD"/>
    <w:rsid w:val="003A2AAC"/>
    <w:rsid w:val="003A2E25"/>
    <w:rsid w:val="003A2E83"/>
    <w:rsid w:val="003A365C"/>
    <w:rsid w:val="003A3A36"/>
    <w:rsid w:val="003A402B"/>
    <w:rsid w:val="003A4111"/>
    <w:rsid w:val="003A4FCD"/>
    <w:rsid w:val="003A6462"/>
    <w:rsid w:val="003A71B5"/>
    <w:rsid w:val="003A7709"/>
    <w:rsid w:val="003A7EF1"/>
    <w:rsid w:val="003B1246"/>
    <w:rsid w:val="003B1E69"/>
    <w:rsid w:val="003B23C6"/>
    <w:rsid w:val="003B26F7"/>
    <w:rsid w:val="003B278F"/>
    <w:rsid w:val="003B3456"/>
    <w:rsid w:val="003B3B33"/>
    <w:rsid w:val="003B3D4A"/>
    <w:rsid w:val="003B541F"/>
    <w:rsid w:val="003B5AED"/>
    <w:rsid w:val="003B5CCD"/>
    <w:rsid w:val="003B6B31"/>
    <w:rsid w:val="003B6D90"/>
    <w:rsid w:val="003B735E"/>
    <w:rsid w:val="003C19F7"/>
    <w:rsid w:val="003C1F3C"/>
    <w:rsid w:val="003C2296"/>
    <w:rsid w:val="003C2A54"/>
    <w:rsid w:val="003C2D98"/>
    <w:rsid w:val="003C32C3"/>
    <w:rsid w:val="003C3B54"/>
    <w:rsid w:val="003C44E1"/>
    <w:rsid w:val="003C4628"/>
    <w:rsid w:val="003C5104"/>
    <w:rsid w:val="003C5862"/>
    <w:rsid w:val="003C592E"/>
    <w:rsid w:val="003C5A61"/>
    <w:rsid w:val="003C6F01"/>
    <w:rsid w:val="003C6F7E"/>
    <w:rsid w:val="003C6FFA"/>
    <w:rsid w:val="003D0D3B"/>
    <w:rsid w:val="003D1246"/>
    <w:rsid w:val="003D157A"/>
    <w:rsid w:val="003D159E"/>
    <w:rsid w:val="003D2826"/>
    <w:rsid w:val="003D2AB4"/>
    <w:rsid w:val="003D3167"/>
    <w:rsid w:val="003D3A96"/>
    <w:rsid w:val="003D3C20"/>
    <w:rsid w:val="003D3DB6"/>
    <w:rsid w:val="003D3E1D"/>
    <w:rsid w:val="003D4916"/>
    <w:rsid w:val="003D6AB0"/>
    <w:rsid w:val="003D6D8B"/>
    <w:rsid w:val="003D7476"/>
    <w:rsid w:val="003E0F4E"/>
    <w:rsid w:val="003E20D1"/>
    <w:rsid w:val="003E32DD"/>
    <w:rsid w:val="003E3D3A"/>
    <w:rsid w:val="003E3EB0"/>
    <w:rsid w:val="003E3FA3"/>
    <w:rsid w:val="003E4115"/>
    <w:rsid w:val="003E4203"/>
    <w:rsid w:val="003E444E"/>
    <w:rsid w:val="003E44D6"/>
    <w:rsid w:val="003E4571"/>
    <w:rsid w:val="003E4614"/>
    <w:rsid w:val="003E500E"/>
    <w:rsid w:val="003E5029"/>
    <w:rsid w:val="003E5105"/>
    <w:rsid w:val="003E6A1B"/>
    <w:rsid w:val="003E715A"/>
    <w:rsid w:val="003E78D1"/>
    <w:rsid w:val="003F0DD7"/>
    <w:rsid w:val="003F1700"/>
    <w:rsid w:val="003F181B"/>
    <w:rsid w:val="003F2745"/>
    <w:rsid w:val="003F28FA"/>
    <w:rsid w:val="003F2DCE"/>
    <w:rsid w:val="003F39ED"/>
    <w:rsid w:val="003F53DA"/>
    <w:rsid w:val="003F6902"/>
    <w:rsid w:val="003F7AB3"/>
    <w:rsid w:val="00400A5A"/>
    <w:rsid w:val="004019D5"/>
    <w:rsid w:val="004019F5"/>
    <w:rsid w:val="00403A0D"/>
    <w:rsid w:val="00403D91"/>
    <w:rsid w:val="004045FC"/>
    <w:rsid w:val="00404F03"/>
    <w:rsid w:val="00405EAC"/>
    <w:rsid w:val="00406173"/>
    <w:rsid w:val="0040617E"/>
    <w:rsid w:val="004063ED"/>
    <w:rsid w:val="00407A25"/>
    <w:rsid w:val="00410839"/>
    <w:rsid w:val="0041105E"/>
    <w:rsid w:val="004111DA"/>
    <w:rsid w:val="00412051"/>
    <w:rsid w:val="0041352F"/>
    <w:rsid w:val="004137F3"/>
    <w:rsid w:val="00413FB5"/>
    <w:rsid w:val="00414F12"/>
    <w:rsid w:val="00414F82"/>
    <w:rsid w:val="00415825"/>
    <w:rsid w:val="004159BA"/>
    <w:rsid w:val="00415E16"/>
    <w:rsid w:val="00416026"/>
    <w:rsid w:val="004160BF"/>
    <w:rsid w:val="00416C63"/>
    <w:rsid w:val="00417C4F"/>
    <w:rsid w:val="00417C54"/>
    <w:rsid w:val="00420085"/>
    <w:rsid w:val="00420E3B"/>
    <w:rsid w:val="00421F70"/>
    <w:rsid w:val="00422A28"/>
    <w:rsid w:val="004232C0"/>
    <w:rsid w:val="0042333C"/>
    <w:rsid w:val="00423B94"/>
    <w:rsid w:val="00423FFA"/>
    <w:rsid w:val="00424145"/>
    <w:rsid w:val="004245A5"/>
    <w:rsid w:val="00424AC3"/>
    <w:rsid w:val="004252D1"/>
    <w:rsid w:val="00425C6F"/>
    <w:rsid w:val="00426457"/>
    <w:rsid w:val="00426601"/>
    <w:rsid w:val="00426DDE"/>
    <w:rsid w:val="00427464"/>
    <w:rsid w:val="00427AE6"/>
    <w:rsid w:val="00430825"/>
    <w:rsid w:val="0043115F"/>
    <w:rsid w:val="004312A8"/>
    <w:rsid w:val="0043153C"/>
    <w:rsid w:val="004326CC"/>
    <w:rsid w:val="00433DAE"/>
    <w:rsid w:val="00433FBB"/>
    <w:rsid w:val="00434062"/>
    <w:rsid w:val="0043578C"/>
    <w:rsid w:val="00435828"/>
    <w:rsid w:val="00437437"/>
    <w:rsid w:val="00437558"/>
    <w:rsid w:val="00437944"/>
    <w:rsid w:val="0044038A"/>
    <w:rsid w:val="004407D5"/>
    <w:rsid w:val="0044080C"/>
    <w:rsid w:val="00441580"/>
    <w:rsid w:val="00441BCA"/>
    <w:rsid w:val="004420B5"/>
    <w:rsid w:val="0044240A"/>
    <w:rsid w:val="00442E11"/>
    <w:rsid w:val="00443459"/>
    <w:rsid w:val="00443D83"/>
    <w:rsid w:val="0044411D"/>
    <w:rsid w:val="004450B1"/>
    <w:rsid w:val="00445286"/>
    <w:rsid w:val="00447652"/>
    <w:rsid w:val="00447739"/>
    <w:rsid w:val="004502C1"/>
    <w:rsid w:val="004502D7"/>
    <w:rsid w:val="00450C07"/>
    <w:rsid w:val="00451273"/>
    <w:rsid w:val="0045210E"/>
    <w:rsid w:val="004521F0"/>
    <w:rsid w:val="00452599"/>
    <w:rsid w:val="00452C91"/>
    <w:rsid w:val="004530E3"/>
    <w:rsid w:val="0045399A"/>
    <w:rsid w:val="0045415B"/>
    <w:rsid w:val="0045536F"/>
    <w:rsid w:val="00455A97"/>
    <w:rsid w:val="00455BDC"/>
    <w:rsid w:val="00455D05"/>
    <w:rsid w:val="00455D24"/>
    <w:rsid w:val="00455D41"/>
    <w:rsid w:val="00455EA8"/>
    <w:rsid w:val="00455FA0"/>
    <w:rsid w:val="00455FC7"/>
    <w:rsid w:val="004561F4"/>
    <w:rsid w:val="00456989"/>
    <w:rsid w:val="00456B83"/>
    <w:rsid w:val="00457590"/>
    <w:rsid w:val="0046049C"/>
    <w:rsid w:val="00460F5F"/>
    <w:rsid w:val="004615BA"/>
    <w:rsid w:val="00461BB9"/>
    <w:rsid w:val="0046230A"/>
    <w:rsid w:val="0046246E"/>
    <w:rsid w:val="0046270D"/>
    <w:rsid w:val="00463114"/>
    <w:rsid w:val="00463731"/>
    <w:rsid w:val="0046400A"/>
    <w:rsid w:val="00464033"/>
    <w:rsid w:val="00464244"/>
    <w:rsid w:val="00465946"/>
    <w:rsid w:val="004663AE"/>
    <w:rsid w:val="00466A5B"/>
    <w:rsid w:val="00466BD0"/>
    <w:rsid w:val="004675D6"/>
    <w:rsid w:val="00467990"/>
    <w:rsid w:val="00467B25"/>
    <w:rsid w:val="00470821"/>
    <w:rsid w:val="0047104B"/>
    <w:rsid w:val="004712D5"/>
    <w:rsid w:val="00471B4E"/>
    <w:rsid w:val="004720A2"/>
    <w:rsid w:val="004731EC"/>
    <w:rsid w:val="00473926"/>
    <w:rsid w:val="004747D3"/>
    <w:rsid w:val="00474B32"/>
    <w:rsid w:val="00474BBC"/>
    <w:rsid w:val="0047632C"/>
    <w:rsid w:val="00477098"/>
    <w:rsid w:val="00477589"/>
    <w:rsid w:val="004777FE"/>
    <w:rsid w:val="0048081B"/>
    <w:rsid w:val="00480F87"/>
    <w:rsid w:val="00481108"/>
    <w:rsid w:val="00481D32"/>
    <w:rsid w:val="00481DAD"/>
    <w:rsid w:val="00482978"/>
    <w:rsid w:val="004834B3"/>
    <w:rsid w:val="0048407E"/>
    <w:rsid w:val="00484380"/>
    <w:rsid w:val="00484437"/>
    <w:rsid w:val="00484594"/>
    <w:rsid w:val="0048462D"/>
    <w:rsid w:val="00485361"/>
    <w:rsid w:val="00485D10"/>
    <w:rsid w:val="00486575"/>
    <w:rsid w:val="0048681E"/>
    <w:rsid w:val="004874DB"/>
    <w:rsid w:val="0049042B"/>
    <w:rsid w:val="00490FDA"/>
    <w:rsid w:val="00492615"/>
    <w:rsid w:val="00492BB4"/>
    <w:rsid w:val="004931FE"/>
    <w:rsid w:val="00495473"/>
    <w:rsid w:val="00496444"/>
    <w:rsid w:val="00496812"/>
    <w:rsid w:val="0049705F"/>
    <w:rsid w:val="0049774A"/>
    <w:rsid w:val="004977A2"/>
    <w:rsid w:val="004A1E25"/>
    <w:rsid w:val="004A1F9B"/>
    <w:rsid w:val="004A3519"/>
    <w:rsid w:val="004A3A14"/>
    <w:rsid w:val="004A3C9C"/>
    <w:rsid w:val="004A458E"/>
    <w:rsid w:val="004A504B"/>
    <w:rsid w:val="004A513A"/>
    <w:rsid w:val="004A5760"/>
    <w:rsid w:val="004A5C23"/>
    <w:rsid w:val="004A7E79"/>
    <w:rsid w:val="004B03EF"/>
    <w:rsid w:val="004B08B7"/>
    <w:rsid w:val="004B10FF"/>
    <w:rsid w:val="004B23E7"/>
    <w:rsid w:val="004B2CEE"/>
    <w:rsid w:val="004B306F"/>
    <w:rsid w:val="004B3144"/>
    <w:rsid w:val="004B4DEF"/>
    <w:rsid w:val="004B5B62"/>
    <w:rsid w:val="004B6DDD"/>
    <w:rsid w:val="004B72A9"/>
    <w:rsid w:val="004C0041"/>
    <w:rsid w:val="004C0DBE"/>
    <w:rsid w:val="004C0E60"/>
    <w:rsid w:val="004C1E52"/>
    <w:rsid w:val="004C1EAD"/>
    <w:rsid w:val="004C2AA2"/>
    <w:rsid w:val="004C3186"/>
    <w:rsid w:val="004C3D94"/>
    <w:rsid w:val="004C5042"/>
    <w:rsid w:val="004C5117"/>
    <w:rsid w:val="004C5811"/>
    <w:rsid w:val="004C5EF7"/>
    <w:rsid w:val="004C71E7"/>
    <w:rsid w:val="004D0169"/>
    <w:rsid w:val="004D0274"/>
    <w:rsid w:val="004D060A"/>
    <w:rsid w:val="004D08FC"/>
    <w:rsid w:val="004D0D52"/>
    <w:rsid w:val="004D0E86"/>
    <w:rsid w:val="004D1152"/>
    <w:rsid w:val="004D15CE"/>
    <w:rsid w:val="004D1654"/>
    <w:rsid w:val="004D17BC"/>
    <w:rsid w:val="004D1BC1"/>
    <w:rsid w:val="004D21BE"/>
    <w:rsid w:val="004D2C8F"/>
    <w:rsid w:val="004D4551"/>
    <w:rsid w:val="004D4566"/>
    <w:rsid w:val="004D4931"/>
    <w:rsid w:val="004D4C0A"/>
    <w:rsid w:val="004D4C93"/>
    <w:rsid w:val="004D553B"/>
    <w:rsid w:val="004D6A5A"/>
    <w:rsid w:val="004D7795"/>
    <w:rsid w:val="004E0793"/>
    <w:rsid w:val="004E0CC5"/>
    <w:rsid w:val="004E1594"/>
    <w:rsid w:val="004E1E81"/>
    <w:rsid w:val="004E3358"/>
    <w:rsid w:val="004E40EB"/>
    <w:rsid w:val="004E42FD"/>
    <w:rsid w:val="004E4422"/>
    <w:rsid w:val="004E51F5"/>
    <w:rsid w:val="004E5239"/>
    <w:rsid w:val="004E55B7"/>
    <w:rsid w:val="004E5A54"/>
    <w:rsid w:val="004E5B76"/>
    <w:rsid w:val="004E621A"/>
    <w:rsid w:val="004E6A6B"/>
    <w:rsid w:val="004E6D3C"/>
    <w:rsid w:val="004E7677"/>
    <w:rsid w:val="004E786F"/>
    <w:rsid w:val="004F0023"/>
    <w:rsid w:val="004F0D66"/>
    <w:rsid w:val="004F11E3"/>
    <w:rsid w:val="004F1FFE"/>
    <w:rsid w:val="004F285A"/>
    <w:rsid w:val="004F3684"/>
    <w:rsid w:val="004F3CC1"/>
    <w:rsid w:val="004F4B6A"/>
    <w:rsid w:val="004F4E25"/>
    <w:rsid w:val="004F51E4"/>
    <w:rsid w:val="004F532E"/>
    <w:rsid w:val="004F58A0"/>
    <w:rsid w:val="004F6989"/>
    <w:rsid w:val="004F726E"/>
    <w:rsid w:val="004F7B7A"/>
    <w:rsid w:val="005009D3"/>
    <w:rsid w:val="0050160B"/>
    <w:rsid w:val="0050162D"/>
    <w:rsid w:val="005017B6"/>
    <w:rsid w:val="005018D6"/>
    <w:rsid w:val="00501A2B"/>
    <w:rsid w:val="00501EBB"/>
    <w:rsid w:val="005027A2"/>
    <w:rsid w:val="00502A0B"/>
    <w:rsid w:val="00502B3E"/>
    <w:rsid w:val="00502C8F"/>
    <w:rsid w:val="00502FEE"/>
    <w:rsid w:val="00503998"/>
    <w:rsid w:val="00503B50"/>
    <w:rsid w:val="00503C84"/>
    <w:rsid w:val="005043D3"/>
    <w:rsid w:val="005050ED"/>
    <w:rsid w:val="00506087"/>
    <w:rsid w:val="0050623B"/>
    <w:rsid w:val="0050650B"/>
    <w:rsid w:val="00507949"/>
    <w:rsid w:val="00507950"/>
    <w:rsid w:val="00507C22"/>
    <w:rsid w:val="00507E8A"/>
    <w:rsid w:val="005125A9"/>
    <w:rsid w:val="0051282F"/>
    <w:rsid w:val="00512876"/>
    <w:rsid w:val="00512E17"/>
    <w:rsid w:val="00513338"/>
    <w:rsid w:val="00513FF8"/>
    <w:rsid w:val="005165CB"/>
    <w:rsid w:val="00517604"/>
    <w:rsid w:val="00517CF7"/>
    <w:rsid w:val="005202A9"/>
    <w:rsid w:val="00521044"/>
    <w:rsid w:val="00521119"/>
    <w:rsid w:val="0052150D"/>
    <w:rsid w:val="00521EE1"/>
    <w:rsid w:val="0052219C"/>
    <w:rsid w:val="00522994"/>
    <w:rsid w:val="00523009"/>
    <w:rsid w:val="00523181"/>
    <w:rsid w:val="00523787"/>
    <w:rsid w:val="00523B80"/>
    <w:rsid w:val="0052468B"/>
    <w:rsid w:val="00524CD8"/>
    <w:rsid w:val="00524D13"/>
    <w:rsid w:val="00526354"/>
    <w:rsid w:val="00527DF9"/>
    <w:rsid w:val="00530A2F"/>
    <w:rsid w:val="00531818"/>
    <w:rsid w:val="00531C9F"/>
    <w:rsid w:val="0053242A"/>
    <w:rsid w:val="00533160"/>
    <w:rsid w:val="00533483"/>
    <w:rsid w:val="00533528"/>
    <w:rsid w:val="005339F6"/>
    <w:rsid w:val="00533C50"/>
    <w:rsid w:val="005345A3"/>
    <w:rsid w:val="0053470F"/>
    <w:rsid w:val="0053478B"/>
    <w:rsid w:val="0053535F"/>
    <w:rsid w:val="00535D8B"/>
    <w:rsid w:val="00536E59"/>
    <w:rsid w:val="00537496"/>
    <w:rsid w:val="00537FD8"/>
    <w:rsid w:val="00541767"/>
    <w:rsid w:val="00541938"/>
    <w:rsid w:val="00541C43"/>
    <w:rsid w:val="00542235"/>
    <w:rsid w:val="005426CA"/>
    <w:rsid w:val="00542EAC"/>
    <w:rsid w:val="00542FD7"/>
    <w:rsid w:val="005431DE"/>
    <w:rsid w:val="00543744"/>
    <w:rsid w:val="0054445D"/>
    <w:rsid w:val="0054467F"/>
    <w:rsid w:val="0054509C"/>
    <w:rsid w:val="005456E6"/>
    <w:rsid w:val="00545AD8"/>
    <w:rsid w:val="00546243"/>
    <w:rsid w:val="00546AF9"/>
    <w:rsid w:val="0055066C"/>
    <w:rsid w:val="00550947"/>
    <w:rsid w:val="005514E8"/>
    <w:rsid w:val="005515FD"/>
    <w:rsid w:val="005535BD"/>
    <w:rsid w:val="00553854"/>
    <w:rsid w:val="00553AE8"/>
    <w:rsid w:val="00553DAE"/>
    <w:rsid w:val="00553F9C"/>
    <w:rsid w:val="00554408"/>
    <w:rsid w:val="0055558E"/>
    <w:rsid w:val="005560CA"/>
    <w:rsid w:val="0055717D"/>
    <w:rsid w:val="0055721B"/>
    <w:rsid w:val="005574CE"/>
    <w:rsid w:val="00557C84"/>
    <w:rsid w:val="005606FE"/>
    <w:rsid w:val="0056082B"/>
    <w:rsid w:val="00560870"/>
    <w:rsid w:val="00560AC8"/>
    <w:rsid w:val="00560F26"/>
    <w:rsid w:val="00560FFC"/>
    <w:rsid w:val="00561689"/>
    <w:rsid w:val="00563E3E"/>
    <w:rsid w:val="005641F4"/>
    <w:rsid w:val="0056455B"/>
    <w:rsid w:val="0056456D"/>
    <w:rsid w:val="00564ACE"/>
    <w:rsid w:val="005650B9"/>
    <w:rsid w:val="005654D8"/>
    <w:rsid w:val="005670DC"/>
    <w:rsid w:val="0056732A"/>
    <w:rsid w:val="005708DC"/>
    <w:rsid w:val="00571234"/>
    <w:rsid w:val="0057151C"/>
    <w:rsid w:val="005724EC"/>
    <w:rsid w:val="00572899"/>
    <w:rsid w:val="00573401"/>
    <w:rsid w:val="005739F0"/>
    <w:rsid w:val="00573E72"/>
    <w:rsid w:val="0057469B"/>
    <w:rsid w:val="005746F9"/>
    <w:rsid w:val="00575992"/>
    <w:rsid w:val="00575CA8"/>
    <w:rsid w:val="00575CAC"/>
    <w:rsid w:val="00576109"/>
    <w:rsid w:val="005763E3"/>
    <w:rsid w:val="005769B2"/>
    <w:rsid w:val="00576B18"/>
    <w:rsid w:val="00577491"/>
    <w:rsid w:val="005774F4"/>
    <w:rsid w:val="00580499"/>
    <w:rsid w:val="005812C1"/>
    <w:rsid w:val="0058206F"/>
    <w:rsid w:val="00583338"/>
    <w:rsid w:val="00583637"/>
    <w:rsid w:val="00584D2C"/>
    <w:rsid w:val="00585203"/>
    <w:rsid w:val="00585CAD"/>
    <w:rsid w:val="00587286"/>
    <w:rsid w:val="00587290"/>
    <w:rsid w:val="00587724"/>
    <w:rsid w:val="00587ED0"/>
    <w:rsid w:val="00590121"/>
    <w:rsid w:val="00590767"/>
    <w:rsid w:val="005909FC"/>
    <w:rsid w:val="00590ED4"/>
    <w:rsid w:val="00591512"/>
    <w:rsid w:val="00591745"/>
    <w:rsid w:val="00591D19"/>
    <w:rsid w:val="00592006"/>
    <w:rsid w:val="005927AF"/>
    <w:rsid w:val="005929D0"/>
    <w:rsid w:val="00593484"/>
    <w:rsid w:val="005935F9"/>
    <w:rsid w:val="00594481"/>
    <w:rsid w:val="00594AA6"/>
    <w:rsid w:val="00595D3E"/>
    <w:rsid w:val="00596056"/>
    <w:rsid w:val="00596953"/>
    <w:rsid w:val="005976FD"/>
    <w:rsid w:val="005A0EB8"/>
    <w:rsid w:val="005A0F70"/>
    <w:rsid w:val="005A1553"/>
    <w:rsid w:val="005A1C13"/>
    <w:rsid w:val="005A1DF1"/>
    <w:rsid w:val="005A203E"/>
    <w:rsid w:val="005A264C"/>
    <w:rsid w:val="005A39EA"/>
    <w:rsid w:val="005A3F85"/>
    <w:rsid w:val="005A4284"/>
    <w:rsid w:val="005A4463"/>
    <w:rsid w:val="005A547B"/>
    <w:rsid w:val="005A6798"/>
    <w:rsid w:val="005A7466"/>
    <w:rsid w:val="005B03E0"/>
    <w:rsid w:val="005B0422"/>
    <w:rsid w:val="005B0845"/>
    <w:rsid w:val="005B108A"/>
    <w:rsid w:val="005B18DF"/>
    <w:rsid w:val="005B20C7"/>
    <w:rsid w:val="005B48B4"/>
    <w:rsid w:val="005B4CD5"/>
    <w:rsid w:val="005B50CB"/>
    <w:rsid w:val="005B5575"/>
    <w:rsid w:val="005B656C"/>
    <w:rsid w:val="005B68E0"/>
    <w:rsid w:val="005B6D41"/>
    <w:rsid w:val="005B767F"/>
    <w:rsid w:val="005C1355"/>
    <w:rsid w:val="005C28E9"/>
    <w:rsid w:val="005C2A7E"/>
    <w:rsid w:val="005C3B10"/>
    <w:rsid w:val="005C44C2"/>
    <w:rsid w:val="005C6303"/>
    <w:rsid w:val="005C6661"/>
    <w:rsid w:val="005C6E3B"/>
    <w:rsid w:val="005C7EF5"/>
    <w:rsid w:val="005D05CF"/>
    <w:rsid w:val="005D0CB2"/>
    <w:rsid w:val="005D3772"/>
    <w:rsid w:val="005D3A4F"/>
    <w:rsid w:val="005D4263"/>
    <w:rsid w:val="005D45A2"/>
    <w:rsid w:val="005D474B"/>
    <w:rsid w:val="005D54A2"/>
    <w:rsid w:val="005D565A"/>
    <w:rsid w:val="005D5DAE"/>
    <w:rsid w:val="005D5E55"/>
    <w:rsid w:val="005D63E1"/>
    <w:rsid w:val="005D6985"/>
    <w:rsid w:val="005E085C"/>
    <w:rsid w:val="005E0D28"/>
    <w:rsid w:val="005E1019"/>
    <w:rsid w:val="005E147D"/>
    <w:rsid w:val="005E154A"/>
    <w:rsid w:val="005E192E"/>
    <w:rsid w:val="005E1B37"/>
    <w:rsid w:val="005E1CFB"/>
    <w:rsid w:val="005E22C2"/>
    <w:rsid w:val="005E2D13"/>
    <w:rsid w:val="005E2E08"/>
    <w:rsid w:val="005E318B"/>
    <w:rsid w:val="005E3CD6"/>
    <w:rsid w:val="005E426F"/>
    <w:rsid w:val="005E4C6E"/>
    <w:rsid w:val="005E57BB"/>
    <w:rsid w:val="005E7898"/>
    <w:rsid w:val="005E7EFB"/>
    <w:rsid w:val="005E7FD6"/>
    <w:rsid w:val="005F0017"/>
    <w:rsid w:val="005F07E0"/>
    <w:rsid w:val="005F2BC4"/>
    <w:rsid w:val="005F35BF"/>
    <w:rsid w:val="005F3F46"/>
    <w:rsid w:val="005F437F"/>
    <w:rsid w:val="005F4A71"/>
    <w:rsid w:val="005F5277"/>
    <w:rsid w:val="005F5C48"/>
    <w:rsid w:val="005F5EA6"/>
    <w:rsid w:val="005F5F6D"/>
    <w:rsid w:val="005F7408"/>
    <w:rsid w:val="005F7F16"/>
    <w:rsid w:val="005F7F89"/>
    <w:rsid w:val="00600350"/>
    <w:rsid w:val="00600524"/>
    <w:rsid w:val="00600A44"/>
    <w:rsid w:val="006014F1"/>
    <w:rsid w:val="006025AF"/>
    <w:rsid w:val="0060433F"/>
    <w:rsid w:val="00604855"/>
    <w:rsid w:val="00605657"/>
    <w:rsid w:val="006056FC"/>
    <w:rsid w:val="00605EEA"/>
    <w:rsid w:val="00606355"/>
    <w:rsid w:val="006065CE"/>
    <w:rsid w:val="00606A69"/>
    <w:rsid w:val="006109C8"/>
    <w:rsid w:val="00611AFA"/>
    <w:rsid w:val="00611D4E"/>
    <w:rsid w:val="00611DD8"/>
    <w:rsid w:val="00611DE8"/>
    <w:rsid w:val="006128D5"/>
    <w:rsid w:val="006130FA"/>
    <w:rsid w:val="00613147"/>
    <w:rsid w:val="0061357B"/>
    <w:rsid w:val="00613ACA"/>
    <w:rsid w:val="006142B3"/>
    <w:rsid w:val="006149EE"/>
    <w:rsid w:val="006149FF"/>
    <w:rsid w:val="00614A7D"/>
    <w:rsid w:val="00615326"/>
    <w:rsid w:val="0061555B"/>
    <w:rsid w:val="006172B0"/>
    <w:rsid w:val="00620940"/>
    <w:rsid w:val="0062197F"/>
    <w:rsid w:val="00621FCC"/>
    <w:rsid w:val="0062215C"/>
    <w:rsid w:val="006222A4"/>
    <w:rsid w:val="006227C2"/>
    <w:rsid w:val="00623676"/>
    <w:rsid w:val="00623AD7"/>
    <w:rsid w:val="00624C64"/>
    <w:rsid w:val="00624E37"/>
    <w:rsid w:val="006253A9"/>
    <w:rsid w:val="00626082"/>
    <w:rsid w:val="0062669F"/>
    <w:rsid w:val="006268D9"/>
    <w:rsid w:val="00626F1A"/>
    <w:rsid w:val="006274B1"/>
    <w:rsid w:val="00627EE6"/>
    <w:rsid w:val="00631628"/>
    <w:rsid w:val="00631BF4"/>
    <w:rsid w:val="0063238C"/>
    <w:rsid w:val="00633049"/>
    <w:rsid w:val="00633480"/>
    <w:rsid w:val="0063370C"/>
    <w:rsid w:val="00633B4C"/>
    <w:rsid w:val="006342B3"/>
    <w:rsid w:val="00634CCF"/>
    <w:rsid w:val="00634FBF"/>
    <w:rsid w:val="0063553E"/>
    <w:rsid w:val="00635CE3"/>
    <w:rsid w:val="00635D52"/>
    <w:rsid w:val="0063631C"/>
    <w:rsid w:val="00636323"/>
    <w:rsid w:val="0063662A"/>
    <w:rsid w:val="00636A28"/>
    <w:rsid w:val="00636D55"/>
    <w:rsid w:val="00637201"/>
    <w:rsid w:val="0063757B"/>
    <w:rsid w:val="006377CE"/>
    <w:rsid w:val="00637EA7"/>
    <w:rsid w:val="00640431"/>
    <w:rsid w:val="00640D26"/>
    <w:rsid w:val="00641617"/>
    <w:rsid w:val="00642A4C"/>
    <w:rsid w:val="0064514D"/>
    <w:rsid w:val="00645A54"/>
    <w:rsid w:val="00645FAB"/>
    <w:rsid w:val="00646538"/>
    <w:rsid w:val="006466FE"/>
    <w:rsid w:val="006507B6"/>
    <w:rsid w:val="0065090B"/>
    <w:rsid w:val="00650B92"/>
    <w:rsid w:val="00651678"/>
    <w:rsid w:val="00651692"/>
    <w:rsid w:val="006516DD"/>
    <w:rsid w:val="00651D01"/>
    <w:rsid w:val="00652522"/>
    <w:rsid w:val="006537D9"/>
    <w:rsid w:val="0065573D"/>
    <w:rsid w:val="006566B6"/>
    <w:rsid w:val="006567ED"/>
    <w:rsid w:val="006573ED"/>
    <w:rsid w:val="006578B0"/>
    <w:rsid w:val="00660268"/>
    <w:rsid w:val="006602A4"/>
    <w:rsid w:val="006605B3"/>
    <w:rsid w:val="00662083"/>
    <w:rsid w:val="006639A7"/>
    <w:rsid w:val="00663BD6"/>
    <w:rsid w:val="00664201"/>
    <w:rsid w:val="00664A48"/>
    <w:rsid w:val="00664DB8"/>
    <w:rsid w:val="00665A76"/>
    <w:rsid w:val="00665DEF"/>
    <w:rsid w:val="00666811"/>
    <w:rsid w:val="00666E42"/>
    <w:rsid w:val="0067015D"/>
    <w:rsid w:val="00670295"/>
    <w:rsid w:val="006711B5"/>
    <w:rsid w:val="006711CC"/>
    <w:rsid w:val="00671BF6"/>
    <w:rsid w:val="00672537"/>
    <w:rsid w:val="006725A2"/>
    <w:rsid w:val="00672BC1"/>
    <w:rsid w:val="00672CA5"/>
    <w:rsid w:val="006732B6"/>
    <w:rsid w:val="00673EEA"/>
    <w:rsid w:val="00674688"/>
    <w:rsid w:val="00675424"/>
    <w:rsid w:val="00675BB1"/>
    <w:rsid w:val="0067650E"/>
    <w:rsid w:val="00677020"/>
    <w:rsid w:val="006770CC"/>
    <w:rsid w:val="006775F1"/>
    <w:rsid w:val="00677A12"/>
    <w:rsid w:val="00677C74"/>
    <w:rsid w:val="00677E54"/>
    <w:rsid w:val="006808AA"/>
    <w:rsid w:val="00681BCA"/>
    <w:rsid w:val="00682113"/>
    <w:rsid w:val="006836B3"/>
    <w:rsid w:val="00683D3B"/>
    <w:rsid w:val="00683FA3"/>
    <w:rsid w:val="006844B2"/>
    <w:rsid w:val="00684DAA"/>
    <w:rsid w:val="00685C0C"/>
    <w:rsid w:val="00686317"/>
    <w:rsid w:val="00686578"/>
    <w:rsid w:val="00686C3E"/>
    <w:rsid w:val="0068706C"/>
    <w:rsid w:val="006871A2"/>
    <w:rsid w:val="00687B43"/>
    <w:rsid w:val="006905AE"/>
    <w:rsid w:val="00690657"/>
    <w:rsid w:val="00691314"/>
    <w:rsid w:val="00691CC8"/>
    <w:rsid w:val="00692AA7"/>
    <w:rsid w:val="00692F0F"/>
    <w:rsid w:val="006935AF"/>
    <w:rsid w:val="00694A47"/>
    <w:rsid w:val="00694DF0"/>
    <w:rsid w:val="00695089"/>
    <w:rsid w:val="00696962"/>
    <w:rsid w:val="00697B4C"/>
    <w:rsid w:val="00697FEC"/>
    <w:rsid w:val="006A067F"/>
    <w:rsid w:val="006A068D"/>
    <w:rsid w:val="006A0CA5"/>
    <w:rsid w:val="006A0CE3"/>
    <w:rsid w:val="006A14F2"/>
    <w:rsid w:val="006A175F"/>
    <w:rsid w:val="006A1FEC"/>
    <w:rsid w:val="006A2830"/>
    <w:rsid w:val="006A3209"/>
    <w:rsid w:val="006A357E"/>
    <w:rsid w:val="006A44F5"/>
    <w:rsid w:val="006A4706"/>
    <w:rsid w:val="006A5470"/>
    <w:rsid w:val="006A6106"/>
    <w:rsid w:val="006A6949"/>
    <w:rsid w:val="006A7008"/>
    <w:rsid w:val="006A70C4"/>
    <w:rsid w:val="006A7195"/>
    <w:rsid w:val="006A7509"/>
    <w:rsid w:val="006B010D"/>
    <w:rsid w:val="006B0E75"/>
    <w:rsid w:val="006B18A3"/>
    <w:rsid w:val="006B20FA"/>
    <w:rsid w:val="006B2638"/>
    <w:rsid w:val="006B3490"/>
    <w:rsid w:val="006B40E3"/>
    <w:rsid w:val="006B4537"/>
    <w:rsid w:val="006B58E4"/>
    <w:rsid w:val="006B5F85"/>
    <w:rsid w:val="006B6929"/>
    <w:rsid w:val="006B6BAE"/>
    <w:rsid w:val="006B709B"/>
    <w:rsid w:val="006B7728"/>
    <w:rsid w:val="006B7D33"/>
    <w:rsid w:val="006B7D4E"/>
    <w:rsid w:val="006B7E2E"/>
    <w:rsid w:val="006C082C"/>
    <w:rsid w:val="006C1B76"/>
    <w:rsid w:val="006C2168"/>
    <w:rsid w:val="006C222C"/>
    <w:rsid w:val="006C2756"/>
    <w:rsid w:val="006C29E9"/>
    <w:rsid w:val="006C328A"/>
    <w:rsid w:val="006C4DFF"/>
    <w:rsid w:val="006C518C"/>
    <w:rsid w:val="006C54AF"/>
    <w:rsid w:val="006C65E0"/>
    <w:rsid w:val="006C6B0F"/>
    <w:rsid w:val="006C6B6A"/>
    <w:rsid w:val="006D0E6B"/>
    <w:rsid w:val="006D129B"/>
    <w:rsid w:val="006D3716"/>
    <w:rsid w:val="006D3A75"/>
    <w:rsid w:val="006D4697"/>
    <w:rsid w:val="006D5E5B"/>
    <w:rsid w:val="006D66E8"/>
    <w:rsid w:val="006D6E20"/>
    <w:rsid w:val="006D74CA"/>
    <w:rsid w:val="006E0148"/>
    <w:rsid w:val="006E0181"/>
    <w:rsid w:val="006E0D67"/>
    <w:rsid w:val="006E135B"/>
    <w:rsid w:val="006E1A1E"/>
    <w:rsid w:val="006E2622"/>
    <w:rsid w:val="006E28D6"/>
    <w:rsid w:val="006E2CF7"/>
    <w:rsid w:val="006E304B"/>
    <w:rsid w:val="006E3119"/>
    <w:rsid w:val="006E34EA"/>
    <w:rsid w:val="006E35E4"/>
    <w:rsid w:val="006E4273"/>
    <w:rsid w:val="006E5025"/>
    <w:rsid w:val="006E52BE"/>
    <w:rsid w:val="006E61B1"/>
    <w:rsid w:val="006E686C"/>
    <w:rsid w:val="006E6B22"/>
    <w:rsid w:val="006E6C33"/>
    <w:rsid w:val="006E6D15"/>
    <w:rsid w:val="006F02EB"/>
    <w:rsid w:val="006F0926"/>
    <w:rsid w:val="006F1532"/>
    <w:rsid w:val="006F2195"/>
    <w:rsid w:val="006F4137"/>
    <w:rsid w:val="006F5EB8"/>
    <w:rsid w:val="006F5FD5"/>
    <w:rsid w:val="006F6BAD"/>
    <w:rsid w:val="006F6BC1"/>
    <w:rsid w:val="006F6F0B"/>
    <w:rsid w:val="006F6F80"/>
    <w:rsid w:val="00700C0E"/>
    <w:rsid w:val="00700ED8"/>
    <w:rsid w:val="00701112"/>
    <w:rsid w:val="00701684"/>
    <w:rsid w:val="00701D90"/>
    <w:rsid w:val="00701DE3"/>
    <w:rsid w:val="00701F94"/>
    <w:rsid w:val="00702098"/>
    <w:rsid w:val="00702702"/>
    <w:rsid w:val="00703A94"/>
    <w:rsid w:val="00703C97"/>
    <w:rsid w:val="0070408B"/>
    <w:rsid w:val="007044CF"/>
    <w:rsid w:val="00704F4D"/>
    <w:rsid w:val="007055C9"/>
    <w:rsid w:val="00705DAD"/>
    <w:rsid w:val="0070603E"/>
    <w:rsid w:val="00706107"/>
    <w:rsid w:val="00706BF2"/>
    <w:rsid w:val="00707702"/>
    <w:rsid w:val="007109B0"/>
    <w:rsid w:val="00710C93"/>
    <w:rsid w:val="00710FEC"/>
    <w:rsid w:val="0071166A"/>
    <w:rsid w:val="00711B04"/>
    <w:rsid w:val="00712B75"/>
    <w:rsid w:val="007134D6"/>
    <w:rsid w:val="00714A02"/>
    <w:rsid w:val="00714A7D"/>
    <w:rsid w:val="00715308"/>
    <w:rsid w:val="007159E4"/>
    <w:rsid w:val="00715BCF"/>
    <w:rsid w:val="00716042"/>
    <w:rsid w:val="00716C76"/>
    <w:rsid w:val="00716F00"/>
    <w:rsid w:val="00717F6A"/>
    <w:rsid w:val="007200C9"/>
    <w:rsid w:val="0072080E"/>
    <w:rsid w:val="007214DB"/>
    <w:rsid w:val="00721656"/>
    <w:rsid w:val="007227B3"/>
    <w:rsid w:val="00723466"/>
    <w:rsid w:val="0072366E"/>
    <w:rsid w:val="00723B04"/>
    <w:rsid w:val="00723BCB"/>
    <w:rsid w:val="00723FA2"/>
    <w:rsid w:val="007242EA"/>
    <w:rsid w:val="007244F2"/>
    <w:rsid w:val="007247B9"/>
    <w:rsid w:val="00724A22"/>
    <w:rsid w:val="00724E19"/>
    <w:rsid w:val="0072571B"/>
    <w:rsid w:val="00726079"/>
    <w:rsid w:val="00726590"/>
    <w:rsid w:val="0072662F"/>
    <w:rsid w:val="0072675E"/>
    <w:rsid w:val="00726BE8"/>
    <w:rsid w:val="007278EF"/>
    <w:rsid w:val="00727D7D"/>
    <w:rsid w:val="00727D85"/>
    <w:rsid w:val="00731255"/>
    <w:rsid w:val="00731ABF"/>
    <w:rsid w:val="00732C10"/>
    <w:rsid w:val="007343ED"/>
    <w:rsid w:val="00734416"/>
    <w:rsid w:val="007346C7"/>
    <w:rsid w:val="00734B3B"/>
    <w:rsid w:val="00734D22"/>
    <w:rsid w:val="00736041"/>
    <w:rsid w:val="00736B94"/>
    <w:rsid w:val="007400E4"/>
    <w:rsid w:val="007408C7"/>
    <w:rsid w:val="00740A80"/>
    <w:rsid w:val="0074112D"/>
    <w:rsid w:val="007415AB"/>
    <w:rsid w:val="00742AD7"/>
    <w:rsid w:val="0074324B"/>
    <w:rsid w:val="00743965"/>
    <w:rsid w:val="0074430F"/>
    <w:rsid w:val="00744798"/>
    <w:rsid w:val="0074528B"/>
    <w:rsid w:val="007465DA"/>
    <w:rsid w:val="0074688F"/>
    <w:rsid w:val="00747B7C"/>
    <w:rsid w:val="00752518"/>
    <w:rsid w:val="00752C7F"/>
    <w:rsid w:val="00752CED"/>
    <w:rsid w:val="00754741"/>
    <w:rsid w:val="007547B7"/>
    <w:rsid w:val="007549BA"/>
    <w:rsid w:val="007553F6"/>
    <w:rsid w:val="00756880"/>
    <w:rsid w:val="00757042"/>
    <w:rsid w:val="00757B54"/>
    <w:rsid w:val="0076064E"/>
    <w:rsid w:val="00761A8D"/>
    <w:rsid w:val="00761E91"/>
    <w:rsid w:val="00761F01"/>
    <w:rsid w:val="00763A15"/>
    <w:rsid w:val="00765811"/>
    <w:rsid w:val="00765B2B"/>
    <w:rsid w:val="00765CDB"/>
    <w:rsid w:val="00765FB7"/>
    <w:rsid w:val="00766B6B"/>
    <w:rsid w:val="00767BC9"/>
    <w:rsid w:val="00770FF9"/>
    <w:rsid w:val="00771AE0"/>
    <w:rsid w:val="00772138"/>
    <w:rsid w:val="00772DAF"/>
    <w:rsid w:val="00772E87"/>
    <w:rsid w:val="00773844"/>
    <w:rsid w:val="007755CC"/>
    <w:rsid w:val="00775F5A"/>
    <w:rsid w:val="00776598"/>
    <w:rsid w:val="00776BFE"/>
    <w:rsid w:val="007805D0"/>
    <w:rsid w:val="007805F6"/>
    <w:rsid w:val="00780892"/>
    <w:rsid w:val="007810D6"/>
    <w:rsid w:val="0078121A"/>
    <w:rsid w:val="00782E9E"/>
    <w:rsid w:val="00783114"/>
    <w:rsid w:val="007849F6"/>
    <w:rsid w:val="007860FB"/>
    <w:rsid w:val="007866D6"/>
    <w:rsid w:val="00787056"/>
    <w:rsid w:val="00787244"/>
    <w:rsid w:val="00787E2C"/>
    <w:rsid w:val="00790A1F"/>
    <w:rsid w:val="00790B7F"/>
    <w:rsid w:val="007912F3"/>
    <w:rsid w:val="00791EF7"/>
    <w:rsid w:val="00792948"/>
    <w:rsid w:val="007929F2"/>
    <w:rsid w:val="00792B06"/>
    <w:rsid w:val="00792D93"/>
    <w:rsid w:val="0079308A"/>
    <w:rsid w:val="00793962"/>
    <w:rsid w:val="00793EDD"/>
    <w:rsid w:val="0079459C"/>
    <w:rsid w:val="00794E92"/>
    <w:rsid w:val="00795DD8"/>
    <w:rsid w:val="00796E84"/>
    <w:rsid w:val="0079728B"/>
    <w:rsid w:val="007973D9"/>
    <w:rsid w:val="00797478"/>
    <w:rsid w:val="007A0EB2"/>
    <w:rsid w:val="007A11D4"/>
    <w:rsid w:val="007A3ADE"/>
    <w:rsid w:val="007A3BD7"/>
    <w:rsid w:val="007A3C21"/>
    <w:rsid w:val="007A46BE"/>
    <w:rsid w:val="007A4AFD"/>
    <w:rsid w:val="007A5733"/>
    <w:rsid w:val="007A5774"/>
    <w:rsid w:val="007A6944"/>
    <w:rsid w:val="007A6F77"/>
    <w:rsid w:val="007A6F8A"/>
    <w:rsid w:val="007A7273"/>
    <w:rsid w:val="007A754B"/>
    <w:rsid w:val="007B034A"/>
    <w:rsid w:val="007B097E"/>
    <w:rsid w:val="007B0EB0"/>
    <w:rsid w:val="007B171B"/>
    <w:rsid w:val="007B1937"/>
    <w:rsid w:val="007B263D"/>
    <w:rsid w:val="007B3DA0"/>
    <w:rsid w:val="007B3FA6"/>
    <w:rsid w:val="007B43C0"/>
    <w:rsid w:val="007B44A2"/>
    <w:rsid w:val="007B46ED"/>
    <w:rsid w:val="007B4B0A"/>
    <w:rsid w:val="007B4B3E"/>
    <w:rsid w:val="007B53BE"/>
    <w:rsid w:val="007B648D"/>
    <w:rsid w:val="007B6779"/>
    <w:rsid w:val="007B6969"/>
    <w:rsid w:val="007B6A9D"/>
    <w:rsid w:val="007B6C8E"/>
    <w:rsid w:val="007B6F28"/>
    <w:rsid w:val="007B7505"/>
    <w:rsid w:val="007B76E6"/>
    <w:rsid w:val="007B7C9A"/>
    <w:rsid w:val="007C01D5"/>
    <w:rsid w:val="007C0409"/>
    <w:rsid w:val="007C0F60"/>
    <w:rsid w:val="007C1414"/>
    <w:rsid w:val="007C148C"/>
    <w:rsid w:val="007C1520"/>
    <w:rsid w:val="007C3719"/>
    <w:rsid w:val="007C592F"/>
    <w:rsid w:val="007C6280"/>
    <w:rsid w:val="007C698F"/>
    <w:rsid w:val="007C6AB7"/>
    <w:rsid w:val="007C719C"/>
    <w:rsid w:val="007C7990"/>
    <w:rsid w:val="007D123A"/>
    <w:rsid w:val="007D1A9B"/>
    <w:rsid w:val="007D21FD"/>
    <w:rsid w:val="007D2274"/>
    <w:rsid w:val="007D35AF"/>
    <w:rsid w:val="007D4402"/>
    <w:rsid w:val="007D5041"/>
    <w:rsid w:val="007D507D"/>
    <w:rsid w:val="007D6327"/>
    <w:rsid w:val="007D68E6"/>
    <w:rsid w:val="007D6A0B"/>
    <w:rsid w:val="007D6C21"/>
    <w:rsid w:val="007D7D27"/>
    <w:rsid w:val="007D7EEA"/>
    <w:rsid w:val="007E080F"/>
    <w:rsid w:val="007E1228"/>
    <w:rsid w:val="007E1A05"/>
    <w:rsid w:val="007E20F9"/>
    <w:rsid w:val="007E285E"/>
    <w:rsid w:val="007E3677"/>
    <w:rsid w:val="007E3A9C"/>
    <w:rsid w:val="007E4769"/>
    <w:rsid w:val="007E4F17"/>
    <w:rsid w:val="007E5E59"/>
    <w:rsid w:val="007E67EC"/>
    <w:rsid w:val="007E7B44"/>
    <w:rsid w:val="007F16DA"/>
    <w:rsid w:val="007F2B0E"/>
    <w:rsid w:val="007F2B48"/>
    <w:rsid w:val="007F2CC4"/>
    <w:rsid w:val="007F44C8"/>
    <w:rsid w:val="007F4DA3"/>
    <w:rsid w:val="007F510C"/>
    <w:rsid w:val="007F593A"/>
    <w:rsid w:val="007F6A1B"/>
    <w:rsid w:val="007F6C6C"/>
    <w:rsid w:val="007F6F17"/>
    <w:rsid w:val="007F7603"/>
    <w:rsid w:val="007F7690"/>
    <w:rsid w:val="00801258"/>
    <w:rsid w:val="00801CE0"/>
    <w:rsid w:val="00801E74"/>
    <w:rsid w:val="00802656"/>
    <w:rsid w:val="00802794"/>
    <w:rsid w:val="00802CC1"/>
    <w:rsid w:val="00802FF4"/>
    <w:rsid w:val="0080485E"/>
    <w:rsid w:val="00805029"/>
    <w:rsid w:val="00805E2D"/>
    <w:rsid w:val="00806252"/>
    <w:rsid w:val="0080697D"/>
    <w:rsid w:val="008069E4"/>
    <w:rsid w:val="00806D4C"/>
    <w:rsid w:val="00810364"/>
    <w:rsid w:val="008112FD"/>
    <w:rsid w:val="008122EF"/>
    <w:rsid w:val="00812437"/>
    <w:rsid w:val="00812F2A"/>
    <w:rsid w:val="008138C7"/>
    <w:rsid w:val="008139A0"/>
    <w:rsid w:val="008142B4"/>
    <w:rsid w:val="00814332"/>
    <w:rsid w:val="0081458A"/>
    <w:rsid w:val="00814869"/>
    <w:rsid w:val="008150B5"/>
    <w:rsid w:val="00815810"/>
    <w:rsid w:val="0081588E"/>
    <w:rsid w:val="0081598D"/>
    <w:rsid w:val="00815B65"/>
    <w:rsid w:val="00816440"/>
    <w:rsid w:val="00817559"/>
    <w:rsid w:val="00817A27"/>
    <w:rsid w:val="0082028A"/>
    <w:rsid w:val="00820C7B"/>
    <w:rsid w:val="008211CA"/>
    <w:rsid w:val="00821293"/>
    <w:rsid w:val="00823BCB"/>
    <w:rsid w:val="008242CF"/>
    <w:rsid w:val="008249DA"/>
    <w:rsid w:val="0082505E"/>
    <w:rsid w:val="008262D1"/>
    <w:rsid w:val="0082645B"/>
    <w:rsid w:val="00826635"/>
    <w:rsid w:val="00826D07"/>
    <w:rsid w:val="00827360"/>
    <w:rsid w:val="0083022A"/>
    <w:rsid w:val="0083091E"/>
    <w:rsid w:val="008314A2"/>
    <w:rsid w:val="00832324"/>
    <w:rsid w:val="0083244F"/>
    <w:rsid w:val="00832624"/>
    <w:rsid w:val="00832A6A"/>
    <w:rsid w:val="00832F15"/>
    <w:rsid w:val="00832FAA"/>
    <w:rsid w:val="00833719"/>
    <w:rsid w:val="008342D2"/>
    <w:rsid w:val="008346A1"/>
    <w:rsid w:val="008352CF"/>
    <w:rsid w:val="00835337"/>
    <w:rsid w:val="00835C68"/>
    <w:rsid w:val="008374DB"/>
    <w:rsid w:val="00837A05"/>
    <w:rsid w:val="00840F70"/>
    <w:rsid w:val="00841343"/>
    <w:rsid w:val="0084164F"/>
    <w:rsid w:val="008420D2"/>
    <w:rsid w:val="00842A06"/>
    <w:rsid w:val="00842DD6"/>
    <w:rsid w:val="00842E5D"/>
    <w:rsid w:val="0084368D"/>
    <w:rsid w:val="008439EA"/>
    <w:rsid w:val="008449DA"/>
    <w:rsid w:val="00844CE7"/>
    <w:rsid w:val="0084514B"/>
    <w:rsid w:val="00845206"/>
    <w:rsid w:val="00845895"/>
    <w:rsid w:val="008462EF"/>
    <w:rsid w:val="008465E7"/>
    <w:rsid w:val="00846DCD"/>
    <w:rsid w:val="00846EF8"/>
    <w:rsid w:val="0084730F"/>
    <w:rsid w:val="0084756E"/>
    <w:rsid w:val="0084763C"/>
    <w:rsid w:val="0085035E"/>
    <w:rsid w:val="008507CD"/>
    <w:rsid w:val="00850855"/>
    <w:rsid w:val="0085100E"/>
    <w:rsid w:val="00851304"/>
    <w:rsid w:val="00851B8F"/>
    <w:rsid w:val="00851D85"/>
    <w:rsid w:val="008523A3"/>
    <w:rsid w:val="00852FE2"/>
    <w:rsid w:val="0085368E"/>
    <w:rsid w:val="00853B55"/>
    <w:rsid w:val="00854527"/>
    <w:rsid w:val="00854954"/>
    <w:rsid w:val="00854B16"/>
    <w:rsid w:val="008555E5"/>
    <w:rsid w:val="0085635B"/>
    <w:rsid w:val="008572D8"/>
    <w:rsid w:val="00857655"/>
    <w:rsid w:val="00860CCB"/>
    <w:rsid w:val="00862B9A"/>
    <w:rsid w:val="00862F94"/>
    <w:rsid w:val="0086404A"/>
    <w:rsid w:val="008651E5"/>
    <w:rsid w:val="008655D0"/>
    <w:rsid w:val="008658D6"/>
    <w:rsid w:val="00866B45"/>
    <w:rsid w:val="0086774F"/>
    <w:rsid w:val="00867D05"/>
    <w:rsid w:val="00870C07"/>
    <w:rsid w:val="00870D5C"/>
    <w:rsid w:val="008736E2"/>
    <w:rsid w:val="008740A3"/>
    <w:rsid w:val="00874669"/>
    <w:rsid w:val="008746B2"/>
    <w:rsid w:val="00874DC4"/>
    <w:rsid w:val="0087639F"/>
    <w:rsid w:val="008764F7"/>
    <w:rsid w:val="00876881"/>
    <w:rsid w:val="0087775B"/>
    <w:rsid w:val="00877CB3"/>
    <w:rsid w:val="00877D8E"/>
    <w:rsid w:val="00877DC9"/>
    <w:rsid w:val="00877FCB"/>
    <w:rsid w:val="00880579"/>
    <w:rsid w:val="008809AA"/>
    <w:rsid w:val="008814E8"/>
    <w:rsid w:val="008830A8"/>
    <w:rsid w:val="0088347E"/>
    <w:rsid w:val="0088442A"/>
    <w:rsid w:val="00884802"/>
    <w:rsid w:val="00884DD7"/>
    <w:rsid w:val="00885386"/>
    <w:rsid w:val="008855D7"/>
    <w:rsid w:val="008859BA"/>
    <w:rsid w:val="00885AE5"/>
    <w:rsid w:val="00886840"/>
    <w:rsid w:val="0088720E"/>
    <w:rsid w:val="00887693"/>
    <w:rsid w:val="00887995"/>
    <w:rsid w:val="00887C87"/>
    <w:rsid w:val="008903FC"/>
    <w:rsid w:val="00890F84"/>
    <w:rsid w:val="00892236"/>
    <w:rsid w:val="0089277B"/>
    <w:rsid w:val="0089297B"/>
    <w:rsid w:val="00892DD9"/>
    <w:rsid w:val="00893F47"/>
    <w:rsid w:val="0089468E"/>
    <w:rsid w:val="008950AC"/>
    <w:rsid w:val="00896F86"/>
    <w:rsid w:val="008970A9"/>
    <w:rsid w:val="00897DBE"/>
    <w:rsid w:val="008A0336"/>
    <w:rsid w:val="008A0AB2"/>
    <w:rsid w:val="008A17A5"/>
    <w:rsid w:val="008A1BF1"/>
    <w:rsid w:val="008A3544"/>
    <w:rsid w:val="008A3D6D"/>
    <w:rsid w:val="008A458E"/>
    <w:rsid w:val="008A5FE8"/>
    <w:rsid w:val="008A63AC"/>
    <w:rsid w:val="008A7E5C"/>
    <w:rsid w:val="008B0DCA"/>
    <w:rsid w:val="008B0F6C"/>
    <w:rsid w:val="008B17B1"/>
    <w:rsid w:val="008B1845"/>
    <w:rsid w:val="008B1CD2"/>
    <w:rsid w:val="008B24BC"/>
    <w:rsid w:val="008B2A18"/>
    <w:rsid w:val="008B4034"/>
    <w:rsid w:val="008B4552"/>
    <w:rsid w:val="008B4799"/>
    <w:rsid w:val="008B4B7E"/>
    <w:rsid w:val="008B65BC"/>
    <w:rsid w:val="008B7DBB"/>
    <w:rsid w:val="008B7FBE"/>
    <w:rsid w:val="008B7FEC"/>
    <w:rsid w:val="008C052A"/>
    <w:rsid w:val="008C0BE5"/>
    <w:rsid w:val="008C3304"/>
    <w:rsid w:val="008C36CA"/>
    <w:rsid w:val="008C4A01"/>
    <w:rsid w:val="008C4F19"/>
    <w:rsid w:val="008C5B26"/>
    <w:rsid w:val="008C5BBC"/>
    <w:rsid w:val="008C7821"/>
    <w:rsid w:val="008C7922"/>
    <w:rsid w:val="008D01F6"/>
    <w:rsid w:val="008D07B4"/>
    <w:rsid w:val="008D0985"/>
    <w:rsid w:val="008D0C98"/>
    <w:rsid w:val="008D2009"/>
    <w:rsid w:val="008D25B3"/>
    <w:rsid w:val="008D31E5"/>
    <w:rsid w:val="008D32BD"/>
    <w:rsid w:val="008D3526"/>
    <w:rsid w:val="008D3E58"/>
    <w:rsid w:val="008D3EF0"/>
    <w:rsid w:val="008D424B"/>
    <w:rsid w:val="008D47FD"/>
    <w:rsid w:val="008D4819"/>
    <w:rsid w:val="008D5CD2"/>
    <w:rsid w:val="008D608C"/>
    <w:rsid w:val="008D614F"/>
    <w:rsid w:val="008D64C5"/>
    <w:rsid w:val="008D689A"/>
    <w:rsid w:val="008D692D"/>
    <w:rsid w:val="008D7562"/>
    <w:rsid w:val="008D7769"/>
    <w:rsid w:val="008E062F"/>
    <w:rsid w:val="008E1A23"/>
    <w:rsid w:val="008E28FB"/>
    <w:rsid w:val="008E2E13"/>
    <w:rsid w:val="008E37FC"/>
    <w:rsid w:val="008E3F8C"/>
    <w:rsid w:val="008E58F1"/>
    <w:rsid w:val="008E6723"/>
    <w:rsid w:val="008E676A"/>
    <w:rsid w:val="008E6883"/>
    <w:rsid w:val="008E6F47"/>
    <w:rsid w:val="008E7592"/>
    <w:rsid w:val="008F03A5"/>
    <w:rsid w:val="008F090C"/>
    <w:rsid w:val="008F3023"/>
    <w:rsid w:val="008F34E5"/>
    <w:rsid w:val="008F3587"/>
    <w:rsid w:val="008F360E"/>
    <w:rsid w:val="008F3CD9"/>
    <w:rsid w:val="008F45E3"/>
    <w:rsid w:val="008F52A1"/>
    <w:rsid w:val="008F58D9"/>
    <w:rsid w:val="008F6E7B"/>
    <w:rsid w:val="008F7694"/>
    <w:rsid w:val="008F793E"/>
    <w:rsid w:val="008F7E43"/>
    <w:rsid w:val="00900752"/>
    <w:rsid w:val="0090077C"/>
    <w:rsid w:val="00900A1E"/>
    <w:rsid w:val="00901AFF"/>
    <w:rsid w:val="00902FD0"/>
    <w:rsid w:val="009035D7"/>
    <w:rsid w:val="00903B92"/>
    <w:rsid w:val="00903D9F"/>
    <w:rsid w:val="00903E17"/>
    <w:rsid w:val="009053D3"/>
    <w:rsid w:val="0090691F"/>
    <w:rsid w:val="0091158B"/>
    <w:rsid w:val="009117CB"/>
    <w:rsid w:val="00911CF8"/>
    <w:rsid w:val="009121E9"/>
    <w:rsid w:val="00912FD0"/>
    <w:rsid w:val="009131A9"/>
    <w:rsid w:val="00913773"/>
    <w:rsid w:val="0091446F"/>
    <w:rsid w:val="00914941"/>
    <w:rsid w:val="009153BD"/>
    <w:rsid w:val="00915414"/>
    <w:rsid w:val="00916279"/>
    <w:rsid w:val="0091746E"/>
    <w:rsid w:val="00917ACB"/>
    <w:rsid w:val="00917B68"/>
    <w:rsid w:val="00917CBA"/>
    <w:rsid w:val="0092071B"/>
    <w:rsid w:val="00920BF6"/>
    <w:rsid w:val="00920E24"/>
    <w:rsid w:val="00921231"/>
    <w:rsid w:val="00921502"/>
    <w:rsid w:val="00921F46"/>
    <w:rsid w:val="00925016"/>
    <w:rsid w:val="0092509A"/>
    <w:rsid w:val="0092541B"/>
    <w:rsid w:val="009258E4"/>
    <w:rsid w:val="00926580"/>
    <w:rsid w:val="0092706F"/>
    <w:rsid w:val="009270DA"/>
    <w:rsid w:val="00930081"/>
    <w:rsid w:val="00930EA4"/>
    <w:rsid w:val="00930ECD"/>
    <w:rsid w:val="0093111F"/>
    <w:rsid w:val="009311D1"/>
    <w:rsid w:val="00931242"/>
    <w:rsid w:val="00931D5C"/>
    <w:rsid w:val="00932B1C"/>
    <w:rsid w:val="009331AD"/>
    <w:rsid w:val="00933B55"/>
    <w:rsid w:val="00934813"/>
    <w:rsid w:val="00934A80"/>
    <w:rsid w:val="00934D9A"/>
    <w:rsid w:val="00935689"/>
    <w:rsid w:val="00936F9A"/>
    <w:rsid w:val="00936FEB"/>
    <w:rsid w:val="00937B14"/>
    <w:rsid w:val="009403EE"/>
    <w:rsid w:val="00940DBC"/>
    <w:rsid w:val="00941300"/>
    <w:rsid w:val="0094254F"/>
    <w:rsid w:val="00942A07"/>
    <w:rsid w:val="00942FEF"/>
    <w:rsid w:val="00943BD3"/>
    <w:rsid w:val="00944EC0"/>
    <w:rsid w:val="00945692"/>
    <w:rsid w:val="0094618A"/>
    <w:rsid w:val="00946A84"/>
    <w:rsid w:val="00947A9C"/>
    <w:rsid w:val="00950020"/>
    <w:rsid w:val="009502C8"/>
    <w:rsid w:val="0095093D"/>
    <w:rsid w:val="00950B51"/>
    <w:rsid w:val="009514B7"/>
    <w:rsid w:val="00952793"/>
    <w:rsid w:val="00952C7C"/>
    <w:rsid w:val="0095303B"/>
    <w:rsid w:val="0095321F"/>
    <w:rsid w:val="00953CCD"/>
    <w:rsid w:val="00954182"/>
    <w:rsid w:val="00954C1B"/>
    <w:rsid w:val="00954D9C"/>
    <w:rsid w:val="00954F65"/>
    <w:rsid w:val="00956B1D"/>
    <w:rsid w:val="00956BB3"/>
    <w:rsid w:val="0095774D"/>
    <w:rsid w:val="009600BC"/>
    <w:rsid w:val="00961AF3"/>
    <w:rsid w:val="0096356A"/>
    <w:rsid w:val="009636D4"/>
    <w:rsid w:val="00963AFF"/>
    <w:rsid w:val="0096467A"/>
    <w:rsid w:val="009646EF"/>
    <w:rsid w:val="009655E5"/>
    <w:rsid w:val="00965C24"/>
    <w:rsid w:val="00965F8F"/>
    <w:rsid w:val="009663B6"/>
    <w:rsid w:val="00966AF6"/>
    <w:rsid w:val="009677E7"/>
    <w:rsid w:val="00967953"/>
    <w:rsid w:val="00970DBE"/>
    <w:rsid w:val="009714CA"/>
    <w:rsid w:val="00971B6F"/>
    <w:rsid w:val="00972806"/>
    <w:rsid w:val="009735EA"/>
    <w:rsid w:val="009740A9"/>
    <w:rsid w:val="0097426C"/>
    <w:rsid w:val="00974A47"/>
    <w:rsid w:val="00974DA6"/>
    <w:rsid w:val="00974F4A"/>
    <w:rsid w:val="009764E7"/>
    <w:rsid w:val="00976935"/>
    <w:rsid w:val="00977925"/>
    <w:rsid w:val="00980286"/>
    <w:rsid w:val="009818BD"/>
    <w:rsid w:val="00981F61"/>
    <w:rsid w:val="0098291C"/>
    <w:rsid w:val="0098295E"/>
    <w:rsid w:val="00983EF4"/>
    <w:rsid w:val="00984342"/>
    <w:rsid w:val="00984689"/>
    <w:rsid w:val="00984A51"/>
    <w:rsid w:val="00984AC9"/>
    <w:rsid w:val="00984BEC"/>
    <w:rsid w:val="009857C8"/>
    <w:rsid w:val="00986238"/>
    <w:rsid w:val="0098674D"/>
    <w:rsid w:val="00987648"/>
    <w:rsid w:val="0098764B"/>
    <w:rsid w:val="00990151"/>
    <w:rsid w:val="009905D1"/>
    <w:rsid w:val="00990AEC"/>
    <w:rsid w:val="00990DBE"/>
    <w:rsid w:val="00990DCF"/>
    <w:rsid w:val="00991170"/>
    <w:rsid w:val="009911E9"/>
    <w:rsid w:val="009918E2"/>
    <w:rsid w:val="0099272D"/>
    <w:rsid w:val="0099291C"/>
    <w:rsid w:val="009946EC"/>
    <w:rsid w:val="00994C22"/>
    <w:rsid w:val="009951CF"/>
    <w:rsid w:val="009957D1"/>
    <w:rsid w:val="00995E47"/>
    <w:rsid w:val="009A077F"/>
    <w:rsid w:val="009A1D68"/>
    <w:rsid w:val="009A3E7B"/>
    <w:rsid w:val="009A4CD6"/>
    <w:rsid w:val="009A4CEE"/>
    <w:rsid w:val="009A4D2C"/>
    <w:rsid w:val="009A5346"/>
    <w:rsid w:val="009A537C"/>
    <w:rsid w:val="009A57A1"/>
    <w:rsid w:val="009A58C7"/>
    <w:rsid w:val="009A5B10"/>
    <w:rsid w:val="009A5B77"/>
    <w:rsid w:val="009A6B02"/>
    <w:rsid w:val="009A6F71"/>
    <w:rsid w:val="009A7ADF"/>
    <w:rsid w:val="009B3096"/>
    <w:rsid w:val="009B35A8"/>
    <w:rsid w:val="009B35DC"/>
    <w:rsid w:val="009B38CF"/>
    <w:rsid w:val="009B3D25"/>
    <w:rsid w:val="009B3EEC"/>
    <w:rsid w:val="009B569B"/>
    <w:rsid w:val="009B6840"/>
    <w:rsid w:val="009B71B7"/>
    <w:rsid w:val="009C0886"/>
    <w:rsid w:val="009C0BAE"/>
    <w:rsid w:val="009C1221"/>
    <w:rsid w:val="009C19EE"/>
    <w:rsid w:val="009C2649"/>
    <w:rsid w:val="009C2803"/>
    <w:rsid w:val="009C28D0"/>
    <w:rsid w:val="009C2D13"/>
    <w:rsid w:val="009C2D99"/>
    <w:rsid w:val="009C316A"/>
    <w:rsid w:val="009C3189"/>
    <w:rsid w:val="009C35F2"/>
    <w:rsid w:val="009C3EA6"/>
    <w:rsid w:val="009C452E"/>
    <w:rsid w:val="009C581A"/>
    <w:rsid w:val="009C5E7E"/>
    <w:rsid w:val="009C6F15"/>
    <w:rsid w:val="009C6F57"/>
    <w:rsid w:val="009C7782"/>
    <w:rsid w:val="009C7CC7"/>
    <w:rsid w:val="009D00F9"/>
    <w:rsid w:val="009D055D"/>
    <w:rsid w:val="009D0C38"/>
    <w:rsid w:val="009D108A"/>
    <w:rsid w:val="009D1ED5"/>
    <w:rsid w:val="009D2414"/>
    <w:rsid w:val="009D245D"/>
    <w:rsid w:val="009D2668"/>
    <w:rsid w:val="009D294A"/>
    <w:rsid w:val="009D2AE1"/>
    <w:rsid w:val="009D3B9F"/>
    <w:rsid w:val="009D3D08"/>
    <w:rsid w:val="009D3FB7"/>
    <w:rsid w:val="009D4C13"/>
    <w:rsid w:val="009D5011"/>
    <w:rsid w:val="009D560F"/>
    <w:rsid w:val="009D5A5B"/>
    <w:rsid w:val="009D6859"/>
    <w:rsid w:val="009D6E85"/>
    <w:rsid w:val="009E0898"/>
    <w:rsid w:val="009E20B0"/>
    <w:rsid w:val="009E21A7"/>
    <w:rsid w:val="009E36BD"/>
    <w:rsid w:val="009E471F"/>
    <w:rsid w:val="009E4CC8"/>
    <w:rsid w:val="009E4DDA"/>
    <w:rsid w:val="009E60CC"/>
    <w:rsid w:val="009E6425"/>
    <w:rsid w:val="009F0039"/>
    <w:rsid w:val="009F016A"/>
    <w:rsid w:val="009F1CAE"/>
    <w:rsid w:val="009F1F45"/>
    <w:rsid w:val="009F21E0"/>
    <w:rsid w:val="009F2BE9"/>
    <w:rsid w:val="009F3694"/>
    <w:rsid w:val="009F38A4"/>
    <w:rsid w:val="009F41CC"/>
    <w:rsid w:val="009F4408"/>
    <w:rsid w:val="009F49C2"/>
    <w:rsid w:val="009F49E7"/>
    <w:rsid w:val="009F4CF0"/>
    <w:rsid w:val="009F5048"/>
    <w:rsid w:val="009F50BD"/>
    <w:rsid w:val="009F5731"/>
    <w:rsid w:val="009F6756"/>
    <w:rsid w:val="009F7029"/>
    <w:rsid w:val="009F702C"/>
    <w:rsid w:val="009F719A"/>
    <w:rsid w:val="009F79E7"/>
    <w:rsid w:val="009F7A92"/>
    <w:rsid w:val="00A004DB"/>
    <w:rsid w:val="00A01C83"/>
    <w:rsid w:val="00A02CB2"/>
    <w:rsid w:val="00A0314F"/>
    <w:rsid w:val="00A0379C"/>
    <w:rsid w:val="00A04DD3"/>
    <w:rsid w:val="00A0544F"/>
    <w:rsid w:val="00A064D6"/>
    <w:rsid w:val="00A06C56"/>
    <w:rsid w:val="00A06DD8"/>
    <w:rsid w:val="00A0709E"/>
    <w:rsid w:val="00A07182"/>
    <w:rsid w:val="00A071F5"/>
    <w:rsid w:val="00A07568"/>
    <w:rsid w:val="00A07575"/>
    <w:rsid w:val="00A100EF"/>
    <w:rsid w:val="00A10232"/>
    <w:rsid w:val="00A103ED"/>
    <w:rsid w:val="00A10823"/>
    <w:rsid w:val="00A13558"/>
    <w:rsid w:val="00A13633"/>
    <w:rsid w:val="00A13739"/>
    <w:rsid w:val="00A13B34"/>
    <w:rsid w:val="00A13BF5"/>
    <w:rsid w:val="00A13C60"/>
    <w:rsid w:val="00A13D16"/>
    <w:rsid w:val="00A13DC2"/>
    <w:rsid w:val="00A1435C"/>
    <w:rsid w:val="00A14900"/>
    <w:rsid w:val="00A1610F"/>
    <w:rsid w:val="00A1647C"/>
    <w:rsid w:val="00A172B6"/>
    <w:rsid w:val="00A17849"/>
    <w:rsid w:val="00A17E0E"/>
    <w:rsid w:val="00A213EB"/>
    <w:rsid w:val="00A21CCA"/>
    <w:rsid w:val="00A22A7A"/>
    <w:rsid w:val="00A23F9D"/>
    <w:rsid w:val="00A242A6"/>
    <w:rsid w:val="00A24B83"/>
    <w:rsid w:val="00A251A9"/>
    <w:rsid w:val="00A25A18"/>
    <w:rsid w:val="00A25BF6"/>
    <w:rsid w:val="00A25EE9"/>
    <w:rsid w:val="00A26D88"/>
    <w:rsid w:val="00A2726A"/>
    <w:rsid w:val="00A30356"/>
    <w:rsid w:val="00A30A3B"/>
    <w:rsid w:val="00A31CF7"/>
    <w:rsid w:val="00A31E68"/>
    <w:rsid w:val="00A32686"/>
    <w:rsid w:val="00A331EA"/>
    <w:rsid w:val="00A338D6"/>
    <w:rsid w:val="00A3392E"/>
    <w:rsid w:val="00A33948"/>
    <w:rsid w:val="00A33B58"/>
    <w:rsid w:val="00A33D3A"/>
    <w:rsid w:val="00A33D82"/>
    <w:rsid w:val="00A33E81"/>
    <w:rsid w:val="00A341A3"/>
    <w:rsid w:val="00A3477B"/>
    <w:rsid w:val="00A35800"/>
    <w:rsid w:val="00A35A39"/>
    <w:rsid w:val="00A35D04"/>
    <w:rsid w:val="00A361BF"/>
    <w:rsid w:val="00A36516"/>
    <w:rsid w:val="00A36A07"/>
    <w:rsid w:val="00A374DE"/>
    <w:rsid w:val="00A37FAB"/>
    <w:rsid w:val="00A41330"/>
    <w:rsid w:val="00A41BE9"/>
    <w:rsid w:val="00A41C12"/>
    <w:rsid w:val="00A4265A"/>
    <w:rsid w:val="00A437A0"/>
    <w:rsid w:val="00A43BBC"/>
    <w:rsid w:val="00A457D2"/>
    <w:rsid w:val="00A45864"/>
    <w:rsid w:val="00A45FDA"/>
    <w:rsid w:val="00A46EDA"/>
    <w:rsid w:val="00A476CA"/>
    <w:rsid w:val="00A47713"/>
    <w:rsid w:val="00A47E98"/>
    <w:rsid w:val="00A5258E"/>
    <w:rsid w:val="00A52918"/>
    <w:rsid w:val="00A53883"/>
    <w:rsid w:val="00A538EA"/>
    <w:rsid w:val="00A543C8"/>
    <w:rsid w:val="00A545D2"/>
    <w:rsid w:val="00A547B3"/>
    <w:rsid w:val="00A54DEB"/>
    <w:rsid w:val="00A5502B"/>
    <w:rsid w:val="00A55174"/>
    <w:rsid w:val="00A56A79"/>
    <w:rsid w:val="00A575CB"/>
    <w:rsid w:val="00A61FD0"/>
    <w:rsid w:val="00A62201"/>
    <w:rsid w:val="00A62238"/>
    <w:rsid w:val="00A64858"/>
    <w:rsid w:val="00A65636"/>
    <w:rsid w:val="00A659A5"/>
    <w:rsid w:val="00A65A93"/>
    <w:rsid w:val="00A66B61"/>
    <w:rsid w:val="00A671EA"/>
    <w:rsid w:val="00A67531"/>
    <w:rsid w:val="00A67F26"/>
    <w:rsid w:val="00A709F2"/>
    <w:rsid w:val="00A70A7B"/>
    <w:rsid w:val="00A70DBF"/>
    <w:rsid w:val="00A70E82"/>
    <w:rsid w:val="00A70FEC"/>
    <w:rsid w:val="00A73BB3"/>
    <w:rsid w:val="00A74AE1"/>
    <w:rsid w:val="00A74D34"/>
    <w:rsid w:val="00A74DC7"/>
    <w:rsid w:val="00A75A1F"/>
    <w:rsid w:val="00A75AFA"/>
    <w:rsid w:val="00A76086"/>
    <w:rsid w:val="00A769B2"/>
    <w:rsid w:val="00A77882"/>
    <w:rsid w:val="00A8048F"/>
    <w:rsid w:val="00A80AAD"/>
    <w:rsid w:val="00A8102F"/>
    <w:rsid w:val="00A81761"/>
    <w:rsid w:val="00A81F08"/>
    <w:rsid w:val="00A8373A"/>
    <w:rsid w:val="00A8388C"/>
    <w:rsid w:val="00A83AD5"/>
    <w:rsid w:val="00A83B7C"/>
    <w:rsid w:val="00A84105"/>
    <w:rsid w:val="00A848F8"/>
    <w:rsid w:val="00A84CAD"/>
    <w:rsid w:val="00A84D23"/>
    <w:rsid w:val="00A84E28"/>
    <w:rsid w:val="00A84F91"/>
    <w:rsid w:val="00A852DA"/>
    <w:rsid w:val="00A855F2"/>
    <w:rsid w:val="00A87311"/>
    <w:rsid w:val="00A87628"/>
    <w:rsid w:val="00A901C2"/>
    <w:rsid w:val="00A90E50"/>
    <w:rsid w:val="00A910FC"/>
    <w:rsid w:val="00A9280B"/>
    <w:rsid w:val="00A93434"/>
    <w:rsid w:val="00A938D3"/>
    <w:rsid w:val="00A95A5D"/>
    <w:rsid w:val="00A95FA5"/>
    <w:rsid w:val="00A963A6"/>
    <w:rsid w:val="00A9644F"/>
    <w:rsid w:val="00A967DB"/>
    <w:rsid w:val="00A96D92"/>
    <w:rsid w:val="00A973F5"/>
    <w:rsid w:val="00AA039E"/>
    <w:rsid w:val="00AA057D"/>
    <w:rsid w:val="00AA0A91"/>
    <w:rsid w:val="00AA1F09"/>
    <w:rsid w:val="00AA2F40"/>
    <w:rsid w:val="00AA3218"/>
    <w:rsid w:val="00AA3326"/>
    <w:rsid w:val="00AA442E"/>
    <w:rsid w:val="00AA44AB"/>
    <w:rsid w:val="00AA4FBC"/>
    <w:rsid w:val="00AA5695"/>
    <w:rsid w:val="00AA5FE6"/>
    <w:rsid w:val="00AA66DF"/>
    <w:rsid w:val="00AA6B29"/>
    <w:rsid w:val="00AA72A1"/>
    <w:rsid w:val="00AB0E35"/>
    <w:rsid w:val="00AB1439"/>
    <w:rsid w:val="00AB157D"/>
    <w:rsid w:val="00AB2069"/>
    <w:rsid w:val="00AB240A"/>
    <w:rsid w:val="00AB24BE"/>
    <w:rsid w:val="00AB253F"/>
    <w:rsid w:val="00AB333C"/>
    <w:rsid w:val="00AB3733"/>
    <w:rsid w:val="00AB38E5"/>
    <w:rsid w:val="00AB3FA1"/>
    <w:rsid w:val="00AB40A7"/>
    <w:rsid w:val="00AB42C8"/>
    <w:rsid w:val="00AB46FC"/>
    <w:rsid w:val="00AB4E1D"/>
    <w:rsid w:val="00AB4EF0"/>
    <w:rsid w:val="00AB54F6"/>
    <w:rsid w:val="00AB5C16"/>
    <w:rsid w:val="00AB6BB2"/>
    <w:rsid w:val="00AB6FEB"/>
    <w:rsid w:val="00AB7897"/>
    <w:rsid w:val="00AC0ABE"/>
    <w:rsid w:val="00AC15AA"/>
    <w:rsid w:val="00AC1702"/>
    <w:rsid w:val="00AC1780"/>
    <w:rsid w:val="00AC1B6D"/>
    <w:rsid w:val="00AC1CE7"/>
    <w:rsid w:val="00AC3BED"/>
    <w:rsid w:val="00AC3C77"/>
    <w:rsid w:val="00AC4BB1"/>
    <w:rsid w:val="00AC5054"/>
    <w:rsid w:val="00AC50B1"/>
    <w:rsid w:val="00AC5598"/>
    <w:rsid w:val="00AC5668"/>
    <w:rsid w:val="00AC656B"/>
    <w:rsid w:val="00AD01E0"/>
    <w:rsid w:val="00AD02AE"/>
    <w:rsid w:val="00AD0912"/>
    <w:rsid w:val="00AD1A95"/>
    <w:rsid w:val="00AD2D25"/>
    <w:rsid w:val="00AD34C1"/>
    <w:rsid w:val="00AD35F9"/>
    <w:rsid w:val="00AD3D51"/>
    <w:rsid w:val="00AD55BE"/>
    <w:rsid w:val="00AD648F"/>
    <w:rsid w:val="00AD68CA"/>
    <w:rsid w:val="00AE097F"/>
    <w:rsid w:val="00AE179C"/>
    <w:rsid w:val="00AE1927"/>
    <w:rsid w:val="00AE2362"/>
    <w:rsid w:val="00AE3582"/>
    <w:rsid w:val="00AE3E6A"/>
    <w:rsid w:val="00AE4BAC"/>
    <w:rsid w:val="00AE524B"/>
    <w:rsid w:val="00AE7126"/>
    <w:rsid w:val="00AE7527"/>
    <w:rsid w:val="00AF02A6"/>
    <w:rsid w:val="00AF17DD"/>
    <w:rsid w:val="00AF1A51"/>
    <w:rsid w:val="00AF1C37"/>
    <w:rsid w:val="00AF2789"/>
    <w:rsid w:val="00AF2CDC"/>
    <w:rsid w:val="00AF2DEC"/>
    <w:rsid w:val="00AF3019"/>
    <w:rsid w:val="00AF337C"/>
    <w:rsid w:val="00AF38D4"/>
    <w:rsid w:val="00AF4796"/>
    <w:rsid w:val="00AF5100"/>
    <w:rsid w:val="00AF5D68"/>
    <w:rsid w:val="00AF77FB"/>
    <w:rsid w:val="00AF7C4D"/>
    <w:rsid w:val="00AF7F5A"/>
    <w:rsid w:val="00B00668"/>
    <w:rsid w:val="00B006E3"/>
    <w:rsid w:val="00B008F2"/>
    <w:rsid w:val="00B00F12"/>
    <w:rsid w:val="00B02368"/>
    <w:rsid w:val="00B034FC"/>
    <w:rsid w:val="00B036C2"/>
    <w:rsid w:val="00B03B8E"/>
    <w:rsid w:val="00B03F1E"/>
    <w:rsid w:val="00B0462E"/>
    <w:rsid w:val="00B047A4"/>
    <w:rsid w:val="00B05310"/>
    <w:rsid w:val="00B05322"/>
    <w:rsid w:val="00B05371"/>
    <w:rsid w:val="00B058AB"/>
    <w:rsid w:val="00B059E3"/>
    <w:rsid w:val="00B0665F"/>
    <w:rsid w:val="00B07673"/>
    <w:rsid w:val="00B10472"/>
    <w:rsid w:val="00B10768"/>
    <w:rsid w:val="00B10A0B"/>
    <w:rsid w:val="00B110CA"/>
    <w:rsid w:val="00B11B2E"/>
    <w:rsid w:val="00B121FB"/>
    <w:rsid w:val="00B1252E"/>
    <w:rsid w:val="00B12CE8"/>
    <w:rsid w:val="00B12EA8"/>
    <w:rsid w:val="00B13285"/>
    <w:rsid w:val="00B1340A"/>
    <w:rsid w:val="00B1398D"/>
    <w:rsid w:val="00B13B1B"/>
    <w:rsid w:val="00B13B72"/>
    <w:rsid w:val="00B153E0"/>
    <w:rsid w:val="00B163EF"/>
    <w:rsid w:val="00B16D0B"/>
    <w:rsid w:val="00B173B2"/>
    <w:rsid w:val="00B1790F"/>
    <w:rsid w:val="00B217D1"/>
    <w:rsid w:val="00B21985"/>
    <w:rsid w:val="00B219D1"/>
    <w:rsid w:val="00B23228"/>
    <w:rsid w:val="00B23718"/>
    <w:rsid w:val="00B2407A"/>
    <w:rsid w:val="00B24514"/>
    <w:rsid w:val="00B25145"/>
    <w:rsid w:val="00B251BC"/>
    <w:rsid w:val="00B254C6"/>
    <w:rsid w:val="00B255D8"/>
    <w:rsid w:val="00B2643F"/>
    <w:rsid w:val="00B268D4"/>
    <w:rsid w:val="00B27B1F"/>
    <w:rsid w:val="00B30885"/>
    <w:rsid w:val="00B30D85"/>
    <w:rsid w:val="00B31896"/>
    <w:rsid w:val="00B31E1E"/>
    <w:rsid w:val="00B34423"/>
    <w:rsid w:val="00B3599C"/>
    <w:rsid w:val="00B35A4A"/>
    <w:rsid w:val="00B35A69"/>
    <w:rsid w:val="00B35F54"/>
    <w:rsid w:val="00B37EFA"/>
    <w:rsid w:val="00B40032"/>
    <w:rsid w:val="00B400AE"/>
    <w:rsid w:val="00B40915"/>
    <w:rsid w:val="00B40958"/>
    <w:rsid w:val="00B4138B"/>
    <w:rsid w:val="00B41618"/>
    <w:rsid w:val="00B41CEA"/>
    <w:rsid w:val="00B42021"/>
    <w:rsid w:val="00B42159"/>
    <w:rsid w:val="00B43449"/>
    <w:rsid w:val="00B43759"/>
    <w:rsid w:val="00B45177"/>
    <w:rsid w:val="00B45EAD"/>
    <w:rsid w:val="00B45ED0"/>
    <w:rsid w:val="00B46141"/>
    <w:rsid w:val="00B466AA"/>
    <w:rsid w:val="00B46B84"/>
    <w:rsid w:val="00B47323"/>
    <w:rsid w:val="00B50094"/>
    <w:rsid w:val="00B50F73"/>
    <w:rsid w:val="00B513E7"/>
    <w:rsid w:val="00B5186D"/>
    <w:rsid w:val="00B52CD5"/>
    <w:rsid w:val="00B530F3"/>
    <w:rsid w:val="00B538E2"/>
    <w:rsid w:val="00B53B85"/>
    <w:rsid w:val="00B54585"/>
    <w:rsid w:val="00B548F0"/>
    <w:rsid w:val="00B5663A"/>
    <w:rsid w:val="00B56653"/>
    <w:rsid w:val="00B56D6E"/>
    <w:rsid w:val="00B5703A"/>
    <w:rsid w:val="00B60034"/>
    <w:rsid w:val="00B60382"/>
    <w:rsid w:val="00B60D28"/>
    <w:rsid w:val="00B61F25"/>
    <w:rsid w:val="00B63FD7"/>
    <w:rsid w:val="00B64518"/>
    <w:rsid w:val="00B64D59"/>
    <w:rsid w:val="00B64EBF"/>
    <w:rsid w:val="00B668D6"/>
    <w:rsid w:val="00B66ACB"/>
    <w:rsid w:val="00B66DF7"/>
    <w:rsid w:val="00B67F83"/>
    <w:rsid w:val="00B70E5C"/>
    <w:rsid w:val="00B71F20"/>
    <w:rsid w:val="00B72B37"/>
    <w:rsid w:val="00B730E2"/>
    <w:rsid w:val="00B7320E"/>
    <w:rsid w:val="00B750CD"/>
    <w:rsid w:val="00B75BF7"/>
    <w:rsid w:val="00B76958"/>
    <w:rsid w:val="00B773CC"/>
    <w:rsid w:val="00B77475"/>
    <w:rsid w:val="00B7773F"/>
    <w:rsid w:val="00B77E96"/>
    <w:rsid w:val="00B80157"/>
    <w:rsid w:val="00B806A8"/>
    <w:rsid w:val="00B80A76"/>
    <w:rsid w:val="00B816D9"/>
    <w:rsid w:val="00B82854"/>
    <w:rsid w:val="00B83147"/>
    <w:rsid w:val="00B83647"/>
    <w:rsid w:val="00B83C97"/>
    <w:rsid w:val="00B84FC4"/>
    <w:rsid w:val="00B859CC"/>
    <w:rsid w:val="00B86BD0"/>
    <w:rsid w:val="00B879D6"/>
    <w:rsid w:val="00B87F48"/>
    <w:rsid w:val="00B90A68"/>
    <w:rsid w:val="00B90DD9"/>
    <w:rsid w:val="00B9101D"/>
    <w:rsid w:val="00B9120F"/>
    <w:rsid w:val="00B9216C"/>
    <w:rsid w:val="00B924A4"/>
    <w:rsid w:val="00B9270A"/>
    <w:rsid w:val="00B93F6E"/>
    <w:rsid w:val="00B945D5"/>
    <w:rsid w:val="00B94D2A"/>
    <w:rsid w:val="00B955AC"/>
    <w:rsid w:val="00B96232"/>
    <w:rsid w:val="00B966D8"/>
    <w:rsid w:val="00B96C6C"/>
    <w:rsid w:val="00B96F41"/>
    <w:rsid w:val="00B97166"/>
    <w:rsid w:val="00B97C64"/>
    <w:rsid w:val="00B97F93"/>
    <w:rsid w:val="00BA00F4"/>
    <w:rsid w:val="00BA1498"/>
    <w:rsid w:val="00BA1604"/>
    <w:rsid w:val="00BA2BB2"/>
    <w:rsid w:val="00BA33DC"/>
    <w:rsid w:val="00BA3F2E"/>
    <w:rsid w:val="00BA420D"/>
    <w:rsid w:val="00BA55E6"/>
    <w:rsid w:val="00BA6E12"/>
    <w:rsid w:val="00BB06C0"/>
    <w:rsid w:val="00BB0A8B"/>
    <w:rsid w:val="00BB0D1A"/>
    <w:rsid w:val="00BB1553"/>
    <w:rsid w:val="00BB1D3B"/>
    <w:rsid w:val="00BB20A3"/>
    <w:rsid w:val="00BB2DEF"/>
    <w:rsid w:val="00BB3322"/>
    <w:rsid w:val="00BB33CC"/>
    <w:rsid w:val="00BB381C"/>
    <w:rsid w:val="00BB3B6F"/>
    <w:rsid w:val="00BB4996"/>
    <w:rsid w:val="00BB5146"/>
    <w:rsid w:val="00BB78FE"/>
    <w:rsid w:val="00BC0472"/>
    <w:rsid w:val="00BC14A7"/>
    <w:rsid w:val="00BC19BD"/>
    <w:rsid w:val="00BC1CFC"/>
    <w:rsid w:val="00BC1F26"/>
    <w:rsid w:val="00BC22D7"/>
    <w:rsid w:val="00BC25BC"/>
    <w:rsid w:val="00BC260B"/>
    <w:rsid w:val="00BC2C0F"/>
    <w:rsid w:val="00BC340E"/>
    <w:rsid w:val="00BC35ED"/>
    <w:rsid w:val="00BC3A2A"/>
    <w:rsid w:val="00BC3F6F"/>
    <w:rsid w:val="00BC3F72"/>
    <w:rsid w:val="00BC446B"/>
    <w:rsid w:val="00BC4AFD"/>
    <w:rsid w:val="00BC4CD5"/>
    <w:rsid w:val="00BC6C80"/>
    <w:rsid w:val="00BC6E87"/>
    <w:rsid w:val="00BC72BD"/>
    <w:rsid w:val="00BC773C"/>
    <w:rsid w:val="00BD0484"/>
    <w:rsid w:val="00BD203A"/>
    <w:rsid w:val="00BD29DA"/>
    <w:rsid w:val="00BD42F7"/>
    <w:rsid w:val="00BD4406"/>
    <w:rsid w:val="00BD4A73"/>
    <w:rsid w:val="00BD5F2F"/>
    <w:rsid w:val="00BD65C8"/>
    <w:rsid w:val="00BD6ECD"/>
    <w:rsid w:val="00BD730B"/>
    <w:rsid w:val="00BE0729"/>
    <w:rsid w:val="00BE09CD"/>
    <w:rsid w:val="00BE0ECC"/>
    <w:rsid w:val="00BE14BB"/>
    <w:rsid w:val="00BE1A10"/>
    <w:rsid w:val="00BE1EEB"/>
    <w:rsid w:val="00BE205A"/>
    <w:rsid w:val="00BE2268"/>
    <w:rsid w:val="00BE23CA"/>
    <w:rsid w:val="00BE2BE5"/>
    <w:rsid w:val="00BE3802"/>
    <w:rsid w:val="00BE3946"/>
    <w:rsid w:val="00BE39F5"/>
    <w:rsid w:val="00BE3DD2"/>
    <w:rsid w:val="00BE3FA9"/>
    <w:rsid w:val="00BE475D"/>
    <w:rsid w:val="00BE52EE"/>
    <w:rsid w:val="00BE5608"/>
    <w:rsid w:val="00BE5A18"/>
    <w:rsid w:val="00BE611B"/>
    <w:rsid w:val="00BE6C2B"/>
    <w:rsid w:val="00BE7090"/>
    <w:rsid w:val="00BE70A4"/>
    <w:rsid w:val="00BE74CF"/>
    <w:rsid w:val="00BE7C18"/>
    <w:rsid w:val="00BE7D05"/>
    <w:rsid w:val="00BE7D94"/>
    <w:rsid w:val="00BF100F"/>
    <w:rsid w:val="00BF11AD"/>
    <w:rsid w:val="00BF1207"/>
    <w:rsid w:val="00BF166D"/>
    <w:rsid w:val="00BF2134"/>
    <w:rsid w:val="00BF238E"/>
    <w:rsid w:val="00BF2F4A"/>
    <w:rsid w:val="00BF32B5"/>
    <w:rsid w:val="00BF36F1"/>
    <w:rsid w:val="00BF4B5C"/>
    <w:rsid w:val="00BF544D"/>
    <w:rsid w:val="00BF5488"/>
    <w:rsid w:val="00BF5DB8"/>
    <w:rsid w:val="00BF6A18"/>
    <w:rsid w:val="00BF73BC"/>
    <w:rsid w:val="00BF74E5"/>
    <w:rsid w:val="00C00237"/>
    <w:rsid w:val="00C0076F"/>
    <w:rsid w:val="00C012B0"/>
    <w:rsid w:val="00C01900"/>
    <w:rsid w:val="00C025A5"/>
    <w:rsid w:val="00C02958"/>
    <w:rsid w:val="00C0301C"/>
    <w:rsid w:val="00C04BFB"/>
    <w:rsid w:val="00C05015"/>
    <w:rsid w:val="00C050B6"/>
    <w:rsid w:val="00C07902"/>
    <w:rsid w:val="00C07DE2"/>
    <w:rsid w:val="00C1024E"/>
    <w:rsid w:val="00C10F12"/>
    <w:rsid w:val="00C1287E"/>
    <w:rsid w:val="00C134EC"/>
    <w:rsid w:val="00C14177"/>
    <w:rsid w:val="00C15641"/>
    <w:rsid w:val="00C1575B"/>
    <w:rsid w:val="00C1597E"/>
    <w:rsid w:val="00C15E78"/>
    <w:rsid w:val="00C15F0E"/>
    <w:rsid w:val="00C160D3"/>
    <w:rsid w:val="00C16BBB"/>
    <w:rsid w:val="00C16CD7"/>
    <w:rsid w:val="00C20C4E"/>
    <w:rsid w:val="00C2180A"/>
    <w:rsid w:val="00C2392B"/>
    <w:rsid w:val="00C23B1E"/>
    <w:rsid w:val="00C241E3"/>
    <w:rsid w:val="00C244D0"/>
    <w:rsid w:val="00C245EA"/>
    <w:rsid w:val="00C24631"/>
    <w:rsid w:val="00C24AD0"/>
    <w:rsid w:val="00C254FE"/>
    <w:rsid w:val="00C256F6"/>
    <w:rsid w:val="00C25FB1"/>
    <w:rsid w:val="00C26A25"/>
    <w:rsid w:val="00C27344"/>
    <w:rsid w:val="00C27B40"/>
    <w:rsid w:val="00C27DC0"/>
    <w:rsid w:val="00C3010F"/>
    <w:rsid w:val="00C3097E"/>
    <w:rsid w:val="00C313C2"/>
    <w:rsid w:val="00C31B23"/>
    <w:rsid w:val="00C32019"/>
    <w:rsid w:val="00C33763"/>
    <w:rsid w:val="00C353D9"/>
    <w:rsid w:val="00C35ECC"/>
    <w:rsid w:val="00C361A8"/>
    <w:rsid w:val="00C37418"/>
    <w:rsid w:val="00C40E90"/>
    <w:rsid w:val="00C4118B"/>
    <w:rsid w:val="00C41246"/>
    <w:rsid w:val="00C412AE"/>
    <w:rsid w:val="00C41C59"/>
    <w:rsid w:val="00C42BDD"/>
    <w:rsid w:val="00C42EA1"/>
    <w:rsid w:val="00C435B8"/>
    <w:rsid w:val="00C4465A"/>
    <w:rsid w:val="00C450B7"/>
    <w:rsid w:val="00C45E5F"/>
    <w:rsid w:val="00C45FD7"/>
    <w:rsid w:val="00C46291"/>
    <w:rsid w:val="00C469A5"/>
    <w:rsid w:val="00C47026"/>
    <w:rsid w:val="00C47045"/>
    <w:rsid w:val="00C50341"/>
    <w:rsid w:val="00C50473"/>
    <w:rsid w:val="00C50600"/>
    <w:rsid w:val="00C514DC"/>
    <w:rsid w:val="00C517A0"/>
    <w:rsid w:val="00C520DA"/>
    <w:rsid w:val="00C523A9"/>
    <w:rsid w:val="00C52BB8"/>
    <w:rsid w:val="00C52BF4"/>
    <w:rsid w:val="00C52E23"/>
    <w:rsid w:val="00C53093"/>
    <w:rsid w:val="00C53984"/>
    <w:rsid w:val="00C543F0"/>
    <w:rsid w:val="00C55346"/>
    <w:rsid w:val="00C554E4"/>
    <w:rsid w:val="00C56192"/>
    <w:rsid w:val="00C562C9"/>
    <w:rsid w:val="00C56686"/>
    <w:rsid w:val="00C56AC5"/>
    <w:rsid w:val="00C56EA4"/>
    <w:rsid w:val="00C56F32"/>
    <w:rsid w:val="00C57985"/>
    <w:rsid w:val="00C61F74"/>
    <w:rsid w:val="00C62A39"/>
    <w:rsid w:val="00C62DE1"/>
    <w:rsid w:val="00C63380"/>
    <w:rsid w:val="00C63412"/>
    <w:rsid w:val="00C64028"/>
    <w:rsid w:val="00C650BC"/>
    <w:rsid w:val="00C663E9"/>
    <w:rsid w:val="00C66879"/>
    <w:rsid w:val="00C67F3B"/>
    <w:rsid w:val="00C703F3"/>
    <w:rsid w:val="00C71119"/>
    <w:rsid w:val="00C714D0"/>
    <w:rsid w:val="00C7173C"/>
    <w:rsid w:val="00C72277"/>
    <w:rsid w:val="00C727FB"/>
    <w:rsid w:val="00C72AA8"/>
    <w:rsid w:val="00C738B2"/>
    <w:rsid w:val="00C744B4"/>
    <w:rsid w:val="00C74657"/>
    <w:rsid w:val="00C748E5"/>
    <w:rsid w:val="00C74F95"/>
    <w:rsid w:val="00C75006"/>
    <w:rsid w:val="00C76C06"/>
    <w:rsid w:val="00C76E8B"/>
    <w:rsid w:val="00C771AF"/>
    <w:rsid w:val="00C77480"/>
    <w:rsid w:val="00C77873"/>
    <w:rsid w:val="00C82593"/>
    <w:rsid w:val="00C82955"/>
    <w:rsid w:val="00C82D87"/>
    <w:rsid w:val="00C8308B"/>
    <w:rsid w:val="00C83144"/>
    <w:rsid w:val="00C831FF"/>
    <w:rsid w:val="00C8351A"/>
    <w:rsid w:val="00C83746"/>
    <w:rsid w:val="00C85A3B"/>
    <w:rsid w:val="00C86298"/>
    <w:rsid w:val="00C86E67"/>
    <w:rsid w:val="00C86EB0"/>
    <w:rsid w:val="00C87993"/>
    <w:rsid w:val="00C9016E"/>
    <w:rsid w:val="00C90868"/>
    <w:rsid w:val="00C90EF4"/>
    <w:rsid w:val="00C910F7"/>
    <w:rsid w:val="00C911DF"/>
    <w:rsid w:val="00C9184A"/>
    <w:rsid w:val="00C9385A"/>
    <w:rsid w:val="00C940C1"/>
    <w:rsid w:val="00C940EC"/>
    <w:rsid w:val="00C94554"/>
    <w:rsid w:val="00C94574"/>
    <w:rsid w:val="00C946C1"/>
    <w:rsid w:val="00C95015"/>
    <w:rsid w:val="00C95602"/>
    <w:rsid w:val="00C96014"/>
    <w:rsid w:val="00C9665A"/>
    <w:rsid w:val="00C96E2E"/>
    <w:rsid w:val="00CA015A"/>
    <w:rsid w:val="00CA03C4"/>
    <w:rsid w:val="00CA09AA"/>
    <w:rsid w:val="00CA0D1B"/>
    <w:rsid w:val="00CA0F1F"/>
    <w:rsid w:val="00CA19BD"/>
    <w:rsid w:val="00CA2EFA"/>
    <w:rsid w:val="00CA3564"/>
    <w:rsid w:val="00CA3903"/>
    <w:rsid w:val="00CA3907"/>
    <w:rsid w:val="00CA3B3A"/>
    <w:rsid w:val="00CA4007"/>
    <w:rsid w:val="00CA5F4E"/>
    <w:rsid w:val="00CA5FB5"/>
    <w:rsid w:val="00CA6352"/>
    <w:rsid w:val="00CA69D9"/>
    <w:rsid w:val="00CA770E"/>
    <w:rsid w:val="00CA7AAE"/>
    <w:rsid w:val="00CB02E0"/>
    <w:rsid w:val="00CB0318"/>
    <w:rsid w:val="00CB03A5"/>
    <w:rsid w:val="00CB07BF"/>
    <w:rsid w:val="00CB0EE0"/>
    <w:rsid w:val="00CB3511"/>
    <w:rsid w:val="00CB3C21"/>
    <w:rsid w:val="00CB3E0B"/>
    <w:rsid w:val="00CB4E45"/>
    <w:rsid w:val="00CB54ED"/>
    <w:rsid w:val="00CB5837"/>
    <w:rsid w:val="00CB59B4"/>
    <w:rsid w:val="00CB5F52"/>
    <w:rsid w:val="00CB6656"/>
    <w:rsid w:val="00CB7A92"/>
    <w:rsid w:val="00CC0BCA"/>
    <w:rsid w:val="00CC1998"/>
    <w:rsid w:val="00CC1AA3"/>
    <w:rsid w:val="00CC1D65"/>
    <w:rsid w:val="00CC2892"/>
    <w:rsid w:val="00CC295A"/>
    <w:rsid w:val="00CC32C4"/>
    <w:rsid w:val="00CC3527"/>
    <w:rsid w:val="00CC378D"/>
    <w:rsid w:val="00CC3CFE"/>
    <w:rsid w:val="00CC3F49"/>
    <w:rsid w:val="00CC437A"/>
    <w:rsid w:val="00CC62AE"/>
    <w:rsid w:val="00CC69D1"/>
    <w:rsid w:val="00CC6CB2"/>
    <w:rsid w:val="00CC6E2C"/>
    <w:rsid w:val="00CC6ED1"/>
    <w:rsid w:val="00CC78C1"/>
    <w:rsid w:val="00CC7E97"/>
    <w:rsid w:val="00CD0767"/>
    <w:rsid w:val="00CD2F77"/>
    <w:rsid w:val="00CD4486"/>
    <w:rsid w:val="00CD4D67"/>
    <w:rsid w:val="00CD586B"/>
    <w:rsid w:val="00CD771A"/>
    <w:rsid w:val="00CE06F3"/>
    <w:rsid w:val="00CE0B7C"/>
    <w:rsid w:val="00CE0BB9"/>
    <w:rsid w:val="00CE38B7"/>
    <w:rsid w:val="00CE4404"/>
    <w:rsid w:val="00CE51B2"/>
    <w:rsid w:val="00CE5977"/>
    <w:rsid w:val="00CE5AAE"/>
    <w:rsid w:val="00CE6A60"/>
    <w:rsid w:val="00CF0786"/>
    <w:rsid w:val="00CF1045"/>
    <w:rsid w:val="00CF19D5"/>
    <w:rsid w:val="00CF22A8"/>
    <w:rsid w:val="00CF2D94"/>
    <w:rsid w:val="00CF352D"/>
    <w:rsid w:val="00CF3E7F"/>
    <w:rsid w:val="00CF4735"/>
    <w:rsid w:val="00CF4772"/>
    <w:rsid w:val="00CF4877"/>
    <w:rsid w:val="00CF4C32"/>
    <w:rsid w:val="00CF6883"/>
    <w:rsid w:val="00CF7D74"/>
    <w:rsid w:val="00D00334"/>
    <w:rsid w:val="00D0034E"/>
    <w:rsid w:val="00D00E22"/>
    <w:rsid w:val="00D0147E"/>
    <w:rsid w:val="00D01A19"/>
    <w:rsid w:val="00D03515"/>
    <w:rsid w:val="00D03BBE"/>
    <w:rsid w:val="00D03D15"/>
    <w:rsid w:val="00D04820"/>
    <w:rsid w:val="00D051EF"/>
    <w:rsid w:val="00D0553F"/>
    <w:rsid w:val="00D0641D"/>
    <w:rsid w:val="00D06A44"/>
    <w:rsid w:val="00D073A5"/>
    <w:rsid w:val="00D07DC3"/>
    <w:rsid w:val="00D1077B"/>
    <w:rsid w:val="00D11494"/>
    <w:rsid w:val="00D120A0"/>
    <w:rsid w:val="00D1245C"/>
    <w:rsid w:val="00D12F2D"/>
    <w:rsid w:val="00D13EBB"/>
    <w:rsid w:val="00D151EB"/>
    <w:rsid w:val="00D154D2"/>
    <w:rsid w:val="00D1665F"/>
    <w:rsid w:val="00D17953"/>
    <w:rsid w:val="00D20486"/>
    <w:rsid w:val="00D207B5"/>
    <w:rsid w:val="00D20D73"/>
    <w:rsid w:val="00D21442"/>
    <w:rsid w:val="00D223FF"/>
    <w:rsid w:val="00D224FC"/>
    <w:rsid w:val="00D25819"/>
    <w:rsid w:val="00D25CC1"/>
    <w:rsid w:val="00D261DA"/>
    <w:rsid w:val="00D2687C"/>
    <w:rsid w:val="00D269AE"/>
    <w:rsid w:val="00D300E0"/>
    <w:rsid w:val="00D30E4A"/>
    <w:rsid w:val="00D31337"/>
    <w:rsid w:val="00D3175B"/>
    <w:rsid w:val="00D318F8"/>
    <w:rsid w:val="00D31C89"/>
    <w:rsid w:val="00D32457"/>
    <w:rsid w:val="00D3345E"/>
    <w:rsid w:val="00D34604"/>
    <w:rsid w:val="00D34646"/>
    <w:rsid w:val="00D34AE9"/>
    <w:rsid w:val="00D3530F"/>
    <w:rsid w:val="00D3634D"/>
    <w:rsid w:val="00D36803"/>
    <w:rsid w:val="00D374CD"/>
    <w:rsid w:val="00D403BC"/>
    <w:rsid w:val="00D40743"/>
    <w:rsid w:val="00D40A6A"/>
    <w:rsid w:val="00D40B57"/>
    <w:rsid w:val="00D41ED0"/>
    <w:rsid w:val="00D4275B"/>
    <w:rsid w:val="00D43455"/>
    <w:rsid w:val="00D443E8"/>
    <w:rsid w:val="00D44530"/>
    <w:rsid w:val="00D448EC"/>
    <w:rsid w:val="00D44DED"/>
    <w:rsid w:val="00D45D25"/>
    <w:rsid w:val="00D45E58"/>
    <w:rsid w:val="00D46295"/>
    <w:rsid w:val="00D467AA"/>
    <w:rsid w:val="00D508A4"/>
    <w:rsid w:val="00D509CA"/>
    <w:rsid w:val="00D51544"/>
    <w:rsid w:val="00D516D7"/>
    <w:rsid w:val="00D52306"/>
    <w:rsid w:val="00D52406"/>
    <w:rsid w:val="00D5290A"/>
    <w:rsid w:val="00D52DEF"/>
    <w:rsid w:val="00D539D1"/>
    <w:rsid w:val="00D541BB"/>
    <w:rsid w:val="00D5435F"/>
    <w:rsid w:val="00D5538F"/>
    <w:rsid w:val="00D55CF3"/>
    <w:rsid w:val="00D57CCF"/>
    <w:rsid w:val="00D6011F"/>
    <w:rsid w:val="00D607C7"/>
    <w:rsid w:val="00D613C5"/>
    <w:rsid w:val="00D61AF0"/>
    <w:rsid w:val="00D622D3"/>
    <w:rsid w:val="00D628B8"/>
    <w:rsid w:val="00D62B41"/>
    <w:rsid w:val="00D63745"/>
    <w:rsid w:val="00D63A19"/>
    <w:rsid w:val="00D63E44"/>
    <w:rsid w:val="00D64C63"/>
    <w:rsid w:val="00D650CE"/>
    <w:rsid w:val="00D65E07"/>
    <w:rsid w:val="00D65E7B"/>
    <w:rsid w:val="00D67A06"/>
    <w:rsid w:val="00D67A80"/>
    <w:rsid w:val="00D67B26"/>
    <w:rsid w:val="00D67C7F"/>
    <w:rsid w:val="00D67DED"/>
    <w:rsid w:val="00D70F4D"/>
    <w:rsid w:val="00D71719"/>
    <w:rsid w:val="00D719DD"/>
    <w:rsid w:val="00D72640"/>
    <w:rsid w:val="00D74E93"/>
    <w:rsid w:val="00D75234"/>
    <w:rsid w:val="00D75597"/>
    <w:rsid w:val="00D76230"/>
    <w:rsid w:val="00D76FB5"/>
    <w:rsid w:val="00D776D1"/>
    <w:rsid w:val="00D776DA"/>
    <w:rsid w:val="00D80939"/>
    <w:rsid w:val="00D811D7"/>
    <w:rsid w:val="00D83A15"/>
    <w:rsid w:val="00D83FDC"/>
    <w:rsid w:val="00D84070"/>
    <w:rsid w:val="00D84B00"/>
    <w:rsid w:val="00D84F57"/>
    <w:rsid w:val="00D869F9"/>
    <w:rsid w:val="00D8758B"/>
    <w:rsid w:val="00D87637"/>
    <w:rsid w:val="00D8769C"/>
    <w:rsid w:val="00D87C25"/>
    <w:rsid w:val="00D87C9B"/>
    <w:rsid w:val="00D91328"/>
    <w:rsid w:val="00D91D51"/>
    <w:rsid w:val="00D925BE"/>
    <w:rsid w:val="00D93005"/>
    <w:rsid w:val="00D93E23"/>
    <w:rsid w:val="00D942B3"/>
    <w:rsid w:val="00D94863"/>
    <w:rsid w:val="00D95459"/>
    <w:rsid w:val="00D957B3"/>
    <w:rsid w:val="00D97127"/>
    <w:rsid w:val="00D97479"/>
    <w:rsid w:val="00D97745"/>
    <w:rsid w:val="00D97D50"/>
    <w:rsid w:val="00DA0314"/>
    <w:rsid w:val="00DA0FC6"/>
    <w:rsid w:val="00DA25BC"/>
    <w:rsid w:val="00DA26CE"/>
    <w:rsid w:val="00DA4053"/>
    <w:rsid w:val="00DA41FD"/>
    <w:rsid w:val="00DA4D5B"/>
    <w:rsid w:val="00DA5AA1"/>
    <w:rsid w:val="00DA5D48"/>
    <w:rsid w:val="00DA6FE0"/>
    <w:rsid w:val="00DA7C2B"/>
    <w:rsid w:val="00DA7D09"/>
    <w:rsid w:val="00DB0258"/>
    <w:rsid w:val="00DB0C88"/>
    <w:rsid w:val="00DB188B"/>
    <w:rsid w:val="00DB1982"/>
    <w:rsid w:val="00DB1A10"/>
    <w:rsid w:val="00DB1EF1"/>
    <w:rsid w:val="00DB213E"/>
    <w:rsid w:val="00DB2B80"/>
    <w:rsid w:val="00DB4019"/>
    <w:rsid w:val="00DB4D9D"/>
    <w:rsid w:val="00DB51BF"/>
    <w:rsid w:val="00DB5383"/>
    <w:rsid w:val="00DB74AF"/>
    <w:rsid w:val="00DB7B97"/>
    <w:rsid w:val="00DB7D6D"/>
    <w:rsid w:val="00DC02C3"/>
    <w:rsid w:val="00DC04A2"/>
    <w:rsid w:val="00DC106C"/>
    <w:rsid w:val="00DC155F"/>
    <w:rsid w:val="00DC23FD"/>
    <w:rsid w:val="00DC2630"/>
    <w:rsid w:val="00DC3DA3"/>
    <w:rsid w:val="00DC49E9"/>
    <w:rsid w:val="00DC4A1A"/>
    <w:rsid w:val="00DC50CE"/>
    <w:rsid w:val="00DC55E4"/>
    <w:rsid w:val="00DC6AAF"/>
    <w:rsid w:val="00DC75FF"/>
    <w:rsid w:val="00DC785B"/>
    <w:rsid w:val="00DC7D71"/>
    <w:rsid w:val="00DD0E0C"/>
    <w:rsid w:val="00DD0EA6"/>
    <w:rsid w:val="00DD188C"/>
    <w:rsid w:val="00DD18F5"/>
    <w:rsid w:val="00DD26B1"/>
    <w:rsid w:val="00DD2767"/>
    <w:rsid w:val="00DD29A3"/>
    <w:rsid w:val="00DD3417"/>
    <w:rsid w:val="00DD48EE"/>
    <w:rsid w:val="00DD6021"/>
    <w:rsid w:val="00DD61B5"/>
    <w:rsid w:val="00DD61B7"/>
    <w:rsid w:val="00DD63E4"/>
    <w:rsid w:val="00DD6B06"/>
    <w:rsid w:val="00DD76B4"/>
    <w:rsid w:val="00DE0A8D"/>
    <w:rsid w:val="00DE0B96"/>
    <w:rsid w:val="00DE0CCF"/>
    <w:rsid w:val="00DE0DF2"/>
    <w:rsid w:val="00DE10B9"/>
    <w:rsid w:val="00DE118D"/>
    <w:rsid w:val="00DE1191"/>
    <w:rsid w:val="00DE1455"/>
    <w:rsid w:val="00DE1951"/>
    <w:rsid w:val="00DE242E"/>
    <w:rsid w:val="00DE25D1"/>
    <w:rsid w:val="00DE2734"/>
    <w:rsid w:val="00DE392D"/>
    <w:rsid w:val="00DE4C26"/>
    <w:rsid w:val="00DE4F52"/>
    <w:rsid w:val="00DE509F"/>
    <w:rsid w:val="00DE5153"/>
    <w:rsid w:val="00DE5C59"/>
    <w:rsid w:val="00DE6CDD"/>
    <w:rsid w:val="00DF05A8"/>
    <w:rsid w:val="00DF089A"/>
    <w:rsid w:val="00DF0B13"/>
    <w:rsid w:val="00DF0CBE"/>
    <w:rsid w:val="00DF15E6"/>
    <w:rsid w:val="00DF173E"/>
    <w:rsid w:val="00DF206F"/>
    <w:rsid w:val="00DF2105"/>
    <w:rsid w:val="00DF2D72"/>
    <w:rsid w:val="00DF2EB8"/>
    <w:rsid w:val="00DF327B"/>
    <w:rsid w:val="00DF3BE6"/>
    <w:rsid w:val="00DF3D4E"/>
    <w:rsid w:val="00DF4969"/>
    <w:rsid w:val="00DF4A94"/>
    <w:rsid w:val="00DF51F1"/>
    <w:rsid w:val="00DF57C4"/>
    <w:rsid w:val="00DF5935"/>
    <w:rsid w:val="00DF5C2E"/>
    <w:rsid w:val="00DF6003"/>
    <w:rsid w:val="00DF723A"/>
    <w:rsid w:val="00DF7411"/>
    <w:rsid w:val="00DF7E2E"/>
    <w:rsid w:val="00E00095"/>
    <w:rsid w:val="00E00D87"/>
    <w:rsid w:val="00E00EF8"/>
    <w:rsid w:val="00E01D2F"/>
    <w:rsid w:val="00E02101"/>
    <w:rsid w:val="00E025A8"/>
    <w:rsid w:val="00E032FD"/>
    <w:rsid w:val="00E03871"/>
    <w:rsid w:val="00E038E4"/>
    <w:rsid w:val="00E03B6A"/>
    <w:rsid w:val="00E0400B"/>
    <w:rsid w:val="00E05B1B"/>
    <w:rsid w:val="00E05EBE"/>
    <w:rsid w:val="00E066C3"/>
    <w:rsid w:val="00E067B6"/>
    <w:rsid w:val="00E07CB6"/>
    <w:rsid w:val="00E07F52"/>
    <w:rsid w:val="00E10983"/>
    <w:rsid w:val="00E10D8C"/>
    <w:rsid w:val="00E11239"/>
    <w:rsid w:val="00E11910"/>
    <w:rsid w:val="00E1353A"/>
    <w:rsid w:val="00E149D1"/>
    <w:rsid w:val="00E14A75"/>
    <w:rsid w:val="00E153A4"/>
    <w:rsid w:val="00E15476"/>
    <w:rsid w:val="00E1564B"/>
    <w:rsid w:val="00E15F54"/>
    <w:rsid w:val="00E16432"/>
    <w:rsid w:val="00E16448"/>
    <w:rsid w:val="00E16BBA"/>
    <w:rsid w:val="00E176F7"/>
    <w:rsid w:val="00E208A0"/>
    <w:rsid w:val="00E21517"/>
    <w:rsid w:val="00E21628"/>
    <w:rsid w:val="00E21D44"/>
    <w:rsid w:val="00E2443E"/>
    <w:rsid w:val="00E247DA"/>
    <w:rsid w:val="00E257C6"/>
    <w:rsid w:val="00E25B49"/>
    <w:rsid w:val="00E26040"/>
    <w:rsid w:val="00E26727"/>
    <w:rsid w:val="00E2681C"/>
    <w:rsid w:val="00E26A52"/>
    <w:rsid w:val="00E26CB7"/>
    <w:rsid w:val="00E300B2"/>
    <w:rsid w:val="00E30668"/>
    <w:rsid w:val="00E311E6"/>
    <w:rsid w:val="00E313F4"/>
    <w:rsid w:val="00E31D82"/>
    <w:rsid w:val="00E32021"/>
    <w:rsid w:val="00E320FB"/>
    <w:rsid w:val="00E321DE"/>
    <w:rsid w:val="00E32309"/>
    <w:rsid w:val="00E32C1E"/>
    <w:rsid w:val="00E32D10"/>
    <w:rsid w:val="00E33470"/>
    <w:rsid w:val="00E33F88"/>
    <w:rsid w:val="00E34A7B"/>
    <w:rsid w:val="00E34BE3"/>
    <w:rsid w:val="00E371EA"/>
    <w:rsid w:val="00E37A2F"/>
    <w:rsid w:val="00E408C6"/>
    <w:rsid w:val="00E4116E"/>
    <w:rsid w:val="00E412E4"/>
    <w:rsid w:val="00E416B7"/>
    <w:rsid w:val="00E422CB"/>
    <w:rsid w:val="00E42935"/>
    <w:rsid w:val="00E42BAE"/>
    <w:rsid w:val="00E43677"/>
    <w:rsid w:val="00E43D8D"/>
    <w:rsid w:val="00E4468E"/>
    <w:rsid w:val="00E44965"/>
    <w:rsid w:val="00E44EE9"/>
    <w:rsid w:val="00E46FCC"/>
    <w:rsid w:val="00E47B91"/>
    <w:rsid w:val="00E47ED2"/>
    <w:rsid w:val="00E5067D"/>
    <w:rsid w:val="00E50D95"/>
    <w:rsid w:val="00E510FD"/>
    <w:rsid w:val="00E52654"/>
    <w:rsid w:val="00E52A92"/>
    <w:rsid w:val="00E535F4"/>
    <w:rsid w:val="00E53BC3"/>
    <w:rsid w:val="00E54491"/>
    <w:rsid w:val="00E549EF"/>
    <w:rsid w:val="00E5526A"/>
    <w:rsid w:val="00E55645"/>
    <w:rsid w:val="00E5566E"/>
    <w:rsid w:val="00E55F62"/>
    <w:rsid w:val="00E56FFE"/>
    <w:rsid w:val="00E57B06"/>
    <w:rsid w:val="00E60321"/>
    <w:rsid w:val="00E60B22"/>
    <w:rsid w:val="00E6190E"/>
    <w:rsid w:val="00E63096"/>
    <w:rsid w:val="00E631CF"/>
    <w:rsid w:val="00E64301"/>
    <w:rsid w:val="00E64306"/>
    <w:rsid w:val="00E64429"/>
    <w:rsid w:val="00E645B6"/>
    <w:rsid w:val="00E64F1B"/>
    <w:rsid w:val="00E654CB"/>
    <w:rsid w:val="00E65695"/>
    <w:rsid w:val="00E67086"/>
    <w:rsid w:val="00E6754A"/>
    <w:rsid w:val="00E677DD"/>
    <w:rsid w:val="00E715CA"/>
    <w:rsid w:val="00E71FF6"/>
    <w:rsid w:val="00E724DA"/>
    <w:rsid w:val="00E7287D"/>
    <w:rsid w:val="00E74183"/>
    <w:rsid w:val="00E74224"/>
    <w:rsid w:val="00E748B6"/>
    <w:rsid w:val="00E74C10"/>
    <w:rsid w:val="00E74C77"/>
    <w:rsid w:val="00E7594B"/>
    <w:rsid w:val="00E75F34"/>
    <w:rsid w:val="00E762B5"/>
    <w:rsid w:val="00E7790D"/>
    <w:rsid w:val="00E77EC9"/>
    <w:rsid w:val="00E805BD"/>
    <w:rsid w:val="00E80792"/>
    <w:rsid w:val="00E81897"/>
    <w:rsid w:val="00E820C3"/>
    <w:rsid w:val="00E827B1"/>
    <w:rsid w:val="00E82B55"/>
    <w:rsid w:val="00E84C80"/>
    <w:rsid w:val="00E8674A"/>
    <w:rsid w:val="00E86CFA"/>
    <w:rsid w:val="00E8726B"/>
    <w:rsid w:val="00E9056E"/>
    <w:rsid w:val="00E90977"/>
    <w:rsid w:val="00E91082"/>
    <w:rsid w:val="00E91756"/>
    <w:rsid w:val="00E923DA"/>
    <w:rsid w:val="00E9281F"/>
    <w:rsid w:val="00E931DC"/>
    <w:rsid w:val="00E93C66"/>
    <w:rsid w:val="00E944C6"/>
    <w:rsid w:val="00E94C30"/>
    <w:rsid w:val="00E95F6C"/>
    <w:rsid w:val="00E965D4"/>
    <w:rsid w:val="00E96E8D"/>
    <w:rsid w:val="00E9745E"/>
    <w:rsid w:val="00E97F5F"/>
    <w:rsid w:val="00EA22CF"/>
    <w:rsid w:val="00EA2580"/>
    <w:rsid w:val="00EA294E"/>
    <w:rsid w:val="00EA35FA"/>
    <w:rsid w:val="00EA3EE5"/>
    <w:rsid w:val="00EA50A5"/>
    <w:rsid w:val="00EA53F6"/>
    <w:rsid w:val="00EA545F"/>
    <w:rsid w:val="00EA7CF4"/>
    <w:rsid w:val="00EA7E9F"/>
    <w:rsid w:val="00EB19CD"/>
    <w:rsid w:val="00EB261C"/>
    <w:rsid w:val="00EB265F"/>
    <w:rsid w:val="00EB272C"/>
    <w:rsid w:val="00EB2786"/>
    <w:rsid w:val="00EB2DC8"/>
    <w:rsid w:val="00EB395E"/>
    <w:rsid w:val="00EB4688"/>
    <w:rsid w:val="00EB4E28"/>
    <w:rsid w:val="00EB5CC7"/>
    <w:rsid w:val="00EB6C07"/>
    <w:rsid w:val="00EB7163"/>
    <w:rsid w:val="00EC028D"/>
    <w:rsid w:val="00EC0925"/>
    <w:rsid w:val="00EC10F6"/>
    <w:rsid w:val="00EC201D"/>
    <w:rsid w:val="00EC2377"/>
    <w:rsid w:val="00EC2A4C"/>
    <w:rsid w:val="00EC2E2E"/>
    <w:rsid w:val="00EC3368"/>
    <w:rsid w:val="00EC4850"/>
    <w:rsid w:val="00EC4F2F"/>
    <w:rsid w:val="00EC5486"/>
    <w:rsid w:val="00EC56DA"/>
    <w:rsid w:val="00EC6009"/>
    <w:rsid w:val="00EC699A"/>
    <w:rsid w:val="00EC7512"/>
    <w:rsid w:val="00EC798E"/>
    <w:rsid w:val="00ED057D"/>
    <w:rsid w:val="00ED0A2D"/>
    <w:rsid w:val="00ED12C9"/>
    <w:rsid w:val="00ED1333"/>
    <w:rsid w:val="00ED327C"/>
    <w:rsid w:val="00ED35F9"/>
    <w:rsid w:val="00ED37EC"/>
    <w:rsid w:val="00ED3D76"/>
    <w:rsid w:val="00ED443C"/>
    <w:rsid w:val="00ED4622"/>
    <w:rsid w:val="00ED4794"/>
    <w:rsid w:val="00ED58CC"/>
    <w:rsid w:val="00ED624D"/>
    <w:rsid w:val="00ED633B"/>
    <w:rsid w:val="00ED666A"/>
    <w:rsid w:val="00ED7530"/>
    <w:rsid w:val="00ED7968"/>
    <w:rsid w:val="00EE01AB"/>
    <w:rsid w:val="00EE0D53"/>
    <w:rsid w:val="00EE0E5A"/>
    <w:rsid w:val="00EE1345"/>
    <w:rsid w:val="00EE2A12"/>
    <w:rsid w:val="00EE2CCD"/>
    <w:rsid w:val="00EE2F98"/>
    <w:rsid w:val="00EE402B"/>
    <w:rsid w:val="00EE420C"/>
    <w:rsid w:val="00EE46C2"/>
    <w:rsid w:val="00EE478C"/>
    <w:rsid w:val="00EE483F"/>
    <w:rsid w:val="00EE5544"/>
    <w:rsid w:val="00EE5E21"/>
    <w:rsid w:val="00EE6223"/>
    <w:rsid w:val="00EE6C70"/>
    <w:rsid w:val="00EE6E74"/>
    <w:rsid w:val="00EE7844"/>
    <w:rsid w:val="00EE7CB5"/>
    <w:rsid w:val="00EE7DB7"/>
    <w:rsid w:val="00EF09AB"/>
    <w:rsid w:val="00EF1375"/>
    <w:rsid w:val="00EF268A"/>
    <w:rsid w:val="00EF2DD2"/>
    <w:rsid w:val="00EF3835"/>
    <w:rsid w:val="00EF442C"/>
    <w:rsid w:val="00EF45E7"/>
    <w:rsid w:val="00EF4E13"/>
    <w:rsid w:val="00EF5B93"/>
    <w:rsid w:val="00EF623D"/>
    <w:rsid w:val="00EF66F1"/>
    <w:rsid w:val="00EF6A18"/>
    <w:rsid w:val="00EF73E0"/>
    <w:rsid w:val="00EF7DEC"/>
    <w:rsid w:val="00F005EB"/>
    <w:rsid w:val="00F007A6"/>
    <w:rsid w:val="00F016BC"/>
    <w:rsid w:val="00F0182D"/>
    <w:rsid w:val="00F01AC4"/>
    <w:rsid w:val="00F02B6F"/>
    <w:rsid w:val="00F0323C"/>
    <w:rsid w:val="00F0360F"/>
    <w:rsid w:val="00F043B9"/>
    <w:rsid w:val="00F04FEF"/>
    <w:rsid w:val="00F062E1"/>
    <w:rsid w:val="00F06F7A"/>
    <w:rsid w:val="00F103F0"/>
    <w:rsid w:val="00F10A28"/>
    <w:rsid w:val="00F1132C"/>
    <w:rsid w:val="00F125E6"/>
    <w:rsid w:val="00F125F6"/>
    <w:rsid w:val="00F127AA"/>
    <w:rsid w:val="00F12C65"/>
    <w:rsid w:val="00F13C5B"/>
    <w:rsid w:val="00F158BC"/>
    <w:rsid w:val="00F15DD5"/>
    <w:rsid w:val="00F17ADC"/>
    <w:rsid w:val="00F17D4B"/>
    <w:rsid w:val="00F17E30"/>
    <w:rsid w:val="00F209E8"/>
    <w:rsid w:val="00F2143E"/>
    <w:rsid w:val="00F23139"/>
    <w:rsid w:val="00F238D3"/>
    <w:rsid w:val="00F24511"/>
    <w:rsid w:val="00F24C61"/>
    <w:rsid w:val="00F27491"/>
    <w:rsid w:val="00F3018F"/>
    <w:rsid w:val="00F3034E"/>
    <w:rsid w:val="00F308F8"/>
    <w:rsid w:val="00F309A0"/>
    <w:rsid w:val="00F30CBC"/>
    <w:rsid w:val="00F30F13"/>
    <w:rsid w:val="00F327BE"/>
    <w:rsid w:val="00F3296E"/>
    <w:rsid w:val="00F330D2"/>
    <w:rsid w:val="00F338C7"/>
    <w:rsid w:val="00F34066"/>
    <w:rsid w:val="00F3430D"/>
    <w:rsid w:val="00F349BE"/>
    <w:rsid w:val="00F35DD9"/>
    <w:rsid w:val="00F376B2"/>
    <w:rsid w:val="00F37D49"/>
    <w:rsid w:val="00F403E9"/>
    <w:rsid w:val="00F427D7"/>
    <w:rsid w:val="00F42F97"/>
    <w:rsid w:val="00F441E4"/>
    <w:rsid w:val="00F442CE"/>
    <w:rsid w:val="00F44879"/>
    <w:rsid w:val="00F44B5C"/>
    <w:rsid w:val="00F4505D"/>
    <w:rsid w:val="00F45F5C"/>
    <w:rsid w:val="00F4607A"/>
    <w:rsid w:val="00F465DE"/>
    <w:rsid w:val="00F46A86"/>
    <w:rsid w:val="00F47487"/>
    <w:rsid w:val="00F479DB"/>
    <w:rsid w:val="00F47F7B"/>
    <w:rsid w:val="00F5028B"/>
    <w:rsid w:val="00F50524"/>
    <w:rsid w:val="00F5108D"/>
    <w:rsid w:val="00F540F7"/>
    <w:rsid w:val="00F562BB"/>
    <w:rsid w:val="00F5659E"/>
    <w:rsid w:val="00F56F9D"/>
    <w:rsid w:val="00F57C12"/>
    <w:rsid w:val="00F61D15"/>
    <w:rsid w:val="00F63812"/>
    <w:rsid w:val="00F64378"/>
    <w:rsid w:val="00F663C4"/>
    <w:rsid w:val="00F663F4"/>
    <w:rsid w:val="00F6674E"/>
    <w:rsid w:val="00F66CD5"/>
    <w:rsid w:val="00F6713C"/>
    <w:rsid w:val="00F67A9A"/>
    <w:rsid w:val="00F70C90"/>
    <w:rsid w:val="00F70F4E"/>
    <w:rsid w:val="00F71696"/>
    <w:rsid w:val="00F7224A"/>
    <w:rsid w:val="00F72C73"/>
    <w:rsid w:val="00F734FB"/>
    <w:rsid w:val="00F7354C"/>
    <w:rsid w:val="00F739AB"/>
    <w:rsid w:val="00F74BC6"/>
    <w:rsid w:val="00F74C64"/>
    <w:rsid w:val="00F74D1E"/>
    <w:rsid w:val="00F7518E"/>
    <w:rsid w:val="00F751B1"/>
    <w:rsid w:val="00F751BA"/>
    <w:rsid w:val="00F75FC4"/>
    <w:rsid w:val="00F764B9"/>
    <w:rsid w:val="00F764DC"/>
    <w:rsid w:val="00F76A37"/>
    <w:rsid w:val="00F77068"/>
    <w:rsid w:val="00F80864"/>
    <w:rsid w:val="00F80BB6"/>
    <w:rsid w:val="00F81201"/>
    <w:rsid w:val="00F81475"/>
    <w:rsid w:val="00F81F60"/>
    <w:rsid w:val="00F82F62"/>
    <w:rsid w:val="00F8319B"/>
    <w:rsid w:val="00F838FE"/>
    <w:rsid w:val="00F83A7C"/>
    <w:rsid w:val="00F83B27"/>
    <w:rsid w:val="00F847C7"/>
    <w:rsid w:val="00F84DD2"/>
    <w:rsid w:val="00F8524C"/>
    <w:rsid w:val="00F85981"/>
    <w:rsid w:val="00F85A7A"/>
    <w:rsid w:val="00F863A5"/>
    <w:rsid w:val="00F867E5"/>
    <w:rsid w:val="00F86907"/>
    <w:rsid w:val="00F87263"/>
    <w:rsid w:val="00F87577"/>
    <w:rsid w:val="00F87F76"/>
    <w:rsid w:val="00F90CFE"/>
    <w:rsid w:val="00F920F8"/>
    <w:rsid w:val="00F92240"/>
    <w:rsid w:val="00F924EF"/>
    <w:rsid w:val="00F92661"/>
    <w:rsid w:val="00F928C3"/>
    <w:rsid w:val="00F929CF"/>
    <w:rsid w:val="00F9314E"/>
    <w:rsid w:val="00F93725"/>
    <w:rsid w:val="00F95A43"/>
    <w:rsid w:val="00F95D47"/>
    <w:rsid w:val="00F96195"/>
    <w:rsid w:val="00F9736D"/>
    <w:rsid w:val="00F975C7"/>
    <w:rsid w:val="00F9775F"/>
    <w:rsid w:val="00F97B7B"/>
    <w:rsid w:val="00FA1389"/>
    <w:rsid w:val="00FA19CB"/>
    <w:rsid w:val="00FA2E1B"/>
    <w:rsid w:val="00FA3579"/>
    <w:rsid w:val="00FA4890"/>
    <w:rsid w:val="00FA494E"/>
    <w:rsid w:val="00FA4A5C"/>
    <w:rsid w:val="00FA4E3C"/>
    <w:rsid w:val="00FA4F31"/>
    <w:rsid w:val="00FA5DF0"/>
    <w:rsid w:val="00FA70C3"/>
    <w:rsid w:val="00FA775F"/>
    <w:rsid w:val="00FA7D43"/>
    <w:rsid w:val="00FB1231"/>
    <w:rsid w:val="00FB1C7A"/>
    <w:rsid w:val="00FB2D83"/>
    <w:rsid w:val="00FB2FF0"/>
    <w:rsid w:val="00FB3064"/>
    <w:rsid w:val="00FB31BF"/>
    <w:rsid w:val="00FB3474"/>
    <w:rsid w:val="00FB3735"/>
    <w:rsid w:val="00FB388B"/>
    <w:rsid w:val="00FB3C0C"/>
    <w:rsid w:val="00FB3C3F"/>
    <w:rsid w:val="00FB4051"/>
    <w:rsid w:val="00FB46E6"/>
    <w:rsid w:val="00FB510E"/>
    <w:rsid w:val="00FB5FC4"/>
    <w:rsid w:val="00FB61FA"/>
    <w:rsid w:val="00FB6810"/>
    <w:rsid w:val="00FB6D3C"/>
    <w:rsid w:val="00FB7243"/>
    <w:rsid w:val="00FB77FA"/>
    <w:rsid w:val="00FB7DD3"/>
    <w:rsid w:val="00FC0499"/>
    <w:rsid w:val="00FC0A95"/>
    <w:rsid w:val="00FC0CE8"/>
    <w:rsid w:val="00FC0F65"/>
    <w:rsid w:val="00FC1867"/>
    <w:rsid w:val="00FC217D"/>
    <w:rsid w:val="00FC2E75"/>
    <w:rsid w:val="00FC2EBE"/>
    <w:rsid w:val="00FC30D7"/>
    <w:rsid w:val="00FC325E"/>
    <w:rsid w:val="00FC3469"/>
    <w:rsid w:val="00FC3C70"/>
    <w:rsid w:val="00FC4648"/>
    <w:rsid w:val="00FC492B"/>
    <w:rsid w:val="00FC4A73"/>
    <w:rsid w:val="00FC559C"/>
    <w:rsid w:val="00FC5636"/>
    <w:rsid w:val="00FC6DF9"/>
    <w:rsid w:val="00FC6FC2"/>
    <w:rsid w:val="00FC7101"/>
    <w:rsid w:val="00FC73AF"/>
    <w:rsid w:val="00FC7BE8"/>
    <w:rsid w:val="00FC7F0D"/>
    <w:rsid w:val="00FD037A"/>
    <w:rsid w:val="00FD0B32"/>
    <w:rsid w:val="00FD0C25"/>
    <w:rsid w:val="00FD14D2"/>
    <w:rsid w:val="00FD14F9"/>
    <w:rsid w:val="00FD151B"/>
    <w:rsid w:val="00FD2043"/>
    <w:rsid w:val="00FD24E8"/>
    <w:rsid w:val="00FD2581"/>
    <w:rsid w:val="00FD2CFA"/>
    <w:rsid w:val="00FD42B2"/>
    <w:rsid w:val="00FD4CC5"/>
    <w:rsid w:val="00FD4D9D"/>
    <w:rsid w:val="00FD5488"/>
    <w:rsid w:val="00FD7414"/>
    <w:rsid w:val="00FD7A42"/>
    <w:rsid w:val="00FD7B49"/>
    <w:rsid w:val="00FD7E15"/>
    <w:rsid w:val="00FE12C5"/>
    <w:rsid w:val="00FE1F37"/>
    <w:rsid w:val="00FE26D0"/>
    <w:rsid w:val="00FE3429"/>
    <w:rsid w:val="00FE4258"/>
    <w:rsid w:val="00FE4978"/>
    <w:rsid w:val="00FE58D3"/>
    <w:rsid w:val="00FE645A"/>
    <w:rsid w:val="00FE734D"/>
    <w:rsid w:val="00FE7906"/>
    <w:rsid w:val="00FF0616"/>
    <w:rsid w:val="00FF0F5B"/>
    <w:rsid w:val="00FF18C7"/>
    <w:rsid w:val="00FF1F1A"/>
    <w:rsid w:val="00FF26B3"/>
    <w:rsid w:val="00FF29C0"/>
    <w:rsid w:val="00FF2A83"/>
    <w:rsid w:val="00FF2B6F"/>
    <w:rsid w:val="00FF3AF1"/>
    <w:rsid w:val="00FF401A"/>
    <w:rsid w:val="00FF41BE"/>
    <w:rsid w:val="00FF45F5"/>
    <w:rsid w:val="00FF48B6"/>
    <w:rsid w:val="00FF4ECB"/>
    <w:rsid w:val="00FF50ED"/>
    <w:rsid w:val="00FF53D0"/>
    <w:rsid w:val="00FF6102"/>
    <w:rsid w:val="00FF6BC7"/>
    <w:rsid w:val="00FF6E9B"/>
    <w:rsid w:val="00FF79E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1553"/>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nhideWhenUsed/>
    <w:rsid w:val="008142B4"/>
    <w:pPr>
      <w:spacing w:after="0"/>
    </w:pPr>
    <w:rPr>
      <w:sz w:val="18"/>
      <w:szCs w:val="20"/>
    </w:rPr>
  </w:style>
  <w:style w:type="character" w:customStyle="1" w:styleId="FootnoteTextChar">
    <w:name w:val="Footnote Text Char"/>
    <w:basedOn w:val="DefaultParagraphFont"/>
    <w:link w:val="FootnoteText"/>
    <w:rsid w:val="008142B4"/>
    <w:rPr>
      <w:sz w:val="18"/>
      <w:szCs w:val="20"/>
    </w:rPr>
  </w:style>
  <w:style w:type="character" w:styleId="FootnoteReference">
    <w:name w:val="footnote reference"/>
    <w:basedOn w:val="DefaultParagraphFont"/>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character" w:customStyle="1" w:styleId="ListParagraphChar">
    <w:name w:val="List Paragraph Char"/>
    <w:link w:val="ListParagraph"/>
    <w:uiPriority w:val="99"/>
    <w:locked/>
    <w:rsid w:val="00AB6FEB"/>
    <w:rPr>
      <w:sz w:val="24"/>
      <w:szCs w:val="24"/>
    </w:rPr>
  </w:style>
  <w:style w:type="paragraph" w:customStyle="1" w:styleId="PBACHeading1">
    <w:name w:val="PBAC Heading 1"/>
    <w:basedOn w:val="ListParagraph"/>
    <w:qFormat/>
    <w:rsid w:val="00AB6FEB"/>
    <w:pPr>
      <w:numPr>
        <w:numId w:val="4"/>
      </w:numPr>
      <w:spacing w:after="0"/>
      <w:jc w:val="both"/>
    </w:pPr>
    <w:rPr>
      <w:rFonts w:ascii="Arial" w:eastAsia="Times New Roman" w:hAnsi="Arial" w:cs="Times New Roman"/>
      <w:b/>
      <w:sz w:val="22"/>
      <w:szCs w:val="22"/>
    </w:rPr>
  </w:style>
  <w:style w:type="paragraph" w:styleId="NormalWeb">
    <w:name w:val="Normal (Web)"/>
    <w:basedOn w:val="Normal"/>
    <w:uiPriority w:val="99"/>
    <w:unhideWhenUsed/>
    <w:rsid w:val="00AB157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527CB"/>
  </w:style>
  <w:style w:type="character" w:styleId="Emphasis">
    <w:name w:val="Emphasis"/>
    <w:basedOn w:val="DefaultParagraphFont"/>
    <w:uiPriority w:val="20"/>
    <w:qFormat/>
    <w:rsid w:val="00732C10"/>
    <w:rPr>
      <w:i/>
      <w:iCs/>
    </w:rPr>
  </w:style>
  <w:style w:type="character" w:styleId="SubtleEmphasis">
    <w:name w:val="Subtle Emphasis"/>
    <w:basedOn w:val="DefaultParagraphFont"/>
    <w:uiPriority w:val="19"/>
    <w:qFormat/>
    <w:rsid w:val="00C940C1"/>
    <w:rPr>
      <w:rFonts w:ascii="Arial" w:hAnsi="Arial"/>
      <w:i w:val="0"/>
      <w:iCs/>
      <w:color w:val="auto"/>
      <w:spacing w:val="0"/>
      <w:sz w:val="20"/>
    </w:rPr>
  </w:style>
  <w:style w:type="character" w:customStyle="1" w:styleId="hitinf">
    <w:name w:val="hit_inf"/>
    <w:basedOn w:val="DefaultParagraphFont"/>
    <w:rsid w:val="00974F4A"/>
  </w:style>
  <w:style w:type="character" w:customStyle="1" w:styleId="hitsyn">
    <w:name w:val="hit_syn"/>
    <w:basedOn w:val="DefaultParagraphFont"/>
    <w:rsid w:val="000549B6"/>
  </w:style>
  <w:style w:type="character" w:customStyle="1" w:styleId="text">
    <w:name w:val="text"/>
    <w:basedOn w:val="DefaultParagraphFont"/>
    <w:rsid w:val="00F95A43"/>
  </w:style>
  <w:style w:type="character" w:customStyle="1" w:styleId="author-ref">
    <w:name w:val="author-ref"/>
    <w:basedOn w:val="DefaultParagraphFont"/>
    <w:rsid w:val="00F95A43"/>
  </w:style>
  <w:style w:type="character" w:styleId="HTMLCite">
    <w:name w:val="HTML Cite"/>
    <w:basedOn w:val="DefaultParagraphFont"/>
    <w:uiPriority w:val="99"/>
    <w:semiHidden/>
    <w:unhideWhenUsed/>
    <w:rsid w:val="00C910F7"/>
    <w:rPr>
      <w:i/>
      <w:iCs/>
    </w:rPr>
  </w:style>
  <w:style w:type="character" w:customStyle="1" w:styleId="contribdegrees">
    <w:name w:val="contribdegrees"/>
    <w:basedOn w:val="DefaultParagraphFont"/>
    <w:rsid w:val="00C910F7"/>
  </w:style>
  <w:style w:type="character" w:styleId="FollowedHyperlink">
    <w:name w:val="FollowedHyperlink"/>
    <w:basedOn w:val="DefaultParagraphFont"/>
    <w:uiPriority w:val="99"/>
    <w:semiHidden/>
    <w:unhideWhenUsed/>
    <w:rsid w:val="00C910F7"/>
    <w:rPr>
      <w:color w:val="800080" w:themeColor="followedHyperlink"/>
      <w:u w:val="single"/>
    </w:rPr>
  </w:style>
  <w:style w:type="paragraph" w:customStyle="1" w:styleId="DefaultParagraphFontCharChar">
    <w:name w:val="Default Paragraph Font Char Char"/>
    <w:aliases w:val="Char Char Char Char Char Char Char Char"/>
    <w:basedOn w:val="Normal"/>
    <w:autoRedefine/>
    <w:semiHidden/>
    <w:rsid w:val="00E8726B"/>
    <w:pPr>
      <w:spacing w:after="160" w:line="360" w:lineRule="auto"/>
    </w:pPr>
    <w:rPr>
      <w:rFonts w:ascii="Verdana" w:eastAsia="Times New Roman" w:hAnsi="Verdana" w:cs="Tahoma"/>
      <w:sz w:val="20"/>
      <w:szCs w:val="20"/>
      <w:lang w:val="en-US" w:eastAsia="en-US"/>
    </w:rPr>
  </w:style>
  <w:style w:type="character" w:customStyle="1" w:styleId="hiddenreadable">
    <w:name w:val="hiddenreadable"/>
    <w:basedOn w:val="DefaultParagraphFont"/>
    <w:rsid w:val="00571234"/>
  </w:style>
  <w:style w:type="character" w:customStyle="1" w:styleId="mixed-citation">
    <w:name w:val="mixed-citation"/>
    <w:basedOn w:val="DefaultParagraphFont"/>
    <w:rsid w:val="00677C74"/>
  </w:style>
  <w:style w:type="character" w:customStyle="1" w:styleId="ref-title">
    <w:name w:val="ref-title"/>
    <w:basedOn w:val="DefaultParagraphFont"/>
    <w:rsid w:val="00677C74"/>
  </w:style>
  <w:style w:type="character" w:customStyle="1" w:styleId="ref-journal">
    <w:name w:val="ref-journal"/>
    <w:basedOn w:val="DefaultParagraphFont"/>
    <w:rsid w:val="00677C74"/>
  </w:style>
  <w:style w:type="character" w:customStyle="1" w:styleId="ref-vol">
    <w:name w:val="ref-vol"/>
    <w:basedOn w:val="DefaultParagraphFont"/>
    <w:rsid w:val="00677C74"/>
  </w:style>
  <w:style w:type="character" w:customStyle="1" w:styleId="lexicon-term">
    <w:name w:val="lexicon-term"/>
    <w:basedOn w:val="DefaultParagraphFont"/>
    <w:rsid w:val="000B55AB"/>
  </w:style>
  <w:style w:type="paragraph" w:customStyle="1" w:styleId="Default">
    <w:name w:val="Default"/>
    <w:rsid w:val="00471B4E"/>
    <w:pPr>
      <w:autoSpaceDE w:val="0"/>
      <w:autoSpaceDN w:val="0"/>
      <w:adjustRightInd w:val="0"/>
      <w:spacing w:after="0" w:line="240" w:lineRule="auto"/>
    </w:pPr>
    <w:rPr>
      <w:rFonts w:ascii="Goudy Oldstyle Std" w:hAnsi="Goudy Oldstyle Std" w:cs="Goudy Oldstyle Std"/>
      <w:color w:val="000000"/>
      <w:sz w:val="24"/>
      <w:szCs w:val="24"/>
    </w:rPr>
  </w:style>
  <w:style w:type="character" w:customStyle="1" w:styleId="slug-pub-date">
    <w:name w:val="slug-pub-date"/>
    <w:basedOn w:val="DefaultParagraphFont"/>
    <w:rsid w:val="005A0F70"/>
  </w:style>
  <w:style w:type="character" w:customStyle="1" w:styleId="slug-vol">
    <w:name w:val="slug-vol"/>
    <w:basedOn w:val="DefaultParagraphFont"/>
    <w:rsid w:val="005A0F70"/>
  </w:style>
  <w:style w:type="character" w:customStyle="1" w:styleId="slug-issue">
    <w:name w:val="slug-issue"/>
    <w:basedOn w:val="DefaultParagraphFont"/>
    <w:rsid w:val="005A0F70"/>
  </w:style>
  <w:style w:type="character" w:customStyle="1" w:styleId="slug-pages">
    <w:name w:val="slug-pages"/>
    <w:basedOn w:val="DefaultParagraphFont"/>
    <w:rsid w:val="005A0F70"/>
  </w:style>
  <w:style w:type="character" w:customStyle="1" w:styleId="highlight">
    <w:name w:val="highlight"/>
    <w:basedOn w:val="DefaultParagraphFont"/>
    <w:rsid w:val="00321F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nhideWhenUsed/>
    <w:rsid w:val="008142B4"/>
    <w:pPr>
      <w:spacing w:after="0"/>
    </w:pPr>
    <w:rPr>
      <w:sz w:val="18"/>
      <w:szCs w:val="20"/>
    </w:rPr>
  </w:style>
  <w:style w:type="character" w:customStyle="1" w:styleId="FootnoteTextChar">
    <w:name w:val="Footnote Text Char"/>
    <w:basedOn w:val="DefaultParagraphFont"/>
    <w:link w:val="FootnoteText"/>
    <w:rsid w:val="008142B4"/>
    <w:rPr>
      <w:sz w:val="18"/>
      <w:szCs w:val="20"/>
    </w:rPr>
  </w:style>
  <w:style w:type="character" w:styleId="FootnoteReference">
    <w:name w:val="footnote reference"/>
    <w:basedOn w:val="DefaultParagraphFont"/>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link w:val="ListParagraphChar"/>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character" w:customStyle="1" w:styleId="ListParagraphChar">
    <w:name w:val="List Paragraph Char"/>
    <w:link w:val="ListParagraph"/>
    <w:uiPriority w:val="99"/>
    <w:locked/>
    <w:rsid w:val="00AB6FEB"/>
    <w:rPr>
      <w:sz w:val="24"/>
      <w:szCs w:val="24"/>
    </w:rPr>
  </w:style>
  <w:style w:type="paragraph" w:customStyle="1" w:styleId="PBACHeading1">
    <w:name w:val="PBAC Heading 1"/>
    <w:basedOn w:val="ListParagraph"/>
    <w:qFormat/>
    <w:rsid w:val="00AB6FEB"/>
    <w:pPr>
      <w:numPr>
        <w:numId w:val="4"/>
      </w:numPr>
      <w:spacing w:after="0"/>
      <w:jc w:val="both"/>
    </w:pPr>
    <w:rPr>
      <w:rFonts w:ascii="Arial" w:eastAsia="Times New Roman" w:hAnsi="Arial" w:cs="Times New Roman"/>
      <w:b/>
      <w:sz w:val="22"/>
      <w:szCs w:val="22"/>
    </w:rPr>
  </w:style>
  <w:style w:type="paragraph" w:styleId="NormalWeb">
    <w:name w:val="Normal (Web)"/>
    <w:basedOn w:val="Normal"/>
    <w:uiPriority w:val="99"/>
    <w:unhideWhenUsed/>
    <w:rsid w:val="00AB157D"/>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527CB"/>
  </w:style>
  <w:style w:type="character" w:styleId="Emphasis">
    <w:name w:val="Emphasis"/>
    <w:basedOn w:val="DefaultParagraphFont"/>
    <w:uiPriority w:val="20"/>
    <w:qFormat/>
    <w:rsid w:val="00732C10"/>
    <w:rPr>
      <w:i/>
      <w:iCs/>
    </w:rPr>
  </w:style>
  <w:style w:type="character" w:styleId="SubtleEmphasis">
    <w:name w:val="Subtle Emphasis"/>
    <w:basedOn w:val="DefaultParagraphFont"/>
    <w:uiPriority w:val="19"/>
    <w:qFormat/>
    <w:rsid w:val="00C940C1"/>
    <w:rPr>
      <w:rFonts w:ascii="Arial" w:hAnsi="Arial"/>
      <w:i w:val="0"/>
      <w:iCs/>
      <w:color w:val="auto"/>
      <w:spacing w:val="0"/>
      <w:sz w:val="20"/>
    </w:rPr>
  </w:style>
  <w:style w:type="character" w:customStyle="1" w:styleId="hitinf">
    <w:name w:val="hit_inf"/>
    <w:basedOn w:val="DefaultParagraphFont"/>
    <w:rsid w:val="00974F4A"/>
  </w:style>
  <w:style w:type="character" w:customStyle="1" w:styleId="hitsyn">
    <w:name w:val="hit_syn"/>
    <w:basedOn w:val="DefaultParagraphFont"/>
    <w:rsid w:val="000549B6"/>
  </w:style>
  <w:style w:type="character" w:customStyle="1" w:styleId="text">
    <w:name w:val="text"/>
    <w:basedOn w:val="DefaultParagraphFont"/>
    <w:rsid w:val="00F95A43"/>
  </w:style>
  <w:style w:type="character" w:customStyle="1" w:styleId="author-ref">
    <w:name w:val="author-ref"/>
    <w:basedOn w:val="DefaultParagraphFont"/>
    <w:rsid w:val="00F95A43"/>
  </w:style>
  <w:style w:type="character" w:styleId="HTMLCite">
    <w:name w:val="HTML Cite"/>
    <w:basedOn w:val="DefaultParagraphFont"/>
    <w:uiPriority w:val="99"/>
    <w:semiHidden/>
    <w:unhideWhenUsed/>
    <w:rsid w:val="00C910F7"/>
    <w:rPr>
      <w:i/>
      <w:iCs/>
    </w:rPr>
  </w:style>
  <w:style w:type="character" w:customStyle="1" w:styleId="contribdegrees">
    <w:name w:val="contribdegrees"/>
    <w:basedOn w:val="DefaultParagraphFont"/>
    <w:rsid w:val="00C910F7"/>
  </w:style>
  <w:style w:type="character" w:styleId="FollowedHyperlink">
    <w:name w:val="FollowedHyperlink"/>
    <w:basedOn w:val="DefaultParagraphFont"/>
    <w:uiPriority w:val="99"/>
    <w:semiHidden/>
    <w:unhideWhenUsed/>
    <w:rsid w:val="00C910F7"/>
    <w:rPr>
      <w:color w:val="800080" w:themeColor="followedHyperlink"/>
      <w:u w:val="single"/>
    </w:rPr>
  </w:style>
  <w:style w:type="paragraph" w:customStyle="1" w:styleId="DefaultParagraphFontCharChar">
    <w:name w:val="Default Paragraph Font Char Char"/>
    <w:aliases w:val="Char Char Char Char Char Char Char Char"/>
    <w:basedOn w:val="Normal"/>
    <w:autoRedefine/>
    <w:semiHidden/>
    <w:rsid w:val="00E8726B"/>
    <w:pPr>
      <w:spacing w:after="160" w:line="360" w:lineRule="auto"/>
    </w:pPr>
    <w:rPr>
      <w:rFonts w:ascii="Verdana" w:eastAsia="Times New Roman" w:hAnsi="Verdana" w:cs="Tahoma"/>
      <w:sz w:val="20"/>
      <w:szCs w:val="20"/>
      <w:lang w:val="en-US" w:eastAsia="en-US"/>
    </w:rPr>
  </w:style>
  <w:style w:type="character" w:customStyle="1" w:styleId="hiddenreadable">
    <w:name w:val="hiddenreadable"/>
    <w:basedOn w:val="DefaultParagraphFont"/>
    <w:rsid w:val="00571234"/>
  </w:style>
  <w:style w:type="character" w:customStyle="1" w:styleId="mixed-citation">
    <w:name w:val="mixed-citation"/>
    <w:basedOn w:val="DefaultParagraphFont"/>
    <w:rsid w:val="00677C74"/>
  </w:style>
  <w:style w:type="character" w:customStyle="1" w:styleId="ref-title">
    <w:name w:val="ref-title"/>
    <w:basedOn w:val="DefaultParagraphFont"/>
    <w:rsid w:val="00677C74"/>
  </w:style>
  <w:style w:type="character" w:customStyle="1" w:styleId="ref-journal">
    <w:name w:val="ref-journal"/>
    <w:basedOn w:val="DefaultParagraphFont"/>
    <w:rsid w:val="00677C74"/>
  </w:style>
  <w:style w:type="character" w:customStyle="1" w:styleId="ref-vol">
    <w:name w:val="ref-vol"/>
    <w:basedOn w:val="DefaultParagraphFont"/>
    <w:rsid w:val="00677C74"/>
  </w:style>
  <w:style w:type="character" w:customStyle="1" w:styleId="lexicon-term">
    <w:name w:val="lexicon-term"/>
    <w:basedOn w:val="DefaultParagraphFont"/>
    <w:rsid w:val="000B55AB"/>
  </w:style>
  <w:style w:type="paragraph" w:customStyle="1" w:styleId="Default">
    <w:name w:val="Default"/>
    <w:rsid w:val="00471B4E"/>
    <w:pPr>
      <w:autoSpaceDE w:val="0"/>
      <w:autoSpaceDN w:val="0"/>
      <w:adjustRightInd w:val="0"/>
      <w:spacing w:after="0" w:line="240" w:lineRule="auto"/>
    </w:pPr>
    <w:rPr>
      <w:rFonts w:ascii="Goudy Oldstyle Std" w:hAnsi="Goudy Oldstyle Std" w:cs="Goudy Oldstyle Std"/>
      <w:color w:val="000000"/>
      <w:sz w:val="24"/>
      <w:szCs w:val="24"/>
    </w:rPr>
  </w:style>
  <w:style w:type="character" w:customStyle="1" w:styleId="slug-pub-date">
    <w:name w:val="slug-pub-date"/>
    <w:basedOn w:val="DefaultParagraphFont"/>
    <w:rsid w:val="005A0F70"/>
  </w:style>
  <w:style w:type="character" w:customStyle="1" w:styleId="slug-vol">
    <w:name w:val="slug-vol"/>
    <w:basedOn w:val="DefaultParagraphFont"/>
    <w:rsid w:val="005A0F70"/>
  </w:style>
  <w:style w:type="character" w:customStyle="1" w:styleId="slug-issue">
    <w:name w:val="slug-issue"/>
    <w:basedOn w:val="DefaultParagraphFont"/>
    <w:rsid w:val="005A0F70"/>
  </w:style>
  <w:style w:type="character" w:customStyle="1" w:styleId="slug-pages">
    <w:name w:val="slug-pages"/>
    <w:basedOn w:val="DefaultParagraphFont"/>
    <w:rsid w:val="005A0F70"/>
  </w:style>
  <w:style w:type="character" w:customStyle="1" w:styleId="highlight">
    <w:name w:val="highlight"/>
    <w:basedOn w:val="DefaultParagraphFont"/>
    <w:rsid w:val="00321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368993">
      <w:bodyDiv w:val="1"/>
      <w:marLeft w:val="0"/>
      <w:marRight w:val="0"/>
      <w:marTop w:val="0"/>
      <w:marBottom w:val="0"/>
      <w:divBdr>
        <w:top w:val="none" w:sz="0" w:space="0" w:color="auto"/>
        <w:left w:val="none" w:sz="0" w:space="0" w:color="auto"/>
        <w:bottom w:val="none" w:sz="0" w:space="0" w:color="auto"/>
        <w:right w:val="none" w:sz="0" w:space="0" w:color="auto"/>
      </w:divBdr>
    </w:div>
    <w:div w:id="263614047">
      <w:bodyDiv w:val="1"/>
      <w:marLeft w:val="0"/>
      <w:marRight w:val="0"/>
      <w:marTop w:val="0"/>
      <w:marBottom w:val="0"/>
      <w:divBdr>
        <w:top w:val="none" w:sz="0" w:space="0" w:color="auto"/>
        <w:left w:val="none" w:sz="0" w:space="0" w:color="auto"/>
        <w:bottom w:val="none" w:sz="0" w:space="0" w:color="auto"/>
        <w:right w:val="none" w:sz="0" w:space="0" w:color="auto"/>
      </w:divBdr>
    </w:div>
    <w:div w:id="306936983">
      <w:bodyDiv w:val="1"/>
      <w:marLeft w:val="0"/>
      <w:marRight w:val="0"/>
      <w:marTop w:val="0"/>
      <w:marBottom w:val="0"/>
      <w:divBdr>
        <w:top w:val="none" w:sz="0" w:space="0" w:color="auto"/>
        <w:left w:val="none" w:sz="0" w:space="0" w:color="auto"/>
        <w:bottom w:val="none" w:sz="0" w:space="0" w:color="auto"/>
        <w:right w:val="none" w:sz="0" w:space="0" w:color="auto"/>
      </w:divBdr>
    </w:div>
    <w:div w:id="343476715">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629213737">
      <w:bodyDiv w:val="1"/>
      <w:marLeft w:val="0"/>
      <w:marRight w:val="0"/>
      <w:marTop w:val="0"/>
      <w:marBottom w:val="0"/>
      <w:divBdr>
        <w:top w:val="none" w:sz="0" w:space="0" w:color="auto"/>
        <w:left w:val="none" w:sz="0" w:space="0" w:color="auto"/>
        <w:bottom w:val="none" w:sz="0" w:space="0" w:color="auto"/>
        <w:right w:val="none" w:sz="0" w:space="0" w:color="auto"/>
      </w:divBdr>
    </w:div>
    <w:div w:id="642664567">
      <w:bodyDiv w:val="1"/>
      <w:marLeft w:val="0"/>
      <w:marRight w:val="0"/>
      <w:marTop w:val="0"/>
      <w:marBottom w:val="0"/>
      <w:divBdr>
        <w:top w:val="none" w:sz="0" w:space="0" w:color="auto"/>
        <w:left w:val="none" w:sz="0" w:space="0" w:color="auto"/>
        <w:bottom w:val="none" w:sz="0" w:space="0" w:color="auto"/>
        <w:right w:val="none" w:sz="0" w:space="0" w:color="auto"/>
      </w:divBdr>
    </w:div>
    <w:div w:id="719937728">
      <w:bodyDiv w:val="1"/>
      <w:marLeft w:val="0"/>
      <w:marRight w:val="0"/>
      <w:marTop w:val="0"/>
      <w:marBottom w:val="0"/>
      <w:divBdr>
        <w:top w:val="none" w:sz="0" w:space="0" w:color="auto"/>
        <w:left w:val="none" w:sz="0" w:space="0" w:color="auto"/>
        <w:bottom w:val="none" w:sz="0" w:space="0" w:color="auto"/>
        <w:right w:val="none" w:sz="0" w:space="0" w:color="auto"/>
      </w:divBdr>
    </w:div>
    <w:div w:id="746072742">
      <w:bodyDiv w:val="1"/>
      <w:marLeft w:val="0"/>
      <w:marRight w:val="0"/>
      <w:marTop w:val="0"/>
      <w:marBottom w:val="0"/>
      <w:divBdr>
        <w:top w:val="none" w:sz="0" w:space="0" w:color="auto"/>
        <w:left w:val="none" w:sz="0" w:space="0" w:color="auto"/>
        <w:bottom w:val="none" w:sz="0" w:space="0" w:color="auto"/>
        <w:right w:val="none" w:sz="0" w:space="0" w:color="auto"/>
      </w:divBdr>
    </w:div>
    <w:div w:id="790633057">
      <w:bodyDiv w:val="1"/>
      <w:marLeft w:val="0"/>
      <w:marRight w:val="0"/>
      <w:marTop w:val="0"/>
      <w:marBottom w:val="0"/>
      <w:divBdr>
        <w:top w:val="none" w:sz="0" w:space="0" w:color="auto"/>
        <w:left w:val="none" w:sz="0" w:space="0" w:color="auto"/>
        <w:bottom w:val="none" w:sz="0" w:space="0" w:color="auto"/>
        <w:right w:val="none" w:sz="0" w:space="0" w:color="auto"/>
      </w:divBdr>
    </w:div>
    <w:div w:id="800615463">
      <w:bodyDiv w:val="1"/>
      <w:marLeft w:val="0"/>
      <w:marRight w:val="0"/>
      <w:marTop w:val="0"/>
      <w:marBottom w:val="0"/>
      <w:divBdr>
        <w:top w:val="none" w:sz="0" w:space="0" w:color="auto"/>
        <w:left w:val="none" w:sz="0" w:space="0" w:color="auto"/>
        <w:bottom w:val="none" w:sz="0" w:space="0" w:color="auto"/>
        <w:right w:val="none" w:sz="0" w:space="0" w:color="auto"/>
      </w:divBdr>
    </w:div>
    <w:div w:id="829102467">
      <w:bodyDiv w:val="1"/>
      <w:marLeft w:val="0"/>
      <w:marRight w:val="0"/>
      <w:marTop w:val="0"/>
      <w:marBottom w:val="0"/>
      <w:divBdr>
        <w:top w:val="none" w:sz="0" w:space="0" w:color="auto"/>
        <w:left w:val="none" w:sz="0" w:space="0" w:color="auto"/>
        <w:bottom w:val="none" w:sz="0" w:space="0" w:color="auto"/>
        <w:right w:val="none" w:sz="0" w:space="0" w:color="auto"/>
      </w:divBdr>
    </w:div>
    <w:div w:id="833035941">
      <w:bodyDiv w:val="1"/>
      <w:marLeft w:val="0"/>
      <w:marRight w:val="0"/>
      <w:marTop w:val="0"/>
      <w:marBottom w:val="0"/>
      <w:divBdr>
        <w:top w:val="none" w:sz="0" w:space="0" w:color="auto"/>
        <w:left w:val="none" w:sz="0" w:space="0" w:color="auto"/>
        <w:bottom w:val="none" w:sz="0" w:space="0" w:color="auto"/>
        <w:right w:val="none" w:sz="0" w:space="0" w:color="auto"/>
      </w:divBdr>
    </w:div>
    <w:div w:id="926497468">
      <w:bodyDiv w:val="1"/>
      <w:marLeft w:val="0"/>
      <w:marRight w:val="0"/>
      <w:marTop w:val="0"/>
      <w:marBottom w:val="0"/>
      <w:divBdr>
        <w:top w:val="none" w:sz="0" w:space="0" w:color="auto"/>
        <w:left w:val="none" w:sz="0" w:space="0" w:color="auto"/>
        <w:bottom w:val="none" w:sz="0" w:space="0" w:color="auto"/>
        <w:right w:val="none" w:sz="0" w:space="0" w:color="auto"/>
      </w:divBdr>
      <w:divsChild>
        <w:div w:id="59259045">
          <w:marLeft w:val="75"/>
          <w:marRight w:val="75"/>
          <w:marTop w:val="0"/>
          <w:marBottom w:val="0"/>
          <w:divBdr>
            <w:top w:val="none" w:sz="0" w:space="0" w:color="auto"/>
            <w:left w:val="none" w:sz="0" w:space="0" w:color="auto"/>
            <w:bottom w:val="none" w:sz="0" w:space="0" w:color="auto"/>
            <w:right w:val="none" w:sz="0" w:space="0" w:color="auto"/>
          </w:divBdr>
        </w:div>
      </w:divsChild>
    </w:div>
    <w:div w:id="1055350837">
      <w:bodyDiv w:val="1"/>
      <w:marLeft w:val="0"/>
      <w:marRight w:val="0"/>
      <w:marTop w:val="0"/>
      <w:marBottom w:val="0"/>
      <w:divBdr>
        <w:top w:val="none" w:sz="0" w:space="0" w:color="auto"/>
        <w:left w:val="none" w:sz="0" w:space="0" w:color="auto"/>
        <w:bottom w:val="none" w:sz="0" w:space="0" w:color="auto"/>
        <w:right w:val="none" w:sz="0" w:space="0" w:color="auto"/>
      </w:divBdr>
    </w:div>
    <w:div w:id="1079406971">
      <w:bodyDiv w:val="1"/>
      <w:marLeft w:val="0"/>
      <w:marRight w:val="0"/>
      <w:marTop w:val="0"/>
      <w:marBottom w:val="0"/>
      <w:divBdr>
        <w:top w:val="none" w:sz="0" w:space="0" w:color="auto"/>
        <w:left w:val="none" w:sz="0" w:space="0" w:color="auto"/>
        <w:bottom w:val="none" w:sz="0" w:space="0" w:color="auto"/>
        <w:right w:val="none" w:sz="0" w:space="0" w:color="auto"/>
      </w:divBdr>
    </w:div>
    <w:div w:id="1087263048">
      <w:bodyDiv w:val="1"/>
      <w:marLeft w:val="0"/>
      <w:marRight w:val="0"/>
      <w:marTop w:val="0"/>
      <w:marBottom w:val="0"/>
      <w:divBdr>
        <w:top w:val="none" w:sz="0" w:space="0" w:color="auto"/>
        <w:left w:val="none" w:sz="0" w:space="0" w:color="auto"/>
        <w:bottom w:val="none" w:sz="0" w:space="0" w:color="auto"/>
        <w:right w:val="none" w:sz="0" w:space="0" w:color="auto"/>
      </w:divBdr>
    </w:div>
    <w:div w:id="1140461133">
      <w:bodyDiv w:val="1"/>
      <w:marLeft w:val="0"/>
      <w:marRight w:val="0"/>
      <w:marTop w:val="0"/>
      <w:marBottom w:val="0"/>
      <w:divBdr>
        <w:top w:val="none" w:sz="0" w:space="0" w:color="auto"/>
        <w:left w:val="none" w:sz="0" w:space="0" w:color="auto"/>
        <w:bottom w:val="none" w:sz="0" w:space="0" w:color="auto"/>
        <w:right w:val="none" w:sz="0" w:space="0" w:color="auto"/>
      </w:divBdr>
    </w:div>
    <w:div w:id="1141970147">
      <w:bodyDiv w:val="1"/>
      <w:marLeft w:val="0"/>
      <w:marRight w:val="0"/>
      <w:marTop w:val="0"/>
      <w:marBottom w:val="0"/>
      <w:divBdr>
        <w:top w:val="none" w:sz="0" w:space="0" w:color="auto"/>
        <w:left w:val="none" w:sz="0" w:space="0" w:color="auto"/>
        <w:bottom w:val="none" w:sz="0" w:space="0" w:color="auto"/>
        <w:right w:val="none" w:sz="0" w:space="0" w:color="auto"/>
      </w:divBdr>
    </w:div>
    <w:div w:id="1247308096">
      <w:bodyDiv w:val="1"/>
      <w:marLeft w:val="0"/>
      <w:marRight w:val="0"/>
      <w:marTop w:val="0"/>
      <w:marBottom w:val="0"/>
      <w:divBdr>
        <w:top w:val="none" w:sz="0" w:space="0" w:color="auto"/>
        <w:left w:val="none" w:sz="0" w:space="0" w:color="auto"/>
        <w:bottom w:val="none" w:sz="0" w:space="0" w:color="auto"/>
        <w:right w:val="none" w:sz="0" w:space="0" w:color="auto"/>
      </w:divBdr>
    </w:div>
    <w:div w:id="1252470518">
      <w:bodyDiv w:val="1"/>
      <w:marLeft w:val="0"/>
      <w:marRight w:val="0"/>
      <w:marTop w:val="0"/>
      <w:marBottom w:val="0"/>
      <w:divBdr>
        <w:top w:val="none" w:sz="0" w:space="0" w:color="auto"/>
        <w:left w:val="none" w:sz="0" w:space="0" w:color="auto"/>
        <w:bottom w:val="none" w:sz="0" w:space="0" w:color="auto"/>
        <w:right w:val="none" w:sz="0" w:space="0" w:color="auto"/>
      </w:divBdr>
    </w:div>
    <w:div w:id="1296566875">
      <w:bodyDiv w:val="1"/>
      <w:marLeft w:val="0"/>
      <w:marRight w:val="0"/>
      <w:marTop w:val="0"/>
      <w:marBottom w:val="0"/>
      <w:divBdr>
        <w:top w:val="none" w:sz="0" w:space="0" w:color="auto"/>
        <w:left w:val="none" w:sz="0" w:space="0" w:color="auto"/>
        <w:bottom w:val="none" w:sz="0" w:space="0" w:color="auto"/>
        <w:right w:val="none" w:sz="0" w:space="0" w:color="auto"/>
      </w:divBdr>
    </w:div>
    <w:div w:id="1367833525">
      <w:bodyDiv w:val="1"/>
      <w:marLeft w:val="0"/>
      <w:marRight w:val="0"/>
      <w:marTop w:val="0"/>
      <w:marBottom w:val="0"/>
      <w:divBdr>
        <w:top w:val="none" w:sz="0" w:space="0" w:color="auto"/>
        <w:left w:val="none" w:sz="0" w:space="0" w:color="auto"/>
        <w:bottom w:val="none" w:sz="0" w:space="0" w:color="auto"/>
        <w:right w:val="none" w:sz="0" w:space="0" w:color="auto"/>
      </w:divBdr>
    </w:div>
    <w:div w:id="1451440102">
      <w:bodyDiv w:val="1"/>
      <w:marLeft w:val="0"/>
      <w:marRight w:val="0"/>
      <w:marTop w:val="0"/>
      <w:marBottom w:val="0"/>
      <w:divBdr>
        <w:top w:val="none" w:sz="0" w:space="0" w:color="auto"/>
        <w:left w:val="none" w:sz="0" w:space="0" w:color="auto"/>
        <w:bottom w:val="none" w:sz="0" w:space="0" w:color="auto"/>
        <w:right w:val="none" w:sz="0" w:space="0" w:color="auto"/>
      </w:divBdr>
    </w:div>
    <w:div w:id="1502740556">
      <w:bodyDiv w:val="1"/>
      <w:marLeft w:val="0"/>
      <w:marRight w:val="0"/>
      <w:marTop w:val="0"/>
      <w:marBottom w:val="0"/>
      <w:divBdr>
        <w:top w:val="none" w:sz="0" w:space="0" w:color="auto"/>
        <w:left w:val="none" w:sz="0" w:space="0" w:color="auto"/>
        <w:bottom w:val="none" w:sz="0" w:space="0" w:color="auto"/>
        <w:right w:val="none" w:sz="0" w:space="0" w:color="auto"/>
      </w:divBdr>
    </w:div>
    <w:div w:id="1547915347">
      <w:bodyDiv w:val="1"/>
      <w:marLeft w:val="0"/>
      <w:marRight w:val="0"/>
      <w:marTop w:val="0"/>
      <w:marBottom w:val="0"/>
      <w:divBdr>
        <w:top w:val="none" w:sz="0" w:space="0" w:color="auto"/>
        <w:left w:val="none" w:sz="0" w:space="0" w:color="auto"/>
        <w:bottom w:val="none" w:sz="0" w:space="0" w:color="auto"/>
        <w:right w:val="none" w:sz="0" w:space="0" w:color="auto"/>
      </w:divBdr>
    </w:div>
    <w:div w:id="1581061071">
      <w:bodyDiv w:val="1"/>
      <w:marLeft w:val="0"/>
      <w:marRight w:val="0"/>
      <w:marTop w:val="0"/>
      <w:marBottom w:val="0"/>
      <w:divBdr>
        <w:top w:val="none" w:sz="0" w:space="0" w:color="auto"/>
        <w:left w:val="none" w:sz="0" w:space="0" w:color="auto"/>
        <w:bottom w:val="none" w:sz="0" w:space="0" w:color="auto"/>
        <w:right w:val="none" w:sz="0" w:space="0" w:color="auto"/>
      </w:divBdr>
    </w:div>
    <w:div w:id="1620185125">
      <w:bodyDiv w:val="1"/>
      <w:marLeft w:val="0"/>
      <w:marRight w:val="0"/>
      <w:marTop w:val="0"/>
      <w:marBottom w:val="0"/>
      <w:divBdr>
        <w:top w:val="none" w:sz="0" w:space="0" w:color="auto"/>
        <w:left w:val="none" w:sz="0" w:space="0" w:color="auto"/>
        <w:bottom w:val="none" w:sz="0" w:space="0" w:color="auto"/>
        <w:right w:val="none" w:sz="0" w:space="0" w:color="auto"/>
      </w:divBdr>
    </w:div>
    <w:div w:id="1688601228">
      <w:bodyDiv w:val="1"/>
      <w:marLeft w:val="0"/>
      <w:marRight w:val="0"/>
      <w:marTop w:val="0"/>
      <w:marBottom w:val="0"/>
      <w:divBdr>
        <w:top w:val="none" w:sz="0" w:space="0" w:color="auto"/>
        <w:left w:val="none" w:sz="0" w:space="0" w:color="auto"/>
        <w:bottom w:val="none" w:sz="0" w:space="0" w:color="auto"/>
        <w:right w:val="none" w:sz="0" w:space="0" w:color="auto"/>
      </w:divBdr>
      <w:divsChild>
        <w:div w:id="296883643">
          <w:marLeft w:val="0"/>
          <w:marRight w:val="0"/>
          <w:marTop w:val="0"/>
          <w:marBottom w:val="240"/>
          <w:divBdr>
            <w:top w:val="none" w:sz="0" w:space="0" w:color="auto"/>
            <w:left w:val="none" w:sz="0" w:space="0" w:color="auto"/>
            <w:bottom w:val="none" w:sz="0" w:space="0" w:color="auto"/>
            <w:right w:val="none" w:sz="0" w:space="0" w:color="auto"/>
          </w:divBdr>
          <w:divsChild>
            <w:div w:id="2020884460">
              <w:marLeft w:val="0"/>
              <w:marRight w:val="0"/>
              <w:marTop w:val="0"/>
              <w:marBottom w:val="0"/>
              <w:divBdr>
                <w:top w:val="none" w:sz="0" w:space="0" w:color="auto"/>
                <w:left w:val="none" w:sz="0" w:space="0" w:color="auto"/>
                <w:bottom w:val="none" w:sz="0" w:space="0" w:color="auto"/>
                <w:right w:val="none" w:sz="0" w:space="0" w:color="auto"/>
              </w:divBdr>
            </w:div>
            <w:div w:id="1325549283">
              <w:marLeft w:val="0"/>
              <w:marRight w:val="0"/>
              <w:marTop w:val="0"/>
              <w:marBottom w:val="0"/>
              <w:divBdr>
                <w:top w:val="none" w:sz="0" w:space="0" w:color="auto"/>
                <w:left w:val="none" w:sz="0" w:space="0" w:color="auto"/>
                <w:bottom w:val="none" w:sz="0" w:space="0" w:color="auto"/>
                <w:right w:val="none" w:sz="0" w:space="0" w:color="auto"/>
              </w:divBdr>
            </w:div>
          </w:divsChild>
        </w:div>
        <w:div w:id="986322648">
          <w:marLeft w:val="480"/>
          <w:marRight w:val="480"/>
          <w:marTop w:val="240"/>
          <w:marBottom w:val="240"/>
          <w:divBdr>
            <w:top w:val="single" w:sz="6" w:space="12" w:color="D2D2D2"/>
            <w:left w:val="single" w:sz="6" w:space="12" w:color="D2D2D2"/>
            <w:bottom w:val="single" w:sz="6" w:space="12" w:color="D2D2D2"/>
            <w:right w:val="single" w:sz="6" w:space="12" w:color="D2D2D2"/>
          </w:divBdr>
        </w:div>
      </w:divsChild>
    </w:div>
    <w:div w:id="1696271626">
      <w:bodyDiv w:val="1"/>
      <w:marLeft w:val="0"/>
      <w:marRight w:val="0"/>
      <w:marTop w:val="0"/>
      <w:marBottom w:val="0"/>
      <w:divBdr>
        <w:top w:val="none" w:sz="0" w:space="0" w:color="auto"/>
        <w:left w:val="none" w:sz="0" w:space="0" w:color="auto"/>
        <w:bottom w:val="none" w:sz="0" w:space="0" w:color="auto"/>
        <w:right w:val="none" w:sz="0" w:space="0" w:color="auto"/>
      </w:divBdr>
    </w:div>
    <w:div w:id="1709526936">
      <w:bodyDiv w:val="1"/>
      <w:marLeft w:val="0"/>
      <w:marRight w:val="0"/>
      <w:marTop w:val="0"/>
      <w:marBottom w:val="0"/>
      <w:divBdr>
        <w:top w:val="none" w:sz="0" w:space="0" w:color="auto"/>
        <w:left w:val="none" w:sz="0" w:space="0" w:color="auto"/>
        <w:bottom w:val="none" w:sz="0" w:space="0" w:color="auto"/>
        <w:right w:val="none" w:sz="0" w:space="0" w:color="auto"/>
      </w:divBdr>
    </w:div>
    <w:div w:id="1712874638">
      <w:bodyDiv w:val="1"/>
      <w:marLeft w:val="0"/>
      <w:marRight w:val="0"/>
      <w:marTop w:val="0"/>
      <w:marBottom w:val="0"/>
      <w:divBdr>
        <w:top w:val="none" w:sz="0" w:space="0" w:color="auto"/>
        <w:left w:val="none" w:sz="0" w:space="0" w:color="auto"/>
        <w:bottom w:val="none" w:sz="0" w:space="0" w:color="auto"/>
        <w:right w:val="none" w:sz="0" w:space="0" w:color="auto"/>
      </w:divBdr>
    </w:div>
    <w:div w:id="1747067101">
      <w:bodyDiv w:val="1"/>
      <w:marLeft w:val="0"/>
      <w:marRight w:val="0"/>
      <w:marTop w:val="0"/>
      <w:marBottom w:val="0"/>
      <w:divBdr>
        <w:top w:val="none" w:sz="0" w:space="0" w:color="auto"/>
        <w:left w:val="none" w:sz="0" w:space="0" w:color="auto"/>
        <w:bottom w:val="none" w:sz="0" w:space="0" w:color="auto"/>
        <w:right w:val="none" w:sz="0" w:space="0" w:color="auto"/>
      </w:divBdr>
    </w:div>
    <w:div w:id="1756200359">
      <w:bodyDiv w:val="1"/>
      <w:marLeft w:val="0"/>
      <w:marRight w:val="0"/>
      <w:marTop w:val="0"/>
      <w:marBottom w:val="0"/>
      <w:divBdr>
        <w:top w:val="none" w:sz="0" w:space="0" w:color="auto"/>
        <w:left w:val="none" w:sz="0" w:space="0" w:color="auto"/>
        <w:bottom w:val="none" w:sz="0" w:space="0" w:color="auto"/>
        <w:right w:val="none" w:sz="0" w:space="0" w:color="auto"/>
      </w:divBdr>
    </w:div>
    <w:div w:id="1820414578">
      <w:bodyDiv w:val="1"/>
      <w:marLeft w:val="0"/>
      <w:marRight w:val="0"/>
      <w:marTop w:val="0"/>
      <w:marBottom w:val="0"/>
      <w:divBdr>
        <w:top w:val="none" w:sz="0" w:space="0" w:color="auto"/>
        <w:left w:val="none" w:sz="0" w:space="0" w:color="auto"/>
        <w:bottom w:val="none" w:sz="0" w:space="0" w:color="auto"/>
        <w:right w:val="none" w:sz="0" w:space="0" w:color="auto"/>
      </w:divBdr>
    </w:div>
    <w:div w:id="1953970249">
      <w:bodyDiv w:val="1"/>
      <w:marLeft w:val="0"/>
      <w:marRight w:val="0"/>
      <w:marTop w:val="0"/>
      <w:marBottom w:val="0"/>
      <w:divBdr>
        <w:top w:val="none" w:sz="0" w:space="0" w:color="auto"/>
        <w:left w:val="none" w:sz="0" w:space="0" w:color="auto"/>
        <w:bottom w:val="none" w:sz="0" w:space="0" w:color="auto"/>
        <w:right w:val="none" w:sz="0" w:space="0" w:color="auto"/>
      </w:divBdr>
    </w:div>
    <w:div w:id="2110421096">
      <w:bodyDiv w:val="1"/>
      <w:marLeft w:val="0"/>
      <w:marRight w:val="0"/>
      <w:marTop w:val="0"/>
      <w:marBottom w:val="0"/>
      <w:divBdr>
        <w:top w:val="none" w:sz="0" w:space="0" w:color="auto"/>
        <w:left w:val="none" w:sz="0" w:space="0" w:color="auto"/>
        <w:bottom w:val="none" w:sz="0" w:space="0" w:color="auto"/>
        <w:right w:val="none" w:sz="0" w:space="0" w:color="auto"/>
      </w:divBdr>
    </w:div>
    <w:div w:id="214284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ga.gov.au/australian-register-therapeutic-goods" TargetMode="External"/><Relationship Id="rId18" Type="http://schemas.openxmlformats.org/officeDocument/2006/relationships/hyperlink" Target="http://www.pbs.gov.au/pbs/home" TargetMode="External"/><Relationship Id="rId26" Type="http://schemas.openxmlformats.org/officeDocument/2006/relationships/hyperlink" Target="http://www.pbs.gov.au/info/industry/listing/elements/pbac-meetings/psd/2008-11/pbac-psd-panitumumab-nov08" TargetMode="External"/><Relationship Id="rId39" Type="http://schemas.openxmlformats.org/officeDocument/2006/relationships/hyperlink" Target="http://www.pbs.gov.au/info/industry/listing/elements/pbac-meetings/psd/2014-11/cetuximab-psd-11-2014" TargetMode="External"/><Relationship Id="rId21" Type="http://schemas.openxmlformats.org/officeDocument/2006/relationships/hyperlink" Target="http://www.pbs.gov.au/info/industry/listing/elements/pbac-meetings/psd/2008-07/pbac-psd-bevacizumab-july08" TargetMode="External"/><Relationship Id="rId34" Type="http://schemas.openxmlformats.org/officeDocument/2006/relationships/chart" Target="charts/chart2.xml"/><Relationship Id="rId42" Type="http://schemas.openxmlformats.org/officeDocument/2006/relationships/hyperlink" Target="https://www.ncbi.nlm.nih.gov/pubmed/?term=Siena%20S%5BAuthor%5D&amp;cauthor=true&amp;cauthor_uid=24718886" TargetMode="External"/><Relationship Id="rId47" Type="http://schemas.openxmlformats.org/officeDocument/2006/relationships/image" Target="media/image2.png"/><Relationship Id="rId50" Type="http://schemas.openxmlformats.org/officeDocument/2006/relationships/image" Target="media/image5.png"/><Relationship Id="rId55" Type="http://schemas.openxmlformats.org/officeDocument/2006/relationships/chart" Target="charts/chart5.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tga.gov.au/hp/information-medicines-pi.htm" TargetMode="External"/><Relationship Id="rId20" Type="http://schemas.openxmlformats.org/officeDocument/2006/relationships/hyperlink" Target="http://www.pbs.gov.au/info/industry/listing/elements/pbac-meetings/psd/2008-03/pbac-psd-bevacizumab-mar08" TargetMode="External"/><Relationship Id="rId29" Type="http://schemas.openxmlformats.org/officeDocument/2006/relationships/hyperlink" Target="http://www.pbs.gov.au/info/industry/listing/elements/pbac-meetings/psd/2014-07/panitumumab-psd-07-2014" TargetMode="External"/><Relationship Id="rId41" Type="http://schemas.openxmlformats.org/officeDocument/2006/relationships/hyperlink" Target="https://www.ncbi.nlm.nih.gov/pubmed/?term=Douillard%20JY%5BAuthor%5D&amp;cauthor=true&amp;cauthor_uid=24718886" TargetMode="External"/><Relationship Id="rId54" Type="http://schemas.openxmlformats.org/officeDocument/2006/relationships/chart" Target="charts/chart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smo.org/Guidelines/Gastrointestinal-Cancers" TargetMode="External"/><Relationship Id="rId24" Type="http://schemas.openxmlformats.org/officeDocument/2006/relationships/hyperlink" Target="http://www.pbs.gov.au/info/industry/listing/elements/pbac-meetings/psd/2009-03/pbac-psd-cetuximab-march09" TargetMode="External"/><Relationship Id="rId32" Type="http://schemas.openxmlformats.org/officeDocument/2006/relationships/hyperlink" Target="http://www.pbs.gov.au/info/publication/factsheets/shared/revised-arrangements-for-chemotherapy" TargetMode="External"/><Relationship Id="rId37" Type="http://schemas.openxmlformats.org/officeDocument/2006/relationships/hyperlink" Target="http://www.pbs.gov.au/info/industry/listing/elements/pbac-meetings/psd/2015-03/panitumumab-vectibix-psd-03-2015" TargetMode="External"/><Relationship Id="rId40" Type="http://schemas.openxmlformats.org/officeDocument/2006/relationships/hyperlink" Target="http://www.pbs.gov.au/info/industry/listing/elements/pbac-meetings/psd/2008-11/pbac-psd-cetuximab-nov08" TargetMode="External"/><Relationship Id="rId45" Type="http://schemas.openxmlformats.org/officeDocument/2006/relationships/hyperlink" Target="http://www.pbs.gov.au/pbs/home" TargetMode="External"/><Relationship Id="rId53" Type="http://schemas.openxmlformats.org/officeDocument/2006/relationships/image" Target="media/image8.png"/><Relationship Id="rId58"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tga.gov.au/australian-register-therapeutic-goods" TargetMode="External"/><Relationship Id="rId23" Type="http://schemas.openxmlformats.org/officeDocument/2006/relationships/hyperlink" Target="http://www.pbs.gov.au/info/industry/listing/elements/pbac-meetings/psd/2008-11/pbac-psd-cetuximab-nov08" TargetMode="External"/><Relationship Id="rId28" Type="http://schemas.openxmlformats.org/officeDocument/2006/relationships/hyperlink" Target="http://www.pbs.gov.au/info/industry/listing/elements/pbac-meetings/psd/2013-11/panitumumab" TargetMode="External"/><Relationship Id="rId36" Type="http://schemas.openxmlformats.org/officeDocument/2006/relationships/hyperlink" Target="http://www.pbs.gov.au/industry/listing/elements/pbac-meetings/psd/2014-11/files/cetuximab-psd-11-2014.pdf" TargetMode="External"/><Relationship Id="rId49" Type="http://schemas.openxmlformats.org/officeDocument/2006/relationships/image" Target="media/image4.png"/><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hyperlink" Target="https://www.nice.org.uk/guidance/cg131" TargetMode="External"/><Relationship Id="rId19" Type="http://schemas.openxmlformats.org/officeDocument/2006/relationships/hyperlink" Target="http://www.pbs.gov.au/pbs/home" TargetMode="External"/><Relationship Id="rId31" Type="http://schemas.openxmlformats.org/officeDocument/2006/relationships/hyperlink" Target="https://www.humanservices.gov.au/corporate/statistical-information-and-data/medicare-statistics" TargetMode="External"/><Relationship Id="rId44" Type="http://schemas.openxmlformats.org/officeDocument/2006/relationships/hyperlink" Target="http://www.thelancet.com/journals/lanonc/issue/vol15no10/PIIS1470-2045(14)X7168-8" TargetMode="External"/><Relationship Id="rId52" Type="http://schemas.openxmlformats.org/officeDocument/2006/relationships/image" Target="media/image7.png"/><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nccn.org/content/15/3/370.abstract" TargetMode="External"/><Relationship Id="rId14" Type="http://schemas.openxmlformats.org/officeDocument/2006/relationships/hyperlink" Target="https://www.tga.gov.au/australian-register-therapeutic-goods" TargetMode="External"/><Relationship Id="rId22" Type="http://schemas.openxmlformats.org/officeDocument/2006/relationships/hyperlink" Target="http://www.pbs.gov.au/info/industry/listing/elements/pbac-meetings/psd/2005-11/cetuximab" TargetMode="External"/><Relationship Id="rId27" Type="http://schemas.openxmlformats.org/officeDocument/2006/relationships/hyperlink" Target="http://www.pbs.gov.au/info/industry/listing/elements/pbac-meetings/psd/2013-03/panitumumab" TargetMode="External"/><Relationship Id="rId30" Type="http://schemas.openxmlformats.org/officeDocument/2006/relationships/hyperlink" Target="http://www.pbs.gov.au/info/industry/listing/elements/pbac-meetings/psd/2015-03/panitumumab-vectibix-psd-03-2015" TargetMode="External"/><Relationship Id="rId35" Type="http://schemas.openxmlformats.org/officeDocument/2006/relationships/chart" Target="charts/chart3.xml"/><Relationship Id="rId43" Type="http://schemas.openxmlformats.org/officeDocument/2006/relationships/hyperlink" Target="https://www.ncbi.nlm.nih.gov/pubmed/?term=Cassidy%20J%5BAuthor%5D&amp;cauthor=true&amp;cauthor_uid=24718886" TargetMode="External"/><Relationship Id="rId48" Type="http://schemas.openxmlformats.org/officeDocument/2006/relationships/image" Target="media/image3.png"/><Relationship Id="rId56" Type="http://schemas.openxmlformats.org/officeDocument/2006/relationships/chart" Target="charts/chart6.xml"/><Relationship Id="rId8" Type="http://schemas.openxmlformats.org/officeDocument/2006/relationships/endnotes" Target="endnotes.xml"/><Relationship Id="rId51" Type="http://schemas.openxmlformats.org/officeDocument/2006/relationships/image" Target="media/image6.png"/><Relationship Id="rId3" Type="http://schemas.openxmlformats.org/officeDocument/2006/relationships/styles" Target="styles.xml"/><Relationship Id="rId12" Type="http://schemas.openxmlformats.org/officeDocument/2006/relationships/hyperlink" Target="http://www.mbsonline.gov.au/" TargetMode="External"/><Relationship Id="rId17" Type="http://schemas.openxmlformats.org/officeDocument/2006/relationships/hyperlink" Target="http://www.tga.gov.au/consumers/information-medicines-cmi.htm" TargetMode="External"/><Relationship Id="rId25" Type="http://schemas.openxmlformats.org/officeDocument/2006/relationships/hyperlink" Target="http://www.pbs.gov.au/info/industry/listing/elements/pbac-meetings/psd/2010-03/pbac-psd-cetuximab-mar-10" TargetMode="External"/><Relationship Id="rId33" Type="http://schemas.openxmlformats.org/officeDocument/2006/relationships/chart" Target="charts/chart1.xml"/><Relationship Id="rId38" Type="http://schemas.openxmlformats.org/officeDocument/2006/relationships/hyperlink" Target="http://www.pbs.gov.au/info/industry/listing/elements/pbac-meetings/psd/2008-03/pbac-psd-bevacizumab-mar08" TargetMode="External"/><Relationship Id="rId46" Type="http://schemas.openxmlformats.org/officeDocument/2006/relationships/image" Target="media/image1.png"/><Relationship Id="rId59"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ubmed/23745159"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entral.health\DFSApps\ServerApps\Staging\DUSC\DUSC%20Database\Data%20Requests\Requests%202017\D1022%20-%20Colorectal%20cancer%20review%20Sept%202017%20DUSC\Report%201022%20tables%20and%20figures%20final.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oleObject" Target="file:///\\central.health\DFSApps\ServerApps\Staging\DUSC\DUSC%20Database\Data%20Requests\Requests%202017\D1022%20-%20Colorectal%20cancer%20review%20Sept%202017%20DUSC\Report%201022%20tables%20and%20figures%20final.xlsx" TargetMode="External"/><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[Report 1022 tables and figures final.xlsx]patient counts!PivotTable8</c:name>
    <c:fmtId val="4"/>
  </c:pivotSource>
  <c:chart>
    <c:autoTitleDeleted val="0"/>
    <c:pivotFmts>
      <c:pivotFmt>
        <c:idx val="0"/>
      </c:pivotFmt>
      <c:pivotFmt>
        <c:idx val="1"/>
      </c:pivotFmt>
      <c:pivotFmt>
        <c:idx val="2"/>
      </c:pivotFmt>
      <c:pivotFmt>
        <c:idx val="3"/>
      </c:pivotFmt>
      <c:pivotFmt>
        <c:idx val="4"/>
      </c:pivotFmt>
      <c:pivotFmt>
        <c:idx val="5"/>
      </c:pivotFmt>
    </c:pivotFmts>
    <c:plotArea>
      <c:layout>
        <c:manualLayout>
          <c:layoutTarget val="inner"/>
          <c:xMode val="edge"/>
          <c:yMode val="edge"/>
          <c:x val="0.11336291381303736"/>
          <c:y val="3.6641979158545779E-2"/>
          <c:w val="0.84950460359983448"/>
          <c:h val="0.72759907622513242"/>
        </c:manualLayout>
      </c:layout>
      <c:lineChart>
        <c:grouping val="standard"/>
        <c:varyColors val="0"/>
        <c:ser>
          <c:idx val="0"/>
          <c:order val="0"/>
          <c:tx>
            <c:strRef>
              <c:f>'patient counts'!$G$2:$G$3</c:f>
              <c:strCache>
                <c:ptCount val="1"/>
                <c:pt idx="0">
                  <c:v>Incident</c:v>
                </c:pt>
              </c:strCache>
            </c:strRef>
          </c:tx>
          <c:cat>
            <c:strRef>
              <c:f>'patient counts'!$F$4:$F$36</c:f>
              <c:strCache>
                <c:ptCount val="32"/>
                <c:pt idx="0">
                  <c:v>2009Q3</c:v>
                </c:pt>
                <c:pt idx="1">
                  <c:v>2009Q4</c:v>
                </c:pt>
                <c:pt idx="2">
                  <c:v>2010Q1</c:v>
                </c:pt>
                <c:pt idx="3">
                  <c:v>2010Q2</c:v>
                </c:pt>
                <c:pt idx="4">
                  <c:v>2010Q3</c:v>
                </c:pt>
                <c:pt idx="5">
                  <c:v>2010Q4</c:v>
                </c:pt>
                <c:pt idx="6">
                  <c:v>2011Q1</c:v>
                </c:pt>
                <c:pt idx="7">
                  <c:v>2011Q2</c:v>
                </c:pt>
                <c:pt idx="8">
                  <c:v>2011Q3</c:v>
                </c:pt>
                <c:pt idx="9">
                  <c:v>2011Q4</c:v>
                </c:pt>
                <c:pt idx="10">
                  <c:v>2012Q1</c:v>
                </c:pt>
                <c:pt idx="11">
                  <c:v>2012Q2</c:v>
                </c:pt>
                <c:pt idx="12">
                  <c:v>2012Q3</c:v>
                </c:pt>
                <c:pt idx="13">
                  <c:v>2012Q4</c:v>
                </c:pt>
                <c:pt idx="14">
                  <c:v>2013Q1</c:v>
                </c:pt>
                <c:pt idx="15">
                  <c:v>2013Q2</c:v>
                </c:pt>
                <c:pt idx="16">
                  <c:v>2013Q3</c:v>
                </c:pt>
                <c:pt idx="17">
                  <c:v>2013Q4</c:v>
                </c:pt>
                <c:pt idx="18">
                  <c:v>2014Q1</c:v>
                </c:pt>
                <c:pt idx="19">
                  <c:v>2014Q2</c:v>
                </c:pt>
                <c:pt idx="20">
                  <c:v>2014Q3</c:v>
                </c:pt>
                <c:pt idx="21">
                  <c:v>2014Q4</c:v>
                </c:pt>
                <c:pt idx="22">
                  <c:v>2015Q1</c:v>
                </c:pt>
                <c:pt idx="23">
                  <c:v>2015Q2</c:v>
                </c:pt>
                <c:pt idx="24">
                  <c:v>2015Q3</c:v>
                </c:pt>
                <c:pt idx="25">
                  <c:v>2015Q4</c:v>
                </c:pt>
                <c:pt idx="26">
                  <c:v>2016Q1</c:v>
                </c:pt>
                <c:pt idx="27">
                  <c:v>2016Q2</c:v>
                </c:pt>
                <c:pt idx="28">
                  <c:v>2016Q3</c:v>
                </c:pt>
                <c:pt idx="29">
                  <c:v>2016Q4</c:v>
                </c:pt>
                <c:pt idx="30">
                  <c:v>2017Q1</c:v>
                </c:pt>
                <c:pt idx="31">
                  <c:v>2017Q2</c:v>
                </c:pt>
              </c:strCache>
            </c:strRef>
          </c:cat>
          <c:val>
            <c:numRef>
              <c:f>'patient counts'!$G$4:$G$36</c:f>
              <c:numCache>
                <c:formatCode>General</c:formatCode>
                <c:ptCount val="32"/>
                <c:pt idx="0">
                  <c:v>694</c:v>
                </c:pt>
                <c:pt idx="1">
                  <c:v>542</c:v>
                </c:pt>
                <c:pt idx="2">
                  <c:v>482</c:v>
                </c:pt>
                <c:pt idx="3">
                  <c:v>534</c:v>
                </c:pt>
                <c:pt idx="4">
                  <c:v>553</c:v>
                </c:pt>
                <c:pt idx="5">
                  <c:v>542</c:v>
                </c:pt>
                <c:pt idx="6">
                  <c:v>549</c:v>
                </c:pt>
                <c:pt idx="7">
                  <c:v>477</c:v>
                </c:pt>
                <c:pt idx="8">
                  <c:v>603</c:v>
                </c:pt>
                <c:pt idx="9">
                  <c:v>592</c:v>
                </c:pt>
                <c:pt idx="10">
                  <c:v>582</c:v>
                </c:pt>
                <c:pt idx="11">
                  <c:v>574</c:v>
                </c:pt>
                <c:pt idx="12">
                  <c:v>600</c:v>
                </c:pt>
                <c:pt idx="13">
                  <c:v>574</c:v>
                </c:pt>
                <c:pt idx="14">
                  <c:v>604</c:v>
                </c:pt>
                <c:pt idx="15">
                  <c:v>578</c:v>
                </c:pt>
                <c:pt idx="16">
                  <c:v>640</c:v>
                </c:pt>
                <c:pt idx="17">
                  <c:v>583</c:v>
                </c:pt>
                <c:pt idx="18">
                  <c:v>624</c:v>
                </c:pt>
                <c:pt idx="19">
                  <c:v>579</c:v>
                </c:pt>
                <c:pt idx="20">
                  <c:v>617</c:v>
                </c:pt>
                <c:pt idx="21">
                  <c:v>610</c:v>
                </c:pt>
                <c:pt idx="22">
                  <c:v>680</c:v>
                </c:pt>
                <c:pt idx="23">
                  <c:v>608</c:v>
                </c:pt>
                <c:pt idx="24">
                  <c:v>614</c:v>
                </c:pt>
                <c:pt idx="25">
                  <c:v>650</c:v>
                </c:pt>
                <c:pt idx="26">
                  <c:v>649</c:v>
                </c:pt>
                <c:pt idx="27">
                  <c:v>608</c:v>
                </c:pt>
                <c:pt idx="28">
                  <c:v>638</c:v>
                </c:pt>
                <c:pt idx="29">
                  <c:v>583</c:v>
                </c:pt>
                <c:pt idx="30">
                  <c:v>629</c:v>
                </c:pt>
                <c:pt idx="31">
                  <c:v>579</c:v>
                </c:pt>
              </c:numCache>
            </c:numRef>
          </c:val>
          <c:smooth val="0"/>
        </c:ser>
        <c:ser>
          <c:idx val="1"/>
          <c:order val="1"/>
          <c:tx>
            <c:strRef>
              <c:f>'patient counts'!$H$2:$H$3</c:f>
              <c:strCache>
                <c:ptCount val="1"/>
                <c:pt idx="0">
                  <c:v>Prevalent</c:v>
                </c:pt>
              </c:strCache>
            </c:strRef>
          </c:tx>
          <c:cat>
            <c:strRef>
              <c:f>'patient counts'!$F$4:$F$36</c:f>
              <c:strCache>
                <c:ptCount val="32"/>
                <c:pt idx="0">
                  <c:v>2009Q3</c:v>
                </c:pt>
                <c:pt idx="1">
                  <c:v>2009Q4</c:v>
                </c:pt>
                <c:pt idx="2">
                  <c:v>2010Q1</c:v>
                </c:pt>
                <c:pt idx="3">
                  <c:v>2010Q2</c:v>
                </c:pt>
                <c:pt idx="4">
                  <c:v>2010Q3</c:v>
                </c:pt>
                <c:pt idx="5">
                  <c:v>2010Q4</c:v>
                </c:pt>
                <c:pt idx="6">
                  <c:v>2011Q1</c:v>
                </c:pt>
                <c:pt idx="7">
                  <c:v>2011Q2</c:v>
                </c:pt>
                <c:pt idx="8">
                  <c:v>2011Q3</c:v>
                </c:pt>
                <c:pt idx="9">
                  <c:v>2011Q4</c:v>
                </c:pt>
                <c:pt idx="10">
                  <c:v>2012Q1</c:v>
                </c:pt>
                <c:pt idx="11">
                  <c:v>2012Q2</c:v>
                </c:pt>
                <c:pt idx="12">
                  <c:v>2012Q3</c:v>
                </c:pt>
                <c:pt idx="13">
                  <c:v>2012Q4</c:v>
                </c:pt>
                <c:pt idx="14">
                  <c:v>2013Q1</c:v>
                </c:pt>
                <c:pt idx="15">
                  <c:v>2013Q2</c:v>
                </c:pt>
                <c:pt idx="16">
                  <c:v>2013Q3</c:v>
                </c:pt>
                <c:pt idx="17">
                  <c:v>2013Q4</c:v>
                </c:pt>
                <c:pt idx="18">
                  <c:v>2014Q1</c:v>
                </c:pt>
                <c:pt idx="19">
                  <c:v>2014Q2</c:v>
                </c:pt>
                <c:pt idx="20">
                  <c:v>2014Q3</c:v>
                </c:pt>
                <c:pt idx="21">
                  <c:v>2014Q4</c:v>
                </c:pt>
                <c:pt idx="22">
                  <c:v>2015Q1</c:v>
                </c:pt>
                <c:pt idx="23">
                  <c:v>2015Q2</c:v>
                </c:pt>
                <c:pt idx="24">
                  <c:v>2015Q3</c:v>
                </c:pt>
                <c:pt idx="25">
                  <c:v>2015Q4</c:v>
                </c:pt>
                <c:pt idx="26">
                  <c:v>2016Q1</c:v>
                </c:pt>
                <c:pt idx="27">
                  <c:v>2016Q2</c:v>
                </c:pt>
                <c:pt idx="28">
                  <c:v>2016Q3</c:v>
                </c:pt>
                <c:pt idx="29">
                  <c:v>2016Q4</c:v>
                </c:pt>
                <c:pt idx="30">
                  <c:v>2017Q1</c:v>
                </c:pt>
                <c:pt idx="31">
                  <c:v>2017Q2</c:v>
                </c:pt>
              </c:strCache>
            </c:strRef>
          </c:cat>
          <c:val>
            <c:numRef>
              <c:f>'patient counts'!$H$4:$H$36</c:f>
              <c:numCache>
                <c:formatCode>General</c:formatCode>
                <c:ptCount val="32"/>
                <c:pt idx="0">
                  <c:v>694</c:v>
                </c:pt>
                <c:pt idx="1">
                  <c:v>1117</c:v>
                </c:pt>
                <c:pt idx="2">
                  <c:v>1315</c:v>
                </c:pt>
                <c:pt idx="3">
                  <c:v>1505</c:v>
                </c:pt>
                <c:pt idx="4">
                  <c:v>1658</c:v>
                </c:pt>
                <c:pt idx="5">
                  <c:v>1769</c:v>
                </c:pt>
                <c:pt idx="6">
                  <c:v>1845</c:v>
                </c:pt>
                <c:pt idx="7">
                  <c:v>1858</c:v>
                </c:pt>
                <c:pt idx="8">
                  <c:v>2105</c:v>
                </c:pt>
                <c:pt idx="9">
                  <c:v>2308</c:v>
                </c:pt>
                <c:pt idx="10">
                  <c:v>2379</c:v>
                </c:pt>
                <c:pt idx="11">
                  <c:v>2443</c:v>
                </c:pt>
                <c:pt idx="12">
                  <c:v>2522</c:v>
                </c:pt>
                <c:pt idx="13">
                  <c:v>2541</c:v>
                </c:pt>
                <c:pt idx="14">
                  <c:v>2602</c:v>
                </c:pt>
                <c:pt idx="15">
                  <c:v>2689</c:v>
                </c:pt>
                <c:pt idx="16">
                  <c:v>2741</c:v>
                </c:pt>
                <c:pt idx="17">
                  <c:v>2713</c:v>
                </c:pt>
                <c:pt idx="18">
                  <c:v>2806</c:v>
                </c:pt>
                <c:pt idx="19">
                  <c:v>2815</c:v>
                </c:pt>
                <c:pt idx="20">
                  <c:v>2832</c:v>
                </c:pt>
                <c:pt idx="21">
                  <c:v>2843</c:v>
                </c:pt>
                <c:pt idx="22">
                  <c:v>2949</c:v>
                </c:pt>
                <c:pt idx="23">
                  <c:v>2908</c:v>
                </c:pt>
                <c:pt idx="24">
                  <c:v>2883</c:v>
                </c:pt>
                <c:pt idx="25">
                  <c:v>2981</c:v>
                </c:pt>
                <c:pt idx="26">
                  <c:v>3078</c:v>
                </c:pt>
                <c:pt idx="27">
                  <c:v>3096</c:v>
                </c:pt>
                <c:pt idx="28">
                  <c:v>3097</c:v>
                </c:pt>
                <c:pt idx="29">
                  <c:v>2987</c:v>
                </c:pt>
                <c:pt idx="30">
                  <c:v>3076</c:v>
                </c:pt>
                <c:pt idx="31">
                  <c:v>3005</c:v>
                </c:pt>
              </c:numCache>
            </c:numRef>
          </c:val>
          <c:smooth val="0"/>
        </c:ser>
        <c:dLbls>
          <c:showLegendKey val="0"/>
          <c:showVal val="0"/>
          <c:showCatName val="0"/>
          <c:showSerName val="0"/>
          <c:showPercent val="0"/>
          <c:showBubbleSize val="0"/>
        </c:dLbls>
        <c:marker val="1"/>
        <c:smooth val="0"/>
        <c:axId val="78224384"/>
        <c:axId val="84190336"/>
      </c:lineChart>
      <c:catAx>
        <c:axId val="78224384"/>
        <c:scaling>
          <c:orientation val="minMax"/>
        </c:scaling>
        <c:delete val="0"/>
        <c:axPos val="b"/>
        <c:majorTickMark val="out"/>
        <c:minorTickMark val="none"/>
        <c:tickLblPos val="nextTo"/>
        <c:txPr>
          <a:bodyPr rot="-5400000" vert="horz"/>
          <a:lstStyle/>
          <a:p>
            <a:pPr>
              <a:defRPr/>
            </a:pPr>
            <a:endParaRPr lang="en-US"/>
          </a:p>
        </c:txPr>
        <c:crossAx val="84190336"/>
        <c:crosses val="autoZero"/>
        <c:auto val="1"/>
        <c:lblAlgn val="ctr"/>
        <c:lblOffset val="100"/>
        <c:noMultiLvlLbl val="0"/>
      </c:catAx>
      <c:valAx>
        <c:axId val="84190336"/>
        <c:scaling>
          <c:orientation val="minMax"/>
        </c:scaling>
        <c:delete val="0"/>
        <c:axPos val="l"/>
        <c:majorGridlines/>
        <c:title>
          <c:tx>
            <c:rich>
              <a:bodyPr rot="-5400000" vert="horz"/>
              <a:lstStyle/>
              <a:p>
                <a:pPr>
                  <a:defRPr/>
                </a:pPr>
                <a:r>
                  <a:rPr lang="en-AU"/>
                  <a:t>Number</a:t>
                </a:r>
                <a:r>
                  <a:rPr lang="en-AU" baseline="0"/>
                  <a:t> of </a:t>
                </a:r>
                <a:r>
                  <a:rPr lang="en-AU" sz="1000" b="1" i="0" u="none" strike="noStrike" kern="1200" baseline="0">
                    <a:solidFill>
                      <a:sysClr val="windowText" lastClr="000000"/>
                    </a:solidFill>
                    <a:latin typeface="+mn-lt"/>
                    <a:ea typeface="+mn-ea"/>
                    <a:cs typeface="+mn-cs"/>
                  </a:rPr>
                  <a:t>patients</a:t>
                </a:r>
                <a:endParaRPr lang="en-AU"/>
              </a:p>
            </c:rich>
          </c:tx>
          <c:layout/>
          <c:overlay val="0"/>
        </c:title>
        <c:numFmt formatCode="General" sourceLinked="1"/>
        <c:majorTickMark val="out"/>
        <c:minorTickMark val="none"/>
        <c:tickLblPos val="nextTo"/>
        <c:crossAx val="78224384"/>
        <c:crosses val="autoZero"/>
        <c:crossBetween val="between"/>
      </c:valAx>
    </c:plotArea>
    <c:legend>
      <c:legendPos val="r"/>
      <c:layout>
        <c:manualLayout>
          <c:xMode val="edge"/>
          <c:yMode val="edge"/>
          <c:x val="0.30989675621175211"/>
          <c:y val="0.92546893272004371"/>
          <c:w val="0.43254012447718543"/>
          <c:h val="5.3352563602816969E-2"/>
        </c:manualLayout>
      </c:layout>
      <c:overlay val="0"/>
    </c:legend>
    <c:plotVisOnly val="1"/>
    <c:dispBlanksAs val="gap"/>
    <c:showDLblsOverMax val="0"/>
  </c:chart>
  <c:spPr>
    <a:ln>
      <a:noFill/>
    </a:ln>
  </c:spPr>
  <c:externalData r:id="rId2">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[D1022 Report tables v2.xlsx]INIT_PAT_SUMMARY!PivotTable3</c:name>
    <c:fmtId val="10"/>
  </c:pivotSource>
  <c:chart>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s>
    <c:plotArea>
      <c:layout>
        <c:manualLayout>
          <c:layoutTarget val="inner"/>
          <c:xMode val="edge"/>
          <c:yMode val="edge"/>
          <c:x val="0.12577446024027911"/>
          <c:y val="3.6551495660802784E-2"/>
          <c:w val="0.79115031386104062"/>
          <c:h val="0.59580555855175643"/>
        </c:manualLayout>
      </c:layout>
      <c:lineChart>
        <c:grouping val="standard"/>
        <c:varyColors val="0"/>
        <c:ser>
          <c:idx val="0"/>
          <c:order val="0"/>
          <c:tx>
            <c:strRef>
              <c:f>INIT_PAT_SUMMARY!$G$3:$G$4</c:f>
              <c:strCache>
                <c:ptCount val="1"/>
                <c:pt idx="0">
                  <c:v>BEVACIZUMAB</c:v>
                </c:pt>
              </c:strCache>
            </c:strRef>
          </c:tx>
          <c:cat>
            <c:strRef>
              <c:f>INIT_PAT_SUMMARY!$F$5:$F$37</c:f>
              <c:strCache>
                <c:ptCount val="32"/>
                <c:pt idx="0">
                  <c:v>2009Q3</c:v>
                </c:pt>
                <c:pt idx="1">
                  <c:v>2009Q4</c:v>
                </c:pt>
                <c:pt idx="2">
                  <c:v>2010Q1</c:v>
                </c:pt>
                <c:pt idx="3">
                  <c:v>2010Q2</c:v>
                </c:pt>
                <c:pt idx="4">
                  <c:v>2010Q3</c:v>
                </c:pt>
                <c:pt idx="5">
                  <c:v>2010Q4</c:v>
                </c:pt>
                <c:pt idx="6">
                  <c:v>2011Q1</c:v>
                </c:pt>
                <c:pt idx="7">
                  <c:v>2011Q2</c:v>
                </c:pt>
                <c:pt idx="8">
                  <c:v>2011Q3</c:v>
                </c:pt>
                <c:pt idx="9">
                  <c:v>2011Q4</c:v>
                </c:pt>
                <c:pt idx="10">
                  <c:v>2012Q1</c:v>
                </c:pt>
                <c:pt idx="11">
                  <c:v>2012Q2</c:v>
                </c:pt>
                <c:pt idx="12">
                  <c:v>2012Q3</c:v>
                </c:pt>
                <c:pt idx="13">
                  <c:v>2012Q4</c:v>
                </c:pt>
                <c:pt idx="14">
                  <c:v>2013Q1</c:v>
                </c:pt>
                <c:pt idx="15">
                  <c:v>2013Q2</c:v>
                </c:pt>
                <c:pt idx="16">
                  <c:v>2013Q3</c:v>
                </c:pt>
                <c:pt idx="17">
                  <c:v>2013Q4</c:v>
                </c:pt>
                <c:pt idx="18">
                  <c:v>2014Q1</c:v>
                </c:pt>
                <c:pt idx="19">
                  <c:v>2014Q2</c:v>
                </c:pt>
                <c:pt idx="20">
                  <c:v>2014Q3</c:v>
                </c:pt>
                <c:pt idx="21">
                  <c:v>2014Q4</c:v>
                </c:pt>
                <c:pt idx="22">
                  <c:v>2015Q1</c:v>
                </c:pt>
                <c:pt idx="23">
                  <c:v>2015Q2</c:v>
                </c:pt>
                <c:pt idx="24">
                  <c:v>2015Q3</c:v>
                </c:pt>
                <c:pt idx="25">
                  <c:v>2015Q4</c:v>
                </c:pt>
                <c:pt idx="26">
                  <c:v>2016Q1</c:v>
                </c:pt>
                <c:pt idx="27">
                  <c:v>2016Q2</c:v>
                </c:pt>
                <c:pt idx="28">
                  <c:v>2016Q3</c:v>
                </c:pt>
                <c:pt idx="29">
                  <c:v>2016Q4</c:v>
                </c:pt>
                <c:pt idx="30">
                  <c:v>2017Q1</c:v>
                </c:pt>
                <c:pt idx="31">
                  <c:v>2017Q2</c:v>
                </c:pt>
              </c:strCache>
            </c:strRef>
          </c:cat>
          <c:val>
            <c:numRef>
              <c:f>INIT_PAT_SUMMARY!$G$5:$G$37</c:f>
              <c:numCache>
                <c:formatCode>General</c:formatCode>
                <c:ptCount val="32"/>
                <c:pt idx="0">
                  <c:v>695</c:v>
                </c:pt>
                <c:pt idx="1">
                  <c:v>542</c:v>
                </c:pt>
                <c:pt idx="2">
                  <c:v>482</c:v>
                </c:pt>
                <c:pt idx="3">
                  <c:v>534</c:v>
                </c:pt>
                <c:pt idx="4">
                  <c:v>553</c:v>
                </c:pt>
                <c:pt idx="5">
                  <c:v>542</c:v>
                </c:pt>
                <c:pt idx="6">
                  <c:v>549</c:v>
                </c:pt>
                <c:pt idx="7">
                  <c:v>477</c:v>
                </c:pt>
                <c:pt idx="8">
                  <c:v>483</c:v>
                </c:pt>
                <c:pt idx="9">
                  <c:v>477</c:v>
                </c:pt>
                <c:pt idx="10">
                  <c:v>502</c:v>
                </c:pt>
                <c:pt idx="11">
                  <c:v>477</c:v>
                </c:pt>
                <c:pt idx="12">
                  <c:v>516</c:v>
                </c:pt>
                <c:pt idx="13">
                  <c:v>509</c:v>
                </c:pt>
                <c:pt idx="14">
                  <c:v>536</c:v>
                </c:pt>
                <c:pt idx="15">
                  <c:v>512</c:v>
                </c:pt>
                <c:pt idx="16">
                  <c:v>557</c:v>
                </c:pt>
                <c:pt idx="17">
                  <c:v>513</c:v>
                </c:pt>
                <c:pt idx="18">
                  <c:v>534</c:v>
                </c:pt>
                <c:pt idx="19">
                  <c:v>513</c:v>
                </c:pt>
                <c:pt idx="20">
                  <c:v>539</c:v>
                </c:pt>
                <c:pt idx="21">
                  <c:v>548</c:v>
                </c:pt>
                <c:pt idx="22">
                  <c:v>595</c:v>
                </c:pt>
                <c:pt idx="23">
                  <c:v>518</c:v>
                </c:pt>
                <c:pt idx="24">
                  <c:v>490</c:v>
                </c:pt>
                <c:pt idx="25">
                  <c:v>501</c:v>
                </c:pt>
                <c:pt idx="26">
                  <c:v>483</c:v>
                </c:pt>
                <c:pt idx="27">
                  <c:v>465</c:v>
                </c:pt>
                <c:pt idx="28">
                  <c:v>476</c:v>
                </c:pt>
                <c:pt idx="29">
                  <c:v>446</c:v>
                </c:pt>
                <c:pt idx="30">
                  <c:v>468</c:v>
                </c:pt>
                <c:pt idx="31">
                  <c:v>436</c:v>
                </c:pt>
              </c:numCache>
            </c:numRef>
          </c:val>
          <c:smooth val="0"/>
        </c:ser>
        <c:ser>
          <c:idx val="1"/>
          <c:order val="1"/>
          <c:tx>
            <c:strRef>
              <c:f>INIT_PAT_SUMMARY!$H$3:$H$4</c:f>
              <c:strCache>
                <c:ptCount val="1"/>
                <c:pt idx="0">
                  <c:v>CETUXIMAB</c:v>
                </c:pt>
              </c:strCache>
            </c:strRef>
          </c:tx>
          <c:cat>
            <c:strRef>
              <c:f>INIT_PAT_SUMMARY!$F$5:$F$37</c:f>
              <c:strCache>
                <c:ptCount val="32"/>
                <c:pt idx="0">
                  <c:v>2009Q3</c:v>
                </c:pt>
                <c:pt idx="1">
                  <c:v>2009Q4</c:v>
                </c:pt>
                <c:pt idx="2">
                  <c:v>2010Q1</c:v>
                </c:pt>
                <c:pt idx="3">
                  <c:v>2010Q2</c:v>
                </c:pt>
                <c:pt idx="4">
                  <c:v>2010Q3</c:v>
                </c:pt>
                <c:pt idx="5">
                  <c:v>2010Q4</c:v>
                </c:pt>
                <c:pt idx="6">
                  <c:v>2011Q1</c:v>
                </c:pt>
                <c:pt idx="7">
                  <c:v>2011Q2</c:v>
                </c:pt>
                <c:pt idx="8">
                  <c:v>2011Q3</c:v>
                </c:pt>
                <c:pt idx="9">
                  <c:v>2011Q4</c:v>
                </c:pt>
                <c:pt idx="10">
                  <c:v>2012Q1</c:v>
                </c:pt>
                <c:pt idx="11">
                  <c:v>2012Q2</c:v>
                </c:pt>
                <c:pt idx="12">
                  <c:v>2012Q3</c:v>
                </c:pt>
                <c:pt idx="13">
                  <c:v>2012Q4</c:v>
                </c:pt>
                <c:pt idx="14">
                  <c:v>2013Q1</c:v>
                </c:pt>
                <c:pt idx="15">
                  <c:v>2013Q2</c:v>
                </c:pt>
                <c:pt idx="16">
                  <c:v>2013Q3</c:v>
                </c:pt>
                <c:pt idx="17">
                  <c:v>2013Q4</c:v>
                </c:pt>
                <c:pt idx="18">
                  <c:v>2014Q1</c:v>
                </c:pt>
                <c:pt idx="19">
                  <c:v>2014Q2</c:v>
                </c:pt>
                <c:pt idx="20">
                  <c:v>2014Q3</c:v>
                </c:pt>
                <c:pt idx="21">
                  <c:v>2014Q4</c:v>
                </c:pt>
                <c:pt idx="22">
                  <c:v>2015Q1</c:v>
                </c:pt>
                <c:pt idx="23">
                  <c:v>2015Q2</c:v>
                </c:pt>
                <c:pt idx="24">
                  <c:v>2015Q3</c:v>
                </c:pt>
                <c:pt idx="25">
                  <c:v>2015Q4</c:v>
                </c:pt>
                <c:pt idx="26">
                  <c:v>2016Q1</c:v>
                </c:pt>
                <c:pt idx="27">
                  <c:v>2016Q2</c:v>
                </c:pt>
                <c:pt idx="28">
                  <c:v>2016Q3</c:v>
                </c:pt>
                <c:pt idx="29">
                  <c:v>2016Q4</c:v>
                </c:pt>
                <c:pt idx="30">
                  <c:v>2017Q1</c:v>
                </c:pt>
                <c:pt idx="31">
                  <c:v>2017Q2</c:v>
                </c:pt>
              </c:strCache>
            </c:strRef>
          </c:cat>
          <c:val>
            <c:numRef>
              <c:f>INIT_PAT_SUMMARY!$H$5:$H$37</c:f>
              <c:numCache>
                <c:formatCode>General</c:formatCode>
                <c:ptCount val="32"/>
                <c:pt idx="23">
                  <c:v>74</c:v>
                </c:pt>
                <c:pt idx="24">
                  <c:v>112</c:v>
                </c:pt>
                <c:pt idx="25">
                  <c:v>119</c:v>
                </c:pt>
                <c:pt idx="26">
                  <c:v>125</c:v>
                </c:pt>
                <c:pt idx="27">
                  <c:v>112</c:v>
                </c:pt>
                <c:pt idx="28">
                  <c:v>123</c:v>
                </c:pt>
                <c:pt idx="29">
                  <c:v>105</c:v>
                </c:pt>
                <c:pt idx="30">
                  <c:v>112</c:v>
                </c:pt>
                <c:pt idx="31">
                  <c:v>99</c:v>
                </c:pt>
              </c:numCache>
            </c:numRef>
          </c:val>
          <c:smooth val="0"/>
        </c:ser>
        <c:ser>
          <c:idx val="2"/>
          <c:order val="2"/>
          <c:tx>
            <c:strRef>
              <c:f>INIT_PAT_SUMMARY!$I$3:$I$4</c:f>
              <c:strCache>
                <c:ptCount val="1"/>
                <c:pt idx="0">
                  <c:v>PANITUMUMAB</c:v>
                </c:pt>
              </c:strCache>
            </c:strRef>
          </c:tx>
          <c:cat>
            <c:strRef>
              <c:f>INIT_PAT_SUMMARY!$F$5:$F$37</c:f>
              <c:strCache>
                <c:ptCount val="32"/>
                <c:pt idx="0">
                  <c:v>2009Q3</c:v>
                </c:pt>
                <c:pt idx="1">
                  <c:v>2009Q4</c:v>
                </c:pt>
                <c:pt idx="2">
                  <c:v>2010Q1</c:v>
                </c:pt>
                <c:pt idx="3">
                  <c:v>2010Q2</c:v>
                </c:pt>
                <c:pt idx="4">
                  <c:v>2010Q3</c:v>
                </c:pt>
                <c:pt idx="5">
                  <c:v>2010Q4</c:v>
                </c:pt>
                <c:pt idx="6">
                  <c:v>2011Q1</c:v>
                </c:pt>
                <c:pt idx="7">
                  <c:v>2011Q2</c:v>
                </c:pt>
                <c:pt idx="8">
                  <c:v>2011Q3</c:v>
                </c:pt>
                <c:pt idx="9">
                  <c:v>2011Q4</c:v>
                </c:pt>
                <c:pt idx="10">
                  <c:v>2012Q1</c:v>
                </c:pt>
                <c:pt idx="11">
                  <c:v>2012Q2</c:v>
                </c:pt>
                <c:pt idx="12">
                  <c:v>2012Q3</c:v>
                </c:pt>
                <c:pt idx="13">
                  <c:v>2012Q4</c:v>
                </c:pt>
                <c:pt idx="14">
                  <c:v>2013Q1</c:v>
                </c:pt>
                <c:pt idx="15">
                  <c:v>2013Q2</c:v>
                </c:pt>
                <c:pt idx="16">
                  <c:v>2013Q3</c:v>
                </c:pt>
                <c:pt idx="17">
                  <c:v>2013Q4</c:v>
                </c:pt>
                <c:pt idx="18">
                  <c:v>2014Q1</c:v>
                </c:pt>
                <c:pt idx="19">
                  <c:v>2014Q2</c:v>
                </c:pt>
                <c:pt idx="20">
                  <c:v>2014Q3</c:v>
                </c:pt>
                <c:pt idx="21">
                  <c:v>2014Q4</c:v>
                </c:pt>
                <c:pt idx="22">
                  <c:v>2015Q1</c:v>
                </c:pt>
                <c:pt idx="23">
                  <c:v>2015Q2</c:v>
                </c:pt>
                <c:pt idx="24">
                  <c:v>2015Q3</c:v>
                </c:pt>
                <c:pt idx="25">
                  <c:v>2015Q4</c:v>
                </c:pt>
                <c:pt idx="26">
                  <c:v>2016Q1</c:v>
                </c:pt>
                <c:pt idx="27">
                  <c:v>2016Q2</c:v>
                </c:pt>
                <c:pt idx="28">
                  <c:v>2016Q3</c:v>
                </c:pt>
                <c:pt idx="29">
                  <c:v>2016Q4</c:v>
                </c:pt>
                <c:pt idx="30">
                  <c:v>2017Q1</c:v>
                </c:pt>
                <c:pt idx="31">
                  <c:v>2017Q2</c:v>
                </c:pt>
              </c:strCache>
            </c:strRef>
          </c:cat>
          <c:val>
            <c:numRef>
              <c:f>INIT_PAT_SUMMARY!$I$5:$I$37</c:f>
              <c:numCache>
                <c:formatCode>General</c:formatCode>
                <c:ptCount val="32"/>
                <c:pt idx="24">
                  <c:v>12</c:v>
                </c:pt>
                <c:pt idx="25">
                  <c:v>30</c:v>
                </c:pt>
                <c:pt idx="26">
                  <c:v>41</c:v>
                </c:pt>
                <c:pt idx="27">
                  <c:v>32</c:v>
                </c:pt>
                <c:pt idx="28">
                  <c:v>39</c:v>
                </c:pt>
                <c:pt idx="29">
                  <c:v>32</c:v>
                </c:pt>
                <c:pt idx="30">
                  <c:v>49</c:v>
                </c:pt>
                <c:pt idx="31">
                  <c:v>43</c:v>
                </c:pt>
              </c:numCache>
            </c:numRef>
          </c:val>
          <c:smooth val="0"/>
        </c:ser>
        <c:dLbls>
          <c:showLegendKey val="0"/>
          <c:showVal val="0"/>
          <c:showCatName val="0"/>
          <c:showSerName val="0"/>
          <c:showPercent val="0"/>
          <c:showBubbleSize val="0"/>
        </c:dLbls>
        <c:marker val="1"/>
        <c:smooth val="0"/>
        <c:axId val="220423680"/>
        <c:axId val="221032448"/>
      </c:lineChart>
      <c:catAx>
        <c:axId val="220423680"/>
        <c:scaling>
          <c:orientation val="minMax"/>
        </c:scaling>
        <c:delete val="0"/>
        <c:axPos val="b"/>
        <c:majorTickMark val="out"/>
        <c:minorTickMark val="none"/>
        <c:tickLblPos val="nextTo"/>
        <c:txPr>
          <a:bodyPr rot="-5400000" vert="horz"/>
          <a:lstStyle/>
          <a:p>
            <a:pPr>
              <a:defRPr/>
            </a:pPr>
            <a:endParaRPr lang="en-US"/>
          </a:p>
        </c:txPr>
        <c:crossAx val="221032448"/>
        <c:crosses val="autoZero"/>
        <c:auto val="1"/>
        <c:lblAlgn val="ctr"/>
        <c:lblOffset val="100"/>
        <c:noMultiLvlLbl val="0"/>
      </c:catAx>
      <c:valAx>
        <c:axId val="221032448"/>
        <c:scaling>
          <c:orientation val="minMax"/>
        </c:scaling>
        <c:delete val="0"/>
        <c:axPos val="l"/>
        <c:majorGridlines/>
        <c:title>
          <c:tx>
            <c:rich>
              <a:bodyPr rot="-5400000" vert="horz"/>
              <a:lstStyle/>
              <a:p>
                <a:pPr>
                  <a:defRPr/>
                </a:pPr>
                <a:r>
                  <a:rPr lang="en-AU"/>
                  <a:t>Number</a:t>
                </a:r>
                <a:r>
                  <a:rPr lang="en-AU" baseline="0"/>
                  <a:t> of incident </a:t>
                </a:r>
                <a:r>
                  <a:rPr lang="en-AU" sz="1000" b="1" i="0" u="none" strike="noStrike" kern="1200" baseline="0">
                    <a:solidFill>
                      <a:sysClr val="windowText" lastClr="000000"/>
                    </a:solidFill>
                    <a:latin typeface="+mn-lt"/>
                    <a:ea typeface="+mn-ea"/>
                    <a:cs typeface="+mn-cs"/>
                  </a:rPr>
                  <a:t>patients</a:t>
                </a:r>
                <a:endParaRPr lang="en-AU"/>
              </a:p>
            </c:rich>
          </c:tx>
          <c:layout/>
          <c:overlay val="0"/>
        </c:title>
        <c:numFmt formatCode="General" sourceLinked="1"/>
        <c:majorTickMark val="out"/>
        <c:minorTickMark val="none"/>
        <c:tickLblPos val="nextTo"/>
        <c:crossAx val="220423680"/>
        <c:crosses val="autoZero"/>
        <c:crossBetween val="between"/>
      </c:valAx>
    </c:plotArea>
    <c:legend>
      <c:legendPos val="r"/>
      <c:layout>
        <c:manualLayout>
          <c:xMode val="edge"/>
          <c:yMode val="edge"/>
          <c:x val="0.18142114749317537"/>
          <c:y val="0.84718584834429944"/>
          <c:w val="0.68814122355442986"/>
          <c:h val="6.0078141323186847E-2"/>
        </c:manualLayout>
      </c:layout>
      <c:overlay val="0"/>
    </c:legend>
    <c:plotVisOnly val="1"/>
    <c:dispBlanksAs val="gap"/>
    <c:showDLblsOverMax val="0"/>
  </c:chart>
  <c:spPr>
    <a:ln>
      <a:noFill/>
    </a:ln>
  </c:spPr>
  <c:externalData r:id="rId1">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[Report 1022 tables and figures final.xlsx]Prevalent patients by line!PivotTable7</c:name>
    <c:fmtId val="8"/>
  </c:pivotSource>
  <c:chart>
    <c:autoTitleDeleted val="0"/>
    <c:pivotFmts>
      <c:pivotFmt>
        <c:idx val="0"/>
        <c:marker>
          <c:symbol val="none"/>
        </c:marker>
      </c:pivotFmt>
      <c:pivotFmt>
        <c:idx val="1"/>
        <c:marker>
          <c:symbol val="none"/>
        </c:marker>
      </c:pivotFmt>
      <c:pivotFmt>
        <c:idx val="2"/>
        <c:marker>
          <c:symbol val="none"/>
        </c:marker>
      </c:pivotFmt>
      <c:pivotFmt>
        <c:idx val="3"/>
        <c:spPr>
          <a:solidFill>
            <a:srgbClr val="FFFF00"/>
          </a:solidFill>
        </c:spPr>
        <c:marker>
          <c:symbol val="none"/>
        </c:marker>
      </c:pivotFmt>
      <c:pivotFmt>
        <c:idx val="4"/>
        <c:marker>
          <c:symbol val="none"/>
        </c:marker>
      </c:pivotFmt>
      <c:pivotFmt>
        <c:idx val="5"/>
        <c:spPr>
          <a:solidFill>
            <a:schemeClr val="accent6"/>
          </a:solidFill>
        </c:spPr>
        <c:marker>
          <c:symbol val="none"/>
        </c:marker>
      </c:pivotFmt>
      <c:pivotFmt>
        <c:idx val="6"/>
        <c:marker>
          <c:symbol val="none"/>
        </c:marker>
      </c:pivotFmt>
      <c:pivotFmt>
        <c:idx val="7"/>
        <c:spPr>
          <a:solidFill>
            <a:srgbClr val="0000FF"/>
          </a:solidFill>
        </c:spPr>
        <c:marker>
          <c:symbol val="none"/>
        </c:marker>
      </c:pivotFmt>
      <c:pivotFmt>
        <c:idx val="8"/>
        <c:spPr>
          <a:solidFill>
            <a:srgbClr val="00B0F0"/>
          </a:solidFill>
        </c:spPr>
        <c:marker>
          <c:symbol val="none"/>
        </c:marker>
      </c:pivotFmt>
      <c:pivotFmt>
        <c:idx val="9"/>
        <c:spPr>
          <a:solidFill>
            <a:schemeClr val="accent3">
              <a:lumMod val="50000"/>
            </a:schemeClr>
          </a:solidFill>
        </c:spPr>
        <c:marker>
          <c:symbol val="none"/>
        </c:marker>
      </c:pivotFmt>
      <c:pivotFmt>
        <c:idx val="10"/>
        <c:spPr>
          <a:solidFill>
            <a:srgbClr val="00B050"/>
          </a:solidFill>
        </c:spPr>
        <c:marker>
          <c:symbol val="none"/>
        </c:marker>
      </c:pivotFmt>
      <c:pivotFmt>
        <c:idx val="11"/>
        <c:marker>
          <c:symbol val="none"/>
        </c:marker>
      </c:pivotFmt>
      <c:pivotFmt>
        <c:idx val="12"/>
        <c:spPr>
          <a:solidFill>
            <a:srgbClr val="FFFF00"/>
          </a:solidFill>
        </c:spPr>
        <c:marker>
          <c:symbol val="none"/>
        </c:marker>
      </c:pivotFmt>
      <c:pivotFmt>
        <c:idx val="13"/>
        <c:marker>
          <c:symbol val="none"/>
        </c:marker>
      </c:pivotFmt>
      <c:pivotFmt>
        <c:idx val="14"/>
        <c:spPr>
          <a:solidFill>
            <a:schemeClr val="accent6"/>
          </a:solidFill>
        </c:spPr>
        <c:marker>
          <c:symbol val="none"/>
        </c:marker>
      </c:pivotFmt>
      <c:pivotFmt>
        <c:idx val="15"/>
        <c:marker>
          <c:symbol val="none"/>
        </c:marker>
      </c:pivotFmt>
      <c:pivotFmt>
        <c:idx val="16"/>
        <c:spPr>
          <a:solidFill>
            <a:srgbClr val="0000FF"/>
          </a:solidFill>
        </c:spPr>
        <c:marker>
          <c:symbol val="none"/>
        </c:marker>
      </c:pivotFmt>
      <c:pivotFmt>
        <c:idx val="17"/>
        <c:spPr>
          <a:solidFill>
            <a:srgbClr val="00B0F0"/>
          </a:solidFill>
        </c:spPr>
        <c:marker>
          <c:symbol val="none"/>
        </c:marker>
      </c:pivotFmt>
      <c:pivotFmt>
        <c:idx val="18"/>
        <c:spPr>
          <a:solidFill>
            <a:schemeClr val="accent3">
              <a:lumMod val="50000"/>
            </a:schemeClr>
          </a:solidFill>
        </c:spPr>
        <c:marker>
          <c:symbol val="none"/>
        </c:marker>
      </c:pivotFmt>
      <c:pivotFmt>
        <c:idx val="19"/>
        <c:spPr>
          <a:solidFill>
            <a:srgbClr val="00B050"/>
          </a:solidFill>
        </c:spPr>
        <c:marker>
          <c:symbol val="none"/>
        </c:marker>
      </c:pivotFmt>
      <c:pivotFmt>
        <c:idx val="20"/>
        <c:marker>
          <c:symbol val="none"/>
        </c:marker>
      </c:pivotFmt>
      <c:pivotFmt>
        <c:idx val="21"/>
        <c:spPr>
          <a:solidFill>
            <a:srgbClr val="FFFF00"/>
          </a:solidFill>
        </c:spPr>
        <c:marker>
          <c:symbol val="none"/>
        </c:marker>
      </c:pivotFmt>
      <c:pivotFmt>
        <c:idx val="22"/>
        <c:marker>
          <c:symbol val="none"/>
        </c:marker>
      </c:pivotFmt>
      <c:pivotFmt>
        <c:idx val="23"/>
        <c:spPr>
          <a:solidFill>
            <a:schemeClr val="accent6"/>
          </a:solidFill>
        </c:spPr>
        <c:marker>
          <c:symbol val="none"/>
        </c:marker>
      </c:pivotFmt>
      <c:pivotFmt>
        <c:idx val="24"/>
        <c:marker>
          <c:symbol val="none"/>
        </c:marker>
      </c:pivotFmt>
      <c:pivotFmt>
        <c:idx val="25"/>
        <c:spPr>
          <a:solidFill>
            <a:srgbClr val="0000FF"/>
          </a:solidFill>
        </c:spPr>
        <c:marker>
          <c:symbol val="none"/>
        </c:marker>
      </c:pivotFmt>
      <c:pivotFmt>
        <c:idx val="26"/>
        <c:spPr>
          <a:solidFill>
            <a:srgbClr val="00B0F0"/>
          </a:solidFill>
        </c:spPr>
        <c:marker>
          <c:symbol val="none"/>
        </c:marker>
      </c:pivotFmt>
      <c:pivotFmt>
        <c:idx val="27"/>
        <c:spPr>
          <a:solidFill>
            <a:schemeClr val="accent3">
              <a:lumMod val="50000"/>
            </a:schemeClr>
          </a:solidFill>
        </c:spPr>
        <c:marker>
          <c:symbol val="none"/>
        </c:marker>
      </c:pivotFmt>
      <c:pivotFmt>
        <c:idx val="28"/>
        <c:spPr>
          <a:solidFill>
            <a:srgbClr val="00B050"/>
          </a:solidFill>
        </c:spPr>
        <c:marker>
          <c:symbol val="none"/>
        </c:marker>
      </c:pivotFmt>
      <c:pivotFmt>
        <c:idx val="29"/>
        <c:marker>
          <c:symbol val="none"/>
        </c:marker>
      </c:pivotFmt>
    </c:pivotFmts>
    <c:plotArea>
      <c:layout>
        <c:manualLayout>
          <c:layoutTarget val="inner"/>
          <c:xMode val="edge"/>
          <c:yMode val="edge"/>
          <c:x val="0.10893019200507283"/>
          <c:y val="3.7382221161748719E-2"/>
          <c:w val="0.85729148790114984"/>
          <c:h val="0.60111093786544012"/>
        </c:manualLayout>
      </c:layout>
      <c:areaChart>
        <c:grouping val="stacked"/>
        <c:varyColors val="0"/>
        <c:ser>
          <c:idx val="0"/>
          <c:order val="0"/>
          <c:tx>
            <c:strRef>
              <c:f>'Prevalent patients by line'!$T$2:$T$4</c:f>
              <c:strCache>
                <c:ptCount val="1"/>
                <c:pt idx="0">
                  <c:v>BEVACIZUMAB - After second-line</c:v>
                </c:pt>
              </c:strCache>
            </c:strRef>
          </c:tx>
          <c:spPr>
            <a:solidFill>
              <a:srgbClr val="FFFF00"/>
            </a:solidFill>
          </c:spPr>
          <c:cat>
            <c:strRef>
              <c:f>'Prevalent patients by line'!$S$5:$S$37</c:f>
              <c:strCache>
                <c:ptCount val="32"/>
                <c:pt idx="0">
                  <c:v>2009Q3</c:v>
                </c:pt>
                <c:pt idx="1">
                  <c:v>2009Q4</c:v>
                </c:pt>
                <c:pt idx="2">
                  <c:v>2010Q1</c:v>
                </c:pt>
                <c:pt idx="3">
                  <c:v>2010Q2</c:v>
                </c:pt>
                <c:pt idx="4">
                  <c:v>2010Q3</c:v>
                </c:pt>
                <c:pt idx="5">
                  <c:v>2010Q4</c:v>
                </c:pt>
                <c:pt idx="6">
                  <c:v>2011Q1</c:v>
                </c:pt>
                <c:pt idx="7">
                  <c:v>2011Q2</c:v>
                </c:pt>
                <c:pt idx="8">
                  <c:v>2011Q3</c:v>
                </c:pt>
                <c:pt idx="9">
                  <c:v>2011Q4</c:v>
                </c:pt>
                <c:pt idx="10">
                  <c:v>2012Q1</c:v>
                </c:pt>
                <c:pt idx="11">
                  <c:v>2012Q2</c:v>
                </c:pt>
                <c:pt idx="12">
                  <c:v>2012Q3</c:v>
                </c:pt>
                <c:pt idx="13">
                  <c:v>2012Q4</c:v>
                </c:pt>
                <c:pt idx="14">
                  <c:v>2013Q1</c:v>
                </c:pt>
                <c:pt idx="15">
                  <c:v>2013Q2</c:v>
                </c:pt>
                <c:pt idx="16">
                  <c:v>2013Q3</c:v>
                </c:pt>
                <c:pt idx="17">
                  <c:v>2013Q4</c:v>
                </c:pt>
                <c:pt idx="18">
                  <c:v>2014Q1</c:v>
                </c:pt>
                <c:pt idx="19">
                  <c:v>2014Q2</c:v>
                </c:pt>
                <c:pt idx="20">
                  <c:v>2014Q3</c:v>
                </c:pt>
                <c:pt idx="21">
                  <c:v>2014Q4</c:v>
                </c:pt>
                <c:pt idx="22">
                  <c:v>2015Q1</c:v>
                </c:pt>
                <c:pt idx="23">
                  <c:v>2015Q2</c:v>
                </c:pt>
                <c:pt idx="24">
                  <c:v>2015Q3</c:v>
                </c:pt>
                <c:pt idx="25">
                  <c:v>2015Q4</c:v>
                </c:pt>
                <c:pt idx="26">
                  <c:v>2016Q1</c:v>
                </c:pt>
                <c:pt idx="27">
                  <c:v>2016Q2</c:v>
                </c:pt>
                <c:pt idx="28">
                  <c:v>2016Q3</c:v>
                </c:pt>
                <c:pt idx="29">
                  <c:v>2016Q4</c:v>
                </c:pt>
                <c:pt idx="30">
                  <c:v>2017Q1</c:v>
                </c:pt>
                <c:pt idx="31">
                  <c:v>2017Q2</c:v>
                </c:pt>
              </c:strCache>
            </c:strRef>
          </c:cat>
          <c:val>
            <c:numRef>
              <c:f>'Prevalent patients by line'!$T$5:$T$37</c:f>
              <c:numCache>
                <c:formatCode>General</c:formatCode>
                <c:ptCount val="32"/>
                <c:pt idx="8">
                  <c:v>3</c:v>
                </c:pt>
                <c:pt idx="9">
                  <c:v>8</c:v>
                </c:pt>
                <c:pt idx="10">
                  <c:v>9</c:v>
                </c:pt>
                <c:pt idx="11">
                  <c:v>11</c:v>
                </c:pt>
                <c:pt idx="12">
                  <c:v>12</c:v>
                </c:pt>
                <c:pt idx="13">
                  <c:v>12</c:v>
                </c:pt>
                <c:pt idx="14">
                  <c:v>13</c:v>
                </c:pt>
                <c:pt idx="15">
                  <c:v>8</c:v>
                </c:pt>
                <c:pt idx="16">
                  <c:v>11</c:v>
                </c:pt>
                <c:pt idx="17">
                  <c:v>11</c:v>
                </c:pt>
                <c:pt idx="18">
                  <c:v>13</c:v>
                </c:pt>
                <c:pt idx="19">
                  <c:v>10</c:v>
                </c:pt>
                <c:pt idx="20">
                  <c:v>11</c:v>
                </c:pt>
                <c:pt idx="21">
                  <c:v>14</c:v>
                </c:pt>
                <c:pt idx="22">
                  <c:v>15</c:v>
                </c:pt>
                <c:pt idx="23">
                  <c:v>16</c:v>
                </c:pt>
                <c:pt idx="24">
                  <c:v>17</c:v>
                </c:pt>
                <c:pt idx="25">
                  <c:v>20</c:v>
                </c:pt>
                <c:pt idx="26">
                  <c:v>28</c:v>
                </c:pt>
                <c:pt idx="27">
                  <c:v>28</c:v>
                </c:pt>
                <c:pt idx="28">
                  <c:v>33</c:v>
                </c:pt>
                <c:pt idx="29">
                  <c:v>27</c:v>
                </c:pt>
                <c:pt idx="30">
                  <c:v>33</c:v>
                </c:pt>
                <c:pt idx="31">
                  <c:v>26</c:v>
                </c:pt>
              </c:numCache>
            </c:numRef>
          </c:val>
        </c:ser>
        <c:ser>
          <c:idx val="1"/>
          <c:order val="1"/>
          <c:tx>
            <c:strRef>
              <c:f>'Prevalent patients by line'!$U$2:$U$4</c:f>
              <c:strCache>
                <c:ptCount val="1"/>
                <c:pt idx="0">
                  <c:v>BEVACIZUMAB - First-line</c:v>
                </c:pt>
              </c:strCache>
            </c:strRef>
          </c:tx>
          <c:cat>
            <c:strRef>
              <c:f>'Prevalent patients by line'!$S$5:$S$37</c:f>
              <c:strCache>
                <c:ptCount val="32"/>
                <c:pt idx="0">
                  <c:v>2009Q3</c:v>
                </c:pt>
                <c:pt idx="1">
                  <c:v>2009Q4</c:v>
                </c:pt>
                <c:pt idx="2">
                  <c:v>2010Q1</c:v>
                </c:pt>
                <c:pt idx="3">
                  <c:v>2010Q2</c:v>
                </c:pt>
                <c:pt idx="4">
                  <c:v>2010Q3</c:v>
                </c:pt>
                <c:pt idx="5">
                  <c:v>2010Q4</c:v>
                </c:pt>
                <c:pt idx="6">
                  <c:v>2011Q1</c:v>
                </c:pt>
                <c:pt idx="7">
                  <c:v>2011Q2</c:v>
                </c:pt>
                <c:pt idx="8">
                  <c:v>2011Q3</c:v>
                </c:pt>
                <c:pt idx="9">
                  <c:v>2011Q4</c:v>
                </c:pt>
                <c:pt idx="10">
                  <c:v>2012Q1</c:v>
                </c:pt>
                <c:pt idx="11">
                  <c:v>2012Q2</c:v>
                </c:pt>
                <c:pt idx="12">
                  <c:v>2012Q3</c:v>
                </c:pt>
                <c:pt idx="13">
                  <c:v>2012Q4</c:v>
                </c:pt>
                <c:pt idx="14">
                  <c:v>2013Q1</c:v>
                </c:pt>
                <c:pt idx="15">
                  <c:v>2013Q2</c:v>
                </c:pt>
                <c:pt idx="16">
                  <c:v>2013Q3</c:v>
                </c:pt>
                <c:pt idx="17">
                  <c:v>2013Q4</c:v>
                </c:pt>
                <c:pt idx="18">
                  <c:v>2014Q1</c:v>
                </c:pt>
                <c:pt idx="19">
                  <c:v>2014Q2</c:v>
                </c:pt>
                <c:pt idx="20">
                  <c:v>2014Q3</c:v>
                </c:pt>
                <c:pt idx="21">
                  <c:v>2014Q4</c:v>
                </c:pt>
                <c:pt idx="22">
                  <c:v>2015Q1</c:v>
                </c:pt>
                <c:pt idx="23">
                  <c:v>2015Q2</c:v>
                </c:pt>
                <c:pt idx="24">
                  <c:v>2015Q3</c:v>
                </c:pt>
                <c:pt idx="25">
                  <c:v>2015Q4</c:v>
                </c:pt>
                <c:pt idx="26">
                  <c:v>2016Q1</c:v>
                </c:pt>
                <c:pt idx="27">
                  <c:v>2016Q2</c:v>
                </c:pt>
                <c:pt idx="28">
                  <c:v>2016Q3</c:v>
                </c:pt>
                <c:pt idx="29">
                  <c:v>2016Q4</c:v>
                </c:pt>
                <c:pt idx="30">
                  <c:v>2017Q1</c:v>
                </c:pt>
                <c:pt idx="31">
                  <c:v>2017Q2</c:v>
                </c:pt>
              </c:strCache>
            </c:strRef>
          </c:cat>
          <c:val>
            <c:numRef>
              <c:f>'Prevalent patients by line'!$U$5:$U$37</c:f>
              <c:numCache>
                <c:formatCode>General</c:formatCode>
                <c:ptCount val="32"/>
                <c:pt idx="0">
                  <c:v>694</c:v>
                </c:pt>
                <c:pt idx="1">
                  <c:v>1117</c:v>
                </c:pt>
                <c:pt idx="2">
                  <c:v>1315</c:v>
                </c:pt>
                <c:pt idx="3">
                  <c:v>1505</c:v>
                </c:pt>
                <c:pt idx="4">
                  <c:v>1658</c:v>
                </c:pt>
                <c:pt idx="5">
                  <c:v>1769</c:v>
                </c:pt>
                <c:pt idx="6">
                  <c:v>1845</c:v>
                </c:pt>
                <c:pt idx="7">
                  <c:v>1858</c:v>
                </c:pt>
                <c:pt idx="8">
                  <c:v>1849</c:v>
                </c:pt>
                <c:pt idx="9">
                  <c:v>1815</c:v>
                </c:pt>
                <c:pt idx="10">
                  <c:v>1834</c:v>
                </c:pt>
                <c:pt idx="11">
                  <c:v>1835</c:v>
                </c:pt>
                <c:pt idx="12">
                  <c:v>1889</c:v>
                </c:pt>
                <c:pt idx="13">
                  <c:v>1940</c:v>
                </c:pt>
                <c:pt idx="14">
                  <c:v>2020</c:v>
                </c:pt>
                <c:pt idx="15">
                  <c:v>2102</c:v>
                </c:pt>
                <c:pt idx="16">
                  <c:v>2104</c:v>
                </c:pt>
                <c:pt idx="17">
                  <c:v>2073</c:v>
                </c:pt>
                <c:pt idx="18">
                  <c:v>2152</c:v>
                </c:pt>
                <c:pt idx="19">
                  <c:v>2144</c:v>
                </c:pt>
                <c:pt idx="20">
                  <c:v>2159</c:v>
                </c:pt>
                <c:pt idx="21">
                  <c:v>2169</c:v>
                </c:pt>
                <c:pt idx="22">
                  <c:v>2262</c:v>
                </c:pt>
                <c:pt idx="23">
                  <c:v>2218</c:v>
                </c:pt>
                <c:pt idx="24">
                  <c:v>2166</c:v>
                </c:pt>
                <c:pt idx="25">
                  <c:v>2196</c:v>
                </c:pt>
                <c:pt idx="26">
                  <c:v>2185</c:v>
                </c:pt>
                <c:pt idx="27">
                  <c:v>2165</c:v>
                </c:pt>
                <c:pt idx="28">
                  <c:v>2137</c:v>
                </c:pt>
                <c:pt idx="29">
                  <c:v>2055</c:v>
                </c:pt>
                <c:pt idx="30">
                  <c:v>2079</c:v>
                </c:pt>
                <c:pt idx="31">
                  <c:v>2026</c:v>
                </c:pt>
              </c:numCache>
            </c:numRef>
          </c:val>
        </c:ser>
        <c:ser>
          <c:idx val="2"/>
          <c:order val="2"/>
          <c:tx>
            <c:strRef>
              <c:f>'Prevalent patients by line'!$V$2:$V$4</c:f>
              <c:strCache>
                <c:ptCount val="1"/>
                <c:pt idx="0">
                  <c:v>BEVACIZUMAB - Second-line</c:v>
                </c:pt>
              </c:strCache>
            </c:strRef>
          </c:tx>
          <c:spPr>
            <a:solidFill>
              <a:schemeClr val="accent6"/>
            </a:solidFill>
          </c:spPr>
          <c:cat>
            <c:strRef>
              <c:f>'Prevalent patients by line'!$S$5:$S$37</c:f>
              <c:strCache>
                <c:ptCount val="32"/>
                <c:pt idx="0">
                  <c:v>2009Q3</c:v>
                </c:pt>
                <c:pt idx="1">
                  <c:v>2009Q4</c:v>
                </c:pt>
                <c:pt idx="2">
                  <c:v>2010Q1</c:v>
                </c:pt>
                <c:pt idx="3">
                  <c:v>2010Q2</c:v>
                </c:pt>
                <c:pt idx="4">
                  <c:v>2010Q3</c:v>
                </c:pt>
                <c:pt idx="5">
                  <c:v>2010Q4</c:v>
                </c:pt>
                <c:pt idx="6">
                  <c:v>2011Q1</c:v>
                </c:pt>
                <c:pt idx="7">
                  <c:v>2011Q2</c:v>
                </c:pt>
                <c:pt idx="8">
                  <c:v>2011Q3</c:v>
                </c:pt>
                <c:pt idx="9">
                  <c:v>2011Q4</c:v>
                </c:pt>
                <c:pt idx="10">
                  <c:v>2012Q1</c:v>
                </c:pt>
                <c:pt idx="11">
                  <c:v>2012Q2</c:v>
                </c:pt>
                <c:pt idx="12">
                  <c:v>2012Q3</c:v>
                </c:pt>
                <c:pt idx="13">
                  <c:v>2012Q4</c:v>
                </c:pt>
                <c:pt idx="14">
                  <c:v>2013Q1</c:v>
                </c:pt>
                <c:pt idx="15">
                  <c:v>2013Q2</c:v>
                </c:pt>
                <c:pt idx="16">
                  <c:v>2013Q3</c:v>
                </c:pt>
                <c:pt idx="17">
                  <c:v>2013Q4</c:v>
                </c:pt>
                <c:pt idx="18">
                  <c:v>2014Q1</c:v>
                </c:pt>
                <c:pt idx="19">
                  <c:v>2014Q2</c:v>
                </c:pt>
                <c:pt idx="20">
                  <c:v>2014Q3</c:v>
                </c:pt>
                <c:pt idx="21">
                  <c:v>2014Q4</c:v>
                </c:pt>
                <c:pt idx="22">
                  <c:v>2015Q1</c:v>
                </c:pt>
                <c:pt idx="23">
                  <c:v>2015Q2</c:v>
                </c:pt>
                <c:pt idx="24">
                  <c:v>2015Q3</c:v>
                </c:pt>
                <c:pt idx="25">
                  <c:v>2015Q4</c:v>
                </c:pt>
                <c:pt idx="26">
                  <c:v>2016Q1</c:v>
                </c:pt>
                <c:pt idx="27">
                  <c:v>2016Q2</c:v>
                </c:pt>
                <c:pt idx="28">
                  <c:v>2016Q3</c:v>
                </c:pt>
                <c:pt idx="29">
                  <c:v>2016Q4</c:v>
                </c:pt>
                <c:pt idx="30">
                  <c:v>2017Q1</c:v>
                </c:pt>
                <c:pt idx="31">
                  <c:v>2017Q2</c:v>
                </c:pt>
              </c:strCache>
            </c:strRef>
          </c:cat>
          <c:val>
            <c:numRef>
              <c:f>'Prevalent patients by line'!$V$5:$V$37</c:f>
              <c:numCache>
                <c:formatCode>General</c:formatCode>
                <c:ptCount val="32"/>
                <c:pt idx="10">
                  <c:v>2</c:v>
                </c:pt>
                <c:pt idx="11">
                  <c:v>7</c:v>
                </c:pt>
                <c:pt idx="12">
                  <c:v>4</c:v>
                </c:pt>
                <c:pt idx="13">
                  <c:v>5</c:v>
                </c:pt>
                <c:pt idx="14">
                  <c:v>4</c:v>
                </c:pt>
                <c:pt idx="15">
                  <c:v>2</c:v>
                </c:pt>
                <c:pt idx="16">
                  <c:v>2</c:v>
                </c:pt>
                <c:pt idx="17">
                  <c:v>1</c:v>
                </c:pt>
                <c:pt idx="18">
                  <c:v>3</c:v>
                </c:pt>
                <c:pt idx="19">
                  <c:v>1</c:v>
                </c:pt>
                <c:pt idx="20">
                  <c:v>1</c:v>
                </c:pt>
                <c:pt idx="21">
                  <c:v>2</c:v>
                </c:pt>
                <c:pt idx="22">
                  <c:v>3</c:v>
                </c:pt>
                <c:pt idx="23">
                  <c:v>6</c:v>
                </c:pt>
                <c:pt idx="24">
                  <c:v>10</c:v>
                </c:pt>
                <c:pt idx="25">
                  <c:v>18</c:v>
                </c:pt>
                <c:pt idx="26">
                  <c:v>22</c:v>
                </c:pt>
                <c:pt idx="27">
                  <c:v>34</c:v>
                </c:pt>
                <c:pt idx="28">
                  <c:v>45</c:v>
                </c:pt>
                <c:pt idx="29">
                  <c:v>69</c:v>
                </c:pt>
                <c:pt idx="30">
                  <c:v>75</c:v>
                </c:pt>
                <c:pt idx="31">
                  <c:v>70</c:v>
                </c:pt>
              </c:numCache>
            </c:numRef>
          </c:val>
        </c:ser>
        <c:ser>
          <c:idx val="3"/>
          <c:order val="3"/>
          <c:tx>
            <c:strRef>
              <c:f>'Prevalent patients by line'!$X$2:$X$4</c:f>
              <c:strCache>
                <c:ptCount val="1"/>
                <c:pt idx="0">
                  <c:v>CETUXIMAB - After second-line</c:v>
                </c:pt>
              </c:strCache>
            </c:strRef>
          </c:tx>
          <c:cat>
            <c:strRef>
              <c:f>'Prevalent patients by line'!$S$5:$S$37</c:f>
              <c:strCache>
                <c:ptCount val="32"/>
                <c:pt idx="0">
                  <c:v>2009Q3</c:v>
                </c:pt>
                <c:pt idx="1">
                  <c:v>2009Q4</c:v>
                </c:pt>
                <c:pt idx="2">
                  <c:v>2010Q1</c:v>
                </c:pt>
                <c:pt idx="3">
                  <c:v>2010Q2</c:v>
                </c:pt>
                <c:pt idx="4">
                  <c:v>2010Q3</c:v>
                </c:pt>
                <c:pt idx="5">
                  <c:v>2010Q4</c:v>
                </c:pt>
                <c:pt idx="6">
                  <c:v>2011Q1</c:v>
                </c:pt>
                <c:pt idx="7">
                  <c:v>2011Q2</c:v>
                </c:pt>
                <c:pt idx="8">
                  <c:v>2011Q3</c:v>
                </c:pt>
                <c:pt idx="9">
                  <c:v>2011Q4</c:v>
                </c:pt>
                <c:pt idx="10">
                  <c:v>2012Q1</c:v>
                </c:pt>
                <c:pt idx="11">
                  <c:v>2012Q2</c:v>
                </c:pt>
                <c:pt idx="12">
                  <c:v>2012Q3</c:v>
                </c:pt>
                <c:pt idx="13">
                  <c:v>2012Q4</c:v>
                </c:pt>
                <c:pt idx="14">
                  <c:v>2013Q1</c:v>
                </c:pt>
                <c:pt idx="15">
                  <c:v>2013Q2</c:v>
                </c:pt>
                <c:pt idx="16">
                  <c:v>2013Q3</c:v>
                </c:pt>
                <c:pt idx="17">
                  <c:v>2013Q4</c:v>
                </c:pt>
                <c:pt idx="18">
                  <c:v>2014Q1</c:v>
                </c:pt>
                <c:pt idx="19">
                  <c:v>2014Q2</c:v>
                </c:pt>
                <c:pt idx="20">
                  <c:v>2014Q3</c:v>
                </c:pt>
                <c:pt idx="21">
                  <c:v>2014Q4</c:v>
                </c:pt>
                <c:pt idx="22">
                  <c:v>2015Q1</c:v>
                </c:pt>
                <c:pt idx="23">
                  <c:v>2015Q2</c:v>
                </c:pt>
                <c:pt idx="24">
                  <c:v>2015Q3</c:v>
                </c:pt>
                <c:pt idx="25">
                  <c:v>2015Q4</c:v>
                </c:pt>
                <c:pt idx="26">
                  <c:v>2016Q1</c:v>
                </c:pt>
                <c:pt idx="27">
                  <c:v>2016Q2</c:v>
                </c:pt>
                <c:pt idx="28">
                  <c:v>2016Q3</c:v>
                </c:pt>
                <c:pt idx="29">
                  <c:v>2016Q4</c:v>
                </c:pt>
                <c:pt idx="30">
                  <c:v>2017Q1</c:v>
                </c:pt>
                <c:pt idx="31">
                  <c:v>2017Q2</c:v>
                </c:pt>
              </c:strCache>
            </c:strRef>
          </c:cat>
          <c:val>
            <c:numRef>
              <c:f>'Prevalent patients by line'!$X$5:$X$37</c:f>
              <c:numCache>
                <c:formatCode>General</c:formatCode>
                <c:ptCount val="32"/>
                <c:pt idx="8">
                  <c:v>2</c:v>
                </c:pt>
                <c:pt idx="9">
                  <c:v>7</c:v>
                </c:pt>
                <c:pt idx="10">
                  <c:v>12</c:v>
                </c:pt>
                <c:pt idx="11">
                  <c:v>11</c:v>
                </c:pt>
                <c:pt idx="12">
                  <c:v>9</c:v>
                </c:pt>
                <c:pt idx="13">
                  <c:v>10</c:v>
                </c:pt>
                <c:pt idx="14">
                  <c:v>15</c:v>
                </c:pt>
                <c:pt idx="15">
                  <c:v>6</c:v>
                </c:pt>
                <c:pt idx="16">
                  <c:v>13</c:v>
                </c:pt>
                <c:pt idx="17">
                  <c:v>10</c:v>
                </c:pt>
                <c:pt idx="18">
                  <c:v>11</c:v>
                </c:pt>
                <c:pt idx="19">
                  <c:v>10</c:v>
                </c:pt>
                <c:pt idx="20">
                  <c:v>7</c:v>
                </c:pt>
                <c:pt idx="21">
                  <c:v>10</c:v>
                </c:pt>
                <c:pt idx="22">
                  <c:v>14</c:v>
                </c:pt>
                <c:pt idx="23">
                  <c:v>14</c:v>
                </c:pt>
                <c:pt idx="24">
                  <c:v>15</c:v>
                </c:pt>
                <c:pt idx="25">
                  <c:v>12</c:v>
                </c:pt>
                <c:pt idx="26">
                  <c:v>16</c:v>
                </c:pt>
                <c:pt idx="27">
                  <c:v>17</c:v>
                </c:pt>
                <c:pt idx="28">
                  <c:v>21</c:v>
                </c:pt>
                <c:pt idx="29">
                  <c:v>26</c:v>
                </c:pt>
                <c:pt idx="30">
                  <c:v>33</c:v>
                </c:pt>
                <c:pt idx="31">
                  <c:v>20</c:v>
                </c:pt>
              </c:numCache>
            </c:numRef>
          </c:val>
        </c:ser>
        <c:ser>
          <c:idx val="4"/>
          <c:order val="4"/>
          <c:tx>
            <c:strRef>
              <c:f>'Prevalent patients by line'!$Y$2:$Y$4</c:f>
              <c:strCache>
                <c:ptCount val="1"/>
                <c:pt idx="0">
                  <c:v>CETUXIMAB - First-line</c:v>
                </c:pt>
              </c:strCache>
            </c:strRef>
          </c:tx>
          <c:spPr>
            <a:solidFill>
              <a:srgbClr val="0000FF"/>
            </a:solidFill>
          </c:spPr>
          <c:cat>
            <c:strRef>
              <c:f>'Prevalent patients by line'!$S$5:$S$37</c:f>
              <c:strCache>
                <c:ptCount val="32"/>
                <c:pt idx="0">
                  <c:v>2009Q3</c:v>
                </c:pt>
                <c:pt idx="1">
                  <c:v>2009Q4</c:v>
                </c:pt>
                <c:pt idx="2">
                  <c:v>2010Q1</c:v>
                </c:pt>
                <c:pt idx="3">
                  <c:v>2010Q2</c:v>
                </c:pt>
                <c:pt idx="4">
                  <c:v>2010Q3</c:v>
                </c:pt>
                <c:pt idx="5">
                  <c:v>2010Q4</c:v>
                </c:pt>
                <c:pt idx="6">
                  <c:v>2011Q1</c:v>
                </c:pt>
                <c:pt idx="7">
                  <c:v>2011Q2</c:v>
                </c:pt>
                <c:pt idx="8">
                  <c:v>2011Q3</c:v>
                </c:pt>
                <c:pt idx="9">
                  <c:v>2011Q4</c:v>
                </c:pt>
                <c:pt idx="10">
                  <c:v>2012Q1</c:v>
                </c:pt>
                <c:pt idx="11">
                  <c:v>2012Q2</c:v>
                </c:pt>
                <c:pt idx="12">
                  <c:v>2012Q3</c:v>
                </c:pt>
                <c:pt idx="13">
                  <c:v>2012Q4</c:v>
                </c:pt>
                <c:pt idx="14">
                  <c:v>2013Q1</c:v>
                </c:pt>
                <c:pt idx="15">
                  <c:v>2013Q2</c:v>
                </c:pt>
                <c:pt idx="16">
                  <c:v>2013Q3</c:v>
                </c:pt>
                <c:pt idx="17">
                  <c:v>2013Q4</c:v>
                </c:pt>
                <c:pt idx="18">
                  <c:v>2014Q1</c:v>
                </c:pt>
                <c:pt idx="19">
                  <c:v>2014Q2</c:v>
                </c:pt>
                <c:pt idx="20">
                  <c:v>2014Q3</c:v>
                </c:pt>
                <c:pt idx="21">
                  <c:v>2014Q4</c:v>
                </c:pt>
                <c:pt idx="22">
                  <c:v>2015Q1</c:v>
                </c:pt>
                <c:pt idx="23">
                  <c:v>2015Q2</c:v>
                </c:pt>
                <c:pt idx="24">
                  <c:v>2015Q3</c:v>
                </c:pt>
                <c:pt idx="25">
                  <c:v>2015Q4</c:v>
                </c:pt>
                <c:pt idx="26">
                  <c:v>2016Q1</c:v>
                </c:pt>
                <c:pt idx="27">
                  <c:v>2016Q2</c:v>
                </c:pt>
                <c:pt idx="28">
                  <c:v>2016Q3</c:v>
                </c:pt>
                <c:pt idx="29">
                  <c:v>2016Q4</c:v>
                </c:pt>
                <c:pt idx="30">
                  <c:v>2017Q1</c:v>
                </c:pt>
                <c:pt idx="31">
                  <c:v>2017Q2</c:v>
                </c:pt>
              </c:strCache>
            </c:strRef>
          </c:cat>
          <c:val>
            <c:numRef>
              <c:f>'Prevalent patients by line'!$Y$5:$Y$37</c:f>
              <c:numCache>
                <c:formatCode>General</c:formatCode>
                <c:ptCount val="32"/>
                <c:pt idx="8">
                  <c:v>120</c:v>
                </c:pt>
                <c:pt idx="9">
                  <c:v>210</c:v>
                </c:pt>
                <c:pt idx="10">
                  <c:v>226</c:v>
                </c:pt>
                <c:pt idx="11">
                  <c:v>230</c:v>
                </c:pt>
                <c:pt idx="12">
                  <c:v>237</c:v>
                </c:pt>
                <c:pt idx="13">
                  <c:v>213</c:v>
                </c:pt>
                <c:pt idx="14">
                  <c:v>194</c:v>
                </c:pt>
                <c:pt idx="15">
                  <c:v>200</c:v>
                </c:pt>
                <c:pt idx="16">
                  <c:v>217</c:v>
                </c:pt>
                <c:pt idx="17">
                  <c:v>207</c:v>
                </c:pt>
                <c:pt idx="18">
                  <c:v>216</c:v>
                </c:pt>
                <c:pt idx="19">
                  <c:v>206</c:v>
                </c:pt>
                <c:pt idx="20">
                  <c:v>188</c:v>
                </c:pt>
                <c:pt idx="21">
                  <c:v>165</c:v>
                </c:pt>
                <c:pt idx="22">
                  <c:v>179</c:v>
                </c:pt>
                <c:pt idx="23">
                  <c:v>174</c:v>
                </c:pt>
                <c:pt idx="24">
                  <c:v>219</c:v>
                </c:pt>
                <c:pt idx="25">
                  <c:v>272</c:v>
                </c:pt>
                <c:pt idx="26">
                  <c:v>322</c:v>
                </c:pt>
                <c:pt idx="27">
                  <c:v>334</c:v>
                </c:pt>
                <c:pt idx="28">
                  <c:v>360</c:v>
                </c:pt>
                <c:pt idx="29">
                  <c:v>337</c:v>
                </c:pt>
                <c:pt idx="30">
                  <c:v>344</c:v>
                </c:pt>
                <c:pt idx="31">
                  <c:v>324</c:v>
                </c:pt>
              </c:numCache>
            </c:numRef>
          </c:val>
        </c:ser>
        <c:ser>
          <c:idx val="5"/>
          <c:order val="5"/>
          <c:tx>
            <c:strRef>
              <c:f>'Prevalent patients by line'!$Z$2:$Z$4</c:f>
              <c:strCache>
                <c:ptCount val="1"/>
                <c:pt idx="0">
                  <c:v>CETUXIMAB - Second-line</c:v>
                </c:pt>
              </c:strCache>
            </c:strRef>
          </c:tx>
          <c:spPr>
            <a:solidFill>
              <a:srgbClr val="00B0F0"/>
            </a:solidFill>
          </c:spPr>
          <c:cat>
            <c:strRef>
              <c:f>'Prevalent patients by line'!$S$5:$S$37</c:f>
              <c:strCache>
                <c:ptCount val="32"/>
                <c:pt idx="0">
                  <c:v>2009Q3</c:v>
                </c:pt>
                <c:pt idx="1">
                  <c:v>2009Q4</c:v>
                </c:pt>
                <c:pt idx="2">
                  <c:v>2010Q1</c:v>
                </c:pt>
                <c:pt idx="3">
                  <c:v>2010Q2</c:v>
                </c:pt>
                <c:pt idx="4">
                  <c:v>2010Q3</c:v>
                </c:pt>
                <c:pt idx="5">
                  <c:v>2010Q4</c:v>
                </c:pt>
                <c:pt idx="6">
                  <c:v>2011Q1</c:v>
                </c:pt>
                <c:pt idx="7">
                  <c:v>2011Q2</c:v>
                </c:pt>
                <c:pt idx="8">
                  <c:v>2011Q3</c:v>
                </c:pt>
                <c:pt idx="9">
                  <c:v>2011Q4</c:v>
                </c:pt>
                <c:pt idx="10">
                  <c:v>2012Q1</c:v>
                </c:pt>
                <c:pt idx="11">
                  <c:v>2012Q2</c:v>
                </c:pt>
                <c:pt idx="12">
                  <c:v>2012Q3</c:v>
                </c:pt>
                <c:pt idx="13">
                  <c:v>2012Q4</c:v>
                </c:pt>
                <c:pt idx="14">
                  <c:v>2013Q1</c:v>
                </c:pt>
                <c:pt idx="15">
                  <c:v>2013Q2</c:v>
                </c:pt>
                <c:pt idx="16">
                  <c:v>2013Q3</c:v>
                </c:pt>
                <c:pt idx="17">
                  <c:v>2013Q4</c:v>
                </c:pt>
                <c:pt idx="18">
                  <c:v>2014Q1</c:v>
                </c:pt>
                <c:pt idx="19">
                  <c:v>2014Q2</c:v>
                </c:pt>
                <c:pt idx="20">
                  <c:v>2014Q3</c:v>
                </c:pt>
                <c:pt idx="21">
                  <c:v>2014Q4</c:v>
                </c:pt>
                <c:pt idx="22">
                  <c:v>2015Q1</c:v>
                </c:pt>
                <c:pt idx="23">
                  <c:v>2015Q2</c:v>
                </c:pt>
                <c:pt idx="24">
                  <c:v>2015Q3</c:v>
                </c:pt>
                <c:pt idx="25">
                  <c:v>2015Q4</c:v>
                </c:pt>
                <c:pt idx="26">
                  <c:v>2016Q1</c:v>
                </c:pt>
                <c:pt idx="27">
                  <c:v>2016Q2</c:v>
                </c:pt>
                <c:pt idx="28">
                  <c:v>2016Q3</c:v>
                </c:pt>
                <c:pt idx="29">
                  <c:v>2016Q4</c:v>
                </c:pt>
                <c:pt idx="30">
                  <c:v>2017Q1</c:v>
                </c:pt>
                <c:pt idx="31">
                  <c:v>2017Q2</c:v>
                </c:pt>
              </c:strCache>
            </c:strRef>
          </c:cat>
          <c:val>
            <c:numRef>
              <c:f>'Prevalent patients by line'!$Z$5:$Z$37</c:f>
              <c:numCache>
                <c:formatCode>General</c:formatCode>
                <c:ptCount val="32"/>
                <c:pt idx="8">
                  <c:v>186</c:v>
                </c:pt>
                <c:pt idx="9">
                  <c:v>323</c:v>
                </c:pt>
                <c:pt idx="10">
                  <c:v>356</c:v>
                </c:pt>
                <c:pt idx="11">
                  <c:v>397</c:v>
                </c:pt>
                <c:pt idx="12">
                  <c:v>425</c:v>
                </c:pt>
                <c:pt idx="13">
                  <c:v>407</c:v>
                </c:pt>
                <c:pt idx="14">
                  <c:v>412</c:v>
                </c:pt>
                <c:pt idx="15">
                  <c:v>424</c:v>
                </c:pt>
                <c:pt idx="16">
                  <c:v>455</c:v>
                </c:pt>
                <c:pt idx="17">
                  <c:v>461</c:v>
                </c:pt>
                <c:pt idx="18">
                  <c:v>470</c:v>
                </c:pt>
                <c:pt idx="19">
                  <c:v>469</c:v>
                </c:pt>
                <c:pt idx="20">
                  <c:v>459</c:v>
                </c:pt>
                <c:pt idx="21">
                  <c:v>439</c:v>
                </c:pt>
                <c:pt idx="22">
                  <c:v>420</c:v>
                </c:pt>
                <c:pt idx="23">
                  <c:v>409</c:v>
                </c:pt>
                <c:pt idx="24">
                  <c:v>387</c:v>
                </c:pt>
                <c:pt idx="25">
                  <c:v>377</c:v>
                </c:pt>
                <c:pt idx="26">
                  <c:v>380</c:v>
                </c:pt>
                <c:pt idx="27">
                  <c:v>375</c:v>
                </c:pt>
                <c:pt idx="28">
                  <c:v>364</c:v>
                </c:pt>
                <c:pt idx="29">
                  <c:v>326</c:v>
                </c:pt>
                <c:pt idx="30">
                  <c:v>317</c:v>
                </c:pt>
                <c:pt idx="31">
                  <c:v>277</c:v>
                </c:pt>
              </c:numCache>
            </c:numRef>
          </c:val>
        </c:ser>
        <c:ser>
          <c:idx val="6"/>
          <c:order val="6"/>
          <c:tx>
            <c:strRef>
              <c:f>'Prevalent patients by line'!$AB$2:$AB$4</c:f>
              <c:strCache>
                <c:ptCount val="1"/>
                <c:pt idx="0">
                  <c:v>PANITUMUMAB - After second-line</c:v>
                </c:pt>
              </c:strCache>
            </c:strRef>
          </c:tx>
          <c:spPr>
            <a:solidFill>
              <a:schemeClr val="accent3">
                <a:lumMod val="50000"/>
              </a:schemeClr>
            </a:solidFill>
          </c:spPr>
          <c:cat>
            <c:strRef>
              <c:f>'Prevalent patients by line'!$S$5:$S$37</c:f>
              <c:strCache>
                <c:ptCount val="32"/>
                <c:pt idx="0">
                  <c:v>2009Q3</c:v>
                </c:pt>
                <c:pt idx="1">
                  <c:v>2009Q4</c:v>
                </c:pt>
                <c:pt idx="2">
                  <c:v>2010Q1</c:v>
                </c:pt>
                <c:pt idx="3">
                  <c:v>2010Q2</c:v>
                </c:pt>
                <c:pt idx="4">
                  <c:v>2010Q3</c:v>
                </c:pt>
                <c:pt idx="5">
                  <c:v>2010Q4</c:v>
                </c:pt>
                <c:pt idx="6">
                  <c:v>2011Q1</c:v>
                </c:pt>
                <c:pt idx="7">
                  <c:v>2011Q2</c:v>
                </c:pt>
                <c:pt idx="8">
                  <c:v>2011Q3</c:v>
                </c:pt>
                <c:pt idx="9">
                  <c:v>2011Q4</c:v>
                </c:pt>
                <c:pt idx="10">
                  <c:v>2012Q1</c:v>
                </c:pt>
                <c:pt idx="11">
                  <c:v>2012Q2</c:v>
                </c:pt>
                <c:pt idx="12">
                  <c:v>2012Q3</c:v>
                </c:pt>
                <c:pt idx="13">
                  <c:v>2012Q4</c:v>
                </c:pt>
                <c:pt idx="14">
                  <c:v>2013Q1</c:v>
                </c:pt>
                <c:pt idx="15">
                  <c:v>2013Q2</c:v>
                </c:pt>
                <c:pt idx="16">
                  <c:v>2013Q3</c:v>
                </c:pt>
                <c:pt idx="17">
                  <c:v>2013Q4</c:v>
                </c:pt>
                <c:pt idx="18">
                  <c:v>2014Q1</c:v>
                </c:pt>
                <c:pt idx="19">
                  <c:v>2014Q2</c:v>
                </c:pt>
                <c:pt idx="20">
                  <c:v>2014Q3</c:v>
                </c:pt>
                <c:pt idx="21">
                  <c:v>2014Q4</c:v>
                </c:pt>
                <c:pt idx="22">
                  <c:v>2015Q1</c:v>
                </c:pt>
                <c:pt idx="23">
                  <c:v>2015Q2</c:v>
                </c:pt>
                <c:pt idx="24">
                  <c:v>2015Q3</c:v>
                </c:pt>
                <c:pt idx="25">
                  <c:v>2015Q4</c:v>
                </c:pt>
                <c:pt idx="26">
                  <c:v>2016Q1</c:v>
                </c:pt>
                <c:pt idx="27">
                  <c:v>2016Q2</c:v>
                </c:pt>
                <c:pt idx="28">
                  <c:v>2016Q3</c:v>
                </c:pt>
                <c:pt idx="29">
                  <c:v>2016Q4</c:v>
                </c:pt>
                <c:pt idx="30">
                  <c:v>2017Q1</c:v>
                </c:pt>
                <c:pt idx="31">
                  <c:v>2017Q2</c:v>
                </c:pt>
              </c:strCache>
            </c:strRef>
          </c:cat>
          <c:val>
            <c:numRef>
              <c:f>'Prevalent patients by line'!$AB$5:$AB$37</c:f>
              <c:numCache>
                <c:formatCode>General</c:formatCode>
                <c:ptCount val="32"/>
                <c:pt idx="19">
                  <c:v>10</c:v>
                </c:pt>
                <c:pt idx="20">
                  <c:v>12</c:v>
                </c:pt>
                <c:pt idx="21">
                  <c:v>17</c:v>
                </c:pt>
                <c:pt idx="22">
                  <c:v>19</c:v>
                </c:pt>
                <c:pt idx="23">
                  <c:v>19</c:v>
                </c:pt>
                <c:pt idx="24">
                  <c:v>19</c:v>
                </c:pt>
                <c:pt idx="25">
                  <c:v>16</c:v>
                </c:pt>
                <c:pt idx="26">
                  <c:v>24</c:v>
                </c:pt>
                <c:pt idx="27">
                  <c:v>26</c:v>
                </c:pt>
                <c:pt idx="28">
                  <c:v>21</c:v>
                </c:pt>
                <c:pt idx="29">
                  <c:v>16</c:v>
                </c:pt>
                <c:pt idx="30">
                  <c:v>21</c:v>
                </c:pt>
                <c:pt idx="31">
                  <c:v>28</c:v>
                </c:pt>
              </c:numCache>
            </c:numRef>
          </c:val>
        </c:ser>
        <c:ser>
          <c:idx val="7"/>
          <c:order val="7"/>
          <c:tx>
            <c:strRef>
              <c:f>'Prevalent patients by line'!$AC$2:$AC$4</c:f>
              <c:strCache>
                <c:ptCount val="1"/>
                <c:pt idx="0">
                  <c:v>PANITUMUMAB - First-line</c:v>
                </c:pt>
              </c:strCache>
            </c:strRef>
          </c:tx>
          <c:spPr>
            <a:solidFill>
              <a:srgbClr val="00B050"/>
            </a:solidFill>
          </c:spPr>
          <c:cat>
            <c:strRef>
              <c:f>'Prevalent patients by line'!$S$5:$S$37</c:f>
              <c:strCache>
                <c:ptCount val="32"/>
                <c:pt idx="0">
                  <c:v>2009Q3</c:v>
                </c:pt>
                <c:pt idx="1">
                  <c:v>2009Q4</c:v>
                </c:pt>
                <c:pt idx="2">
                  <c:v>2010Q1</c:v>
                </c:pt>
                <c:pt idx="3">
                  <c:v>2010Q2</c:v>
                </c:pt>
                <c:pt idx="4">
                  <c:v>2010Q3</c:v>
                </c:pt>
                <c:pt idx="5">
                  <c:v>2010Q4</c:v>
                </c:pt>
                <c:pt idx="6">
                  <c:v>2011Q1</c:v>
                </c:pt>
                <c:pt idx="7">
                  <c:v>2011Q2</c:v>
                </c:pt>
                <c:pt idx="8">
                  <c:v>2011Q3</c:v>
                </c:pt>
                <c:pt idx="9">
                  <c:v>2011Q4</c:v>
                </c:pt>
                <c:pt idx="10">
                  <c:v>2012Q1</c:v>
                </c:pt>
                <c:pt idx="11">
                  <c:v>2012Q2</c:v>
                </c:pt>
                <c:pt idx="12">
                  <c:v>2012Q3</c:v>
                </c:pt>
                <c:pt idx="13">
                  <c:v>2012Q4</c:v>
                </c:pt>
                <c:pt idx="14">
                  <c:v>2013Q1</c:v>
                </c:pt>
                <c:pt idx="15">
                  <c:v>2013Q2</c:v>
                </c:pt>
                <c:pt idx="16">
                  <c:v>2013Q3</c:v>
                </c:pt>
                <c:pt idx="17">
                  <c:v>2013Q4</c:v>
                </c:pt>
                <c:pt idx="18">
                  <c:v>2014Q1</c:v>
                </c:pt>
                <c:pt idx="19">
                  <c:v>2014Q2</c:v>
                </c:pt>
                <c:pt idx="20">
                  <c:v>2014Q3</c:v>
                </c:pt>
                <c:pt idx="21">
                  <c:v>2014Q4</c:v>
                </c:pt>
                <c:pt idx="22">
                  <c:v>2015Q1</c:v>
                </c:pt>
                <c:pt idx="23">
                  <c:v>2015Q2</c:v>
                </c:pt>
                <c:pt idx="24">
                  <c:v>2015Q3</c:v>
                </c:pt>
                <c:pt idx="25">
                  <c:v>2015Q4</c:v>
                </c:pt>
                <c:pt idx="26">
                  <c:v>2016Q1</c:v>
                </c:pt>
                <c:pt idx="27">
                  <c:v>2016Q2</c:v>
                </c:pt>
                <c:pt idx="28">
                  <c:v>2016Q3</c:v>
                </c:pt>
                <c:pt idx="29">
                  <c:v>2016Q4</c:v>
                </c:pt>
                <c:pt idx="30">
                  <c:v>2017Q1</c:v>
                </c:pt>
                <c:pt idx="31">
                  <c:v>2017Q2</c:v>
                </c:pt>
              </c:strCache>
            </c:strRef>
          </c:cat>
          <c:val>
            <c:numRef>
              <c:f>'Prevalent patients by line'!$AC$5:$AC$37</c:f>
              <c:numCache>
                <c:formatCode>General</c:formatCode>
                <c:ptCount val="32"/>
                <c:pt idx="19">
                  <c:v>8</c:v>
                </c:pt>
                <c:pt idx="20">
                  <c:v>23</c:v>
                </c:pt>
                <c:pt idx="21">
                  <c:v>24</c:v>
                </c:pt>
                <c:pt idx="22">
                  <c:v>34</c:v>
                </c:pt>
                <c:pt idx="23">
                  <c:v>41</c:v>
                </c:pt>
                <c:pt idx="24">
                  <c:v>40</c:v>
                </c:pt>
                <c:pt idx="25">
                  <c:v>54</c:v>
                </c:pt>
                <c:pt idx="26">
                  <c:v>83</c:v>
                </c:pt>
                <c:pt idx="27">
                  <c:v>87</c:v>
                </c:pt>
                <c:pt idx="28">
                  <c:v>91</c:v>
                </c:pt>
                <c:pt idx="29">
                  <c:v>95</c:v>
                </c:pt>
                <c:pt idx="30">
                  <c:v>127</c:v>
                </c:pt>
                <c:pt idx="31">
                  <c:v>135</c:v>
                </c:pt>
              </c:numCache>
            </c:numRef>
          </c:val>
        </c:ser>
        <c:ser>
          <c:idx val="8"/>
          <c:order val="8"/>
          <c:tx>
            <c:strRef>
              <c:f>'Prevalent patients by line'!$AD$2:$AD$4</c:f>
              <c:strCache>
                <c:ptCount val="1"/>
                <c:pt idx="0">
                  <c:v>PANITUMUMAB - Second-line</c:v>
                </c:pt>
              </c:strCache>
            </c:strRef>
          </c:tx>
          <c:cat>
            <c:strRef>
              <c:f>'Prevalent patients by line'!$S$5:$S$37</c:f>
              <c:strCache>
                <c:ptCount val="32"/>
                <c:pt idx="0">
                  <c:v>2009Q3</c:v>
                </c:pt>
                <c:pt idx="1">
                  <c:v>2009Q4</c:v>
                </c:pt>
                <c:pt idx="2">
                  <c:v>2010Q1</c:v>
                </c:pt>
                <c:pt idx="3">
                  <c:v>2010Q2</c:v>
                </c:pt>
                <c:pt idx="4">
                  <c:v>2010Q3</c:v>
                </c:pt>
                <c:pt idx="5">
                  <c:v>2010Q4</c:v>
                </c:pt>
                <c:pt idx="6">
                  <c:v>2011Q1</c:v>
                </c:pt>
                <c:pt idx="7">
                  <c:v>2011Q2</c:v>
                </c:pt>
                <c:pt idx="8">
                  <c:v>2011Q3</c:v>
                </c:pt>
                <c:pt idx="9">
                  <c:v>2011Q4</c:v>
                </c:pt>
                <c:pt idx="10">
                  <c:v>2012Q1</c:v>
                </c:pt>
                <c:pt idx="11">
                  <c:v>2012Q2</c:v>
                </c:pt>
                <c:pt idx="12">
                  <c:v>2012Q3</c:v>
                </c:pt>
                <c:pt idx="13">
                  <c:v>2012Q4</c:v>
                </c:pt>
                <c:pt idx="14">
                  <c:v>2013Q1</c:v>
                </c:pt>
                <c:pt idx="15">
                  <c:v>2013Q2</c:v>
                </c:pt>
                <c:pt idx="16">
                  <c:v>2013Q3</c:v>
                </c:pt>
                <c:pt idx="17">
                  <c:v>2013Q4</c:v>
                </c:pt>
                <c:pt idx="18">
                  <c:v>2014Q1</c:v>
                </c:pt>
                <c:pt idx="19">
                  <c:v>2014Q2</c:v>
                </c:pt>
                <c:pt idx="20">
                  <c:v>2014Q3</c:v>
                </c:pt>
                <c:pt idx="21">
                  <c:v>2014Q4</c:v>
                </c:pt>
                <c:pt idx="22">
                  <c:v>2015Q1</c:v>
                </c:pt>
                <c:pt idx="23">
                  <c:v>2015Q2</c:v>
                </c:pt>
                <c:pt idx="24">
                  <c:v>2015Q3</c:v>
                </c:pt>
                <c:pt idx="25">
                  <c:v>2015Q4</c:v>
                </c:pt>
                <c:pt idx="26">
                  <c:v>2016Q1</c:v>
                </c:pt>
                <c:pt idx="27">
                  <c:v>2016Q2</c:v>
                </c:pt>
                <c:pt idx="28">
                  <c:v>2016Q3</c:v>
                </c:pt>
                <c:pt idx="29">
                  <c:v>2016Q4</c:v>
                </c:pt>
                <c:pt idx="30">
                  <c:v>2017Q1</c:v>
                </c:pt>
                <c:pt idx="31">
                  <c:v>2017Q2</c:v>
                </c:pt>
              </c:strCache>
            </c:strRef>
          </c:cat>
          <c:val>
            <c:numRef>
              <c:f>'Prevalent patients by line'!$AD$5:$AD$37</c:f>
              <c:numCache>
                <c:formatCode>General</c:formatCode>
                <c:ptCount val="32"/>
                <c:pt idx="19">
                  <c:v>21</c:v>
                </c:pt>
                <c:pt idx="20">
                  <c:v>42</c:v>
                </c:pt>
                <c:pt idx="21">
                  <c:v>64</c:v>
                </c:pt>
                <c:pt idx="22">
                  <c:v>80</c:v>
                </c:pt>
                <c:pt idx="23">
                  <c:v>92</c:v>
                </c:pt>
                <c:pt idx="24">
                  <c:v>86</c:v>
                </c:pt>
                <c:pt idx="25">
                  <c:v>85</c:v>
                </c:pt>
                <c:pt idx="26">
                  <c:v>91</c:v>
                </c:pt>
                <c:pt idx="27">
                  <c:v>124</c:v>
                </c:pt>
                <c:pt idx="28">
                  <c:v>127</c:v>
                </c:pt>
                <c:pt idx="29">
                  <c:v>130</c:v>
                </c:pt>
                <c:pt idx="30">
                  <c:v>140</c:v>
                </c:pt>
                <c:pt idx="31">
                  <c:v>161</c:v>
                </c:pt>
              </c:numCache>
            </c:numRef>
          </c:val>
        </c:ser>
        <c:dLbls>
          <c:showLegendKey val="0"/>
          <c:showVal val="0"/>
          <c:showCatName val="0"/>
          <c:showSerName val="0"/>
          <c:showPercent val="0"/>
          <c:showBubbleSize val="0"/>
        </c:dLbls>
        <c:axId val="253335040"/>
        <c:axId val="253336960"/>
      </c:areaChart>
      <c:catAx>
        <c:axId val="253335040"/>
        <c:scaling>
          <c:orientation val="minMax"/>
        </c:scaling>
        <c:delete val="0"/>
        <c:axPos val="b"/>
        <c:majorTickMark val="out"/>
        <c:minorTickMark val="none"/>
        <c:tickLblPos val="nextTo"/>
        <c:txPr>
          <a:bodyPr rot="-5400000" vert="horz"/>
          <a:lstStyle/>
          <a:p>
            <a:pPr>
              <a:defRPr/>
            </a:pPr>
            <a:endParaRPr lang="en-US"/>
          </a:p>
        </c:txPr>
        <c:crossAx val="253336960"/>
        <c:crosses val="autoZero"/>
        <c:auto val="1"/>
        <c:lblAlgn val="ctr"/>
        <c:lblOffset val="100"/>
        <c:noMultiLvlLbl val="0"/>
      </c:catAx>
      <c:valAx>
        <c:axId val="253336960"/>
        <c:scaling>
          <c:orientation val="minMax"/>
        </c:scaling>
        <c:delete val="0"/>
        <c:axPos val="l"/>
        <c:majorGridlines/>
        <c:title>
          <c:tx>
            <c:rich>
              <a:bodyPr rot="-5400000" vert="horz"/>
              <a:lstStyle/>
              <a:p>
                <a:pPr>
                  <a:defRPr/>
                </a:pPr>
                <a:r>
                  <a:rPr lang="en-AU"/>
                  <a:t>Number</a:t>
                </a:r>
                <a:r>
                  <a:rPr lang="en-AU" baseline="0"/>
                  <a:t> of people treated</a:t>
                </a:r>
                <a:endParaRPr lang="en-AU"/>
              </a:p>
            </c:rich>
          </c:tx>
          <c:layout/>
          <c:overlay val="0"/>
        </c:title>
        <c:numFmt formatCode="General" sourceLinked="1"/>
        <c:majorTickMark val="out"/>
        <c:minorTickMark val="none"/>
        <c:tickLblPos val="nextTo"/>
        <c:crossAx val="253335040"/>
        <c:crosses val="autoZero"/>
        <c:crossBetween val="midCat"/>
      </c:valAx>
    </c:plotArea>
    <c:legend>
      <c:legendPos val="r"/>
      <c:layout>
        <c:manualLayout>
          <c:xMode val="edge"/>
          <c:yMode val="edge"/>
          <c:x val="5.5895368126016566E-2"/>
          <c:y val="0.7847948338140901"/>
          <c:w val="0.93595382977547537"/>
          <c:h val="0.17747511759049922"/>
        </c:manualLayout>
      </c:layout>
      <c:overlay val="0"/>
    </c:legend>
    <c:plotVisOnly val="1"/>
    <c:dispBlanksAs val="zero"/>
    <c:showDLblsOverMax val="0"/>
  </c:chart>
  <c:spPr>
    <a:ln>
      <a:noFill/>
    </a:ln>
  </c:spPr>
  <c:externalData r:id="rId2">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[Report 1022 tables and figures final.xlsx]infusions - figs!PivotTable4</c:name>
    <c:fmtId val="-1"/>
  </c:pivotSource>
  <c:chart>
    <c:autoTitleDeleted val="0"/>
    <c:pivotFmts>
      <c:pivotFmt>
        <c:idx val="0"/>
        <c:spPr>
          <a:ln>
            <a:solidFill>
              <a:schemeClr val="accent2"/>
            </a:solidFill>
          </a:ln>
        </c:spPr>
        <c:marker>
          <c:symbol val="x"/>
          <c:size val="5"/>
          <c:spPr>
            <a:solidFill>
              <a:schemeClr val="accent2"/>
            </a:solidFill>
            <a:ln>
              <a:solidFill>
                <a:schemeClr val="accent2"/>
              </a:solidFill>
            </a:ln>
          </c:spPr>
        </c:marker>
      </c:pivotFmt>
      <c:pivotFmt>
        <c:idx val="1"/>
        <c:spPr>
          <a:ln>
            <a:solidFill>
              <a:schemeClr val="accent3"/>
            </a:solidFill>
          </a:ln>
        </c:spPr>
        <c:marker>
          <c:symbol val="triangle"/>
          <c:size val="5"/>
          <c:spPr>
            <a:solidFill>
              <a:schemeClr val="accent3"/>
            </a:solidFill>
            <a:ln>
              <a:solidFill>
                <a:schemeClr val="accent3"/>
              </a:solidFill>
            </a:ln>
          </c:spPr>
        </c:marker>
      </c:pivotFmt>
      <c:pivotFmt>
        <c:idx val="2"/>
        <c:spPr>
          <a:ln>
            <a:solidFill>
              <a:schemeClr val="accent4"/>
            </a:solidFill>
          </a:ln>
        </c:spPr>
        <c:marker>
          <c:symbol val="diamond"/>
          <c:size val="5"/>
          <c:spPr>
            <a:solidFill>
              <a:schemeClr val="accent4"/>
            </a:solidFill>
            <a:ln>
              <a:solidFill>
                <a:schemeClr val="accent4"/>
              </a:solidFill>
            </a:ln>
          </c:spPr>
        </c:marker>
      </c:pivotFmt>
      <c:pivotFmt>
        <c:idx val="3"/>
        <c:spPr>
          <a:ln>
            <a:solidFill>
              <a:schemeClr val="accent5"/>
            </a:solidFill>
          </a:ln>
        </c:spPr>
        <c:marker>
          <c:spPr>
            <a:ln>
              <a:solidFill>
                <a:schemeClr val="accent5"/>
              </a:solidFill>
            </a:ln>
          </c:spPr>
        </c:marker>
      </c:pivotFmt>
      <c:pivotFmt>
        <c:idx val="4"/>
        <c:spPr>
          <a:ln>
            <a:solidFill>
              <a:schemeClr val="accent6"/>
            </a:solidFill>
          </a:ln>
        </c:spPr>
        <c:marker>
          <c:symbol val="circle"/>
          <c:size val="5"/>
          <c:spPr>
            <a:solidFill>
              <a:schemeClr val="accent6"/>
            </a:solidFill>
            <a:ln>
              <a:solidFill>
                <a:schemeClr val="accent6"/>
              </a:solidFill>
            </a:ln>
          </c:spPr>
        </c:marker>
      </c:pivotFmt>
      <c:pivotFmt>
        <c:idx val="5"/>
        <c:spPr>
          <a:ln>
            <a:solidFill>
              <a:schemeClr val="tx2">
                <a:lumMod val="20000"/>
                <a:lumOff val="80000"/>
              </a:schemeClr>
            </a:solidFill>
          </a:ln>
        </c:spPr>
        <c:marker>
          <c:symbol val="plus"/>
          <c:size val="5"/>
          <c:spPr>
            <a:noFill/>
            <a:ln>
              <a:solidFill>
                <a:schemeClr val="tx2">
                  <a:lumMod val="20000"/>
                  <a:lumOff val="80000"/>
                </a:schemeClr>
              </a:solidFill>
            </a:ln>
          </c:spPr>
        </c:marker>
      </c:pivotFmt>
      <c:pivotFmt>
        <c:idx val="6"/>
        <c:spPr>
          <a:ln>
            <a:solidFill>
              <a:schemeClr val="tx1"/>
            </a:solidFill>
          </a:ln>
        </c:spPr>
        <c:marker>
          <c:symbol val="square"/>
          <c:size val="5"/>
          <c:spPr>
            <a:solidFill>
              <a:schemeClr val="tx1"/>
            </a:solidFill>
            <a:ln>
              <a:solidFill>
                <a:schemeClr val="tx1"/>
              </a:solidFill>
            </a:ln>
          </c:spPr>
        </c:marker>
      </c:pivotFmt>
      <c:pivotFmt>
        <c:idx val="7"/>
        <c:marker>
          <c:symbol val="circle"/>
          <c:size val="7"/>
        </c:marker>
      </c:pivotFmt>
      <c:pivotFmt>
        <c:idx val="8"/>
      </c:pivotFmt>
      <c:pivotFmt>
        <c:idx val="9"/>
      </c:pivotFmt>
      <c:pivotFmt>
        <c:idx val="10"/>
      </c:pivotFmt>
      <c:pivotFmt>
        <c:idx val="11"/>
        <c:marker>
          <c:symbol val="circle"/>
          <c:size val="7"/>
        </c:marker>
      </c:pivotFmt>
      <c:pivotFmt>
        <c:idx val="12"/>
      </c:pivotFmt>
      <c:pivotFmt>
        <c:idx val="13"/>
      </c:pivotFmt>
      <c:pivotFmt>
        <c:idx val="14"/>
      </c:pivotFmt>
      <c:pivotFmt>
        <c:idx val="15"/>
        <c:marker>
          <c:symbol val="circle"/>
          <c:size val="7"/>
        </c:marker>
      </c:pivotFmt>
    </c:pivotFmts>
    <c:plotArea>
      <c:layout>
        <c:manualLayout>
          <c:layoutTarget val="inner"/>
          <c:xMode val="edge"/>
          <c:yMode val="edge"/>
          <c:x val="0.10418426111956539"/>
          <c:y val="2.9140465591901629E-2"/>
          <c:w val="0.86989897446823905"/>
          <c:h val="0.62842180021614946"/>
        </c:manualLayout>
      </c:layout>
      <c:lineChart>
        <c:grouping val="standard"/>
        <c:varyColors val="0"/>
        <c:ser>
          <c:idx val="0"/>
          <c:order val="0"/>
          <c:tx>
            <c:strRef>
              <c:f>'infusions - figs'!$M$5:$M$7</c:f>
              <c:strCache>
                <c:ptCount val="1"/>
                <c:pt idx="0">
                  <c:v>BEVACIZUMAB - After second-line</c:v>
                </c:pt>
              </c:strCache>
            </c:strRef>
          </c:tx>
          <c:cat>
            <c:strRef>
              <c:f>'infusions - figs'!$L$8:$L$28</c:f>
              <c:strCache>
                <c:ptCount val="20"/>
                <c:pt idx="0">
                  <c:v>2012Q3</c:v>
                </c:pt>
                <c:pt idx="1">
                  <c:v>2012Q4</c:v>
                </c:pt>
                <c:pt idx="2">
                  <c:v>2013Q1</c:v>
                </c:pt>
                <c:pt idx="3">
                  <c:v>2013Q2</c:v>
                </c:pt>
                <c:pt idx="4">
                  <c:v>2013Q3</c:v>
                </c:pt>
                <c:pt idx="5">
                  <c:v>2013Q4</c:v>
                </c:pt>
                <c:pt idx="6">
                  <c:v>2014Q1</c:v>
                </c:pt>
                <c:pt idx="7">
                  <c:v>2014Q2</c:v>
                </c:pt>
                <c:pt idx="8">
                  <c:v>2014Q3</c:v>
                </c:pt>
                <c:pt idx="9">
                  <c:v>2014Q4</c:v>
                </c:pt>
                <c:pt idx="10">
                  <c:v>2015Q1</c:v>
                </c:pt>
                <c:pt idx="11">
                  <c:v>2015Q2</c:v>
                </c:pt>
                <c:pt idx="12">
                  <c:v>2015Q3</c:v>
                </c:pt>
                <c:pt idx="13">
                  <c:v>2015Q4</c:v>
                </c:pt>
                <c:pt idx="14">
                  <c:v>2016Q1</c:v>
                </c:pt>
                <c:pt idx="15">
                  <c:v>2016Q2</c:v>
                </c:pt>
                <c:pt idx="16">
                  <c:v>2016Q3</c:v>
                </c:pt>
                <c:pt idx="17">
                  <c:v>2016Q4</c:v>
                </c:pt>
                <c:pt idx="18">
                  <c:v>2017Q1</c:v>
                </c:pt>
                <c:pt idx="19">
                  <c:v>2017Q2</c:v>
                </c:pt>
              </c:strCache>
            </c:strRef>
          </c:cat>
          <c:val>
            <c:numRef>
              <c:f>'infusions - figs'!$M$8:$M$28</c:f>
              <c:numCache>
                <c:formatCode>General</c:formatCode>
                <c:ptCount val="20"/>
                <c:pt idx="0">
                  <c:v>38</c:v>
                </c:pt>
                <c:pt idx="1">
                  <c:v>31</c:v>
                </c:pt>
                <c:pt idx="2">
                  <c:v>42</c:v>
                </c:pt>
                <c:pt idx="3">
                  <c:v>28</c:v>
                </c:pt>
                <c:pt idx="4">
                  <c:v>37</c:v>
                </c:pt>
                <c:pt idx="5">
                  <c:v>28</c:v>
                </c:pt>
                <c:pt idx="6">
                  <c:v>39</c:v>
                </c:pt>
                <c:pt idx="7">
                  <c:v>35</c:v>
                </c:pt>
                <c:pt idx="8">
                  <c:v>30</c:v>
                </c:pt>
                <c:pt idx="9">
                  <c:v>40</c:v>
                </c:pt>
                <c:pt idx="10">
                  <c:v>43</c:v>
                </c:pt>
                <c:pt idx="11">
                  <c:v>49</c:v>
                </c:pt>
                <c:pt idx="12">
                  <c:v>54</c:v>
                </c:pt>
                <c:pt idx="13">
                  <c:v>64</c:v>
                </c:pt>
                <c:pt idx="14">
                  <c:v>84</c:v>
                </c:pt>
                <c:pt idx="15">
                  <c:v>99</c:v>
                </c:pt>
                <c:pt idx="16">
                  <c:v>98</c:v>
                </c:pt>
                <c:pt idx="17">
                  <c:v>90</c:v>
                </c:pt>
                <c:pt idx="18">
                  <c:v>102</c:v>
                </c:pt>
                <c:pt idx="19">
                  <c:v>94</c:v>
                </c:pt>
              </c:numCache>
            </c:numRef>
          </c:val>
          <c:smooth val="0"/>
        </c:ser>
        <c:ser>
          <c:idx val="1"/>
          <c:order val="1"/>
          <c:tx>
            <c:strRef>
              <c:f>'infusions - figs'!$N$5:$N$7</c:f>
              <c:strCache>
                <c:ptCount val="1"/>
                <c:pt idx="0">
                  <c:v>BEVACIZUMAB - First-line</c:v>
                </c:pt>
              </c:strCache>
            </c:strRef>
          </c:tx>
          <c:cat>
            <c:strRef>
              <c:f>'infusions - figs'!$L$8:$L$28</c:f>
              <c:strCache>
                <c:ptCount val="20"/>
                <c:pt idx="0">
                  <c:v>2012Q3</c:v>
                </c:pt>
                <c:pt idx="1">
                  <c:v>2012Q4</c:v>
                </c:pt>
                <c:pt idx="2">
                  <c:v>2013Q1</c:v>
                </c:pt>
                <c:pt idx="3">
                  <c:v>2013Q2</c:v>
                </c:pt>
                <c:pt idx="4">
                  <c:v>2013Q3</c:v>
                </c:pt>
                <c:pt idx="5">
                  <c:v>2013Q4</c:v>
                </c:pt>
                <c:pt idx="6">
                  <c:v>2014Q1</c:v>
                </c:pt>
                <c:pt idx="7">
                  <c:v>2014Q2</c:v>
                </c:pt>
                <c:pt idx="8">
                  <c:v>2014Q3</c:v>
                </c:pt>
                <c:pt idx="9">
                  <c:v>2014Q4</c:v>
                </c:pt>
                <c:pt idx="10">
                  <c:v>2015Q1</c:v>
                </c:pt>
                <c:pt idx="11">
                  <c:v>2015Q2</c:v>
                </c:pt>
                <c:pt idx="12">
                  <c:v>2015Q3</c:v>
                </c:pt>
                <c:pt idx="13">
                  <c:v>2015Q4</c:v>
                </c:pt>
                <c:pt idx="14">
                  <c:v>2016Q1</c:v>
                </c:pt>
                <c:pt idx="15">
                  <c:v>2016Q2</c:v>
                </c:pt>
                <c:pt idx="16">
                  <c:v>2016Q3</c:v>
                </c:pt>
                <c:pt idx="17">
                  <c:v>2016Q4</c:v>
                </c:pt>
                <c:pt idx="18">
                  <c:v>2017Q1</c:v>
                </c:pt>
                <c:pt idx="19">
                  <c:v>2017Q2</c:v>
                </c:pt>
              </c:strCache>
            </c:strRef>
          </c:cat>
          <c:val>
            <c:numRef>
              <c:f>'infusions - figs'!$N$8:$N$28</c:f>
              <c:numCache>
                <c:formatCode>General</c:formatCode>
                <c:ptCount val="20"/>
                <c:pt idx="0">
                  <c:v>7090</c:v>
                </c:pt>
                <c:pt idx="1">
                  <c:v>7130</c:v>
                </c:pt>
                <c:pt idx="2">
                  <c:v>7482</c:v>
                </c:pt>
                <c:pt idx="3">
                  <c:v>7832</c:v>
                </c:pt>
                <c:pt idx="4">
                  <c:v>7882</c:v>
                </c:pt>
                <c:pt idx="5">
                  <c:v>7666</c:v>
                </c:pt>
                <c:pt idx="6">
                  <c:v>7829</c:v>
                </c:pt>
                <c:pt idx="7">
                  <c:v>8022</c:v>
                </c:pt>
                <c:pt idx="8">
                  <c:v>8019</c:v>
                </c:pt>
                <c:pt idx="9">
                  <c:v>7867</c:v>
                </c:pt>
                <c:pt idx="10">
                  <c:v>8077</c:v>
                </c:pt>
                <c:pt idx="11">
                  <c:v>8138</c:v>
                </c:pt>
                <c:pt idx="12">
                  <c:v>8079</c:v>
                </c:pt>
                <c:pt idx="13">
                  <c:v>8055</c:v>
                </c:pt>
                <c:pt idx="14">
                  <c:v>8155</c:v>
                </c:pt>
                <c:pt idx="15">
                  <c:v>8098</c:v>
                </c:pt>
                <c:pt idx="16">
                  <c:v>7929</c:v>
                </c:pt>
                <c:pt idx="17">
                  <c:v>7533</c:v>
                </c:pt>
                <c:pt idx="18">
                  <c:v>7623</c:v>
                </c:pt>
                <c:pt idx="19">
                  <c:v>7387</c:v>
                </c:pt>
              </c:numCache>
            </c:numRef>
          </c:val>
          <c:smooth val="0"/>
        </c:ser>
        <c:ser>
          <c:idx val="2"/>
          <c:order val="2"/>
          <c:tx>
            <c:strRef>
              <c:f>'infusions - figs'!$O$5:$O$7</c:f>
              <c:strCache>
                <c:ptCount val="1"/>
                <c:pt idx="0">
                  <c:v>BEVACIZUMAB - Second-line</c:v>
                </c:pt>
              </c:strCache>
            </c:strRef>
          </c:tx>
          <c:cat>
            <c:strRef>
              <c:f>'infusions - figs'!$L$8:$L$28</c:f>
              <c:strCache>
                <c:ptCount val="20"/>
                <c:pt idx="0">
                  <c:v>2012Q3</c:v>
                </c:pt>
                <c:pt idx="1">
                  <c:v>2012Q4</c:v>
                </c:pt>
                <c:pt idx="2">
                  <c:v>2013Q1</c:v>
                </c:pt>
                <c:pt idx="3">
                  <c:v>2013Q2</c:v>
                </c:pt>
                <c:pt idx="4">
                  <c:v>2013Q3</c:v>
                </c:pt>
                <c:pt idx="5">
                  <c:v>2013Q4</c:v>
                </c:pt>
                <c:pt idx="6">
                  <c:v>2014Q1</c:v>
                </c:pt>
                <c:pt idx="7">
                  <c:v>2014Q2</c:v>
                </c:pt>
                <c:pt idx="8">
                  <c:v>2014Q3</c:v>
                </c:pt>
                <c:pt idx="9">
                  <c:v>2014Q4</c:v>
                </c:pt>
                <c:pt idx="10">
                  <c:v>2015Q1</c:v>
                </c:pt>
                <c:pt idx="11">
                  <c:v>2015Q2</c:v>
                </c:pt>
                <c:pt idx="12">
                  <c:v>2015Q3</c:v>
                </c:pt>
                <c:pt idx="13">
                  <c:v>2015Q4</c:v>
                </c:pt>
                <c:pt idx="14">
                  <c:v>2016Q1</c:v>
                </c:pt>
                <c:pt idx="15">
                  <c:v>2016Q2</c:v>
                </c:pt>
                <c:pt idx="16">
                  <c:v>2016Q3</c:v>
                </c:pt>
                <c:pt idx="17">
                  <c:v>2016Q4</c:v>
                </c:pt>
                <c:pt idx="18">
                  <c:v>2017Q1</c:v>
                </c:pt>
                <c:pt idx="19">
                  <c:v>2017Q2</c:v>
                </c:pt>
              </c:strCache>
            </c:strRef>
          </c:cat>
          <c:val>
            <c:numRef>
              <c:f>'infusions - figs'!$O$8:$O$28</c:f>
              <c:numCache>
                <c:formatCode>General</c:formatCode>
                <c:ptCount val="20"/>
                <c:pt idx="0">
                  <c:v>14</c:v>
                </c:pt>
                <c:pt idx="1">
                  <c:v>15</c:v>
                </c:pt>
                <c:pt idx="2">
                  <c:v>11</c:v>
                </c:pt>
                <c:pt idx="3">
                  <c:v>4</c:v>
                </c:pt>
                <c:pt idx="4">
                  <c:v>7</c:v>
                </c:pt>
                <c:pt idx="5">
                  <c:v>4</c:v>
                </c:pt>
                <c:pt idx="6">
                  <c:v>7</c:v>
                </c:pt>
                <c:pt idx="7">
                  <c:v>5</c:v>
                </c:pt>
                <c:pt idx="8">
                  <c:v>4</c:v>
                </c:pt>
                <c:pt idx="9">
                  <c:v>6</c:v>
                </c:pt>
                <c:pt idx="10">
                  <c:v>11</c:v>
                </c:pt>
                <c:pt idx="11">
                  <c:v>20</c:v>
                </c:pt>
                <c:pt idx="12">
                  <c:v>32</c:v>
                </c:pt>
                <c:pt idx="13">
                  <c:v>59</c:v>
                </c:pt>
                <c:pt idx="14">
                  <c:v>68</c:v>
                </c:pt>
                <c:pt idx="15">
                  <c:v>105</c:v>
                </c:pt>
                <c:pt idx="16">
                  <c:v>168</c:v>
                </c:pt>
                <c:pt idx="17">
                  <c:v>232</c:v>
                </c:pt>
                <c:pt idx="18">
                  <c:v>277</c:v>
                </c:pt>
                <c:pt idx="19">
                  <c:v>257</c:v>
                </c:pt>
              </c:numCache>
            </c:numRef>
          </c:val>
          <c:smooth val="0"/>
        </c:ser>
        <c:ser>
          <c:idx val="3"/>
          <c:order val="3"/>
          <c:tx>
            <c:strRef>
              <c:f>'infusions - figs'!$P$5:$P$7</c:f>
              <c:strCache>
                <c:ptCount val="1"/>
                <c:pt idx="0">
                  <c:v>BEVACIZUMAB - All lines</c:v>
                </c:pt>
              </c:strCache>
            </c:strRef>
          </c:tx>
          <c:marker>
            <c:symbol val="circle"/>
            <c:size val="7"/>
          </c:marker>
          <c:cat>
            <c:strRef>
              <c:f>'infusions - figs'!$L$8:$L$28</c:f>
              <c:strCache>
                <c:ptCount val="20"/>
                <c:pt idx="0">
                  <c:v>2012Q3</c:v>
                </c:pt>
                <c:pt idx="1">
                  <c:v>2012Q4</c:v>
                </c:pt>
                <c:pt idx="2">
                  <c:v>2013Q1</c:v>
                </c:pt>
                <c:pt idx="3">
                  <c:v>2013Q2</c:v>
                </c:pt>
                <c:pt idx="4">
                  <c:v>2013Q3</c:v>
                </c:pt>
                <c:pt idx="5">
                  <c:v>2013Q4</c:v>
                </c:pt>
                <c:pt idx="6">
                  <c:v>2014Q1</c:v>
                </c:pt>
                <c:pt idx="7">
                  <c:v>2014Q2</c:v>
                </c:pt>
                <c:pt idx="8">
                  <c:v>2014Q3</c:v>
                </c:pt>
                <c:pt idx="9">
                  <c:v>2014Q4</c:v>
                </c:pt>
                <c:pt idx="10">
                  <c:v>2015Q1</c:v>
                </c:pt>
                <c:pt idx="11">
                  <c:v>2015Q2</c:v>
                </c:pt>
                <c:pt idx="12">
                  <c:v>2015Q3</c:v>
                </c:pt>
                <c:pt idx="13">
                  <c:v>2015Q4</c:v>
                </c:pt>
                <c:pt idx="14">
                  <c:v>2016Q1</c:v>
                </c:pt>
                <c:pt idx="15">
                  <c:v>2016Q2</c:v>
                </c:pt>
                <c:pt idx="16">
                  <c:v>2016Q3</c:v>
                </c:pt>
                <c:pt idx="17">
                  <c:v>2016Q4</c:v>
                </c:pt>
                <c:pt idx="18">
                  <c:v>2017Q1</c:v>
                </c:pt>
                <c:pt idx="19">
                  <c:v>2017Q2</c:v>
                </c:pt>
              </c:strCache>
            </c:strRef>
          </c:cat>
          <c:val>
            <c:numRef>
              <c:f>'infusions - figs'!$P$8:$P$28</c:f>
              <c:numCache>
                <c:formatCode>General</c:formatCode>
                <c:ptCount val="20"/>
                <c:pt idx="0">
                  <c:v>7142</c:v>
                </c:pt>
                <c:pt idx="1">
                  <c:v>7176</c:v>
                </c:pt>
                <c:pt idx="2">
                  <c:v>7535</c:v>
                </c:pt>
                <c:pt idx="3">
                  <c:v>7864</c:v>
                </c:pt>
                <c:pt idx="4">
                  <c:v>7926</c:v>
                </c:pt>
                <c:pt idx="5">
                  <c:v>7698</c:v>
                </c:pt>
                <c:pt idx="6">
                  <c:v>7875</c:v>
                </c:pt>
                <c:pt idx="7">
                  <c:v>8062</c:v>
                </c:pt>
                <c:pt idx="8">
                  <c:v>8053</c:v>
                </c:pt>
                <c:pt idx="9">
                  <c:v>7913</c:v>
                </c:pt>
                <c:pt idx="10">
                  <c:v>8131</c:v>
                </c:pt>
                <c:pt idx="11">
                  <c:v>8207</c:v>
                </c:pt>
                <c:pt idx="12">
                  <c:v>8165</c:v>
                </c:pt>
                <c:pt idx="13">
                  <c:v>8178</c:v>
                </c:pt>
                <c:pt idx="14">
                  <c:v>8307</c:v>
                </c:pt>
                <c:pt idx="15">
                  <c:v>8302</c:v>
                </c:pt>
                <c:pt idx="16">
                  <c:v>8195</c:v>
                </c:pt>
                <c:pt idx="17">
                  <c:v>7855</c:v>
                </c:pt>
                <c:pt idx="18">
                  <c:v>8002</c:v>
                </c:pt>
                <c:pt idx="19">
                  <c:v>7738</c:v>
                </c:pt>
              </c:numCache>
            </c:numRef>
          </c:val>
          <c:smooth val="0"/>
        </c:ser>
        <c:dLbls>
          <c:showLegendKey val="0"/>
          <c:showVal val="0"/>
          <c:showCatName val="0"/>
          <c:showSerName val="0"/>
          <c:showPercent val="0"/>
          <c:showBubbleSize val="0"/>
        </c:dLbls>
        <c:marker val="1"/>
        <c:smooth val="0"/>
        <c:axId val="264823552"/>
        <c:axId val="264825472"/>
      </c:lineChart>
      <c:catAx>
        <c:axId val="264823552"/>
        <c:scaling>
          <c:orientation val="minMax"/>
        </c:scaling>
        <c:delete val="0"/>
        <c:axPos val="b"/>
        <c:majorTickMark val="out"/>
        <c:minorTickMark val="none"/>
        <c:tickLblPos val="nextTo"/>
        <c:txPr>
          <a:bodyPr rot="-5400000" vert="horz"/>
          <a:lstStyle/>
          <a:p>
            <a:pPr>
              <a:defRPr/>
            </a:pPr>
            <a:endParaRPr lang="en-US"/>
          </a:p>
        </c:txPr>
        <c:crossAx val="264825472"/>
        <c:crosses val="autoZero"/>
        <c:auto val="1"/>
        <c:lblAlgn val="ctr"/>
        <c:lblOffset val="100"/>
        <c:noMultiLvlLbl val="0"/>
      </c:catAx>
      <c:valAx>
        <c:axId val="264825472"/>
        <c:scaling>
          <c:orientation val="minMax"/>
        </c:scaling>
        <c:delete val="0"/>
        <c:axPos val="l"/>
        <c:majorGridlines/>
        <c:title>
          <c:tx>
            <c:rich>
              <a:bodyPr rot="-5400000" vert="horz"/>
              <a:lstStyle/>
              <a:p>
                <a:pPr>
                  <a:defRPr/>
                </a:pPr>
                <a:r>
                  <a:rPr lang="en-AU"/>
                  <a:t>Number</a:t>
                </a:r>
                <a:r>
                  <a:rPr lang="en-AU" baseline="0"/>
                  <a:t> of infusions</a:t>
                </a:r>
                <a:endParaRPr lang="en-AU"/>
              </a:p>
            </c:rich>
          </c:tx>
          <c:layout/>
          <c:overlay val="0"/>
        </c:title>
        <c:numFmt formatCode="General" sourceLinked="1"/>
        <c:majorTickMark val="out"/>
        <c:minorTickMark val="none"/>
        <c:tickLblPos val="nextTo"/>
        <c:crossAx val="264823552"/>
        <c:crosses val="autoZero"/>
        <c:crossBetween val="between"/>
      </c:valAx>
    </c:plotArea>
    <c:legend>
      <c:legendPos val="r"/>
      <c:layout>
        <c:manualLayout>
          <c:xMode val="edge"/>
          <c:yMode val="edge"/>
          <c:x val="9.9321156915358297E-2"/>
          <c:y val="0.82240883124903508"/>
          <c:w val="0.88496946412154109"/>
          <c:h val="0.12932129072101281"/>
        </c:manualLayout>
      </c:layout>
      <c:overlay val="0"/>
    </c:legend>
    <c:plotVisOnly val="1"/>
    <c:dispBlanksAs val="gap"/>
    <c:showDLblsOverMax val="0"/>
  </c:chart>
  <c:spPr>
    <a:ln>
      <a:noFill/>
    </a:ln>
  </c:spPr>
  <c:externalData r:id="rId2">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[Report 1022 tables and figures final.xlsx]infusions - figs!PivotTable5</c:name>
    <c:fmtId val="-1"/>
  </c:pivotSource>
  <c:chart>
    <c:autoTitleDeleted val="0"/>
    <c:pivotFmts>
      <c:pivotFmt>
        <c:idx val="0"/>
        <c:spPr>
          <a:ln>
            <a:solidFill>
              <a:schemeClr val="tx1"/>
            </a:solidFill>
          </a:ln>
        </c:spPr>
        <c:marker>
          <c:symbol val="square"/>
          <c:size val="5"/>
          <c:spPr>
            <a:solidFill>
              <a:schemeClr val="tx1"/>
            </a:solidFill>
            <a:ln>
              <a:solidFill>
                <a:schemeClr val="tx1"/>
              </a:solidFill>
            </a:ln>
          </c:spPr>
        </c:marker>
      </c:pivotFmt>
      <c:pivotFmt>
        <c:idx val="1"/>
      </c:pivotFmt>
      <c:pivotFmt>
        <c:idx val="2"/>
      </c:pivotFmt>
      <c:pivotFmt>
        <c:idx val="3"/>
        <c:marker>
          <c:symbol val="diamond"/>
          <c:size val="5"/>
        </c:marker>
      </c:pivotFmt>
      <c:pivotFmt>
        <c:idx val="4"/>
      </c:pivotFmt>
      <c:pivotFmt>
        <c:idx val="5"/>
      </c:pivotFmt>
      <c:pivotFmt>
        <c:idx val="6"/>
      </c:pivotFmt>
      <c:pivotFmt>
        <c:idx val="7"/>
        <c:spPr>
          <a:ln>
            <a:solidFill>
              <a:schemeClr val="accent4"/>
            </a:solidFill>
          </a:ln>
        </c:spPr>
        <c:marker>
          <c:symbol val="circle"/>
          <c:size val="7"/>
          <c:spPr>
            <a:solidFill>
              <a:schemeClr val="accent4"/>
            </a:solidFill>
            <a:ln>
              <a:solidFill>
                <a:schemeClr val="accent4"/>
              </a:solidFill>
            </a:ln>
          </c:spPr>
        </c:marker>
      </c:pivotFmt>
      <c:pivotFmt>
        <c:idx val="8"/>
        <c:spPr>
          <a:ln>
            <a:solidFill>
              <a:schemeClr val="accent2"/>
            </a:solidFill>
          </a:ln>
        </c:spPr>
        <c:marker>
          <c:symbol val="square"/>
          <c:size val="7"/>
          <c:spPr>
            <a:solidFill>
              <a:schemeClr val="accent2"/>
            </a:solidFill>
            <a:ln>
              <a:solidFill>
                <a:schemeClr val="accent2"/>
              </a:solidFill>
            </a:ln>
          </c:spPr>
        </c:marker>
      </c:pivotFmt>
      <c:pivotFmt>
        <c:idx val="9"/>
        <c:spPr>
          <a:ln>
            <a:solidFill>
              <a:schemeClr val="accent3"/>
            </a:solidFill>
          </a:ln>
        </c:spPr>
        <c:marker>
          <c:symbol val="triangle"/>
          <c:size val="7"/>
          <c:spPr>
            <a:solidFill>
              <a:schemeClr val="accent3"/>
            </a:solidFill>
            <a:ln>
              <a:solidFill>
                <a:schemeClr val="accent3"/>
              </a:solidFill>
            </a:ln>
          </c:spPr>
        </c:marker>
      </c:pivotFmt>
      <c:pivotFmt>
        <c:idx val="10"/>
      </c:pivotFmt>
      <c:pivotFmt>
        <c:idx val="11"/>
        <c:spPr>
          <a:ln>
            <a:solidFill>
              <a:schemeClr val="accent4"/>
            </a:solidFill>
          </a:ln>
        </c:spPr>
        <c:marker>
          <c:symbol val="circle"/>
          <c:size val="7"/>
          <c:spPr>
            <a:solidFill>
              <a:schemeClr val="accent4"/>
            </a:solidFill>
            <a:ln>
              <a:solidFill>
                <a:schemeClr val="accent4"/>
              </a:solidFill>
            </a:ln>
          </c:spPr>
        </c:marker>
      </c:pivotFmt>
      <c:pivotFmt>
        <c:idx val="12"/>
        <c:spPr>
          <a:ln>
            <a:solidFill>
              <a:schemeClr val="accent2"/>
            </a:solidFill>
          </a:ln>
        </c:spPr>
        <c:marker>
          <c:symbol val="square"/>
          <c:size val="7"/>
          <c:spPr>
            <a:solidFill>
              <a:schemeClr val="accent2"/>
            </a:solidFill>
            <a:ln>
              <a:solidFill>
                <a:schemeClr val="accent2"/>
              </a:solidFill>
            </a:ln>
          </c:spPr>
        </c:marker>
      </c:pivotFmt>
      <c:pivotFmt>
        <c:idx val="13"/>
        <c:spPr>
          <a:ln>
            <a:solidFill>
              <a:schemeClr val="accent3"/>
            </a:solidFill>
          </a:ln>
        </c:spPr>
        <c:marker>
          <c:symbol val="triangle"/>
          <c:size val="7"/>
          <c:spPr>
            <a:solidFill>
              <a:schemeClr val="accent3"/>
            </a:solidFill>
            <a:ln>
              <a:solidFill>
                <a:schemeClr val="accent3"/>
              </a:solidFill>
            </a:ln>
          </c:spPr>
        </c:marker>
      </c:pivotFmt>
      <c:pivotFmt>
        <c:idx val="14"/>
      </c:pivotFmt>
      <c:pivotFmt>
        <c:idx val="15"/>
        <c:spPr>
          <a:ln>
            <a:solidFill>
              <a:schemeClr val="accent4"/>
            </a:solidFill>
          </a:ln>
        </c:spPr>
        <c:marker>
          <c:symbol val="circle"/>
          <c:size val="7"/>
          <c:spPr>
            <a:solidFill>
              <a:schemeClr val="accent4"/>
            </a:solidFill>
            <a:ln>
              <a:solidFill>
                <a:schemeClr val="accent4"/>
              </a:solidFill>
            </a:ln>
          </c:spPr>
        </c:marker>
      </c:pivotFmt>
      <c:pivotFmt>
        <c:idx val="16"/>
        <c:spPr>
          <a:ln>
            <a:solidFill>
              <a:schemeClr val="accent2"/>
            </a:solidFill>
          </a:ln>
        </c:spPr>
        <c:marker>
          <c:symbol val="square"/>
          <c:size val="7"/>
          <c:spPr>
            <a:solidFill>
              <a:schemeClr val="accent2"/>
            </a:solidFill>
            <a:ln>
              <a:solidFill>
                <a:schemeClr val="accent2"/>
              </a:solidFill>
            </a:ln>
          </c:spPr>
        </c:marker>
      </c:pivotFmt>
      <c:pivotFmt>
        <c:idx val="17"/>
        <c:spPr>
          <a:ln>
            <a:solidFill>
              <a:schemeClr val="accent3"/>
            </a:solidFill>
          </a:ln>
        </c:spPr>
        <c:marker>
          <c:symbol val="triangle"/>
          <c:size val="7"/>
          <c:spPr>
            <a:solidFill>
              <a:schemeClr val="accent3"/>
            </a:solidFill>
            <a:ln>
              <a:solidFill>
                <a:schemeClr val="accent3"/>
              </a:solidFill>
            </a:ln>
          </c:spPr>
        </c:marker>
      </c:pivotFmt>
    </c:pivotFmts>
    <c:plotArea>
      <c:layout>
        <c:manualLayout>
          <c:layoutTarget val="inner"/>
          <c:xMode val="edge"/>
          <c:yMode val="edge"/>
          <c:x val="0.10232036000523938"/>
          <c:y val="3.1563666481988259E-2"/>
          <c:w val="0.87890331672144872"/>
          <c:h val="0.67500996428011895"/>
        </c:manualLayout>
      </c:layout>
      <c:lineChart>
        <c:grouping val="standard"/>
        <c:varyColors val="0"/>
        <c:ser>
          <c:idx val="0"/>
          <c:order val="0"/>
          <c:tx>
            <c:strRef>
              <c:f>'infusions - figs'!$BA$4:$BA$6</c:f>
              <c:strCache>
                <c:ptCount val="1"/>
                <c:pt idx="0">
                  <c:v>CETUXIMAB - After second-line</c:v>
                </c:pt>
              </c:strCache>
            </c:strRef>
          </c:tx>
          <c:cat>
            <c:strRef>
              <c:f>'infusions - figs'!$AZ$7:$AZ$27</c:f>
              <c:strCache>
                <c:ptCount val="20"/>
                <c:pt idx="0">
                  <c:v>2012Q3</c:v>
                </c:pt>
                <c:pt idx="1">
                  <c:v>2012Q4</c:v>
                </c:pt>
                <c:pt idx="2">
                  <c:v>2013Q1</c:v>
                </c:pt>
                <c:pt idx="3">
                  <c:v>2013Q2</c:v>
                </c:pt>
                <c:pt idx="4">
                  <c:v>2013Q3</c:v>
                </c:pt>
                <c:pt idx="5">
                  <c:v>2013Q4</c:v>
                </c:pt>
                <c:pt idx="6">
                  <c:v>2014Q1</c:v>
                </c:pt>
                <c:pt idx="7">
                  <c:v>2014Q2</c:v>
                </c:pt>
                <c:pt idx="8">
                  <c:v>2014Q3</c:v>
                </c:pt>
                <c:pt idx="9">
                  <c:v>2014Q4</c:v>
                </c:pt>
                <c:pt idx="10">
                  <c:v>2015Q1</c:v>
                </c:pt>
                <c:pt idx="11">
                  <c:v>2015Q2</c:v>
                </c:pt>
                <c:pt idx="12">
                  <c:v>2015Q3</c:v>
                </c:pt>
                <c:pt idx="13">
                  <c:v>2015Q4</c:v>
                </c:pt>
                <c:pt idx="14">
                  <c:v>2016Q1</c:v>
                </c:pt>
                <c:pt idx="15">
                  <c:v>2016Q2</c:v>
                </c:pt>
                <c:pt idx="16">
                  <c:v>2016Q3</c:v>
                </c:pt>
                <c:pt idx="17">
                  <c:v>2016Q4</c:v>
                </c:pt>
                <c:pt idx="18">
                  <c:v>2017Q1</c:v>
                </c:pt>
                <c:pt idx="19">
                  <c:v>2017Q2</c:v>
                </c:pt>
              </c:strCache>
            </c:strRef>
          </c:cat>
          <c:val>
            <c:numRef>
              <c:f>'infusions - figs'!$BA$7:$BA$27</c:f>
              <c:numCache>
                <c:formatCode>General</c:formatCode>
                <c:ptCount val="20"/>
                <c:pt idx="0">
                  <c:v>48</c:v>
                </c:pt>
                <c:pt idx="1">
                  <c:v>53</c:v>
                </c:pt>
                <c:pt idx="2">
                  <c:v>61</c:v>
                </c:pt>
                <c:pt idx="3">
                  <c:v>41</c:v>
                </c:pt>
                <c:pt idx="4">
                  <c:v>50</c:v>
                </c:pt>
                <c:pt idx="5">
                  <c:v>63</c:v>
                </c:pt>
                <c:pt idx="6">
                  <c:v>66</c:v>
                </c:pt>
                <c:pt idx="7">
                  <c:v>38</c:v>
                </c:pt>
                <c:pt idx="8">
                  <c:v>30</c:v>
                </c:pt>
                <c:pt idx="9">
                  <c:v>55</c:v>
                </c:pt>
                <c:pt idx="10">
                  <c:v>76</c:v>
                </c:pt>
                <c:pt idx="11">
                  <c:v>102</c:v>
                </c:pt>
                <c:pt idx="12">
                  <c:v>110</c:v>
                </c:pt>
                <c:pt idx="13">
                  <c:v>69</c:v>
                </c:pt>
                <c:pt idx="14">
                  <c:v>75</c:v>
                </c:pt>
                <c:pt idx="15">
                  <c:v>132</c:v>
                </c:pt>
                <c:pt idx="16">
                  <c:v>114</c:v>
                </c:pt>
                <c:pt idx="17">
                  <c:v>120</c:v>
                </c:pt>
                <c:pt idx="18">
                  <c:v>128</c:v>
                </c:pt>
                <c:pt idx="19">
                  <c:v>82</c:v>
                </c:pt>
              </c:numCache>
            </c:numRef>
          </c:val>
          <c:smooth val="0"/>
        </c:ser>
        <c:ser>
          <c:idx val="1"/>
          <c:order val="1"/>
          <c:tx>
            <c:strRef>
              <c:f>'infusions - figs'!$BB$4:$BB$6</c:f>
              <c:strCache>
                <c:ptCount val="1"/>
                <c:pt idx="0">
                  <c:v>CETUXIMAB - All lines</c:v>
                </c:pt>
              </c:strCache>
            </c:strRef>
          </c:tx>
          <c:spPr>
            <a:ln>
              <a:solidFill>
                <a:schemeClr val="accent4"/>
              </a:solidFill>
            </a:ln>
          </c:spPr>
          <c:marker>
            <c:symbol val="circle"/>
            <c:size val="7"/>
            <c:spPr>
              <a:solidFill>
                <a:schemeClr val="accent4"/>
              </a:solidFill>
              <a:ln>
                <a:solidFill>
                  <a:schemeClr val="accent4"/>
                </a:solidFill>
              </a:ln>
            </c:spPr>
          </c:marker>
          <c:cat>
            <c:strRef>
              <c:f>'infusions - figs'!$AZ$7:$AZ$27</c:f>
              <c:strCache>
                <c:ptCount val="20"/>
                <c:pt idx="0">
                  <c:v>2012Q3</c:v>
                </c:pt>
                <c:pt idx="1">
                  <c:v>2012Q4</c:v>
                </c:pt>
                <c:pt idx="2">
                  <c:v>2013Q1</c:v>
                </c:pt>
                <c:pt idx="3">
                  <c:v>2013Q2</c:v>
                </c:pt>
                <c:pt idx="4">
                  <c:v>2013Q3</c:v>
                </c:pt>
                <c:pt idx="5">
                  <c:v>2013Q4</c:v>
                </c:pt>
                <c:pt idx="6">
                  <c:v>2014Q1</c:v>
                </c:pt>
                <c:pt idx="7">
                  <c:v>2014Q2</c:v>
                </c:pt>
                <c:pt idx="8">
                  <c:v>2014Q3</c:v>
                </c:pt>
                <c:pt idx="9">
                  <c:v>2014Q4</c:v>
                </c:pt>
                <c:pt idx="10">
                  <c:v>2015Q1</c:v>
                </c:pt>
                <c:pt idx="11">
                  <c:v>2015Q2</c:v>
                </c:pt>
                <c:pt idx="12">
                  <c:v>2015Q3</c:v>
                </c:pt>
                <c:pt idx="13">
                  <c:v>2015Q4</c:v>
                </c:pt>
                <c:pt idx="14">
                  <c:v>2016Q1</c:v>
                </c:pt>
                <c:pt idx="15">
                  <c:v>2016Q2</c:v>
                </c:pt>
                <c:pt idx="16">
                  <c:v>2016Q3</c:v>
                </c:pt>
                <c:pt idx="17">
                  <c:v>2016Q4</c:v>
                </c:pt>
                <c:pt idx="18">
                  <c:v>2017Q1</c:v>
                </c:pt>
                <c:pt idx="19">
                  <c:v>2017Q2</c:v>
                </c:pt>
              </c:strCache>
            </c:strRef>
          </c:cat>
          <c:val>
            <c:numRef>
              <c:f>'infusions - figs'!$BB$7:$BB$27</c:f>
              <c:numCache>
                <c:formatCode>General</c:formatCode>
                <c:ptCount val="20"/>
                <c:pt idx="0">
                  <c:v>4072</c:v>
                </c:pt>
                <c:pt idx="1">
                  <c:v>3838</c:v>
                </c:pt>
                <c:pt idx="2">
                  <c:v>3835</c:v>
                </c:pt>
                <c:pt idx="3">
                  <c:v>3789</c:v>
                </c:pt>
                <c:pt idx="4">
                  <c:v>4165</c:v>
                </c:pt>
                <c:pt idx="5">
                  <c:v>4146</c:v>
                </c:pt>
                <c:pt idx="6">
                  <c:v>4038</c:v>
                </c:pt>
                <c:pt idx="7">
                  <c:v>3999</c:v>
                </c:pt>
                <c:pt idx="8">
                  <c:v>3744</c:v>
                </c:pt>
                <c:pt idx="9">
                  <c:v>3488</c:v>
                </c:pt>
                <c:pt idx="10">
                  <c:v>3214</c:v>
                </c:pt>
                <c:pt idx="11">
                  <c:v>3118</c:v>
                </c:pt>
                <c:pt idx="12">
                  <c:v>3510</c:v>
                </c:pt>
                <c:pt idx="13">
                  <c:v>3694</c:v>
                </c:pt>
                <c:pt idx="14">
                  <c:v>3723</c:v>
                </c:pt>
                <c:pt idx="15">
                  <c:v>4023</c:v>
                </c:pt>
                <c:pt idx="16">
                  <c:v>3832</c:v>
                </c:pt>
                <c:pt idx="17">
                  <c:v>3351</c:v>
                </c:pt>
                <c:pt idx="18">
                  <c:v>3441</c:v>
                </c:pt>
                <c:pt idx="19">
                  <c:v>3200</c:v>
                </c:pt>
              </c:numCache>
            </c:numRef>
          </c:val>
          <c:smooth val="0"/>
        </c:ser>
        <c:ser>
          <c:idx val="2"/>
          <c:order val="2"/>
          <c:tx>
            <c:strRef>
              <c:f>'infusions - figs'!$BC$4:$BC$6</c:f>
              <c:strCache>
                <c:ptCount val="1"/>
                <c:pt idx="0">
                  <c:v>CETUXIMAB - First-line</c:v>
                </c:pt>
              </c:strCache>
            </c:strRef>
          </c:tx>
          <c:spPr>
            <a:ln>
              <a:solidFill>
                <a:schemeClr val="accent2"/>
              </a:solidFill>
            </a:ln>
          </c:spPr>
          <c:marker>
            <c:symbol val="square"/>
            <c:size val="7"/>
            <c:spPr>
              <a:solidFill>
                <a:schemeClr val="accent2"/>
              </a:solidFill>
              <a:ln>
                <a:solidFill>
                  <a:schemeClr val="accent2"/>
                </a:solidFill>
              </a:ln>
            </c:spPr>
          </c:marker>
          <c:cat>
            <c:strRef>
              <c:f>'infusions - figs'!$AZ$7:$AZ$27</c:f>
              <c:strCache>
                <c:ptCount val="20"/>
                <c:pt idx="0">
                  <c:v>2012Q3</c:v>
                </c:pt>
                <c:pt idx="1">
                  <c:v>2012Q4</c:v>
                </c:pt>
                <c:pt idx="2">
                  <c:v>2013Q1</c:v>
                </c:pt>
                <c:pt idx="3">
                  <c:v>2013Q2</c:v>
                </c:pt>
                <c:pt idx="4">
                  <c:v>2013Q3</c:v>
                </c:pt>
                <c:pt idx="5">
                  <c:v>2013Q4</c:v>
                </c:pt>
                <c:pt idx="6">
                  <c:v>2014Q1</c:v>
                </c:pt>
                <c:pt idx="7">
                  <c:v>2014Q2</c:v>
                </c:pt>
                <c:pt idx="8">
                  <c:v>2014Q3</c:v>
                </c:pt>
                <c:pt idx="9">
                  <c:v>2014Q4</c:v>
                </c:pt>
                <c:pt idx="10">
                  <c:v>2015Q1</c:v>
                </c:pt>
                <c:pt idx="11">
                  <c:v>2015Q2</c:v>
                </c:pt>
                <c:pt idx="12">
                  <c:v>2015Q3</c:v>
                </c:pt>
                <c:pt idx="13">
                  <c:v>2015Q4</c:v>
                </c:pt>
                <c:pt idx="14">
                  <c:v>2016Q1</c:v>
                </c:pt>
                <c:pt idx="15">
                  <c:v>2016Q2</c:v>
                </c:pt>
                <c:pt idx="16">
                  <c:v>2016Q3</c:v>
                </c:pt>
                <c:pt idx="17">
                  <c:v>2016Q4</c:v>
                </c:pt>
                <c:pt idx="18">
                  <c:v>2017Q1</c:v>
                </c:pt>
                <c:pt idx="19">
                  <c:v>2017Q2</c:v>
                </c:pt>
              </c:strCache>
            </c:strRef>
          </c:cat>
          <c:val>
            <c:numRef>
              <c:f>'infusions - figs'!$BC$7:$BC$27</c:f>
              <c:numCache>
                <c:formatCode>General</c:formatCode>
                <c:ptCount val="20"/>
                <c:pt idx="0">
                  <c:v>1478</c:v>
                </c:pt>
                <c:pt idx="1">
                  <c:v>1241</c:v>
                </c:pt>
                <c:pt idx="2">
                  <c:v>1193</c:v>
                </c:pt>
                <c:pt idx="3">
                  <c:v>1199</c:v>
                </c:pt>
                <c:pt idx="4">
                  <c:v>1223</c:v>
                </c:pt>
                <c:pt idx="5">
                  <c:v>1217</c:v>
                </c:pt>
                <c:pt idx="6">
                  <c:v>1233</c:v>
                </c:pt>
                <c:pt idx="7">
                  <c:v>1245</c:v>
                </c:pt>
                <c:pt idx="8">
                  <c:v>1085</c:v>
                </c:pt>
                <c:pt idx="9">
                  <c:v>923</c:v>
                </c:pt>
                <c:pt idx="10">
                  <c:v>935</c:v>
                </c:pt>
                <c:pt idx="11">
                  <c:v>830</c:v>
                </c:pt>
                <c:pt idx="12">
                  <c:v>1119</c:v>
                </c:pt>
                <c:pt idx="13">
                  <c:v>1485</c:v>
                </c:pt>
                <c:pt idx="14">
                  <c:v>1687</c:v>
                </c:pt>
                <c:pt idx="15">
                  <c:v>1828</c:v>
                </c:pt>
                <c:pt idx="16">
                  <c:v>1827</c:v>
                </c:pt>
                <c:pt idx="17">
                  <c:v>1583</c:v>
                </c:pt>
                <c:pt idx="18">
                  <c:v>1633</c:v>
                </c:pt>
                <c:pt idx="19">
                  <c:v>1684</c:v>
                </c:pt>
              </c:numCache>
            </c:numRef>
          </c:val>
          <c:smooth val="0"/>
        </c:ser>
        <c:ser>
          <c:idx val="3"/>
          <c:order val="3"/>
          <c:tx>
            <c:strRef>
              <c:f>'infusions - figs'!$BD$4:$BD$6</c:f>
              <c:strCache>
                <c:ptCount val="1"/>
                <c:pt idx="0">
                  <c:v>CETUXIMAB - Second-line</c:v>
                </c:pt>
              </c:strCache>
            </c:strRef>
          </c:tx>
          <c:spPr>
            <a:ln>
              <a:solidFill>
                <a:schemeClr val="accent3"/>
              </a:solidFill>
            </a:ln>
          </c:spPr>
          <c:marker>
            <c:symbol val="triangle"/>
            <c:size val="7"/>
            <c:spPr>
              <a:solidFill>
                <a:schemeClr val="accent3"/>
              </a:solidFill>
              <a:ln>
                <a:solidFill>
                  <a:schemeClr val="accent3"/>
                </a:solidFill>
              </a:ln>
            </c:spPr>
          </c:marker>
          <c:cat>
            <c:strRef>
              <c:f>'infusions - figs'!$AZ$7:$AZ$27</c:f>
              <c:strCache>
                <c:ptCount val="20"/>
                <c:pt idx="0">
                  <c:v>2012Q3</c:v>
                </c:pt>
                <c:pt idx="1">
                  <c:v>2012Q4</c:v>
                </c:pt>
                <c:pt idx="2">
                  <c:v>2013Q1</c:v>
                </c:pt>
                <c:pt idx="3">
                  <c:v>2013Q2</c:v>
                </c:pt>
                <c:pt idx="4">
                  <c:v>2013Q3</c:v>
                </c:pt>
                <c:pt idx="5">
                  <c:v>2013Q4</c:v>
                </c:pt>
                <c:pt idx="6">
                  <c:v>2014Q1</c:v>
                </c:pt>
                <c:pt idx="7">
                  <c:v>2014Q2</c:v>
                </c:pt>
                <c:pt idx="8">
                  <c:v>2014Q3</c:v>
                </c:pt>
                <c:pt idx="9">
                  <c:v>2014Q4</c:v>
                </c:pt>
                <c:pt idx="10">
                  <c:v>2015Q1</c:v>
                </c:pt>
                <c:pt idx="11">
                  <c:v>2015Q2</c:v>
                </c:pt>
                <c:pt idx="12">
                  <c:v>2015Q3</c:v>
                </c:pt>
                <c:pt idx="13">
                  <c:v>2015Q4</c:v>
                </c:pt>
                <c:pt idx="14">
                  <c:v>2016Q1</c:v>
                </c:pt>
                <c:pt idx="15">
                  <c:v>2016Q2</c:v>
                </c:pt>
                <c:pt idx="16">
                  <c:v>2016Q3</c:v>
                </c:pt>
                <c:pt idx="17">
                  <c:v>2016Q4</c:v>
                </c:pt>
                <c:pt idx="18">
                  <c:v>2017Q1</c:v>
                </c:pt>
                <c:pt idx="19">
                  <c:v>2017Q2</c:v>
                </c:pt>
              </c:strCache>
            </c:strRef>
          </c:cat>
          <c:val>
            <c:numRef>
              <c:f>'infusions - figs'!$BD$7:$BD$27</c:f>
              <c:numCache>
                <c:formatCode>General</c:formatCode>
                <c:ptCount val="20"/>
                <c:pt idx="0">
                  <c:v>2546</c:v>
                </c:pt>
                <c:pt idx="1">
                  <c:v>2544</c:v>
                </c:pt>
                <c:pt idx="2">
                  <c:v>2581</c:v>
                </c:pt>
                <c:pt idx="3">
                  <c:v>2549</c:v>
                </c:pt>
                <c:pt idx="4">
                  <c:v>2892</c:v>
                </c:pt>
                <c:pt idx="5">
                  <c:v>2866</c:v>
                </c:pt>
                <c:pt idx="6">
                  <c:v>2739</c:v>
                </c:pt>
                <c:pt idx="7">
                  <c:v>2716</c:v>
                </c:pt>
                <c:pt idx="8">
                  <c:v>2629</c:v>
                </c:pt>
                <c:pt idx="9">
                  <c:v>2510</c:v>
                </c:pt>
                <c:pt idx="10">
                  <c:v>2203</c:v>
                </c:pt>
                <c:pt idx="11">
                  <c:v>2186</c:v>
                </c:pt>
                <c:pt idx="12">
                  <c:v>2281</c:v>
                </c:pt>
                <c:pt idx="13">
                  <c:v>2140</c:v>
                </c:pt>
                <c:pt idx="14">
                  <c:v>1961</c:v>
                </c:pt>
                <c:pt idx="15">
                  <c:v>2063</c:v>
                </c:pt>
                <c:pt idx="16">
                  <c:v>1891</c:v>
                </c:pt>
                <c:pt idx="17">
                  <c:v>1648</c:v>
                </c:pt>
                <c:pt idx="18">
                  <c:v>1680</c:v>
                </c:pt>
                <c:pt idx="19">
                  <c:v>1434</c:v>
                </c:pt>
              </c:numCache>
            </c:numRef>
          </c:val>
          <c:smooth val="0"/>
        </c:ser>
        <c:dLbls>
          <c:showLegendKey val="0"/>
          <c:showVal val="0"/>
          <c:showCatName val="0"/>
          <c:showSerName val="0"/>
          <c:showPercent val="0"/>
          <c:showBubbleSize val="0"/>
        </c:dLbls>
        <c:marker val="1"/>
        <c:smooth val="0"/>
        <c:axId val="268871552"/>
        <c:axId val="268984704"/>
      </c:lineChart>
      <c:catAx>
        <c:axId val="268871552"/>
        <c:scaling>
          <c:orientation val="minMax"/>
        </c:scaling>
        <c:delete val="0"/>
        <c:axPos val="b"/>
        <c:majorTickMark val="out"/>
        <c:minorTickMark val="none"/>
        <c:tickLblPos val="nextTo"/>
        <c:txPr>
          <a:bodyPr rot="-5400000" vert="horz"/>
          <a:lstStyle/>
          <a:p>
            <a:pPr>
              <a:defRPr/>
            </a:pPr>
            <a:endParaRPr lang="en-US"/>
          </a:p>
        </c:txPr>
        <c:crossAx val="268984704"/>
        <c:crosses val="autoZero"/>
        <c:auto val="1"/>
        <c:lblAlgn val="ctr"/>
        <c:lblOffset val="100"/>
        <c:noMultiLvlLbl val="0"/>
      </c:catAx>
      <c:valAx>
        <c:axId val="268984704"/>
        <c:scaling>
          <c:orientation val="minMax"/>
        </c:scaling>
        <c:delete val="0"/>
        <c:axPos val="l"/>
        <c:majorGridlines/>
        <c:title>
          <c:tx>
            <c:rich>
              <a:bodyPr rot="-5400000" vert="horz"/>
              <a:lstStyle/>
              <a:p>
                <a:pPr>
                  <a:defRPr/>
                </a:pPr>
                <a:r>
                  <a:rPr lang="en-AU"/>
                  <a:t>Number</a:t>
                </a:r>
                <a:r>
                  <a:rPr lang="en-AU" baseline="0"/>
                  <a:t> of infusions</a:t>
                </a:r>
                <a:endParaRPr lang="en-AU"/>
              </a:p>
            </c:rich>
          </c:tx>
          <c:layout/>
          <c:overlay val="0"/>
        </c:title>
        <c:numFmt formatCode="General" sourceLinked="1"/>
        <c:majorTickMark val="out"/>
        <c:minorTickMark val="none"/>
        <c:tickLblPos val="nextTo"/>
        <c:crossAx val="268871552"/>
        <c:crosses val="autoZero"/>
        <c:crossBetween val="between"/>
      </c:valAx>
    </c:plotArea>
    <c:legend>
      <c:legendPos val="r"/>
      <c:layout>
        <c:manualLayout>
          <c:xMode val="edge"/>
          <c:yMode val="edge"/>
          <c:x val="0.14358307592185637"/>
          <c:y val="0.87077346674949219"/>
          <c:w val="0.7939130714287802"/>
          <c:h val="0.12034585229085171"/>
        </c:manualLayout>
      </c:layout>
      <c:overlay val="0"/>
    </c:legend>
    <c:plotVisOnly val="1"/>
    <c:dispBlanksAs val="gap"/>
    <c:showDLblsOverMax val="0"/>
  </c:chart>
  <c:spPr>
    <a:ln>
      <a:noFill/>
    </a:ln>
  </c:spPr>
  <c:externalData r:id="rId2">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[Report 1022 tables and figures final.xlsx]infusions - figs!PivotTable6</c:name>
    <c:fmtId val="-1"/>
  </c:pivotSource>
  <c:chart>
    <c:autoTitleDeleted val="0"/>
    <c:pivotFmts>
      <c:pivotFmt>
        <c:idx val="0"/>
        <c:spPr>
          <a:ln>
            <a:solidFill>
              <a:schemeClr val="tx1"/>
            </a:solidFill>
          </a:ln>
        </c:spPr>
        <c:marker>
          <c:symbol val="square"/>
          <c:size val="5"/>
          <c:spPr>
            <a:solidFill>
              <a:schemeClr val="tx1"/>
            </a:solidFill>
            <a:ln>
              <a:solidFill>
                <a:schemeClr val="tx1"/>
              </a:solidFill>
            </a:ln>
          </c:spPr>
        </c:marker>
      </c:pivotFmt>
      <c:pivotFmt>
        <c:idx val="1"/>
      </c:pivotFmt>
      <c:pivotFmt>
        <c:idx val="2"/>
      </c:pivotFmt>
      <c:pivotFmt>
        <c:idx val="3"/>
        <c:marker>
          <c:symbol val="diamond"/>
          <c:size val="5"/>
        </c:marker>
      </c:pivotFmt>
      <c:pivotFmt>
        <c:idx val="4"/>
      </c:pivotFmt>
      <c:pivotFmt>
        <c:idx val="5"/>
      </c:pivotFmt>
      <c:pivotFmt>
        <c:idx val="6"/>
      </c:pivotFmt>
      <c:pivotFmt>
        <c:idx val="7"/>
        <c:spPr>
          <a:ln>
            <a:solidFill>
              <a:schemeClr val="accent4"/>
            </a:solidFill>
          </a:ln>
        </c:spPr>
        <c:marker>
          <c:symbol val="circle"/>
          <c:size val="7"/>
          <c:spPr>
            <a:solidFill>
              <a:schemeClr val="accent4"/>
            </a:solidFill>
            <a:ln>
              <a:solidFill>
                <a:schemeClr val="accent4"/>
              </a:solidFill>
            </a:ln>
          </c:spPr>
        </c:marker>
      </c:pivotFmt>
      <c:pivotFmt>
        <c:idx val="8"/>
        <c:spPr>
          <a:ln>
            <a:solidFill>
              <a:schemeClr val="accent2"/>
            </a:solidFill>
          </a:ln>
        </c:spPr>
        <c:marker>
          <c:symbol val="square"/>
          <c:size val="7"/>
          <c:spPr>
            <a:solidFill>
              <a:schemeClr val="accent2"/>
            </a:solidFill>
            <a:ln>
              <a:solidFill>
                <a:schemeClr val="accent2"/>
              </a:solidFill>
            </a:ln>
          </c:spPr>
        </c:marker>
      </c:pivotFmt>
      <c:pivotFmt>
        <c:idx val="9"/>
        <c:spPr>
          <a:ln>
            <a:solidFill>
              <a:schemeClr val="accent3"/>
            </a:solidFill>
          </a:ln>
        </c:spPr>
        <c:marker>
          <c:symbol val="triangle"/>
          <c:size val="7"/>
          <c:spPr>
            <a:solidFill>
              <a:schemeClr val="accent3"/>
            </a:solidFill>
            <a:ln>
              <a:solidFill>
                <a:schemeClr val="accent3"/>
              </a:solidFill>
            </a:ln>
          </c:spPr>
        </c:marker>
      </c:pivotFmt>
      <c:pivotFmt>
        <c:idx val="10"/>
      </c:pivotFmt>
      <c:pivotFmt>
        <c:idx val="11"/>
        <c:spPr>
          <a:ln>
            <a:solidFill>
              <a:schemeClr val="accent4"/>
            </a:solidFill>
          </a:ln>
        </c:spPr>
        <c:marker>
          <c:symbol val="circle"/>
          <c:size val="7"/>
          <c:spPr>
            <a:solidFill>
              <a:schemeClr val="accent4"/>
            </a:solidFill>
            <a:ln>
              <a:solidFill>
                <a:schemeClr val="accent4"/>
              </a:solidFill>
            </a:ln>
          </c:spPr>
        </c:marker>
      </c:pivotFmt>
      <c:pivotFmt>
        <c:idx val="12"/>
        <c:spPr>
          <a:ln>
            <a:solidFill>
              <a:schemeClr val="accent2"/>
            </a:solidFill>
          </a:ln>
        </c:spPr>
        <c:marker>
          <c:symbol val="square"/>
          <c:size val="7"/>
          <c:spPr>
            <a:solidFill>
              <a:schemeClr val="accent2"/>
            </a:solidFill>
            <a:ln>
              <a:solidFill>
                <a:schemeClr val="accent2"/>
              </a:solidFill>
            </a:ln>
          </c:spPr>
        </c:marker>
      </c:pivotFmt>
      <c:pivotFmt>
        <c:idx val="13"/>
        <c:spPr>
          <a:ln>
            <a:solidFill>
              <a:schemeClr val="accent3"/>
            </a:solidFill>
          </a:ln>
        </c:spPr>
        <c:marker>
          <c:symbol val="triangle"/>
          <c:size val="7"/>
          <c:spPr>
            <a:solidFill>
              <a:schemeClr val="accent3"/>
            </a:solidFill>
            <a:ln>
              <a:solidFill>
                <a:schemeClr val="accent3"/>
              </a:solidFill>
            </a:ln>
          </c:spPr>
        </c:marker>
      </c:pivotFmt>
      <c:pivotFmt>
        <c:idx val="14"/>
      </c:pivotFmt>
      <c:pivotFmt>
        <c:idx val="15"/>
        <c:spPr>
          <a:ln>
            <a:solidFill>
              <a:schemeClr val="accent4"/>
            </a:solidFill>
          </a:ln>
        </c:spPr>
        <c:marker>
          <c:symbol val="circle"/>
          <c:size val="7"/>
          <c:spPr>
            <a:solidFill>
              <a:schemeClr val="accent4"/>
            </a:solidFill>
            <a:ln>
              <a:solidFill>
                <a:schemeClr val="accent4"/>
              </a:solidFill>
            </a:ln>
          </c:spPr>
        </c:marker>
      </c:pivotFmt>
      <c:pivotFmt>
        <c:idx val="16"/>
        <c:spPr>
          <a:ln>
            <a:solidFill>
              <a:schemeClr val="accent2"/>
            </a:solidFill>
          </a:ln>
        </c:spPr>
        <c:marker>
          <c:symbol val="square"/>
          <c:size val="7"/>
          <c:spPr>
            <a:solidFill>
              <a:schemeClr val="accent2"/>
            </a:solidFill>
            <a:ln>
              <a:solidFill>
                <a:schemeClr val="accent2"/>
              </a:solidFill>
            </a:ln>
          </c:spPr>
        </c:marker>
      </c:pivotFmt>
      <c:pivotFmt>
        <c:idx val="17"/>
        <c:spPr>
          <a:ln>
            <a:solidFill>
              <a:schemeClr val="accent3"/>
            </a:solidFill>
          </a:ln>
        </c:spPr>
        <c:marker>
          <c:symbol val="triangle"/>
          <c:size val="7"/>
          <c:spPr>
            <a:solidFill>
              <a:schemeClr val="accent3"/>
            </a:solidFill>
            <a:ln>
              <a:solidFill>
                <a:schemeClr val="accent3"/>
              </a:solidFill>
            </a:ln>
          </c:spPr>
        </c:marker>
      </c:pivotFmt>
    </c:pivotFmts>
    <c:plotArea>
      <c:layout>
        <c:manualLayout>
          <c:layoutTarget val="inner"/>
          <c:xMode val="edge"/>
          <c:yMode val="edge"/>
          <c:x val="0.1002871323350196"/>
          <c:y val="3.2041896571588423E-2"/>
          <c:w val="0.8575677851434218"/>
          <c:h val="0.62600010936132988"/>
        </c:manualLayout>
      </c:layout>
      <c:lineChart>
        <c:grouping val="standard"/>
        <c:varyColors val="0"/>
        <c:ser>
          <c:idx val="0"/>
          <c:order val="0"/>
          <c:tx>
            <c:strRef>
              <c:f>'infusions - figs'!$CD$3:$CD$5</c:f>
              <c:strCache>
                <c:ptCount val="1"/>
                <c:pt idx="0">
                  <c:v>PANITUMUMAB - After second-line</c:v>
                </c:pt>
              </c:strCache>
            </c:strRef>
          </c:tx>
          <c:cat>
            <c:strRef>
              <c:f>'infusions - figs'!$CC$6:$CC$19</c:f>
              <c:strCache>
                <c:ptCount val="13"/>
                <c:pt idx="0">
                  <c:v>2014Q2</c:v>
                </c:pt>
                <c:pt idx="1">
                  <c:v>2014Q3</c:v>
                </c:pt>
                <c:pt idx="2">
                  <c:v>2014Q4</c:v>
                </c:pt>
                <c:pt idx="3">
                  <c:v>2015Q1</c:v>
                </c:pt>
                <c:pt idx="4">
                  <c:v>2015Q2</c:v>
                </c:pt>
                <c:pt idx="5">
                  <c:v>2015Q3</c:v>
                </c:pt>
                <c:pt idx="6">
                  <c:v>2015Q4</c:v>
                </c:pt>
                <c:pt idx="7">
                  <c:v>2016Q1</c:v>
                </c:pt>
                <c:pt idx="8">
                  <c:v>2016Q2</c:v>
                </c:pt>
                <c:pt idx="9">
                  <c:v>2016Q3</c:v>
                </c:pt>
                <c:pt idx="10">
                  <c:v>2016Q4</c:v>
                </c:pt>
                <c:pt idx="11">
                  <c:v>2017Q1</c:v>
                </c:pt>
                <c:pt idx="12">
                  <c:v>2017Q2</c:v>
                </c:pt>
              </c:strCache>
            </c:strRef>
          </c:cat>
          <c:val>
            <c:numRef>
              <c:f>'infusions - figs'!$CD$6:$CD$19</c:f>
              <c:numCache>
                <c:formatCode>General</c:formatCode>
                <c:ptCount val="13"/>
                <c:pt idx="0">
                  <c:v>33</c:v>
                </c:pt>
                <c:pt idx="1">
                  <c:v>24</c:v>
                </c:pt>
                <c:pt idx="2">
                  <c:v>64</c:v>
                </c:pt>
                <c:pt idx="3">
                  <c:v>58</c:v>
                </c:pt>
                <c:pt idx="4">
                  <c:v>68</c:v>
                </c:pt>
                <c:pt idx="5">
                  <c:v>69</c:v>
                </c:pt>
                <c:pt idx="6">
                  <c:v>60</c:v>
                </c:pt>
                <c:pt idx="7">
                  <c:v>96</c:v>
                </c:pt>
                <c:pt idx="8">
                  <c:v>88</c:v>
                </c:pt>
                <c:pt idx="9">
                  <c:v>71</c:v>
                </c:pt>
                <c:pt idx="10">
                  <c:v>57</c:v>
                </c:pt>
                <c:pt idx="11">
                  <c:v>72</c:v>
                </c:pt>
                <c:pt idx="12">
                  <c:v>118</c:v>
                </c:pt>
              </c:numCache>
            </c:numRef>
          </c:val>
          <c:smooth val="0"/>
        </c:ser>
        <c:ser>
          <c:idx val="1"/>
          <c:order val="1"/>
          <c:tx>
            <c:strRef>
              <c:f>'infusions - figs'!$CE$3:$CE$5</c:f>
              <c:strCache>
                <c:ptCount val="1"/>
                <c:pt idx="0">
                  <c:v>PANITUMUMAB - All lines</c:v>
                </c:pt>
              </c:strCache>
            </c:strRef>
          </c:tx>
          <c:spPr>
            <a:ln>
              <a:solidFill>
                <a:schemeClr val="accent4"/>
              </a:solidFill>
            </a:ln>
          </c:spPr>
          <c:marker>
            <c:symbol val="circle"/>
            <c:size val="7"/>
            <c:spPr>
              <a:solidFill>
                <a:schemeClr val="accent4"/>
              </a:solidFill>
              <a:ln>
                <a:solidFill>
                  <a:schemeClr val="accent4"/>
                </a:solidFill>
              </a:ln>
            </c:spPr>
          </c:marker>
          <c:cat>
            <c:strRef>
              <c:f>'infusions - figs'!$CC$6:$CC$19</c:f>
              <c:strCache>
                <c:ptCount val="13"/>
                <c:pt idx="0">
                  <c:v>2014Q2</c:v>
                </c:pt>
                <c:pt idx="1">
                  <c:v>2014Q3</c:v>
                </c:pt>
                <c:pt idx="2">
                  <c:v>2014Q4</c:v>
                </c:pt>
                <c:pt idx="3">
                  <c:v>2015Q1</c:v>
                </c:pt>
                <c:pt idx="4">
                  <c:v>2015Q2</c:v>
                </c:pt>
                <c:pt idx="5">
                  <c:v>2015Q3</c:v>
                </c:pt>
                <c:pt idx="6">
                  <c:v>2015Q4</c:v>
                </c:pt>
                <c:pt idx="7">
                  <c:v>2016Q1</c:v>
                </c:pt>
                <c:pt idx="8">
                  <c:v>2016Q2</c:v>
                </c:pt>
                <c:pt idx="9">
                  <c:v>2016Q3</c:v>
                </c:pt>
                <c:pt idx="10">
                  <c:v>2016Q4</c:v>
                </c:pt>
                <c:pt idx="11">
                  <c:v>2017Q1</c:v>
                </c:pt>
                <c:pt idx="12">
                  <c:v>2017Q2</c:v>
                </c:pt>
              </c:strCache>
            </c:strRef>
          </c:cat>
          <c:val>
            <c:numRef>
              <c:f>'infusions - figs'!$CE$6:$CE$19</c:f>
              <c:numCache>
                <c:formatCode>General</c:formatCode>
                <c:ptCount val="13"/>
                <c:pt idx="0">
                  <c:v>101</c:v>
                </c:pt>
                <c:pt idx="1">
                  <c:v>274</c:v>
                </c:pt>
                <c:pt idx="2">
                  <c:v>408</c:v>
                </c:pt>
                <c:pt idx="3">
                  <c:v>464</c:v>
                </c:pt>
                <c:pt idx="4">
                  <c:v>597</c:v>
                </c:pt>
                <c:pt idx="5">
                  <c:v>522</c:v>
                </c:pt>
                <c:pt idx="6">
                  <c:v>603</c:v>
                </c:pt>
                <c:pt idx="7">
                  <c:v>742</c:v>
                </c:pt>
                <c:pt idx="8">
                  <c:v>886</c:v>
                </c:pt>
                <c:pt idx="9">
                  <c:v>945</c:v>
                </c:pt>
                <c:pt idx="10">
                  <c:v>956</c:v>
                </c:pt>
                <c:pt idx="11">
                  <c:v>1137</c:v>
                </c:pt>
                <c:pt idx="12">
                  <c:v>1288</c:v>
                </c:pt>
              </c:numCache>
            </c:numRef>
          </c:val>
          <c:smooth val="0"/>
        </c:ser>
        <c:ser>
          <c:idx val="2"/>
          <c:order val="2"/>
          <c:tx>
            <c:strRef>
              <c:f>'infusions - figs'!$CF$3:$CF$5</c:f>
              <c:strCache>
                <c:ptCount val="1"/>
                <c:pt idx="0">
                  <c:v>PANITUMUMAB - First-line</c:v>
                </c:pt>
              </c:strCache>
            </c:strRef>
          </c:tx>
          <c:spPr>
            <a:ln>
              <a:solidFill>
                <a:schemeClr val="accent2"/>
              </a:solidFill>
            </a:ln>
          </c:spPr>
          <c:marker>
            <c:symbol val="square"/>
            <c:size val="7"/>
            <c:spPr>
              <a:solidFill>
                <a:schemeClr val="accent2"/>
              </a:solidFill>
              <a:ln>
                <a:solidFill>
                  <a:schemeClr val="accent2"/>
                </a:solidFill>
              </a:ln>
            </c:spPr>
          </c:marker>
          <c:cat>
            <c:strRef>
              <c:f>'infusions - figs'!$CC$6:$CC$19</c:f>
              <c:strCache>
                <c:ptCount val="13"/>
                <c:pt idx="0">
                  <c:v>2014Q2</c:v>
                </c:pt>
                <c:pt idx="1">
                  <c:v>2014Q3</c:v>
                </c:pt>
                <c:pt idx="2">
                  <c:v>2014Q4</c:v>
                </c:pt>
                <c:pt idx="3">
                  <c:v>2015Q1</c:v>
                </c:pt>
                <c:pt idx="4">
                  <c:v>2015Q2</c:v>
                </c:pt>
                <c:pt idx="5">
                  <c:v>2015Q3</c:v>
                </c:pt>
                <c:pt idx="6">
                  <c:v>2015Q4</c:v>
                </c:pt>
                <c:pt idx="7">
                  <c:v>2016Q1</c:v>
                </c:pt>
                <c:pt idx="8">
                  <c:v>2016Q2</c:v>
                </c:pt>
                <c:pt idx="9">
                  <c:v>2016Q3</c:v>
                </c:pt>
                <c:pt idx="10">
                  <c:v>2016Q4</c:v>
                </c:pt>
                <c:pt idx="11">
                  <c:v>2017Q1</c:v>
                </c:pt>
                <c:pt idx="12">
                  <c:v>2017Q2</c:v>
                </c:pt>
              </c:strCache>
            </c:strRef>
          </c:cat>
          <c:val>
            <c:numRef>
              <c:f>'infusions - figs'!$CF$6:$CF$19</c:f>
              <c:numCache>
                <c:formatCode>General</c:formatCode>
                <c:ptCount val="13"/>
                <c:pt idx="0">
                  <c:v>16</c:v>
                </c:pt>
                <c:pt idx="1">
                  <c:v>89</c:v>
                </c:pt>
                <c:pt idx="2">
                  <c:v>105</c:v>
                </c:pt>
                <c:pt idx="3">
                  <c:v>136</c:v>
                </c:pt>
                <c:pt idx="4">
                  <c:v>159</c:v>
                </c:pt>
                <c:pt idx="5">
                  <c:v>145</c:v>
                </c:pt>
                <c:pt idx="6">
                  <c:v>197</c:v>
                </c:pt>
                <c:pt idx="7">
                  <c:v>263</c:v>
                </c:pt>
                <c:pt idx="8">
                  <c:v>309</c:v>
                </c:pt>
                <c:pt idx="9">
                  <c:v>358</c:v>
                </c:pt>
                <c:pt idx="10">
                  <c:v>377</c:v>
                </c:pt>
                <c:pt idx="11">
                  <c:v>494</c:v>
                </c:pt>
                <c:pt idx="12">
                  <c:v>510</c:v>
                </c:pt>
              </c:numCache>
            </c:numRef>
          </c:val>
          <c:smooth val="0"/>
        </c:ser>
        <c:ser>
          <c:idx val="3"/>
          <c:order val="3"/>
          <c:tx>
            <c:strRef>
              <c:f>'infusions - figs'!$CG$3:$CG$5</c:f>
              <c:strCache>
                <c:ptCount val="1"/>
                <c:pt idx="0">
                  <c:v>PANITUMUMAB - Second-line</c:v>
                </c:pt>
              </c:strCache>
            </c:strRef>
          </c:tx>
          <c:spPr>
            <a:ln>
              <a:solidFill>
                <a:schemeClr val="accent3"/>
              </a:solidFill>
            </a:ln>
          </c:spPr>
          <c:marker>
            <c:symbol val="triangle"/>
            <c:size val="7"/>
            <c:spPr>
              <a:solidFill>
                <a:schemeClr val="accent3"/>
              </a:solidFill>
              <a:ln>
                <a:solidFill>
                  <a:schemeClr val="accent3"/>
                </a:solidFill>
              </a:ln>
            </c:spPr>
          </c:marker>
          <c:cat>
            <c:strRef>
              <c:f>'infusions - figs'!$CC$6:$CC$19</c:f>
              <c:strCache>
                <c:ptCount val="13"/>
                <c:pt idx="0">
                  <c:v>2014Q2</c:v>
                </c:pt>
                <c:pt idx="1">
                  <c:v>2014Q3</c:v>
                </c:pt>
                <c:pt idx="2">
                  <c:v>2014Q4</c:v>
                </c:pt>
                <c:pt idx="3">
                  <c:v>2015Q1</c:v>
                </c:pt>
                <c:pt idx="4">
                  <c:v>2015Q2</c:v>
                </c:pt>
                <c:pt idx="5">
                  <c:v>2015Q3</c:v>
                </c:pt>
                <c:pt idx="6">
                  <c:v>2015Q4</c:v>
                </c:pt>
                <c:pt idx="7">
                  <c:v>2016Q1</c:v>
                </c:pt>
                <c:pt idx="8">
                  <c:v>2016Q2</c:v>
                </c:pt>
                <c:pt idx="9">
                  <c:v>2016Q3</c:v>
                </c:pt>
                <c:pt idx="10">
                  <c:v>2016Q4</c:v>
                </c:pt>
                <c:pt idx="11">
                  <c:v>2017Q1</c:v>
                </c:pt>
                <c:pt idx="12">
                  <c:v>2017Q2</c:v>
                </c:pt>
              </c:strCache>
            </c:strRef>
          </c:cat>
          <c:val>
            <c:numRef>
              <c:f>'infusions - figs'!$CG$6:$CG$19</c:f>
              <c:numCache>
                <c:formatCode>General</c:formatCode>
                <c:ptCount val="13"/>
                <c:pt idx="0">
                  <c:v>52</c:v>
                </c:pt>
                <c:pt idx="1">
                  <c:v>161</c:v>
                </c:pt>
                <c:pt idx="2">
                  <c:v>239</c:v>
                </c:pt>
                <c:pt idx="3">
                  <c:v>270</c:v>
                </c:pt>
                <c:pt idx="4">
                  <c:v>370</c:v>
                </c:pt>
                <c:pt idx="5">
                  <c:v>308</c:v>
                </c:pt>
                <c:pt idx="6">
                  <c:v>346</c:v>
                </c:pt>
                <c:pt idx="7">
                  <c:v>383</c:v>
                </c:pt>
                <c:pt idx="8">
                  <c:v>489</c:v>
                </c:pt>
                <c:pt idx="9">
                  <c:v>516</c:v>
                </c:pt>
                <c:pt idx="10">
                  <c:v>522</c:v>
                </c:pt>
                <c:pt idx="11">
                  <c:v>571</c:v>
                </c:pt>
                <c:pt idx="12">
                  <c:v>660</c:v>
                </c:pt>
              </c:numCache>
            </c:numRef>
          </c:val>
          <c:smooth val="0"/>
        </c:ser>
        <c:dLbls>
          <c:showLegendKey val="0"/>
          <c:showVal val="0"/>
          <c:showCatName val="0"/>
          <c:showSerName val="0"/>
          <c:showPercent val="0"/>
          <c:showBubbleSize val="0"/>
        </c:dLbls>
        <c:marker val="1"/>
        <c:smooth val="0"/>
        <c:axId val="75845632"/>
        <c:axId val="75847552"/>
      </c:lineChart>
      <c:catAx>
        <c:axId val="75845632"/>
        <c:scaling>
          <c:orientation val="minMax"/>
        </c:scaling>
        <c:delete val="0"/>
        <c:axPos val="b"/>
        <c:majorTickMark val="out"/>
        <c:minorTickMark val="none"/>
        <c:tickLblPos val="nextTo"/>
        <c:txPr>
          <a:bodyPr rot="-5400000" vert="horz"/>
          <a:lstStyle/>
          <a:p>
            <a:pPr>
              <a:defRPr/>
            </a:pPr>
            <a:endParaRPr lang="en-US"/>
          </a:p>
        </c:txPr>
        <c:crossAx val="75847552"/>
        <c:crosses val="autoZero"/>
        <c:auto val="1"/>
        <c:lblAlgn val="ctr"/>
        <c:lblOffset val="100"/>
        <c:noMultiLvlLbl val="0"/>
      </c:catAx>
      <c:valAx>
        <c:axId val="75847552"/>
        <c:scaling>
          <c:orientation val="minMax"/>
        </c:scaling>
        <c:delete val="0"/>
        <c:axPos val="l"/>
        <c:majorGridlines/>
        <c:title>
          <c:tx>
            <c:rich>
              <a:bodyPr rot="-5400000" vert="horz"/>
              <a:lstStyle/>
              <a:p>
                <a:pPr>
                  <a:defRPr/>
                </a:pPr>
                <a:r>
                  <a:rPr lang="en-AU"/>
                  <a:t>Number</a:t>
                </a:r>
                <a:r>
                  <a:rPr lang="en-AU" baseline="0"/>
                  <a:t> of infusions</a:t>
                </a:r>
                <a:endParaRPr lang="en-AU"/>
              </a:p>
            </c:rich>
          </c:tx>
          <c:overlay val="0"/>
        </c:title>
        <c:numFmt formatCode="General" sourceLinked="1"/>
        <c:majorTickMark val="out"/>
        <c:minorTickMark val="none"/>
        <c:tickLblPos val="nextTo"/>
        <c:crossAx val="75845632"/>
        <c:crosses val="autoZero"/>
        <c:crossBetween val="between"/>
      </c:valAx>
    </c:plotArea>
    <c:legend>
      <c:legendPos val="r"/>
      <c:layout>
        <c:manualLayout>
          <c:xMode val="edge"/>
          <c:yMode val="edge"/>
          <c:x val="7.6312426357363253E-2"/>
          <c:y val="0.82681512467191598"/>
          <c:w val="0.88562096607149932"/>
          <c:h val="0.13600202318460192"/>
        </c:manualLayout>
      </c:layout>
      <c:overlay val="0"/>
    </c:legend>
    <c:plotVisOnly val="1"/>
    <c:dispBlanksAs val="gap"/>
    <c:showDLblsOverMax val="0"/>
  </c:chart>
  <c:spPr>
    <a:ln>
      <a:noFill/>
    </a:ln>
  </c:spPr>
  <c:externalData r:id="rId2">
    <c:autoUpdate val="0"/>
  </c:externalData>
  <c:extLst>
    <c:ext xmlns:c14="http://schemas.microsoft.com/office/drawing/2007/8/2/chart" uri="{781A3756-C4B2-4CAC-9D66-4F8BD8637D16}">
      <c14:pivotOptions>
        <c14:dropZoneFilter val="1"/>
        <c14:dropZoneCategories val="1"/>
        <c14:dropZoneData val="1"/>
        <c14:dropZoneSeries val="1"/>
      </c14:pivotOptions>
    </c:ext>
  </c:extLst>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901D6-75C1-455E-AEE0-84A1BBFC7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36</Pages>
  <Words>10622</Words>
  <Characters>60550</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2018-06-13T06:15:00Z</cp:lastPrinted>
  <dcterms:created xsi:type="dcterms:W3CDTF">2018-04-04T05:23:00Z</dcterms:created>
  <dcterms:modified xsi:type="dcterms:W3CDTF">2018-06-13T06:17:00Z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