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4.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C17" w:rsidRDefault="00D20816" w:rsidP="004939F6">
      <w:pPr>
        <w:pStyle w:val="Title"/>
      </w:pPr>
      <w:bookmarkStart w:id="0" w:name="_GoBack"/>
      <w:bookmarkEnd w:id="0"/>
      <w:r>
        <w:t xml:space="preserve">Medicines for the </w:t>
      </w:r>
      <w:r w:rsidR="00A929F5">
        <w:t xml:space="preserve">treatment of </w:t>
      </w:r>
      <w:r>
        <w:t>HER2 positive metastatic breast cancer</w:t>
      </w:r>
      <w:r w:rsidR="004939F6">
        <w:t>: predicted versus actual analysis</w:t>
      </w:r>
    </w:p>
    <w:p w:rsidR="00821C17" w:rsidRDefault="00821C17" w:rsidP="00813FF0">
      <w:pPr>
        <w:pStyle w:val="Heading1"/>
      </w:pPr>
      <w:r>
        <w:t>D</w:t>
      </w:r>
      <w:r w:rsidRPr="0063631C">
        <w:t xml:space="preserve">rug utilisation sub-committee </w:t>
      </w:r>
      <w:r>
        <w:t>(DUSC)</w:t>
      </w:r>
    </w:p>
    <w:p w:rsidR="00821C17" w:rsidRPr="00EA531B" w:rsidRDefault="00EC0788" w:rsidP="00813FF0">
      <w:pPr>
        <w:pStyle w:val="Heading2"/>
        <w:rPr>
          <w:i/>
        </w:rPr>
      </w:pPr>
      <w:r>
        <w:rPr>
          <w:i/>
        </w:rPr>
        <w:t>February</w:t>
      </w:r>
      <w:r w:rsidR="00821C17" w:rsidRPr="00EA531B">
        <w:rPr>
          <w:i/>
        </w:rPr>
        <w:t xml:space="preserve"> 201</w:t>
      </w:r>
      <w:r>
        <w:rPr>
          <w:i/>
        </w:rPr>
        <w:t>8</w:t>
      </w:r>
    </w:p>
    <w:p w:rsidR="00821C17" w:rsidRPr="008250BC" w:rsidRDefault="00821C17" w:rsidP="00813FF0">
      <w:pPr>
        <w:pStyle w:val="Heading3"/>
        <w:rPr>
          <w:i w:val="0"/>
          <w:sz w:val="32"/>
          <w:szCs w:val="32"/>
        </w:rPr>
      </w:pPr>
      <w:r w:rsidRPr="008250BC">
        <w:rPr>
          <w:i w:val="0"/>
          <w:sz w:val="32"/>
          <w:szCs w:val="32"/>
        </w:rPr>
        <w:t>Abstract</w:t>
      </w:r>
    </w:p>
    <w:p w:rsidR="00821C17" w:rsidRPr="008250BC" w:rsidRDefault="00821C17" w:rsidP="00813FF0">
      <w:pPr>
        <w:pStyle w:val="Heading2"/>
        <w:rPr>
          <w:i/>
        </w:rPr>
      </w:pPr>
      <w:r w:rsidRPr="008250BC">
        <w:rPr>
          <w:i/>
        </w:rPr>
        <w:t>Purpose</w:t>
      </w:r>
    </w:p>
    <w:p w:rsidR="00910C80" w:rsidRPr="00144149" w:rsidRDefault="00867513" w:rsidP="00B75E36">
      <w:pPr>
        <w:pStyle w:val="Heading2"/>
        <w:rPr>
          <w:b w:val="0"/>
        </w:rPr>
      </w:pPr>
      <w:r w:rsidRPr="00144149">
        <w:rPr>
          <w:b w:val="0"/>
        </w:rPr>
        <w:t>To compare the predicted and actual utilisation of trastuzumab, trastuzumab emtansine (T</w:t>
      </w:r>
      <w:r w:rsidR="00E73608" w:rsidRPr="00144149">
        <w:rPr>
          <w:b w:val="0"/>
        </w:rPr>
        <w:noBreakHyphen/>
      </w:r>
      <w:r w:rsidRPr="00144149">
        <w:rPr>
          <w:b w:val="0"/>
        </w:rPr>
        <w:t xml:space="preserve">DM1) and pertuzumab for </w:t>
      </w:r>
      <w:r w:rsidR="00144149">
        <w:rPr>
          <w:b w:val="0"/>
        </w:rPr>
        <w:t xml:space="preserve">the treatment of </w:t>
      </w:r>
      <w:r w:rsidR="00EA489A" w:rsidRPr="00144149">
        <w:rPr>
          <w:b w:val="0"/>
        </w:rPr>
        <w:t>human epidermal growth factor receptor 2 (</w:t>
      </w:r>
      <w:r w:rsidRPr="00144149">
        <w:rPr>
          <w:b w:val="0"/>
        </w:rPr>
        <w:t>HER2</w:t>
      </w:r>
      <w:r w:rsidR="00EA489A" w:rsidRPr="00144149">
        <w:rPr>
          <w:b w:val="0"/>
        </w:rPr>
        <w:t>)</w:t>
      </w:r>
      <w:r w:rsidRPr="00144149">
        <w:rPr>
          <w:b w:val="0"/>
        </w:rPr>
        <w:t xml:space="preserve"> positive metastatic breast cancer.</w:t>
      </w:r>
    </w:p>
    <w:p w:rsidR="000229C4" w:rsidRDefault="007C3AED" w:rsidP="00B75E36">
      <w:pPr>
        <w:pStyle w:val="Heading2"/>
        <w:rPr>
          <w:i/>
        </w:rPr>
      </w:pPr>
      <w:r w:rsidRPr="00B75E36">
        <w:rPr>
          <w:i/>
        </w:rPr>
        <w:t>Current PBS restriction</w:t>
      </w:r>
      <w:r w:rsidR="004A7A04">
        <w:rPr>
          <w:i/>
        </w:rPr>
        <w:t xml:space="preserve"> (abridged)</w:t>
      </w:r>
    </w:p>
    <w:p w:rsidR="00910C80" w:rsidRPr="00144149" w:rsidRDefault="007145D8" w:rsidP="00E638CB">
      <w:pPr>
        <w:pStyle w:val="Heading2"/>
        <w:keepNext/>
        <w:rPr>
          <w:b w:val="0"/>
        </w:rPr>
      </w:pPr>
      <w:r w:rsidRPr="00144149">
        <w:rPr>
          <w:b w:val="0"/>
        </w:rPr>
        <w:t>Metastatic (Stage IV) HER2 positive breast cancer. The details of the restriction</w:t>
      </w:r>
      <w:r w:rsidR="004A7A04" w:rsidRPr="00144149">
        <w:rPr>
          <w:b w:val="0"/>
        </w:rPr>
        <w:t>s</w:t>
      </w:r>
      <w:r w:rsidRPr="00144149">
        <w:rPr>
          <w:b w:val="0"/>
        </w:rPr>
        <w:t xml:space="preserve"> vary across the three medicines. See the “Restriction” section on page 6 for details.</w:t>
      </w:r>
    </w:p>
    <w:p w:rsidR="00E638CB" w:rsidRPr="009A6C71" w:rsidRDefault="00E638CB" w:rsidP="00E638CB">
      <w:pPr>
        <w:pStyle w:val="Heading2"/>
        <w:keepNext/>
        <w:rPr>
          <w:i/>
        </w:rPr>
      </w:pPr>
      <w:r w:rsidRPr="009A6C71">
        <w:rPr>
          <w:i/>
        </w:rPr>
        <w:t>Key Findings</w:t>
      </w:r>
    </w:p>
    <w:p w:rsidR="00E638CB" w:rsidRDefault="006A7C6D" w:rsidP="00E92829">
      <w:pPr>
        <w:pStyle w:val="ListParagraph"/>
        <w:numPr>
          <w:ilvl w:val="0"/>
          <w:numId w:val="1"/>
        </w:numPr>
        <w:rPr>
          <w:rFonts w:ascii="Calibri" w:eastAsia="MS Mincho" w:hAnsi="Calibri" w:cs="Times New Roman"/>
        </w:rPr>
      </w:pPr>
      <w:r>
        <w:rPr>
          <w:rFonts w:ascii="Calibri" w:eastAsia="MS Mincho" w:hAnsi="Calibri" w:cs="Times New Roman"/>
        </w:rPr>
        <w:t xml:space="preserve">Larger numbers of patients used pertuzumab </w:t>
      </w:r>
      <w:r w:rsidR="00C1484B">
        <w:rPr>
          <w:rFonts w:ascii="Calibri" w:eastAsia="MS Mincho" w:hAnsi="Calibri" w:cs="Times New Roman"/>
        </w:rPr>
        <w:t xml:space="preserve">and trastuzumab </w:t>
      </w:r>
      <w:r>
        <w:rPr>
          <w:rFonts w:ascii="Calibri" w:eastAsia="MS Mincho" w:hAnsi="Calibri" w:cs="Times New Roman"/>
        </w:rPr>
        <w:t xml:space="preserve">than expected in </w:t>
      </w:r>
      <w:r w:rsidR="00112DBE">
        <w:rPr>
          <w:rFonts w:ascii="Calibri" w:eastAsia="MS Mincho" w:hAnsi="Calibri" w:cs="Times New Roman"/>
        </w:rPr>
        <w:t xml:space="preserve">both </w:t>
      </w:r>
      <w:r>
        <w:rPr>
          <w:rFonts w:ascii="Calibri" w:eastAsia="MS Mincho" w:hAnsi="Calibri" w:cs="Times New Roman"/>
        </w:rPr>
        <w:t>the first two years</w:t>
      </w:r>
      <w:r w:rsidR="00B82D98">
        <w:rPr>
          <w:rFonts w:ascii="Calibri" w:eastAsia="MS Mincho" w:hAnsi="Calibri" w:cs="Times New Roman"/>
        </w:rPr>
        <w:t>.</w:t>
      </w:r>
    </w:p>
    <w:p w:rsidR="006A7C6D" w:rsidRDefault="006A7C6D" w:rsidP="00E92829">
      <w:pPr>
        <w:pStyle w:val="ListParagraph"/>
        <w:numPr>
          <w:ilvl w:val="0"/>
          <w:numId w:val="1"/>
        </w:numPr>
        <w:rPr>
          <w:rFonts w:ascii="Calibri" w:eastAsia="MS Mincho" w:hAnsi="Calibri" w:cs="Times New Roman"/>
        </w:rPr>
      </w:pPr>
      <w:r>
        <w:rPr>
          <w:rFonts w:ascii="Calibri" w:eastAsia="MS Mincho" w:hAnsi="Calibri" w:cs="Times New Roman"/>
        </w:rPr>
        <w:t xml:space="preserve">The use </w:t>
      </w:r>
      <w:r w:rsidR="00C1484B">
        <w:rPr>
          <w:rFonts w:ascii="Calibri" w:eastAsia="MS Mincho" w:hAnsi="Calibri" w:cs="Times New Roman"/>
        </w:rPr>
        <w:t xml:space="preserve">of pertuzumab </w:t>
      </w:r>
      <w:r>
        <w:rPr>
          <w:rFonts w:ascii="Calibri" w:eastAsia="MS Mincho" w:hAnsi="Calibri" w:cs="Times New Roman"/>
        </w:rPr>
        <w:t xml:space="preserve">was for a </w:t>
      </w:r>
      <w:r w:rsidR="00C1484B">
        <w:rPr>
          <w:rFonts w:ascii="Calibri" w:eastAsia="MS Mincho" w:hAnsi="Calibri" w:cs="Times New Roman"/>
        </w:rPr>
        <w:t xml:space="preserve">greater number of </w:t>
      </w:r>
      <w:r w:rsidR="00E448D9">
        <w:rPr>
          <w:rFonts w:ascii="Calibri" w:eastAsia="MS Mincho" w:hAnsi="Calibri" w:cs="Times New Roman"/>
        </w:rPr>
        <w:t>cycles than</w:t>
      </w:r>
      <w:r>
        <w:rPr>
          <w:rFonts w:ascii="Calibri" w:eastAsia="MS Mincho" w:hAnsi="Calibri" w:cs="Times New Roman"/>
        </w:rPr>
        <w:t xml:space="preserve"> anticipated in the submission</w:t>
      </w:r>
      <w:r w:rsidR="00C1484B">
        <w:rPr>
          <w:rFonts w:ascii="Calibri" w:eastAsia="MS Mincho" w:hAnsi="Calibri" w:cs="Times New Roman"/>
        </w:rPr>
        <w:t>.</w:t>
      </w:r>
      <w:r>
        <w:rPr>
          <w:rFonts w:ascii="Calibri" w:eastAsia="MS Mincho" w:hAnsi="Calibri" w:cs="Times New Roman"/>
        </w:rPr>
        <w:t xml:space="preserve"> </w:t>
      </w:r>
      <w:r w:rsidR="00192A24">
        <w:rPr>
          <w:rFonts w:ascii="Calibri" w:eastAsia="MS Mincho" w:hAnsi="Calibri" w:cs="Times New Roman"/>
          <w:noProof/>
          <w:color w:val="000000"/>
          <w:highlight w:val="black"/>
        </w:rPr>
        <w:t>''''''</w:t>
      </w:r>
      <w:r w:rsidRPr="0095765D">
        <w:rPr>
          <w:rFonts w:ascii="Calibri" w:eastAsia="MS Mincho" w:hAnsi="Calibri" w:cs="Times New Roman"/>
        </w:rPr>
        <w:t>%</w:t>
      </w:r>
      <w:r w:rsidR="00C1484B" w:rsidRPr="0095765D">
        <w:rPr>
          <w:rFonts w:ascii="Calibri" w:eastAsia="MS Mincho" w:hAnsi="Calibri" w:cs="Times New Roman"/>
        </w:rPr>
        <w:t xml:space="preserve"> of patients had more than </w:t>
      </w:r>
      <w:r w:rsidR="00192A24">
        <w:rPr>
          <w:rFonts w:ascii="Calibri" w:eastAsia="MS Mincho" w:hAnsi="Calibri" w:cs="Times New Roman"/>
          <w:noProof/>
          <w:color w:val="000000"/>
          <w:highlight w:val="black"/>
        </w:rPr>
        <w:t>''''''</w:t>
      </w:r>
      <w:r w:rsidR="00C1484B" w:rsidRPr="0095765D">
        <w:rPr>
          <w:rFonts w:ascii="Calibri" w:eastAsia="MS Mincho" w:hAnsi="Calibri" w:cs="Times New Roman"/>
        </w:rPr>
        <w:t xml:space="preserve"> cycles of treatment</w:t>
      </w:r>
      <w:r w:rsidR="00112DBE" w:rsidRPr="0095765D">
        <w:rPr>
          <w:rFonts w:ascii="Calibri" w:eastAsia="MS Mincho" w:hAnsi="Calibri" w:cs="Times New Roman"/>
        </w:rPr>
        <w:t xml:space="preserve"> (</w:t>
      </w:r>
      <w:r w:rsidR="00192A24">
        <w:rPr>
          <w:rFonts w:ascii="Calibri" w:eastAsia="MS Mincho" w:hAnsi="Calibri" w:cs="Times New Roman"/>
          <w:noProof/>
          <w:color w:val="000000"/>
          <w:highlight w:val="black"/>
        </w:rPr>
        <w:t>'''''''''''''''''''' '''' ''''''' '''''''''''''''''''' ''''' ''''' ''''''' '''''''''''' ''''''''' ''''' ''''''''''''''''''''''''''''''</w:t>
      </w:r>
      <w:r w:rsidR="00112DBE" w:rsidRPr="0095765D">
        <w:rPr>
          <w:rFonts w:ascii="Calibri" w:eastAsia="MS Mincho" w:hAnsi="Calibri" w:cs="Times New Roman"/>
        </w:rPr>
        <w:t>)</w:t>
      </w:r>
      <w:r w:rsidR="00C1484B" w:rsidRPr="0095765D">
        <w:rPr>
          <w:rFonts w:ascii="Calibri" w:eastAsia="MS Mincho" w:hAnsi="Calibri" w:cs="Times New Roman"/>
        </w:rPr>
        <w:t>.</w:t>
      </w:r>
      <w:r w:rsidR="00C1484B">
        <w:rPr>
          <w:rFonts w:ascii="Calibri" w:eastAsia="MS Mincho" w:hAnsi="Calibri" w:cs="Times New Roman"/>
        </w:rPr>
        <w:t xml:space="preserve"> </w:t>
      </w:r>
    </w:p>
    <w:p w:rsidR="006A7C6D" w:rsidRDefault="006A7C6D" w:rsidP="00E92829">
      <w:pPr>
        <w:pStyle w:val="ListParagraph"/>
        <w:numPr>
          <w:ilvl w:val="0"/>
          <w:numId w:val="1"/>
        </w:numPr>
        <w:rPr>
          <w:rFonts w:ascii="Calibri" w:eastAsia="MS Mincho" w:hAnsi="Calibri" w:cs="Times New Roman"/>
        </w:rPr>
      </w:pPr>
      <w:r>
        <w:rPr>
          <w:rFonts w:ascii="Calibri" w:eastAsia="MS Mincho" w:hAnsi="Calibri" w:cs="Times New Roman"/>
        </w:rPr>
        <w:t>Lower numbers of patients used T-DM1</w:t>
      </w:r>
      <w:r w:rsidR="00C1484B">
        <w:rPr>
          <w:rFonts w:ascii="Calibri" w:eastAsia="MS Mincho" w:hAnsi="Calibri" w:cs="Times New Roman"/>
        </w:rPr>
        <w:t xml:space="preserve"> than predicted</w:t>
      </w:r>
      <w:r>
        <w:rPr>
          <w:rFonts w:ascii="Calibri" w:eastAsia="MS Mincho" w:hAnsi="Calibri" w:cs="Times New Roman"/>
        </w:rPr>
        <w:t xml:space="preserve">. </w:t>
      </w:r>
      <w:r w:rsidR="00C1484B">
        <w:rPr>
          <w:rFonts w:ascii="Calibri" w:eastAsia="MS Mincho" w:hAnsi="Calibri" w:cs="Times New Roman"/>
        </w:rPr>
        <w:t xml:space="preserve">A </w:t>
      </w:r>
      <w:r>
        <w:rPr>
          <w:rFonts w:ascii="Calibri" w:eastAsia="MS Mincho" w:hAnsi="Calibri" w:cs="Times New Roman"/>
        </w:rPr>
        <w:t xml:space="preserve">contributing factor could be patients staying on </w:t>
      </w:r>
      <w:r w:rsidR="00E448D9">
        <w:rPr>
          <w:rFonts w:ascii="Calibri" w:eastAsia="MS Mincho" w:hAnsi="Calibri" w:cs="Times New Roman"/>
        </w:rPr>
        <w:t>pertuzumab</w:t>
      </w:r>
      <w:r w:rsidR="005E20BB">
        <w:rPr>
          <w:rFonts w:ascii="Calibri" w:eastAsia="MS Mincho" w:hAnsi="Calibri" w:cs="Times New Roman"/>
        </w:rPr>
        <w:t xml:space="preserve"> longer than expected</w:t>
      </w:r>
      <w:r w:rsidR="00E448D9">
        <w:rPr>
          <w:rFonts w:ascii="Calibri" w:eastAsia="MS Mincho" w:hAnsi="Calibri" w:cs="Times New Roman"/>
        </w:rPr>
        <w:t xml:space="preserve"> and</w:t>
      </w:r>
      <w:r w:rsidR="00112DBE">
        <w:rPr>
          <w:rFonts w:ascii="Calibri" w:eastAsia="MS Mincho" w:hAnsi="Calibri" w:cs="Times New Roman"/>
        </w:rPr>
        <w:t xml:space="preserve"> so not progressing to T-DM1</w:t>
      </w:r>
      <w:r w:rsidR="00B82D98">
        <w:rPr>
          <w:rFonts w:ascii="Calibri" w:eastAsia="MS Mincho" w:hAnsi="Calibri" w:cs="Times New Roman"/>
        </w:rPr>
        <w:t>.</w:t>
      </w:r>
    </w:p>
    <w:p w:rsidR="00910C80" w:rsidRDefault="00910C80" w:rsidP="000C3E08"/>
    <w:p w:rsidR="00910C80" w:rsidRDefault="00910C80" w:rsidP="000C3E08"/>
    <w:p w:rsidR="00910C80" w:rsidRDefault="00910C80">
      <w:pPr>
        <w:spacing w:line="276" w:lineRule="auto"/>
        <w:rPr>
          <w:b/>
          <w:sz w:val="32"/>
          <w:szCs w:val="32"/>
        </w:rPr>
      </w:pPr>
      <w:r>
        <w:rPr>
          <w:i/>
        </w:rPr>
        <w:br w:type="page"/>
      </w:r>
    </w:p>
    <w:p w:rsidR="00321A19" w:rsidRDefault="00321A19" w:rsidP="00813FF0">
      <w:pPr>
        <w:pStyle w:val="Heading4"/>
        <w:rPr>
          <w:i w:val="0"/>
        </w:rPr>
      </w:pPr>
      <w:r w:rsidRPr="00321A19">
        <w:rPr>
          <w:i w:val="0"/>
        </w:rPr>
        <w:lastRenderedPageBreak/>
        <w:t>Purpose of analysis</w:t>
      </w:r>
    </w:p>
    <w:p w:rsidR="00CD2AF7" w:rsidRDefault="00B75E36" w:rsidP="00B75E36">
      <w:pPr>
        <w:spacing w:after="0"/>
        <w:rPr>
          <w:rFonts w:ascii="Calibri" w:eastAsia="MS Mincho" w:hAnsi="Calibri" w:cs="Times New Roman"/>
        </w:rPr>
      </w:pPr>
      <w:r w:rsidRPr="00BB03D1">
        <w:t xml:space="preserve">To compare the predicted and actual utilisation of </w:t>
      </w:r>
      <w:r w:rsidR="00910C80">
        <w:t xml:space="preserve">trastuzumab, </w:t>
      </w:r>
      <w:r w:rsidR="00910C80">
        <w:rPr>
          <w:rFonts w:ascii="Calibri" w:eastAsia="MS Mincho" w:hAnsi="Calibri" w:cs="Times New Roman"/>
        </w:rPr>
        <w:t>trastuzumab emtansine</w:t>
      </w:r>
      <w:r w:rsidR="001C414C">
        <w:rPr>
          <w:rFonts w:ascii="Calibri" w:eastAsia="MS Mincho" w:hAnsi="Calibri" w:cs="Times New Roman"/>
        </w:rPr>
        <w:t xml:space="preserve"> (T</w:t>
      </w:r>
      <w:r w:rsidR="002E6649">
        <w:rPr>
          <w:rFonts w:ascii="Calibri" w:eastAsia="MS Mincho" w:hAnsi="Calibri" w:cs="Times New Roman"/>
        </w:rPr>
        <w:noBreakHyphen/>
      </w:r>
      <w:r w:rsidR="001C414C">
        <w:rPr>
          <w:rFonts w:ascii="Calibri" w:eastAsia="MS Mincho" w:hAnsi="Calibri" w:cs="Times New Roman"/>
        </w:rPr>
        <w:t>DM1)</w:t>
      </w:r>
      <w:r w:rsidR="00910C80">
        <w:rPr>
          <w:rFonts w:ascii="Calibri" w:eastAsia="MS Mincho" w:hAnsi="Calibri" w:cs="Times New Roman"/>
        </w:rPr>
        <w:t xml:space="preserve"> and pertuzumab for</w:t>
      </w:r>
      <w:r w:rsidR="00144149">
        <w:rPr>
          <w:rFonts w:ascii="Calibri" w:eastAsia="MS Mincho" w:hAnsi="Calibri" w:cs="Times New Roman"/>
        </w:rPr>
        <w:t xml:space="preserve"> the treatment of </w:t>
      </w:r>
      <w:r w:rsidR="00910C80" w:rsidRPr="00910C80">
        <w:rPr>
          <w:rFonts w:ascii="Calibri" w:eastAsia="MS Mincho" w:hAnsi="Calibri" w:cs="Times New Roman"/>
        </w:rPr>
        <w:t>HER2 positive metastatic breast cancer</w:t>
      </w:r>
      <w:r w:rsidR="00910C80">
        <w:rPr>
          <w:rFonts w:ascii="Calibri" w:eastAsia="MS Mincho" w:hAnsi="Calibri" w:cs="Times New Roman"/>
        </w:rPr>
        <w:t>.</w:t>
      </w:r>
      <w:r w:rsidR="00141D9E">
        <w:rPr>
          <w:rFonts w:ascii="Calibri" w:eastAsia="MS Mincho" w:hAnsi="Calibri" w:cs="Times New Roman"/>
        </w:rPr>
        <w:t xml:space="preserve"> </w:t>
      </w:r>
    </w:p>
    <w:p w:rsidR="00A467B7" w:rsidRDefault="00A467B7" w:rsidP="00B75E36">
      <w:pPr>
        <w:spacing w:after="0"/>
        <w:rPr>
          <w:rFonts w:ascii="Calibri" w:eastAsia="MS Mincho" w:hAnsi="Calibri" w:cs="Times New Roman"/>
        </w:rPr>
      </w:pPr>
    </w:p>
    <w:p w:rsidR="00A467B7" w:rsidRPr="004F405D" w:rsidRDefault="00A467B7" w:rsidP="00B75E36">
      <w:pPr>
        <w:spacing w:after="0"/>
      </w:pPr>
      <w:r w:rsidRPr="004F405D">
        <w:rPr>
          <w:rFonts w:ascii="Calibri" w:eastAsia="MS Mincho" w:hAnsi="Calibri" w:cs="Times New Roman"/>
        </w:rPr>
        <w:t xml:space="preserve">Information on lapatinib is included where appropriate. Laptinib was review by DUSC in </w:t>
      </w:r>
      <w:r w:rsidR="00BC546D" w:rsidRPr="004F405D">
        <w:rPr>
          <w:rFonts w:ascii="Calibri" w:eastAsia="MS Mincho" w:hAnsi="Calibri" w:cs="Times New Roman"/>
        </w:rPr>
        <w:t xml:space="preserve">February 2010. </w:t>
      </w:r>
    </w:p>
    <w:p w:rsidR="00CB354F" w:rsidRPr="00144149" w:rsidRDefault="00CB354F" w:rsidP="00CB354F">
      <w:pPr>
        <w:pStyle w:val="Heading4"/>
        <w:rPr>
          <w:i w:val="0"/>
        </w:rPr>
      </w:pPr>
      <w:r w:rsidRPr="00144149">
        <w:rPr>
          <w:i w:val="0"/>
        </w:rPr>
        <w:t>Background</w:t>
      </w:r>
    </w:p>
    <w:p w:rsidR="00CB354F" w:rsidRPr="00144149" w:rsidRDefault="00CB354F" w:rsidP="00CB354F">
      <w:pPr>
        <w:pStyle w:val="Heading3"/>
        <w:rPr>
          <w:i w:val="0"/>
          <w:sz w:val="28"/>
        </w:rPr>
      </w:pPr>
      <w:r w:rsidRPr="00144149">
        <w:rPr>
          <w:i w:val="0"/>
          <w:sz w:val="28"/>
        </w:rPr>
        <w:t>Pharmacology</w:t>
      </w:r>
    </w:p>
    <w:p w:rsidR="00C36737" w:rsidRPr="00141D9E" w:rsidRDefault="00C36737" w:rsidP="00CB354F">
      <w:r w:rsidRPr="00141D9E">
        <w:t>Trastuzumab is a recombinant DNA-derived humanised monoclonal antibody that selectively targets the extracellular domain of the human epiderma</w:t>
      </w:r>
      <w:r w:rsidR="00141D9E">
        <w:t>l growth factor receptor 2 prote</w:t>
      </w:r>
      <w:r w:rsidRPr="00141D9E">
        <w:t>in (HER2).</w:t>
      </w:r>
    </w:p>
    <w:p w:rsidR="00EF6827" w:rsidRDefault="00C36737" w:rsidP="00CB354F">
      <w:r w:rsidRPr="00141D9E">
        <w:t>Trastuzumab inhibits the proliferation of human tumour cells that overexpress HER2.</w:t>
      </w:r>
    </w:p>
    <w:p w:rsidR="00CB354F" w:rsidRDefault="00EF6827" w:rsidP="00CB354F">
      <w:r>
        <w:t xml:space="preserve">Trastuzumab emtansine is a HER2 targeted </w:t>
      </w:r>
      <w:r w:rsidR="00E448D9">
        <w:t>antibody</w:t>
      </w:r>
      <w:r>
        <w:t xml:space="preserve">-drug conjugate that contains trastuzumab covalently </w:t>
      </w:r>
      <w:r w:rsidR="00797F09" w:rsidRPr="00797F09">
        <w:t>linked to the cytotoxic agent emtansine (DM1)</w:t>
      </w:r>
      <w:r>
        <w:t>.</w:t>
      </w:r>
      <w:r w:rsidR="00141D9E">
        <w:t xml:space="preserve"> </w:t>
      </w:r>
    </w:p>
    <w:p w:rsidR="001E0D2A" w:rsidRPr="007247B9" w:rsidRDefault="001E0D2A" w:rsidP="00CB354F">
      <w:r>
        <w:t>Pertuzumab is a recombinant humanised monoclonal antibody. It binds to HER2 using a different site to trastuzumab.</w:t>
      </w:r>
    </w:p>
    <w:p w:rsidR="00C36737" w:rsidRPr="00797F09" w:rsidRDefault="00CB354F" w:rsidP="00CB354F">
      <w:pPr>
        <w:pStyle w:val="Heading3"/>
        <w:rPr>
          <w:b w:val="0"/>
          <w:i w:val="0"/>
          <w:sz w:val="28"/>
        </w:rPr>
      </w:pPr>
      <w:r w:rsidRPr="00797F09">
        <w:rPr>
          <w:i w:val="0"/>
          <w:sz w:val="28"/>
        </w:rPr>
        <w:t xml:space="preserve">Therapeutic Goods Administration (TGA) approved </w:t>
      </w:r>
      <w:r w:rsidR="00C36737" w:rsidRPr="00797F09">
        <w:rPr>
          <w:i w:val="0"/>
          <w:sz w:val="28"/>
        </w:rPr>
        <w:t>indication</w:t>
      </w:r>
      <w:r w:rsidR="00141D9E" w:rsidRPr="00797F09">
        <w:rPr>
          <w:rStyle w:val="FootnoteReference"/>
          <w:i w:val="0"/>
          <w:sz w:val="28"/>
        </w:rPr>
        <w:footnoteReference w:id="2"/>
      </w:r>
    </w:p>
    <w:p w:rsidR="00C36737" w:rsidRPr="00141D9E" w:rsidRDefault="00C36737" w:rsidP="00CB354F">
      <w:pPr>
        <w:pStyle w:val="Heading3"/>
        <w:rPr>
          <w:b w:val="0"/>
          <w:i w:val="0"/>
        </w:rPr>
      </w:pPr>
      <w:r w:rsidRPr="00141D9E">
        <w:rPr>
          <w:b w:val="0"/>
          <w:i w:val="0"/>
        </w:rPr>
        <w:t>Trastuzumab (Herceptin</w:t>
      </w:r>
      <w:r w:rsidR="001C414C">
        <w:rPr>
          <w:b w:val="0"/>
          <w:i w:val="0"/>
        </w:rPr>
        <w:t>®</w:t>
      </w:r>
      <w:r w:rsidRPr="00141D9E">
        <w:rPr>
          <w:b w:val="0"/>
          <w:i w:val="0"/>
        </w:rPr>
        <w:t>) is approved for the treatment of:</w:t>
      </w:r>
    </w:p>
    <w:p w:rsidR="00C36737" w:rsidRPr="00141D9E" w:rsidRDefault="00C36737" w:rsidP="000C3E08">
      <w:pPr>
        <w:pStyle w:val="Heading3"/>
        <w:numPr>
          <w:ilvl w:val="0"/>
          <w:numId w:val="1"/>
        </w:numPr>
        <w:spacing w:before="60" w:after="120"/>
        <w:ind w:hanging="357"/>
        <w:rPr>
          <w:b w:val="0"/>
          <w:i w:val="0"/>
        </w:rPr>
      </w:pPr>
      <w:r w:rsidRPr="00141D9E">
        <w:rPr>
          <w:b w:val="0"/>
          <w:i w:val="0"/>
        </w:rPr>
        <w:t>Early breast cancer expressing HER2 in association with chemotherapy and, if applicable, radiotherapy.</w:t>
      </w:r>
    </w:p>
    <w:p w:rsidR="00C36737" w:rsidRPr="00141D9E" w:rsidRDefault="00C36737" w:rsidP="000C3E08">
      <w:pPr>
        <w:pStyle w:val="Heading3"/>
        <w:numPr>
          <w:ilvl w:val="0"/>
          <w:numId w:val="1"/>
        </w:numPr>
        <w:spacing w:before="60" w:after="120"/>
        <w:ind w:hanging="357"/>
        <w:rPr>
          <w:b w:val="0"/>
          <w:i w:val="0"/>
        </w:rPr>
      </w:pPr>
      <w:r w:rsidRPr="00141D9E">
        <w:rPr>
          <w:b w:val="0"/>
          <w:i w:val="0"/>
        </w:rPr>
        <w:t>Locally advanced breast cancer expressing HER2 in combination</w:t>
      </w:r>
      <w:r w:rsidR="00141D9E">
        <w:rPr>
          <w:b w:val="0"/>
          <w:i w:val="0"/>
        </w:rPr>
        <w:t xml:space="preserve"> with neoadjuvant c</w:t>
      </w:r>
      <w:r w:rsidRPr="00141D9E">
        <w:rPr>
          <w:b w:val="0"/>
          <w:i w:val="0"/>
        </w:rPr>
        <w:t>hemotherapy followed by adjuvant trastuzumab.</w:t>
      </w:r>
    </w:p>
    <w:p w:rsidR="001C414C" w:rsidRDefault="00C36737" w:rsidP="000C3E08">
      <w:pPr>
        <w:pStyle w:val="Heading3"/>
        <w:numPr>
          <w:ilvl w:val="0"/>
          <w:numId w:val="1"/>
        </w:numPr>
        <w:spacing w:before="60" w:after="120"/>
        <w:ind w:hanging="357"/>
        <w:rPr>
          <w:b w:val="0"/>
          <w:i w:val="0"/>
        </w:rPr>
      </w:pPr>
      <w:r w:rsidRPr="00141D9E">
        <w:rPr>
          <w:b w:val="0"/>
          <w:i w:val="0"/>
        </w:rPr>
        <w:t>Metastatic breast cancer expressing HER2 as</w:t>
      </w:r>
      <w:r w:rsidR="001C414C">
        <w:rPr>
          <w:b w:val="0"/>
          <w:i w:val="0"/>
        </w:rPr>
        <w:t>:</w:t>
      </w:r>
    </w:p>
    <w:p w:rsidR="001C414C" w:rsidRDefault="00C36737" w:rsidP="000C3E08">
      <w:pPr>
        <w:pStyle w:val="Heading3"/>
        <w:numPr>
          <w:ilvl w:val="1"/>
          <w:numId w:val="14"/>
        </w:numPr>
        <w:spacing w:before="60" w:after="120"/>
        <w:ind w:hanging="357"/>
        <w:rPr>
          <w:b w:val="0"/>
          <w:i w:val="0"/>
        </w:rPr>
      </w:pPr>
      <w:r w:rsidRPr="00141D9E">
        <w:rPr>
          <w:b w:val="0"/>
          <w:i w:val="0"/>
        </w:rPr>
        <w:t>monotherapy where patients have rec</w:t>
      </w:r>
      <w:r w:rsidR="00F55A79">
        <w:rPr>
          <w:b w:val="0"/>
          <w:i w:val="0"/>
        </w:rPr>
        <w:t>e</w:t>
      </w:r>
      <w:r w:rsidRPr="00141D9E">
        <w:rPr>
          <w:b w:val="0"/>
          <w:i w:val="0"/>
        </w:rPr>
        <w:t>ived one or more chemotherapy regimens,</w:t>
      </w:r>
      <w:r w:rsidR="00F55A79">
        <w:rPr>
          <w:b w:val="0"/>
          <w:i w:val="0"/>
        </w:rPr>
        <w:t xml:space="preserve"> or</w:t>
      </w:r>
    </w:p>
    <w:p w:rsidR="001C414C" w:rsidRDefault="00C36737" w:rsidP="000C3E08">
      <w:pPr>
        <w:pStyle w:val="Heading3"/>
        <w:numPr>
          <w:ilvl w:val="1"/>
          <w:numId w:val="14"/>
        </w:numPr>
        <w:spacing w:before="60" w:after="120"/>
        <w:ind w:hanging="357"/>
        <w:rPr>
          <w:b w:val="0"/>
          <w:i w:val="0"/>
        </w:rPr>
      </w:pPr>
      <w:r w:rsidRPr="00141D9E">
        <w:rPr>
          <w:b w:val="0"/>
          <w:i w:val="0"/>
        </w:rPr>
        <w:t>in combination with taxanes</w:t>
      </w:r>
      <w:r w:rsidR="00F55A79">
        <w:rPr>
          <w:b w:val="0"/>
          <w:i w:val="0"/>
        </w:rPr>
        <w:t xml:space="preserve"> in patients who have not </w:t>
      </w:r>
      <w:r w:rsidR="00E448D9">
        <w:rPr>
          <w:b w:val="0"/>
          <w:i w:val="0"/>
        </w:rPr>
        <w:t>recei</w:t>
      </w:r>
      <w:r w:rsidR="00E448D9" w:rsidRPr="00141D9E">
        <w:rPr>
          <w:b w:val="0"/>
          <w:i w:val="0"/>
        </w:rPr>
        <w:t>ved</w:t>
      </w:r>
      <w:r w:rsidRPr="00141D9E">
        <w:rPr>
          <w:b w:val="0"/>
          <w:i w:val="0"/>
        </w:rPr>
        <w:t xml:space="preserve"> chemotherapy for metastatic disease,</w:t>
      </w:r>
      <w:r w:rsidR="001C414C">
        <w:rPr>
          <w:b w:val="0"/>
          <w:i w:val="0"/>
        </w:rPr>
        <w:t xml:space="preserve"> or</w:t>
      </w:r>
      <w:r w:rsidRPr="00141D9E">
        <w:rPr>
          <w:b w:val="0"/>
          <w:i w:val="0"/>
        </w:rPr>
        <w:t xml:space="preserve"> </w:t>
      </w:r>
    </w:p>
    <w:p w:rsidR="00C36737" w:rsidRPr="00141D9E" w:rsidRDefault="00C36737" w:rsidP="000C3E08">
      <w:pPr>
        <w:pStyle w:val="Heading3"/>
        <w:numPr>
          <w:ilvl w:val="1"/>
          <w:numId w:val="14"/>
        </w:numPr>
        <w:spacing w:before="60" w:after="120"/>
        <w:ind w:hanging="357"/>
        <w:rPr>
          <w:b w:val="0"/>
          <w:i w:val="0"/>
        </w:rPr>
      </w:pPr>
      <w:r w:rsidRPr="00141D9E">
        <w:rPr>
          <w:b w:val="0"/>
          <w:i w:val="0"/>
        </w:rPr>
        <w:t>in combination with an aromatase inh</w:t>
      </w:r>
      <w:r w:rsidR="00F55A79">
        <w:rPr>
          <w:b w:val="0"/>
          <w:i w:val="0"/>
        </w:rPr>
        <w:t>ibit</w:t>
      </w:r>
      <w:r w:rsidRPr="00141D9E">
        <w:rPr>
          <w:b w:val="0"/>
          <w:i w:val="0"/>
        </w:rPr>
        <w:t xml:space="preserve">or for </w:t>
      </w:r>
      <w:r w:rsidR="00E448D9" w:rsidRPr="00141D9E">
        <w:rPr>
          <w:b w:val="0"/>
          <w:i w:val="0"/>
        </w:rPr>
        <w:t>post-menopausal</w:t>
      </w:r>
      <w:r w:rsidRPr="00141D9E">
        <w:rPr>
          <w:b w:val="0"/>
          <w:i w:val="0"/>
        </w:rPr>
        <w:t xml:space="preserve"> patients with hormone-receptor positive metastatic breast cancer.</w:t>
      </w:r>
    </w:p>
    <w:p w:rsidR="00BE3E66" w:rsidRPr="00141D9E" w:rsidRDefault="00C36737" w:rsidP="000C3E08">
      <w:pPr>
        <w:pStyle w:val="Heading3"/>
        <w:numPr>
          <w:ilvl w:val="0"/>
          <w:numId w:val="1"/>
        </w:numPr>
        <w:spacing w:before="60" w:after="120"/>
        <w:ind w:hanging="357"/>
        <w:rPr>
          <w:b w:val="0"/>
          <w:i w:val="0"/>
        </w:rPr>
      </w:pPr>
      <w:r w:rsidRPr="00141D9E">
        <w:rPr>
          <w:b w:val="0"/>
          <w:i w:val="0"/>
        </w:rPr>
        <w:t>Advance</w:t>
      </w:r>
      <w:r w:rsidR="002E6649">
        <w:rPr>
          <w:b w:val="0"/>
          <w:i w:val="0"/>
        </w:rPr>
        <w:t>d</w:t>
      </w:r>
      <w:r w:rsidRPr="00141D9E">
        <w:rPr>
          <w:b w:val="0"/>
          <w:i w:val="0"/>
        </w:rPr>
        <w:t xml:space="preserve"> gastric cancer in combination with cisplatin and either 5-FU or capecitabine</w:t>
      </w:r>
      <w:r w:rsidR="00F55A79">
        <w:rPr>
          <w:b w:val="0"/>
          <w:i w:val="0"/>
        </w:rPr>
        <w:t>.</w:t>
      </w:r>
    </w:p>
    <w:p w:rsidR="00BE3E66" w:rsidRPr="00141D9E" w:rsidRDefault="00C36737" w:rsidP="00BE3E66">
      <w:pPr>
        <w:pStyle w:val="Heading3"/>
        <w:rPr>
          <w:b w:val="0"/>
          <w:i w:val="0"/>
        </w:rPr>
      </w:pPr>
      <w:r w:rsidRPr="00141D9E">
        <w:rPr>
          <w:b w:val="0"/>
          <w:i w:val="0"/>
        </w:rPr>
        <w:lastRenderedPageBreak/>
        <w:t>Trastuzumab is available as a 150</w:t>
      </w:r>
      <w:r w:rsidR="002E6649">
        <w:rPr>
          <w:b w:val="0"/>
          <w:i w:val="0"/>
        </w:rPr>
        <w:t> </w:t>
      </w:r>
      <w:r w:rsidRPr="00141D9E">
        <w:rPr>
          <w:b w:val="0"/>
          <w:i w:val="0"/>
        </w:rPr>
        <w:t xml:space="preserve">mg vial </w:t>
      </w:r>
      <w:r w:rsidR="00E448D9" w:rsidRPr="00141D9E">
        <w:rPr>
          <w:b w:val="0"/>
          <w:i w:val="0"/>
        </w:rPr>
        <w:t>and 60</w:t>
      </w:r>
      <w:r w:rsidR="002E6649">
        <w:rPr>
          <w:b w:val="0"/>
          <w:i w:val="0"/>
        </w:rPr>
        <w:t> </w:t>
      </w:r>
      <w:r w:rsidR="00E448D9" w:rsidRPr="00141D9E">
        <w:rPr>
          <w:b w:val="0"/>
          <w:i w:val="0"/>
        </w:rPr>
        <w:t>mg</w:t>
      </w:r>
      <w:r w:rsidRPr="00141D9E">
        <w:rPr>
          <w:b w:val="0"/>
          <w:i w:val="0"/>
        </w:rPr>
        <w:t xml:space="preserve"> vial for intravenous infusion. It is also available as a 600</w:t>
      </w:r>
      <w:r w:rsidR="002E6649">
        <w:rPr>
          <w:b w:val="0"/>
          <w:i w:val="0"/>
        </w:rPr>
        <w:t> </w:t>
      </w:r>
      <w:r w:rsidRPr="00141D9E">
        <w:rPr>
          <w:b w:val="0"/>
          <w:i w:val="0"/>
        </w:rPr>
        <w:t>mg subcutaneous injection.</w:t>
      </w:r>
    </w:p>
    <w:p w:rsidR="00C700E4" w:rsidRPr="00141D9E" w:rsidRDefault="00C700E4" w:rsidP="00BE3E66">
      <w:pPr>
        <w:pStyle w:val="Heading3"/>
        <w:rPr>
          <w:b w:val="0"/>
          <w:i w:val="0"/>
        </w:rPr>
      </w:pPr>
      <w:r w:rsidRPr="00141D9E">
        <w:rPr>
          <w:b w:val="0"/>
          <w:i w:val="0"/>
        </w:rPr>
        <w:t xml:space="preserve">Clinical practice for prescribing trastuzumab for </w:t>
      </w:r>
      <w:r w:rsidR="00EA489A" w:rsidRPr="00EA489A">
        <w:rPr>
          <w:b w:val="0"/>
          <w:i w:val="0"/>
        </w:rPr>
        <w:t>metastatic breast cancer (</w:t>
      </w:r>
      <w:r w:rsidRPr="00141D9E">
        <w:rPr>
          <w:b w:val="0"/>
          <w:i w:val="0"/>
        </w:rPr>
        <w:t>MBC</w:t>
      </w:r>
      <w:r w:rsidR="00EA489A">
        <w:rPr>
          <w:b w:val="0"/>
          <w:i w:val="0"/>
        </w:rPr>
        <w:t>)</w:t>
      </w:r>
      <w:r w:rsidRPr="00141D9E">
        <w:rPr>
          <w:b w:val="0"/>
          <w:i w:val="0"/>
        </w:rPr>
        <w:t xml:space="preserve"> has shifted since the inception of the Herceptin Program in 2001. In particular, the chemotherapy administered with trastuzumab is not always a taxane. As taxanes are now commonly administered in the adjuvant setting, trastuzumab is sometimes given in combination with alternate chemotherapy agents such as vinorelbine when a patient progresses to metastatic disease</w:t>
      </w:r>
      <w:r w:rsidR="002E6649">
        <w:rPr>
          <w:b w:val="0"/>
          <w:i w:val="0"/>
        </w:rPr>
        <w:t>.</w:t>
      </w:r>
      <w:r w:rsidRPr="00141D9E">
        <w:rPr>
          <w:rStyle w:val="FootnoteReference"/>
          <w:b w:val="0"/>
          <w:i w:val="0"/>
        </w:rPr>
        <w:footnoteReference w:id="3"/>
      </w:r>
      <w:r w:rsidRPr="00141D9E">
        <w:rPr>
          <w:b w:val="0"/>
          <w:i w:val="0"/>
        </w:rPr>
        <w:t xml:space="preserve"> </w:t>
      </w:r>
    </w:p>
    <w:p w:rsidR="001E0D2A" w:rsidRDefault="00C700E4" w:rsidP="00141D9E">
      <w:r>
        <w:t>The PBAC considered evidence for a number of additional regimens to those listed in the approved product indication</w:t>
      </w:r>
      <w:r w:rsidR="002E6649">
        <w:t>.</w:t>
      </w:r>
      <w:r>
        <w:rPr>
          <w:rStyle w:val="FootnoteReference"/>
        </w:rPr>
        <w:footnoteReference w:id="4"/>
      </w:r>
      <w:r w:rsidR="00A34967">
        <w:t xml:space="preserve"> Refer to the section on relevant aspects of consideration by PBAC.</w:t>
      </w:r>
    </w:p>
    <w:p w:rsidR="001E0D2A" w:rsidRDefault="001E0D2A" w:rsidP="00141D9E">
      <w:r>
        <w:t>Trastuzumab emtansine</w:t>
      </w:r>
      <w:r>
        <w:rPr>
          <w:rStyle w:val="FootnoteReference"/>
        </w:rPr>
        <w:footnoteReference w:id="5"/>
      </w:r>
      <w:r>
        <w:t xml:space="preserve"> (</w:t>
      </w:r>
      <w:r w:rsidR="00A34967">
        <w:t>T-</w:t>
      </w:r>
      <w:r w:rsidR="00E448D9">
        <w:t>DM1) is</w:t>
      </w:r>
      <w:r>
        <w:t xml:space="preserve"> approved for treatment of patients with HER2 positive metastatic breast cancer who previously received trastuzumab and a </w:t>
      </w:r>
      <w:r w:rsidR="00E448D9">
        <w:t>taxane</w:t>
      </w:r>
      <w:r>
        <w:t xml:space="preserve"> either separately or in combination. Patients should have either received prior therapy for metastatic disease or developed disease recurrent during or within six months of completing adjuvant therapy.</w:t>
      </w:r>
    </w:p>
    <w:p w:rsidR="001E0D2A" w:rsidRDefault="001E0D2A" w:rsidP="00141D9E">
      <w:r>
        <w:t xml:space="preserve">Trastuzumab emtansine </w:t>
      </w:r>
      <w:r w:rsidR="00997EA1">
        <w:t>is available as a 100</w:t>
      </w:r>
      <w:r w:rsidR="002E6649">
        <w:t> </w:t>
      </w:r>
      <w:r w:rsidR="00997EA1">
        <w:t>mg</w:t>
      </w:r>
      <w:r>
        <w:t xml:space="preserve"> vial.</w:t>
      </w:r>
    </w:p>
    <w:p w:rsidR="001E0D2A" w:rsidRDefault="001E0D2A" w:rsidP="00141D9E">
      <w:r>
        <w:t>Pertuzumab (Perjeta®) is approved, in combination with trastuzumab and chemotherapy</w:t>
      </w:r>
      <w:r w:rsidR="00AD6932">
        <w:t xml:space="preserve"> in neoadjuvant treatment of patients with inflammatory or locally advanced HER2 positive bre</w:t>
      </w:r>
      <w:r w:rsidR="00A34967">
        <w:t>a</w:t>
      </w:r>
      <w:r w:rsidR="00AD6932">
        <w:t>st cancer and in patients with metastatic disease who have not had prior anti-HER2 therapy or chemotherapy for metastatic disease</w:t>
      </w:r>
      <w:r w:rsidR="002E6649">
        <w:t>.</w:t>
      </w:r>
      <w:r w:rsidR="00AD6932">
        <w:rPr>
          <w:rStyle w:val="FootnoteReference"/>
        </w:rPr>
        <w:footnoteReference w:id="6"/>
      </w:r>
    </w:p>
    <w:p w:rsidR="00776C33" w:rsidRDefault="00776C33" w:rsidP="00141D9E">
      <w:r>
        <w:t>Pertuzumab is supplied in 420</w:t>
      </w:r>
      <w:r w:rsidR="002E6649">
        <w:t> </w:t>
      </w:r>
      <w:r>
        <w:t>mg vials.</w:t>
      </w:r>
    </w:p>
    <w:p w:rsidR="00A467B7" w:rsidRPr="004F405D" w:rsidRDefault="00A467B7" w:rsidP="00141D9E">
      <w:r w:rsidRPr="004F405D">
        <w:t>Lapatinib (Tykerb®) is approved for the treatment in combination with capecitabine in patients with advanced metastatic breast cancer whose tumours overexpress HER2 and have progressed after treatment with an anthracycline, a taxane and trastuzumab.</w:t>
      </w:r>
    </w:p>
    <w:p w:rsidR="00A467B7" w:rsidRPr="004F405D" w:rsidRDefault="00A467B7" w:rsidP="00141D9E">
      <w:r w:rsidRPr="004F405D">
        <w:t>Lapatinib is supplied as 250mg tablets.</w:t>
      </w:r>
    </w:p>
    <w:p w:rsidR="00BE3E66" w:rsidRPr="00797F09" w:rsidRDefault="00BE3E66" w:rsidP="00CB354F">
      <w:pPr>
        <w:pStyle w:val="Heading3"/>
        <w:rPr>
          <w:i w:val="0"/>
          <w:sz w:val="28"/>
        </w:rPr>
      </w:pPr>
      <w:r w:rsidRPr="00797F09">
        <w:rPr>
          <w:i w:val="0"/>
          <w:sz w:val="28"/>
        </w:rPr>
        <w:t>Dosage and administration</w:t>
      </w:r>
    </w:p>
    <w:p w:rsidR="00F55A79" w:rsidRDefault="00BE3E66" w:rsidP="00CB354F">
      <w:pPr>
        <w:pStyle w:val="Heading3"/>
        <w:rPr>
          <w:b w:val="0"/>
          <w:i w:val="0"/>
        </w:rPr>
      </w:pPr>
      <w:r w:rsidRPr="00F55A79">
        <w:rPr>
          <w:b w:val="0"/>
          <w:i w:val="0"/>
        </w:rPr>
        <w:t>In breast cancer trastuzumab can be administered as a three</w:t>
      </w:r>
      <w:r w:rsidR="002E6649">
        <w:rPr>
          <w:b w:val="0"/>
          <w:i w:val="0"/>
        </w:rPr>
        <w:t>-</w:t>
      </w:r>
      <w:r w:rsidRPr="00F55A79">
        <w:rPr>
          <w:b w:val="0"/>
          <w:i w:val="0"/>
        </w:rPr>
        <w:t>weekly infusion with an initial loading dose of 8</w:t>
      </w:r>
      <w:r w:rsidR="002E6649">
        <w:rPr>
          <w:b w:val="0"/>
          <w:i w:val="0"/>
        </w:rPr>
        <w:t> </w:t>
      </w:r>
      <w:r w:rsidRPr="00F55A79">
        <w:rPr>
          <w:b w:val="0"/>
          <w:i w:val="0"/>
        </w:rPr>
        <w:t>mg/</w:t>
      </w:r>
      <w:r w:rsidR="002E6649">
        <w:rPr>
          <w:b w:val="0"/>
          <w:i w:val="0"/>
        </w:rPr>
        <w:t>k</w:t>
      </w:r>
      <w:r w:rsidRPr="00F55A79">
        <w:rPr>
          <w:b w:val="0"/>
          <w:i w:val="0"/>
        </w:rPr>
        <w:t>g following by 6</w:t>
      </w:r>
      <w:r w:rsidR="002E6649">
        <w:rPr>
          <w:b w:val="0"/>
          <w:i w:val="0"/>
        </w:rPr>
        <w:t> </w:t>
      </w:r>
      <w:r w:rsidRPr="00F55A79">
        <w:rPr>
          <w:b w:val="0"/>
          <w:i w:val="0"/>
        </w:rPr>
        <w:t>mg/</w:t>
      </w:r>
      <w:r w:rsidR="002E6649">
        <w:rPr>
          <w:b w:val="0"/>
          <w:i w:val="0"/>
        </w:rPr>
        <w:t>k</w:t>
      </w:r>
      <w:r w:rsidRPr="00F55A79">
        <w:rPr>
          <w:b w:val="0"/>
          <w:i w:val="0"/>
        </w:rPr>
        <w:t>g every three weeks. Alternatively there is a weekly schedule with a loading dose of 4</w:t>
      </w:r>
      <w:r w:rsidR="002E6649">
        <w:rPr>
          <w:b w:val="0"/>
          <w:i w:val="0"/>
        </w:rPr>
        <w:t> </w:t>
      </w:r>
      <w:r w:rsidRPr="00F55A79">
        <w:rPr>
          <w:b w:val="0"/>
          <w:i w:val="0"/>
        </w:rPr>
        <w:t>mg/</w:t>
      </w:r>
      <w:r w:rsidR="002E6649">
        <w:rPr>
          <w:b w:val="0"/>
          <w:i w:val="0"/>
        </w:rPr>
        <w:t>k</w:t>
      </w:r>
      <w:r w:rsidRPr="00F55A79">
        <w:rPr>
          <w:b w:val="0"/>
          <w:i w:val="0"/>
        </w:rPr>
        <w:t>g and weekly doses of 2</w:t>
      </w:r>
      <w:r w:rsidR="002E6649">
        <w:rPr>
          <w:b w:val="0"/>
          <w:i w:val="0"/>
        </w:rPr>
        <w:t> </w:t>
      </w:r>
      <w:r w:rsidRPr="00F55A79">
        <w:rPr>
          <w:b w:val="0"/>
          <w:i w:val="0"/>
        </w:rPr>
        <w:t>mg/</w:t>
      </w:r>
      <w:r w:rsidR="002E6649">
        <w:rPr>
          <w:b w:val="0"/>
          <w:i w:val="0"/>
        </w:rPr>
        <w:t>k</w:t>
      </w:r>
      <w:r w:rsidRPr="00F55A79">
        <w:rPr>
          <w:b w:val="0"/>
          <w:i w:val="0"/>
        </w:rPr>
        <w:t>g.</w:t>
      </w:r>
      <w:r w:rsidR="00861FE6" w:rsidRPr="00F55A79">
        <w:rPr>
          <w:b w:val="0"/>
          <w:i w:val="0"/>
        </w:rPr>
        <w:t xml:space="preserve"> </w:t>
      </w:r>
      <w:r w:rsidR="00F55A79">
        <w:rPr>
          <w:b w:val="0"/>
          <w:i w:val="0"/>
        </w:rPr>
        <w:t>Trastu</w:t>
      </w:r>
      <w:r w:rsidR="00861FE6" w:rsidRPr="00F55A79">
        <w:rPr>
          <w:b w:val="0"/>
          <w:i w:val="0"/>
        </w:rPr>
        <w:t>zumab can also be administered as a 600</w:t>
      </w:r>
      <w:r w:rsidR="002E6649">
        <w:rPr>
          <w:b w:val="0"/>
          <w:i w:val="0"/>
        </w:rPr>
        <w:t> </w:t>
      </w:r>
      <w:r w:rsidR="00861FE6" w:rsidRPr="00F55A79">
        <w:rPr>
          <w:b w:val="0"/>
          <w:i w:val="0"/>
        </w:rPr>
        <w:t>mg subcutaneous injection every three weeks (no loading dose required).</w:t>
      </w:r>
      <w:r w:rsidR="00F55A79">
        <w:rPr>
          <w:b w:val="0"/>
          <w:i w:val="0"/>
        </w:rPr>
        <w:t xml:space="preserve"> </w:t>
      </w:r>
    </w:p>
    <w:p w:rsidR="00BE3E66" w:rsidRPr="00F55A79" w:rsidRDefault="00F55A79" w:rsidP="00CB354F">
      <w:pPr>
        <w:pStyle w:val="Heading3"/>
        <w:rPr>
          <w:b w:val="0"/>
          <w:i w:val="0"/>
        </w:rPr>
      </w:pPr>
      <w:r>
        <w:rPr>
          <w:b w:val="0"/>
          <w:i w:val="0"/>
        </w:rPr>
        <w:t xml:space="preserve">Where trastuzumab is used with pertuzumab the regimen is </w:t>
      </w:r>
      <w:r w:rsidR="002E6649">
        <w:rPr>
          <w:b w:val="0"/>
          <w:i w:val="0"/>
        </w:rPr>
        <w:t>three-</w:t>
      </w:r>
      <w:r>
        <w:rPr>
          <w:b w:val="0"/>
          <w:i w:val="0"/>
        </w:rPr>
        <w:t>weekly infusions. The dose of pertuzumab is 840</w:t>
      </w:r>
      <w:r w:rsidR="002E6649">
        <w:rPr>
          <w:b w:val="0"/>
          <w:i w:val="0"/>
        </w:rPr>
        <w:t> </w:t>
      </w:r>
      <w:r>
        <w:rPr>
          <w:b w:val="0"/>
          <w:i w:val="0"/>
        </w:rPr>
        <w:t>mg loading dose plus 8</w:t>
      </w:r>
      <w:r w:rsidR="002E6649">
        <w:rPr>
          <w:b w:val="0"/>
          <w:i w:val="0"/>
        </w:rPr>
        <w:t> </w:t>
      </w:r>
      <w:r>
        <w:rPr>
          <w:b w:val="0"/>
          <w:i w:val="0"/>
        </w:rPr>
        <w:t>mg/</w:t>
      </w:r>
      <w:r w:rsidR="002E6649">
        <w:rPr>
          <w:b w:val="0"/>
          <w:i w:val="0"/>
        </w:rPr>
        <w:t>k</w:t>
      </w:r>
      <w:r>
        <w:rPr>
          <w:b w:val="0"/>
          <w:i w:val="0"/>
        </w:rPr>
        <w:t>g trastuzumab then 420</w:t>
      </w:r>
      <w:r w:rsidR="002E6649">
        <w:rPr>
          <w:b w:val="0"/>
          <w:i w:val="0"/>
        </w:rPr>
        <w:t> </w:t>
      </w:r>
      <w:r>
        <w:rPr>
          <w:b w:val="0"/>
          <w:i w:val="0"/>
        </w:rPr>
        <w:t>mg pertuzumab plus 6</w:t>
      </w:r>
      <w:r w:rsidR="002E6649">
        <w:rPr>
          <w:b w:val="0"/>
          <w:i w:val="0"/>
        </w:rPr>
        <w:t> </w:t>
      </w:r>
      <w:r>
        <w:rPr>
          <w:b w:val="0"/>
          <w:i w:val="0"/>
        </w:rPr>
        <w:t>mg/</w:t>
      </w:r>
      <w:r w:rsidR="002E6649">
        <w:rPr>
          <w:b w:val="0"/>
          <w:i w:val="0"/>
        </w:rPr>
        <w:t>k</w:t>
      </w:r>
      <w:r>
        <w:rPr>
          <w:b w:val="0"/>
          <w:i w:val="0"/>
        </w:rPr>
        <w:t xml:space="preserve">g trastuzumab every </w:t>
      </w:r>
      <w:r w:rsidR="002E6649">
        <w:rPr>
          <w:b w:val="0"/>
          <w:i w:val="0"/>
        </w:rPr>
        <w:t>three</w:t>
      </w:r>
      <w:r>
        <w:rPr>
          <w:b w:val="0"/>
          <w:i w:val="0"/>
        </w:rPr>
        <w:t xml:space="preserve"> weeks.</w:t>
      </w:r>
    </w:p>
    <w:p w:rsidR="00BE3E66" w:rsidRPr="00F55A79" w:rsidRDefault="00BE3E66" w:rsidP="00CB354F">
      <w:pPr>
        <w:pStyle w:val="Heading3"/>
        <w:rPr>
          <w:b w:val="0"/>
          <w:i w:val="0"/>
        </w:rPr>
      </w:pPr>
      <w:r w:rsidRPr="00F55A79">
        <w:rPr>
          <w:b w:val="0"/>
          <w:i w:val="0"/>
        </w:rPr>
        <w:t xml:space="preserve">Patients with early or locally advanced breast cancer should be treated for </w:t>
      </w:r>
      <w:r w:rsidR="002E6649">
        <w:rPr>
          <w:b w:val="0"/>
          <w:i w:val="0"/>
        </w:rPr>
        <w:t>one</w:t>
      </w:r>
      <w:r w:rsidR="002E6649" w:rsidRPr="00F55A79">
        <w:rPr>
          <w:b w:val="0"/>
          <w:i w:val="0"/>
        </w:rPr>
        <w:t xml:space="preserve"> </w:t>
      </w:r>
      <w:r w:rsidRPr="00F55A79">
        <w:rPr>
          <w:b w:val="0"/>
          <w:i w:val="0"/>
        </w:rPr>
        <w:t xml:space="preserve">year or until disease recurrence, whichever occurs first. </w:t>
      </w:r>
    </w:p>
    <w:p w:rsidR="00EF6827" w:rsidRDefault="00BE3E66" w:rsidP="00141D9E">
      <w:r>
        <w:t xml:space="preserve">Patients with </w:t>
      </w:r>
      <w:r w:rsidR="00E448D9">
        <w:t>metastatic</w:t>
      </w:r>
      <w:r>
        <w:t xml:space="preserve"> breast cancer should be treated u</w:t>
      </w:r>
      <w:r w:rsidR="00F55A79">
        <w:t xml:space="preserve">ntil progression of the disease (product information for Herceptin). </w:t>
      </w:r>
      <w:r w:rsidR="00C700E4">
        <w:t xml:space="preserve">In Australian practice some patients with metastatic breast cancer continue to be treated beyond disease progression. </w:t>
      </w:r>
      <w:r w:rsidR="00F12D81">
        <w:t xml:space="preserve">This view was supported by input from clinicians and patients to </w:t>
      </w:r>
      <w:r w:rsidR="00F55A79">
        <w:t xml:space="preserve">the </w:t>
      </w:r>
      <w:r w:rsidR="00F12D81">
        <w:t>PBAC</w:t>
      </w:r>
      <w:r w:rsidR="00F55A79">
        <w:t xml:space="preserve"> (May 2014 Stakeholder meeting)</w:t>
      </w:r>
      <w:r w:rsidR="00F12D81">
        <w:t>.</w:t>
      </w:r>
    </w:p>
    <w:p w:rsidR="00C700E4" w:rsidRPr="00C700E4" w:rsidRDefault="00EF6827" w:rsidP="00141D9E">
      <w:r>
        <w:t>Trastuzumab emtansine is administered at a dose of 3.6</w:t>
      </w:r>
      <w:r w:rsidR="00031D38">
        <w:t> </w:t>
      </w:r>
      <w:r>
        <w:t>mg/</w:t>
      </w:r>
      <w:r w:rsidR="00031D38">
        <w:t xml:space="preserve">kg </w:t>
      </w:r>
      <w:r>
        <w:t xml:space="preserve">via IV infusion every three </w:t>
      </w:r>
      <w:r w:rsidR="00E448D9">
        <w:t>weeks</w:t>
      </w:r>
      <w:r>
        <w:t xml:space="preserve"> until disease progression or unacceptable toxicity.</w:t>
      </w:r>
      <w:r w:rsidR="00F12D81">
        <w:t xml:space="preserve"> </w:t>
      </w:r>
    </w:p>
    <w:p w:rsidR="00F56812" w:rsidRDefault="00F56812">
      <w:pPr>
        <w:spacing w:line="276" w:lineRule="auto"/>
        <w:rPr>
          <w:b/>
          <w:i/>
          <w:szCs w:val="28"/>
        </w:rPr>
      </w:pPr>
      <w:r>
        <w:br w:type="page"/>
      </w:r>
    </w:p>
    <w:p w:rsidR="00CB354F" w:rsidRPr="00797F09" w:rsidRDefault="00CB354F" w:rsidP="00CB354F">
      <w:pPr>
        <w:pStyle w:val="Heading3"/>
        <w:rPr>
          <w:i w:val="0"/>
          <w:sz w:val="28"/>
        </w:rPr>
      </w:pPr>
      <w:r w:rsidRPr="00797F09">
        <w:rPr>
          <w:i w:val="0"/>
          <w:sz w:val="28"/>
        </w:rPr>
        <w:t xml:space="preserve">PBS listing details (as at 1 </w:t>
      </w:r>
      <w:r w:rsidR="00E448D9" w:rsidRPr="00797F09">
        <w:rPr>
          <w:i w:val="0"/>
          <w:sz w:val="28"/>
        </w:rPr>
        <w:t>November 2017</w:t>
      </w:r>
      <w:r w:rsidRPr="00797F09">
        <w:rPr>
          <w:i w:val="0"/>
          <w:sz w:val="28"/>
        </w:rPr>
        <w:t>)</w:t>
      </w:r>
    </w:p>
    <w:p w:rsidR="00537342" w:rsidRDefault="00583F37" w:rsidP="006A7C6D">
      <w:pPr>
        <w:pStyle w:val="Heading2"/>
        <w:spacing w:after="0"/>
        <w:rPr>
          <w:rFonts w:cs="Baskerville"/>
          <w:sz w:val="20"/>
          <w:szCs w:val="20"/>
        </w:rPr>
      </w:pPr>
      <w:r>
        <w:t>Table 1:  PBS items for trastuzumab, t</w:t>
      </w:r>
      <w:r w:rsidRPr="00583F37">
        <w:t>rastuzumab emtansine (T-DM1)</w:t>
      </w:r>
      <w:r>
        <w:t xml:space="preserve"> and </w:t>
      </w:r>
      <w:r w:rsidR="00E448D9">
        <w:t>pertuzumab listed</w:t>
      </w:r>
      <w:r>
        <w:t xml:space="preserve"> for the treatment of HER2 positive </w:t>
      </w:r>
      <w:r w:rsidR="00E448D9">
        <w:t>breast cancer</w:t>
      </w:r>
      <w:r w:rsidR="00111EB4">
        <w:t xml:space="preserve"> (various stages)</w:t>
      </w:r>
      <w:r>
        <w:t>.</w:t>
      </w:r>
    </w:p>
    <w:tbl>
      <w:tblPr>
        <w:tblStyle w:val="TableGrid"/>
        <w:tblW w:w="0" w:type="auto"/>
        <w:tblLayout w:type="fixed"/>
        <w:tblLook w:val="04A0" w:firstRow="1" w:lastRow="0" w:firstColumn="1" w:lastColumn="0" w:noHBand="0" w:noVBand="1"/>
        <w:tblCaption w:val="Table 1:  PBS items for trastuzumab, trastuzumab emtansine (T-DM1) and pertuzumab listed for the treatment of HER2 positive breast cancer (various stages)."/>
      </w:tblPr>
      <w:tblGrid>
        <w:gridCol w:w="3231"/>
        <w:gridCol w:w="1077"/>
        <w:gridCol w:w="3005"/>
      </w:tblGrid>
      <w:tr w:rsidR="00DA4701" w:rsidRPr="00537342" w:rsidTr="00DC5781">
        <w:trPr>
          <w:trHeight w:val="57"/>
          <w:tblHeader/>
        </w:trPr>
        <w:tc>
          <w:tcPr>
            <w:tcW w:w="3231" w:type="dxa"/>
            <w:shd w:val="clear" w:color="auto" w:fill="BFBFBF" w:themeFill="background1" w:themeFillShade="BF"/>
            <w:noWrap/>
          </w:tcPr>
          <w:p w:rsidR="00DA4701" w:rsidRDefault="00DA4701" w:rsidP="00537342">
            <w:pPr>
              <w:rPr>
                <w:rFonts w:ascii="Calibri" w:eastAsia="Times New Roman" w:hAnsi="Calibri" w:cs="Times New Roman"/>
                <w:b/>
                <w:bCs/>
                <w:color w:val="000000"/>
                <w:sz w:val="18"/>
                <w:szCs w:val="18"/>
              </w:rPr>
            </w:pPr>
            <w:r w:rsidRPr="00537342">
              <w:rPr>
                <w:rFonts w:ascii="Calibri" w:eastAsia="Times New Roman" w:hAnsi="Calibri" w:cs="Times New Roman"/>
                <w:b/>
                <w:bCs/>
                <w:color w:val="000000"/>
                <w:sz w:val="18"/>
                <w:szCs w:val="18"/>
              </w:rPr>
              <w:t>Drug Name</w:t>
            </w:r>
            <w:r>
              <w:rPr>
                <w:rFonts w:ascii="Calibri" w:eastAsia="Times New Roman" w:hAnsi="Calibri" w:cs="Times New Roman"/>
                <w:b/>
                <w:bCs/>
                <w:color w:val="000000"/>
                <w:sz w:val="18"/>
                <w:szCs w:val="18"/>
              </w:rPr>
              <w:t xml:space="preserve">, </w:t>
            </w:r>
          </w:p>
          <w:p w:rsidR="00DA4701" w:rsidRPr="00537342" w:rsidRDefault="00DA4701" w:rsidP="00537342">
            <w:pPr>
              <w:rPr>
                <w:rFonts w:ascii="Calibri" w:eastAsia="Times New Roman" w:hAnsi="Calibri" w:cs="Times New Roman"/>
                <w:b/>
                <w:bCs/>
                <w:color w:val="000000"/>
                <w:sz w:val="18"/>
                <w:szCs w:val="18"/>
              </w:rPr>
            </w:pPr>
            <w:r w:rsidRPr="0039772C">
              <w:rPr>
                <w:rFonts w:ascii="Calibri" w:eastAsia="Times New Roman" w:hAnsi="Calibri" w:cs="Times New Roman"/>
                <w:b/>
                <w:bCs/>
                <w:color w:val="000000"/>
                <w:sz w:val="18"/>
                <w:szCs w:val="18"/>
              </w:rPr>
              <w:t>Form and Strength</w:t>
            </w:r>
          </w:p>
        </w:tc>
        <w:tc>
          <w:tcPr>
            <w:tcW w:w="1077" w:type="dxa"/>
            <w:shd w:val="clear" w:color="auto" w:fill="BFBFBF" w:themeFill="background1" w:themeFillShade="BF"/>
            <w:noWrap/>
          </w:tcPr>
          <w:p w:rsidR="00DA4701" w:rsidRPr="00537342" w:rsidRDefault="00DA4701" w:rsidP="00537342">
            <w:pPr>
              <w:rPr>
                <w:rFonts w:ascii="Calibri" w:eastAsia="Times New Roman" w:hAnsi="Calibri" w:cs="Times New Roman"/>
                <w:b/>
                <w:sz w:val="18"/>
                <w:szCs w:val="18"/>
              </w:rPr>
            </w:pPr>
            <w:r w:rsidRPr="00537342">
              <w:rPr>
                <w:rFonts w:ascii="Calibri" w:eastAsia="Times New Roman" w:hAnsi="Calibri" w:cs="Times New Roman"/>
                <w:b/>
                <w:sz w:val="18"/>
                <w:szCs w:val="18"/>
              </w:rPr>
              <w:t>Item code</w:t>
            </w:r>
          </w:p>
        </w:tc>
        <w:tc>
          <w:tcPr>
            <w:tcW w:w="3005" w:type="dxa"/>
            <w:shd w:val="clear" w:color="auto" w:fill="BFBFBF" w:themeFill="background1" w:themeFillShade="BF"/>
            <w:noWrap/>
          </w:tcPr>
          <w:p w:rsidR="00DA4701" w:rsidRPr="00537342" w:rsidRDefault="00DA4701" w:rsidP="00537342">
            <w:pPr>
              <w:rPr>
                <w:rFonts w:ascii="Calibri" w:eastAsia="Times New Roman" w:hAnsi="Calibri" w:cs="Times New Roman"/>
                <w:b/>
                <w:sz w:val="18"/>
                <w:szCs w:val="18"/>
              </w:rPr>
            </w:pPr>
            <w:r w:rsidRPr="00537342">
              <w:rPr>
                <w:rFonts w:ascii="Calibri" w:eastAsia="Times New Roman" w:hAnsi="Calibri" w:cs="Times New Roman"/>
                <w:b/>
                <w:sz w:val="18"/>
                <w:szCs w:val="18"/>
              </w:rPr>
              <w:t>Stage of Breast Cancer</w:t>
            </w:r>
          </w:p>
        </w:tc>
      </w:tr>
      <w:tr w:rsidR="00DA4701" w:rsidRPr="00537342" w:rsidTr="003F58BC">
        <w:trPr>
          <w:trHeight w:val="57"/>
        </w:trPr>
        <w:tc>
          <w:tcPr>
            <w:tcW w:w="3231" w:type="dxa"/>
            <w:noWrap/>
          </w:tcPr>
          <w:p w:rsidR="00DA4701" w:rsidRPr="003F58BC" w:rsidRDefault="00DA4701" w:rsidP="00E8179D">
            <w:pPr>
              <w:rPr>
                <w:rFonts w:ascii="Calibri" w:eastAsia="Times New Roman" w:hAnsi="Calibri" w:cs="Times New Roman"/>
                <w:b/>
                <w:bCs/>
                <w:color w:val="000000"/>
                <w:sz w:val="18"/>
                <w:szCs w:val="18"/>
              </w:rPr>
            </w:pPr>
            <w:r w:rsidRPr="003F58BC">
              <w:rPr>
                <w:rFonts w:ascii="Calibri" w:eastAsia="Times New Roman" w:hAnsi="Calibri" w:cs="Times New Roman"/>
                <w:b/>
                <w:bCs/>
                <w:color w:val="000000"/>
                <w:sz w:val="18"/>
                <w:szCs w:val="18"/>
              </w:rPr>
              <w:t>TRATUZUMAB</w:t>
            </w:r>
          </w:p>
        </w:tc>
        <w:tc>
          <w:tcPr>
            <w:tcW w:w="1077" w:type="dxa"/>
            <w:noWrap/>
          </w:tcPr>
          <w:p w:rsidR="00DA4701" w:rsidRPr="00537342" w:rsidRDefault="00DA4701" w:rsidP="00DA4701">
            <w:pPr>
              <w:rPr>
                <w:rFonts w:ascii="Calibri" w:eastAsia="Times New Roman" w:hAnsi="Calibri" w:cs="Times New Roman"/>
                <w:sz w:val="18"/>
                <w:szCs w:val="18"/>
              </w:rPr>
            </w:pPr>
          </w:p>
        </w:tc>
        <w:tc>
          <w:tcPr>
            <w:tcW w:w="3005" w:type="dxa"/>
            <w:noWrap/>
          </w:tcPr>
          <w:p w:rsidR="00DA4701" w:rsidRDefault="00DA4701" w:rsidP="00FA1A87">
            <w:pPr>
              <w:rPr>
                <w:rFonts w:ascii="Calibri" w:eastAsia="Times New Roman" w:hAnsi="Calibri" w:cs="Times New Roman"/>
                <w:sz w:val="18"/>
                <w:szCs w:val="18"/>
              </w:rPr>
            </w:pPr>
          </w:p>
        </w:tc>
      </w:tr>
      <w:tr w:rsidR="00DA4701" w:rsidRPr="00537342" w:rsidTr="003F58BC">
        <w:trPr>
          <w:trHeight w:val="57"/>
        </w:trPr>
        <w:tc>
          <w:tcPr>
            <w:tcW w:w="3231" w:type="dxa"/>
            <w:noWrap/>
          </w:tcPr>
          <w:p w:rsidR="00DA4701" w:rsidRPr="00537342" w:rsidRDefault="00DA4701" w:rsidP="00E8179D">
            <w:pPr>
              <w:rPr>
                <w:rFonts w:ascii="Calibri" w:eastAsia="Times New Roman" w:hAnsi="Calibri" w:cs="Times New Roman"/>
                <w:bCs/>
                <w:color w:val="000000"/>
                <w:sz w:val="18"/>
                <w:szCs w:val="18"/>
              </w:rPr>
            </w:pPr>
            <w:r w:rsidRPr="00537342">
              <w:rPr>
                <w:rFonts w:ascii="Calibri" w:eastAsia="Times New Roman" w:hAnsi="Calibri" w:cs="Times New Roman"/>
                <w:bCs/>
                <w:color w:val="000000"/>
                <w:sz w:val="18"/>
                <w:szCs w:val="18"/>
              </w:rPr>
              <w:t>Powder for I.V. infusion 60 mg</w:t>
            </w:r>
          </w:p>
        </w:tc>
        <w:tc>
          <w:tcPr>
            <w:tcW w:w="1077" w:type="dxa"/>
            <w:noWrap/>
            <w:hideMark/>
          </w:tcPr>
          <w:p w:rsidR="00DA4701" w:rsidRPr="00DA4701" w:rsidRDefault="00DA4701" w:rsidP="00DA4701">
            <w:pPr>
              <w:rPr>
                <w:rFonts w:ascii="Calibri" w:eastAsia="Times New Roman" w:hAnsi="Calibri" w:cs="Times New Roman"/>
                <w:sz w:val="18"/>
                <w:szCs w:val="18"/>
              </w:rPr>
            </w:pPr>
            <w:r w:rsidRPr="00537342">
              <w:rPr>
                <w:rFonts w:ascii="Calibri" w:eastAsia="Times New Roman" w:hAnsi="Calibri" w:cs="Times New Roman"/>
                <w:sz w:val="18"/>
                <w:szCs w:val="18"/>
              </w:rPr>
              <w:t>4632T</w:t>
            </w:r>
            <w:r>
              <w:rPr>
                <w:rFonts w:ascii="Calibri" w:eastAsia="Times New Roman" w:hAnsi="Calibri" w:cs="Times New Roman"/>
                <w:sz w:val="18"/>
                <w:szCs w:val="18"/>
              </w:rPr>
              <w:t xml:space="preserve"> </w:t>
            </w:r>
            <w:r w:rsidRPr="00DA4701">
              <w:rPr>
                <w:rFonts w:ascii="Calibri" w:eastAsia="Times New Roman" w:hAnsi="Calibri" w:cs="Times New Roman"/>
                <w:sz w:val="18"/>
                <w:szCs w:val="18"/>
              </w:rPr>
              <w:t>4639E</w:t>
            </w:r>
          </w:p>
          <w:p w:rsidR="00DA4701" w:rsidRPr="00DA4701" w:rsidRDefault="00DA4701" w:rsidP="00DA4701">
            <w:pPr>
              <w:rPr>
                <w:rFonts w:ascii="Calibri" w:eastAsia="Times New Roman" w:hAnsi="Calibri" w:cs="Times New Roman"/>
                <w:sz w:val="18"/>
                <w:szCs w:val="18"/>
              </w:rPr>
            </w:pPr>
            <w:r w:rsidRPr="00DA4701">
              <w:rPr>
                <w:rFonts w:ascii="Calibri" w:eastAsia="Times New Roman" w:hAnsi="Calibri" w:cs="Times New Roman"/>
                <w:sz w:val="18"/>
                <w:szCs w:val="18"/>
              </w:rPr>
              <w:t>4650R</w:t>
            </w:r>
          </w:p>
          <w:p w:rsidR="00DA4701" w:rsidRPr="00DA4701" w:rsidRDefault="00DA4701" w:rsidP="00DA4701">
            <w:pPr>
              <w:rPr>
                <w:rFonts w:ascii="Calibri" w:eastAsia="Times New Roman" w:hAnsi="Calibri" w:cs="Times New Roman"/>
                <w:sz w:val="18"/>
                <w:szCs w:val="18"/>
              </w:rPr>
            </w:pPr>
            <w:r w:rsidRPr="00DA4701">
              <w:rPr>
                <w:rFonts w:ascii="Calibri" w:eastAsia="Times New Roman" w:hAnsi="Calibri" w:cs="Times New Roman"/>
                <w:sz w:val="18"/>
                <w:szCs w:val="18"/>
              </w:rPr>
              <w:t>4703M</w:t>
            </w:r>
          </w:p>
          <w:p w:rsidR="00DA4701" w:rsidRPr="00DA4701" w:rsidRDefault="00DA4701" w:rsidP="00DA4701">
            <w:pPr>
              <w:rPr>
                <w:rFonts w:ascii="Calibri" w:eastAsia="Times New Roman" w:hAnsi="Calibri" w:cs="Times New Roman"/>
                <w:sz w:val="18"/>
                <w:szCs w:val="18"/>
              </w:rPr>
            </w:pPr>
            <w:r w:rsidRPr="00DA4701">
              <w:rPr>
                <w:rFonts w:ascii="Calibri" w:eastAsia="Times New Roman" w:hAnsi="Calibri" w:cs="Times New Roman"/>
                <w:sz w:val="18"/>
                <w:szCs w:val="18"/>
              </w:rPr>
              <w:t>7264H</w:t>
            </w:r>
          </w:p>
          <w:p w:rsidR="00DA4701" w:rsidRPr="00DA4701" w:rsidRDefault="00DA4701" w:rsidP="00DA4701">
            <w:pPr>
              <w:rPr>
                <w:rFonts w:ascii="Calibri" w:eastAsia="Times New Roman" w:hAnsi="Calibri" w:cs="Times New Roman"/>
                <w:sz w:val="18"/>
                <w:szCs w:val="18"/>
              </w:rPr>
            </w:pPr>
            <w:r w:rsidRPr="00DA4701">
              <w:rPr>
                <w:rFonts w:ascii="Calibri" w:eastAsia="Times New Roman" w:hAnsi="Calibri" w:cs="Times New Roman"/>
                <w:sz w:val="18"/>
                <w:szCs w:val="18"/>
              </w:rPr>
              <w:t>7265J</w:t>
            </w:r>
          </w:p>
          <w:p w:rsidR="00DA4701" w:rsidRPr="00DA4701" w:rsidRDefault="00DA4701" w:rsidP="00DA4701">
            <w:pPr>
              <w:rPr>
                <w:rFonts w:ascii="Calibri" w:eastAsia="Times New Roman" w:hAnsi="Calibri" w:cs="Times New Roman"/>
                <w:sz w:val="18"/>
                <w:szCs w:val="18"/>
              </w:rPr>
            </w:pPr>
            <w:r w:rsidRPr="00DA4701">
              <w:rPr>
                <w:rFonts w:ascii="Calibri" w:eastAsia="Times New Roman" w:hAnsi="Calibri" w:cs="Times New Roman"/>
                <w:sz w:val="18"/>
                <w:szCs w:val="18"/>
              </w:rPr>
              <w:t>7266K</w:t>
            </w:r>
          </w:p>
          <w:p w:rsidR="00DA4701" w:rsidRPr="00537342" w:rsidRDefault="00DA4701" w:rsidP="00DA4701">
            <w:pPr>
              <w:rPr>
                <w:rFonts w:ascii="Calibri" w:eastAsia="Times New Roman" w:hAnsi="Calibri" w:cs="Times New Roman"/>
                <w:sz w:val="18"/>
                <w:szCs w:val="18"/>
              </w:rPr>
            </w:pPr>
            <w:r w:rsidRPr="00DA4701">
              <w:rPr>
                <w:rFonts w:ascii="Calibri" w:eastAsia="Times New Roman" w:hAnsi="Calibri" w:cs="Times New Roman"/>
                <w:sz w:val="18"/>
                <w:szCs w:val="18"/>
              </w:rPr>
              <w:t>7267L</w:t>
            </w:r>
          </w:p>
        </w:tc>
        <w:tc>
          <w:tcPr>
            <w:tcW w:w="3005" w:type="dxa"/>
            <w:noWrap/>
            <w:hideMark/>
          </w:tcPr>
          <w:p w:rsidR="00DA4701" w:rsidRPr="00537342" w:rsidRDefault="00DA4701" w:rsidP="00195FD3">
            <w:pPr>
              <w:rPr>
                <w:rFonts w:ascii="Calibri" w:eastAsia="Times New Roman" w:hAnsi="Calibri" w:cs="Times New Roman"/>
                <w:sz w:val="18"/>
                <w:szCs w:val="18"/>
              </w:rPr>
            </w:pPr>
            <w:r>
              <w:rPr>
                <w:rFonts w:ascii="Calibri" w:eastAsia="Times New Roman" w:hAnsi="Calibri" w:cs="Times New Roman"/>
                <w:sz w:val="18"/>
                <w:szCs w:val="18"/>
              </w:rPr>
              <w:t xml:space="preserve">Early </w:t>
            </w:r>
            <w:r w:rsidR="00195FD3">
              <w:rPr>
                <w:rFonts w:ascii="Calibri" w:eastAsia="Times New Roman" w:hAnsi="Calibri" w:cs="Times New Roman"/>
                <w:sz w:val="18"/>
                <w:szCs w:val="18"/>
              </w:rPr>
              <w:t>or</w:t>
            </w:r>
            <w:r>
              <w:rPr>
                <w:rFonts w:ascii="Calibri" w:eastAsia="Times New Roman" w:hAnsi="Calibri" w:cs="Times New Roman"/>
                <w:sz w:val="18"/>
                <w:szCs w:val="18"/>
              </w:rPr>
              <w:t xml:space="preserve"> l</w:t>
            </w:r>
            <w:r w:rsidRPr="00537342">
              <w:rPr>
                <w:rFonts w:ascii="Calibri" w:eastAsia="Times New Roman" w:hAnsi="Calibri" w:cs="Times New Roman"/>
                <w:sz w:val="18"/>
                <w:szCs w:val="18"/>
              </w:rPr>
              <w:t>ocally advanced</w:t>
            </w:r>
          </w:p>
        </w:tc>
      </w:tr>
      <w:tr w:rsidR="00DA4701" w:rsidRPr="00537342" w:rsidTr="003F58BC">
        <w:trPr>
          <w:trHeight w:val="57"/>
        </w:trPr>
        <w:tc>
          <w:tcPr>
            <w:tcW w:w="3231" w:type="dxa"/>
            <w:noWrap/>
            <w:hideMark/>
          </w:tcPr>
          <w:p w:rsidR="00DA4701" w:rsidRPr="00537342" w:rsidRDefault="00DA4701" w:rsidP="00537342">
            <w:pPr>
              <w:rPr>
                <w:rFonts w:ascii="Calibri" w:eastAsia="Times New Roman" w:hAnsi="Calibri" w:cs="Times New Roman"/>
                <w:bCs/>
                <w:color w:val="000000"/>
                <w:sz w:val="18"/>
                <w:szCs w:val="18"/>
              </w:rPr>
            </w:pPr>
          </w:p>
        </w:tc>
        <w:tc>
          <w:tcPr>
            <w:tcW w:w="1077" w:type="dxa"/>
            <w:noWrap/>
          </w:tcPr>
          <w:p w:rsidR="00DA4701" w:rsidRDefault="00DA4701" w:rsidP="00E8179D">
            <w:pPr>
              <w:rPr>
                <w:rFonts w:ascii="Calibri" w:eastAsia="Times New Roman" w:hAnsi="Calibri" w:cs="Times New Roman"/>
                <w:sz w:val="18"/>
                <w:szCs w:val="18"/>
              </w:rPr>
            </w:pPr>
            <w:r w:rsidRPr="00537342">
              <w:rPr>
                <w:rFonts w:ascii="Calibri" w:eastAsia="Times New Roman" w:hAnsi="Calibri" w:cs="Times New Roman"/>
                <w:sz w:val="18"/>
                <w:szCs w:val="18"/>
              </w:rPr>
              <w:t>10381J</w:t>
            </w:r>
          </w:p>
          <w:p w:rsidR="00DA4701" w:rsidRPr="00537342" w:rsidRDefault="00DA4701" w:rsidP="00E8179D">
            <w:pPr>
              <w:rPr>
                <w:rFonts w:ascii="Calibri" w:eastAsia="Times New Roman" w:hAnsi="Calibri" w:cs="Times New Roman"/>
                <w:sz w:val="18"/>
                <w:szCs w:val="18"/>
              </w:rPr>
            </w:pPr>
            <w:r w:rsidRPr="00537342">
              <w:rPr>
                <w:rFonts w:ascii="Calibri" w:eastAsia="Times New Roman" w:hAnsi="Calibri" w:cs="Times New Roman"/>
                <w:sz w:val="18"/>
                <w:szCs w:val="18"/>
              </w:rPr>
              <w:t>10423N</w:t>
            </w:r>
          </w:p>
        </w:tc>
        <w:tc>
          <w:tcPr>
            <w:tcW w:w="3005" w:type="dxa"/>
            <w:noWrap/>
          </w:tcPr>
          <w:p w:rsidR="00DA4701" w:rsidRPr="00537342" w:rsidRDefault="00966D7C" w:rsidP="00E8179D">
            <w:pPr>
              <w:rPr>
                <w:rFonts w:ascii="Calibri" w:eastAsia="Times New Roman" w:hAnsi="Calibri" w:cs="Times New Roman"/>
                <w:sz w:val="18"/>
                <w:szCs w:val="18"/>
              </w:rPr>
            </w:pPr>
            <w:r>
              <w:rPr>
                <w:rFonts w:ascii="Calibri" w:eastAsia="Times New Roman" w:hAnsi="Calibri" w:cs="Times New Roman"/>
                <w:sz w:val="18"/>
                <w:szCs w:val="18"/>
              </w:rPr>
              <w:t>Metastatic, Grandfathered</w:t>
            </w:r>
          </w:p>
        </w:tc>
      </w:tr>
      <w:tr w:rsidR="00DA4701" w:rsidRPr="00537342" w:rsidTr="003F58BC">
        <w:trPr>
          <w:trHeight w:val="57"/>
        </w:trPr>
        <w:tc>
          <w:tcPr>
            <w:tcW w:w="3231" w:type="dxa"/>
            <w:noWrap/>
            <w:hideMark/>
          </w:tcPr>
          <w:p w:rsidR="00DA4701" w:rsidRPr="00537342" w:rsidRDefault="00DA4701" w:rsidP="00537342">
            <w:pPr>
              <w:rPr>
                <w:rFonts w:ascii="Calibri" w:eastAsia="Times New Roman" w:hAnsi="Calibri" w:cs="Times New Roman"/>
                <w:bCs/>
                <w:color w:val="000000"/>
                <w:sz w:val="18"/>
                <w:szCs w:val="18"/>
              </w:rPr>
            </w:pPr>
          </w:p>
        </w:tc>
        <w:tc>
          <w:tcPr>
            <w:tcW w:w="1077" w:type="dxa"/>
            <w:noWrap/>
          </w:tcPr>
          <w:p w:rsidR="00DA4701" w:rsidRDefault="00DA4701" w:rsidP="00DA4701">
            <w:pPr>
              <w:rPr>
                <w:rFonts w:ascii="Calibri" w:eastAsia="Times New Roman" w:hAnsi="Calibri" w:cs="Times New Roman"/>
                <w:sz w:val="18"/>
                <w:szCs w:val="18"/>
              </w:rPr>
            </w:pPr>
            <w:r w:rsidRPr="00537342">
              <w:rPr>
                <w:rFonts w:ascii="Calibri" w:eastAsia="Times New Roman" w:hAnsi="Calibri" w:cs="Times New Roman"/>
                <w:sz w:val="18"/>
                <w:szCs w:val="18"/>
              </w:rPr>
              <w:t>10383L</w:t>
            </w:r>
          </w:p>
          <w:p w:rsidR="00DA4701" w:rsidRPr="00DA4701" w:rsidRDefault="00DA4701" w:rsidP="00DA4701">
            <w:pPr>
              <w:rPr>
                <w:rFonts w:ascii="Calibri" w:eastAsia="Times New Roman" w:hAnsi="Calibri" w:cs="Times New Roman"/>
                <w:sz w:val="18"/>
                <w:szCs w:val="18"/>
              </w:rPr>
            </w:pPr>
            <w:r w:rsidRPr="00DA4701">
              <w:rPr>
                <w:rFonts w:ascii="Calibri" w:eastAsia="Times New Roman" w:hAnsi="Calibri" w:cs="Times New Roman"/>
                <w:sz w:val="18"/>
                <w:szCs w:val="18"/>
              </w:rPr>
              <w:t>10391X</w:t>
            </w:r>
          </w:p>
          <w:p w:rsidR="00DA4701" w:rsidRPr="00DA4701" w:rsidRDefault="00DA4701" w:rsidP="00DA4701">
            <w:pPr>
              <w:rPr>
                <w:rFonts w:ascii="Calibri" w:eastAsia="Times New Roman" w:hAnsi="Calibri" w:cs="Times New Roman"/>
                <w:sz w:val="18"/>
                <w:szCs w:val="18"/>
              </w:rPr>
            </w:pPr>
            <w:r w:rsidRPr="00DA4701">
              <w:rPr>
                <w:rFonts w:ascii="Calibri" w:eastAsia="Times New Roman" w:hAnsi="Calibri" w:cs="Times New Roman"/>
                <w:sz w:val="18"/>
                <w:szCs w:val="18"/>
              </w:rPr>
              <w:t>10401K</w:t>
            </w:r>
          </w:p>
          <w:p w:rsidR="00DA4701" w:rsidRPr="00537342" w:rsidRDefault="00DA4701" w:rsidP="00DA4701">
            <w:pPr>
              <w:rPr>
                <w:rFonts w:ascii="Calibri" w:eastAsia="Times New Roman" w:hAnsi="Calibri" w:cs="Times New Roman"/>
                <w:sz w:val="18"/>
                <w:szCs w:val="18"/>
              </w:rPr>
            </w:pPr>
            <w:r w:rsidRPr="00DA4701">
              <w:rPr>
                <w:rFonts w:ascii="Calibri" w:eastAsia="Times New Roman" w:hAnsi="Calibri" w:cs="Times New Roman"/>
                <w:sz w:val="18"/>
                <w:szCs w:val="18"/>
              </w:rPr>
              <w:t>10402L</w:t>
            </w:r>
          </w:p>
        </w:tc>
        <w:tc>
          <w:tcPr>
            <w:tcW w:w="3005" w:type="dxa"/>
            <w:noWrap/>
          </w:tcPr>
          <w:p w:rsidR="00DA4701" w:rsidRPr="00537342" w:rsidRDefault="00DA4701" w:rsidP="00E8179D">
            <w:pPr>
              <w:rPr>
                <w:rFonts w:ascii="Calibri" w:eastAsia="Times New Roman" w:hAnsi="Calibri" w:cs="Times New Roman"/>
                <w:sz w:val="18"/>
                <w:szCs w:val="18"/>
              </w:rPr>
            </w:pPr>
            <w:r w:rsidRPr="00537342">
              <w:rPr>
                <w:rFonts w:ascii="Calibri" w:eastAsia="Times New Roman" w:hAnsi="Calibri" w:cs="Times New Roman"/>
                <w:sz w:val="18"/>
                <w:szCs w:val="18"/>
              </w:rPr>
              <w:t>Metastatic</w:t>
            </w:r>
          </w:p>
        </w:tc>
      </w:tr>
      <w:tr w:rsidR="00DA4701" w:rsidRPr="00537342" w:rsidTr="003F58BC">
        <w:trPr>
          <w:trHeight w:val="57"/>
        </w:trPr>
        <w:tc>
          <w:tcPr>
            <w:tcW w:w="3231" w:type="dxa"/>
            <w:noWrap/>
            <w:hideMark/>
          </w:tcPr>
          <w:p w:rsidR="00DA4701" w:rsidRPr="00537342" w:rsidRDefault="00DA4701" w:rsidP="00537342">
            <w:pPr>
              <w:rPr>
                <w:rFonts w:ascii="Calibri" w:eastAsia="Times New Roman" w:hAnsi="Calibri" w:cs="Times New Roman"/>
                <w:bCs/>
                <w:color w:val="000000"/>
                <w:sz w:val="18"/>
                <w:szCs w:val="18"/>
              </w:rPr>
            </w:pPr>
            <w:r w:rsidRPr="00537342">
              <w:rPr>
                <w:rFonts w:ascii="Calibri" w:eastAsia="Times New Roman" w:hAnsi="Calibri" w:cs="Times New Roman"/>
                <w:bCs/>
                <w:color w:val="000000"/>
                <w:sz w:val="18"/>
                <w:szCs w:val="18"/>
              </w:rPr>
              <w:t>Solution for subcutaneous injection containing trastuzumab 600 mg in 5 mL</w:t>
            </w:r>
          </w:p>
        </w:tc>
        <w:tc>
          <w:tcPr>
            <w:tcW w:w="1077" w:type="dxa"/>
            <w:noWrap/>
            <w:hideMark/>
          </w:tcPr>
          <w:p w:rsidR="00DA4701" w:rsidRDefault="00DA4701" w:rsidP="00537342">
            <w:pPr>
              <w:rPr>
                <w:rFonts w:ascii="Calibri" w:eastAsia="Times New Roman" w:hAnsi="Calibri" w:cs="Times New Roman"/>
                <w:sz w:val="18"/>
                <w:szCs w:val="18"/>
              </w:rPr>
            </w:pPr>
            <w:r w:rsidRPr="00537342">
              <w:rPr>
                <w:rFonts w:ascii="Calibri" w:eastAsia="Times New Roman" w:hAnsi="Calibri" w:cs="Times New Roman"/>
                <w:sz w:val="18"/>
                <w:szCs w:val="18"/>
              </w:rPr>
              <w:t>10682F</w:t>
            </w:r>
          </w:p>
          <w:p w:rsidR="003F58BC" w:rsidRPr="003F58BC" w:rsidRDefault="003F58BC" w:rsidP="003F58BC">
            <w:pPr>
              <w:rPr>
                <w:rFonts w:ascii="Calibri" w:eastAsia="Times New Roman" w:hAnsi="Calibri" w:cs="Times New Roman"/>
                <w:sz w:val="18"/>
                <w:szCs w:val="18"/>
              </w:rPr>
            </w:pPr>
            <w:r w:rsidRPr="003F58BC">
              <w:rPr>
                <w:rFonts w:ascii="Calibri" w:eastAsia="Times New Roman" w:hAnsi="Calibri" w:cs="Times New Roman"/>
                <w:sz w:val="18"/>
                <w:szCs w:val="18"/>
              </w:rPr>
              <w:t>10721G</w:t>
            </w:r>
          </w:p>
          <w:p w:rsidR="003F58BC" w:rsidRPr="003F58BC" w:rsidRDefault="003F58BC" w:rsidP="003F58BC">
            <w:pPr>
              <w:rPr>
                <w:rFonts w:ascii="Calibri" w:eastAsia="Times New Roman" w:hAnsi="Calibri" w:cs="Times New Roman"/>
                <w:sz w:val="18"/>
                <w:szCs w:val="18"/>
              </w:rPr>
            </w:pPr>
            <w:r w:rsidRPr="003F58BC">
              <w:rPr>
                <w:rFonts w:ascii="Calibri" w:eastAsia="Times New Roman" w:hAnsi="Calibri" w:cs="Times New Roman"/>
                <w:sz w:val="18"/>
                <w:szCs w:val="18"/>
              </w:rPr>
              <w:t>10743K</w:t>
            </w:r>
          </w:p>
          <w:p w:rsidR="003F58BC" w:rsidRPr="00537342" w:rsidRDefault="003F58BC" w:rsidP="003F58BC">
            <w:pPr>
              <w:rPr>
                <w:rFonts w:ascii="Calibri" w:eastAsia="Times New Roman" w:hAnsi="Calibri" w:cs="Times New Roman"/>
                <w:sz w:val="18"/>
                <w:szCs w:val="18"/>
              </w:rPr>
            </w:pPr>
            <w:r w:rsidRPr="003F58BC">
              <w:rPr>
                <w:rFonts w:ascii="Calibri" w:eastAsia="Times New Roman" w:hAnsi="Calibri" w:cs="Times New Roman"/>
                <w:sz w:val="18"/>
                <w:szCs w:val="18"/>
              </w:rPr>
              <w:t>10744L</w:t>
            </w:r>
          </w:p>
        </w:tc>
        <w:tc>
          <w:tcPr>
            <w:tcW w:w="3005" w:type="dxa"/>
            <w:noWrap/>
            <w:hideMark/>
          </w:tcPr>
          <w:p w:rsidR="00DA4701" w:rsidRPr="00537342" w:rsidRDefault="00DA4701" w:rsidP="00195FD3">
            <w:pPr>
              <w:rPr>
                <w:rFonts w:ascii="Calibri" w:eastAsia="Times New Roman" w:hAnsi="Calibri" w:cs="Times New Roman"/>
                <w:sz w:val="18"/>
                <w:szCs w:val="18"/>
              </w:rPr>
            </w:pPr>
            <w:r>
              <w:rPr>
                <w:rFonts w:ascii="Calibri" w:eastAsia="Times New Roman" w:hAnsi="Calibri" w:cs="Times New Roman"/>
                <w:sz w:val="18"/>
                <w:szCs w:val="18"/>
              </w:rPr>
              <w:t xml:space="preserve">Early </w:t>
            </w:r>
            <w:r w:rsidR="00195FD3">
              <w:rPr>
                <w:rFonts w:ascii="Calibri" w:eastAsia="Times New Roman" w:hAnsi="Calibri" w:cs="Times New Roman"/>
                <w:sz w:val="18"/>
                <w:szCs w:val="18"/>
              </w:rPr>
              <w:t>or</w:t>
            </w:r>
            <w:r>
              <w:rPr>
                <w:rFonts w:ascii="Calibri" w:eastAsia="Times New Roman" w:hAnsi="Calibri" w:cs="Times New Roman"/>
                <w:sz w:val="18"/>
                <w:szCs w:val="18"/>
              </w:rPr>
              <w:t xml:space="preserve"> l</w:t>
            </w:r>
            <w:r w:rsidRPr="00537342">
              <w:rPr>
                <w:rFonts w:ascii="Calibri" w:eastAsia="Times New Roman" w:hAnsi="Calibri" w:cs="Times New Roman"/>
                <w:sz w:val="18"/>
                <w:szCs w:val="18"/>
              </w:rPr>
              <w:t>ocally advanced</w:t>
            </w:r>
          </w:p>
        </w:tc>
      </w:tr>
      <w:tr w:rsidR="003F58BC" w:rsidRPr="00537342" w:rsidTr="003F58BC">
        <w:trPr>
          <w:trHeight w:val="57"/>
        </w:trPr>
        <w:tc>
          <w:tcPr>
            <w:tcW w:w="3231" w:type="dxa"/>
            <w:noWrap/>
          </w:tcPr>
          <w:p w:rsidR="003F58BC" w:rsidRPr="00537342" w:rsidRDefault="003F58BC" w:rsidP="00537342">
            <w:pPr>
              <w:rPr>
                <w:rFonts w:ascii="Calibri" w:eastAsia="Times New Roman" w:hAnsi="Calibri" w:cs="Times New Roman"/>
                <w:bCs/>
                <w:color w:val="000000"/>
                <w:sz w:val="18"/>
                <w:szCs w:val="18"/>
              </w:rPr>
            </w:pPr>
          </w:p>
        </w:tc>
        <w:tc>
          <w:tcPr>
            <w:tcW w:w="1077" w:type="dxa"/>
            <w:noWrap/>
          </w:tcPr>
          <w:p w:rsidR="003F58BC" w:rsidRDefault="003F58BC" w:rsidP="00B82D98">
            <w:pPr>
              <w:rPr>
                <w:rFonts w:ascii="Calibri" w:eastAsia="Times New Roman" w:hAnsi="Calibri" w:cs="Times New Roman"/>
                <w:sz w:val="18"/>
                <w:szCs w:val="18"/>
              </w:rPr>
            </w:pPr>
            <w:r w:rsidRPr="00537342">
              <w:rPr>
                <w:rFonts w:ascii="Calibri" w:eastAsia="Times New Roman" w:hAnsi="Calibri" w:cs="Times New Roman"/>
                <w:sz w:val="18"/>
                <w:szCs w:val="18"/>
              </w:rPr>
              <w:t>10825R</w:t>
            </w:r>
          </w:p>
          <w:p w:rsidR="003F58BC" w:rsidRPr="00537342" w:rsidRDefault="003F58BC" w:rsidP="00B82D98">
            <w:pPr>
              <w:rPr>
                <w:rFonts w:ascii="Calibri" w:eastAsia="Times New Roman" w:hAnsi="Calibri" w:cs="Times New Roman"/>
                <w:sz w:val="18"/>
                <w:szCs w:val="18"/>
              </w:rPr>
            </w:pPr>
            <w:r w:rsidRPr="00537342">
              <w:rPr>
                <w:rFonts w:ascii="Calibri" w:eastAsia="Times New Roman" w:hAnsi="Calibri" w:cs="Times New Roman"/>
                <w:sz w:val="18"/>
                <w:szCs w:val="18"/>
              </w:rPr>
              <w:t>10829Y</w:t>
            </w:r>
          </w:p>
        </w:tc>
        <w:tc>
          <w:tcPr>
            <w:tcW w:w="3005" w:type="dxa"/>
            <w:noWrap/>
          </w:tcPr>
          <w:p w:rsidR="003F58BC" w:rsidRPr="00537342" w:rsidRDefault="00966D7C" w:rsidP="00B82D98">
            <w:pPr>
              <w:rPr>
                <w:rFonts w:ascii="Calibri" w:eastAsia="Times New Roman" w:hAnsi="Calibri" w:cs="Times New Roman"/>
                <w:sz w:val="18"/>
                <w:szCs w:val="18"/>
              </w:rPr>
            </w:pPr>
            <w:r>
              <w:rPr>
                <w:rFonts w:ascii="Calibri" w:eastAsia="Times New Roman" w:hAnsi="Calibri" w:cs="Times New Roman"/>
                <w:sz w:val="18"/>
                <w:szCs w:val="18"/>
              </w:rPr>
              <w:t>Metastatic, Grandfathered</w:t>
            </w:r>
          </w:p>
        </w:tc>
      </w:tr>
      <w:tr w:rsidR="003F58BC" w:rsidRPr="00537342" w:rsidTr="003F58BC">
        <w:trPr>
          <w:trHeight w:val="57"/>
        </w:trPr>
        <w:tc>
          <w:tcPr>
            <w:tcW w:w="3231" w:type="dxa"/>
            <w:noWrap/>
            <w:hideMark/>
          </w:tcPr>
          <w:p w:rsidR="003F58BC" w:rsidRPr="00537342" w:rsidRDefault="003F58BC" w:rsidP="00537342">
            <w:pPr>
              <w:rPr>
                <w:rFonts w:ascii="Calibri" w:eastAsia="Times New Roman" w:hAnsi="Calibri" w:cs="Times New Roman"/>
                <w:bCs/>
                <w:color w:val="000000"/>
                <w:sz w:val="18"/>
                <w:szCs w:val="18"/>
              </w:rPr>
            </w:pPr>
          </w:p>
        </w:tc>
        <w:tc>
          <w:tcPr>
            <w:tcW w:w="1077" w:type="dxa"/>
            <w:noWrap/>
            <w:hideMark/>
          </w:tcPr>
          <w:p w:rsidR="003F58BC" w:rsidRDefault="003F58BC" w:rsidP="00537342">
            <w:pPr>
              <w:rPr>
                <w:rFonts w:ascii="Calibri" w:eastAsia="Times New Roman" w:hAnsi="Calibri" w:cs="Times New Roman"/>
                <w:sz w:val="18"/>
                <w:szCs w:val="18"/>
              </w:rPr>
            </w:pPr>
            <w:r w:rsidRPr="00537342">
              <w:rPr>
                <w:rFonts w:ascii="Calibri" w:eastAsia="Times New Roman" w:hAnsi="Calibri" w:cs="Times New Roman"/>
                <w:sz w:val="18"/>
                <w:szCs w:val="18"/>
              </w:rPr>
              <w:t>10798H</w:t>
            </w:r>
          </w:p>
          <w:p w:rsidR="003F58BC" w:rsidRPr="003F58BC" w:rsidRDefault="003F58BC" w:rsidP="003F58BC">
            <w:pPr>
              <w:rPr>
                <w:rFonts w:ascii="Calibri" w:eastAsia="Times New Roman" w:hAnsi="Calibri" w:cs="Times New Roman"/>
                <w:sz w:val="18"/>
                <w:szCs w:val="18"/>
              </w:rPr>
            </w:pPr>
            <w:r w:rsidRPr="003F58BC">
              <w:rPr>
                <w:rFonts w:ascii="Calibri" w:eastAsia="Times New Roman" w:hAnsi="Calibri" w:cs="Times New Roman"/>
                <w:sz w:val="18"/>
                <w:szCs w:val="18"/>
              </w:rPr>
              <w:t>10803N</w:t>
            </w:r>
          </w:p>
          <w:p w:rsidR="003F58BC" w:rsidRPr="003F58BC" w:rsidRDefault="003F58BC" w:rsidP="003F58BC">
            <w:pPr>
              <w:rPr>
                <w:rFonts w:ascii="Calibri" w:eastAsia="Times New Roman" w:hAnsi="Calibri" w:cs="Times New Roman"/>
                <w:sz w:val="18"/>
                <w:szCs w:val="18"/>
              </w:rPr>
            </w:pPr>
            <w:r w:rsidRPr="003F58BC">
              <w:rPr>
                <w:rFonts w:ascii="Calibri" w:eastAsia="Times New Roman" w:hAnsi="Calibri" w:cs="Times New Roman"/>
                <w:sz w:val="18"/>
                <w:szCs w:val="18"/>
              </w:rPr>
              <w:t>10811B</w:t>
            </w:r>
          </w:p>
          <w:p w:rsidR="003F58BC" w:rsidRPr="00537342" w:rsidRDefault="003F58BC" w:rsidP="003F58BC">
            <w:pPr>
              <w:rPr>
                <w:rFonts w:ascii="Calibri" w:eastAsia="Times New Roman" w:hAnsi="Calibri" w:cs="Times New Roman"/>
                <w:sz w:val="18"/>
                <w:szCs w:val="18"/>
              </w:rPr>
            </w:pPr>
            <w:r w:rsidRPr="003F58BC">
              <w:rPr>
                <w:rFonts w:ascii="Calibri" w:eastAsia="Times New Roman" w:hAnsi="Calibri" w:cs="Times New Roman"/>
                <w:sz w:val="18"/>
                <w:szCs w:val="18"/>
              </w:rPr>
              <w:t>10817H</w:t>
            </w:r>
          </w:p>
        </w:tc>
        <w:tc>
          <w:tcPr>
            <w:tcW w:w="3005" w:type="dxa"/>
            <w:noWrap/>
            <w:hideMark/>
          </w:tcPr>
          <w:p w:rsidR="003F58BC" w:rsidRPr="00537342" w:rsidRDefault="003F58BC" w:rsidP="00537342">
            <w:pPr>
              <w:rPr>
                <w:rFonts w:ascii="Calibri" w:eastAsia="Times New Roman" w:hAnsi="Calibri" w:cs="Times New Roman"/>
                <w:sz w:val="18"/>
                <w:szCs w:val="18"/>
              </w:rPr>
            </w:pPr>
            <w:r w:rsidRPr="00537342">
              <w:rPr>
                <w:rFonts w:ascii="Calibri" w:eastAsia="Times New Roman" w:hAnsi="Calibri" w:cs="Times New Roman"/>
                <w:sz w:val="18"/>
                <w:szCs w:val="18"/>
              </w:rPr>
              <w:t>Metastatic</w:t>
            </w:r>
          </w:p>
        </w:tc>
      </w:tr>
      <w:tr w:rsidR="003F58BC" w:rsidRPr="00537342" w:rsidTr="003F58BC">
        <w:trPr>
          <w:trHeight w:val="57"/>
        </w:trPr>
        <w:tc>
          <w:tcPr>
            <w:tcW w:w="3231" w:type="dxa"/>
            <w:noWrap/>
            <w:hideMark/>
          </w:tcPr>
          <w:p w:rsidR="003F58BC" w:rsidRPr="003F58BC" w:rsidRDefault="003F58BC" w:rsidP="00537342">
            <w:pPr>
              <w:rPr>
                <w:rFonts w:ascii="Calibri" w:eastAsia="Times New Roman" w:hAnsi="Calibri" w:cs="Times New Roman"/>
                <w:b/>
                <w:bCs/>
                <w:color w:val="000000"/>
                <w:sz w:val="18"/>
                <w:szCs w:val="18"/>
              </w:rPr>
            </w:pPr>
            <w:r w:rsidRPr="003F58BC">
              <w:rPr>
                <w:rFonts w:ascii="Calibri" w:eastAsia="Times New Roman" w:hAnsi="Calibri" w:cs="Times New Roman"/>
                <w:b/>
                <w:bCs/>
                <w:color w:val="000000"/>
                <w:sz w:val="18"/>
                <w:szCs w:val="18"/>
              </w:rPr>
              <w:t>TRASTUZUMAB EMTANSINE</w:t>
            </w:r>
          </w:p>
        </w:tc>
        <w:tc>
          <w:tcPr>
            <w:tcW w:w="1077" w:type="dxa"/>
            <w:noWrap/>
          </w:tcPr>
          <w:p w:rsidR="003F58BC" w:rsidRPr="00537342" w:rsidRDefault="003F58BC" w:rsidP="00537342">
            <w:pPr>
              <w:rPr>
                <w:rFonts w:ascii="Calibri" w:eastAsia="Times New Roman" w:hAnsi="Calibri" w:cs="Times New Roman"/>
                <w:sz w:val="18"/>
                <w:szCs w:val="18"/>
              </w:rPr>
            </w:pPr>
          </w:p>
        </w:tc>
        <w:tc>
          <w:tcPr>
            <w:tcW w:w="3005" w:type="dxa"/>
            <w:noWrap/>
          </w:tcPr>
          <w:p w:rsidR="003F58BC" w:rsidRPr="00537342" w:rsidRDefault="003F58BC" w:rsidP="00537342">
            <w:pPr>
              <w:rPr>
                <w:rFonts w:ascii="Calibri" w:eastAsia="Times New Roman" w:hAnsi="Calibri" w:cs="Times New Roman"/>
                <w:sz w:val="18"/>
                <w:szCs w:val="18"/>
              </w:rPr>
            </w:pPr>
          </w:p>
        </w:tc>
      </w:tr>
      <w:tr w:rsidR="003F58BC" w:rsidRPr="00537342" w:rsidTr="003F58BC">
        <w:trPr>
          <w:trHeight w:val="57"/>
        </w:trPr>
        <w:tc>
          <w:tcPr>
            <w:tcW w:w="3231" w:type="dxa"/>
            <w:noWrap/>
            <w:hideMark/>
          </w:tcPr>
          <w:p w:rsidR="003F58BC" w:rsidRPr="00537342" w:rsidRDefault="003F58BC" w:rsidP="00537342">
            <w:pPr>
              <w:rPr>
                <w:rFonts w:ascii="Calibri" w:eastAsia="Times New Roman" w:hAnsi="Calibri" w:cs="Times New Roman"/>
                <w:bCs/>
                <w:color w:val="000000"/>
                <w:sz w:val="18"/>
                <w:szCs w:val="18"/>
              </w:rPr>
            </w:pPr>
            <w:r w:rsidRPr="00537342">
              <w:rPr>
                <w:rFonts w:ascii="Calibri" w:eastAsia="Times New Roman" w:hAnsi="Calibri" w:cs="Times New Roman"/>
                <w:bCs/>
                <w:color w:val="000000"/>
                <w:sz w:val="18"/>
                <w:szCs w:val="18"/>
              </w:rPr>
              <w:t>Powder for I.V. infusion 100 mg</w:t>
            </w:r>
          </w:p>
        </w:tc>
        <w:tc>
          <w:tcPr>
            <w:tcW w:w="1077" w:type="dxa"/>
            <w:noWrap/>
          </w:tcPr>
          <w:p w:rsidR="003F58BC" w:rsidRPr="00537342" w:rsidRDefault="003F58BC" w:rsidP="00B82D98">
            <w:pPr>
              <w:rPr>
                <w:rFonts w:ascii="Calibri" w:eastAsia="Times New Roman" w:hAnsi="Calibri" w:cs="Times New Roman"/>
                <w:sz w:val="18"/>
                <w:szCs w:val="18"/>
              </w:rPr>
            </w:pPr>
            <w:r w:rsidRPr="00537342">
              <w:rPr>
                <w:rFonts w:ascii="Calibri" w:eastAsia="Times New Roman" w:hAnsi="Calibri" w:cs="Times New Roman"/>
                <w:sz w:val="18"/>
                <w:szCs w:val="18"/>
              </w:rPr>
              <w:t>10281D</w:t>
            </w:r>
          </w:p>
        </w:tc>
        <w:tc>
          <w:tcPr>
            <w:tcW w:w="3005" w:type="dxa"/>
            <w:noWrap/>
          </w:tcPr>
          <w:p w:rsidR="003F58BC" w:rsidRPr="00537342" w:rsidRDefault="003F58BC" w:rsidP="00195FD3">
            <w:pPr>
              <w:rPr>
                <w:rFonts w:ascii="Calibri" w:eastAsia="Times New Roman" w:hAnsi="Calibri" w:cs="Times New Roman"/>
                <w:sz w:val="18"/>
                <w:szCs w:val="18"/>
              </w:rPr>
            </w:pPr>
            <w:r w:rsidRPr="00537342">
              <w:rPr>
                <w:rFonts w:ascii="Calibri" w:eastAsia="Times New Roman" w:hAnsi="Calibri" w:cs="Times New Roman"/>
                <w:sz w:val="18"/>
                <w:szCs w:val="18"/>
              </w:rPr>
              <w:t>Metastatic</w:t>
            </w:r>
            <w:r>
              <w:rPr>
                <w:rFonts w:ascii="Calibri" w:eastAsia="Times New Roman" w:hAnsi="Calibri" w:cs="Times New Roman"/>
                <w:sz w:val="18"/>
                <w:szCs w:val="18"/>
              </w:rPr>
              <w:t xml:space="preserve"> </w:t>
            </w:r>
            <w:r w:rsidR="00195FD3">
              <w:rPr>
                <w:rFonts w:ascii="Calibri" w:eastAsia="Times New Roman" w:hAnsi="Calibri" w:cs="Times New Roman"/>
                <w:sz w:val="18"/>
                <w:szCs w:val="18"/>
              </w:rPr>
              <w:t>or</w:t>
            </w:r>
            <w:r>
              <w:rPr>
                <w:rFonts w:ascii="Calibri" w:eastAsia="Times New Roman" w:hAnsi="Calibri" w:cs="Times New Roman"/>
                <w:sz w:val="18"/>
                <w:szCs w:val="18"/>
              </w:rPr>
              <w:t xml:space="preserve"> </w:t>
            </w:r>
            <w:r w:rsidR="00966D7C">
              <w:rPr>
                <w:rFonts w:ascii="Calibri" w:eastAsia="Times New Roman" w:hAnsi="Calibri" w:cs="Times New Roman"/>
                <w:sz w:val="18"/>
                <w:szCs w:val="18"/>
              </w:rPr>
              <w:t>Metastatic, Grandfathered</w:t>
            </w:r>
          </w:p>
        </w:tc>
      </w:tr>
      <w:tr w:rsidR="003F58BC" w:rsidRPr="00537342" w:rsidTr="003F58BC">
        <w:trPr>
          <w:trHeight w:val="57"/>
        </w:trPr>
        <w:tc>
          <w:tcPr>
            <w:tcW w:w="3231" w:type="dxa"/>
            <w:noWrap/>
            <w:hideMark/>
          </w:tcPr>
          <w:p w:rsidR="003F58BC" w:rsidRPr="00537342" w:rsidRDefault="003F58BC" w:rsidP="00537342">
            <w:pPr>
              <w:rPr>
                <w:rFonts w:ascii="Calibri" w:eastAsia="Times New Roman" w:hAnsi="Calibri" w:cs="Times New Roman"/>
                <w:bCs/>
                <w:color w:val="000000"/>
                <w:sz w:val="18"/>
                <w:szCs w:val="18"/>
              </w:rPr>
            </w:pPr>
          </w:p>
        </w:tc>
        <w:tc>
          <w:tcPr>
            <w:tcW w:w="1077" w:type="dxa"/>
            <w:noWrap/>
          </w:tcPr>
          <w:p w:rsidR="003F58BC" w:rsidRPr="00537342" w:rsidRDefault="003F58BC" w:rsidP="00B82D98">
            <w:pPr>
              <w:rPr>
                <w:rFonts w:ascii="Calibri" w:eastAsia="Times New Roman" w:hAnsi="Calibri" w:cs="Times New Roman"/>
                <w:sz w:val="18"/>
                <w:szCs w:val="18"/>
              </w:rPr>
            </w:pPr>
            <w:r w:rsidRPr="00537342">
              <w:rPr>
                <w:rFonts w:ascii="Calibri" w:eastAsia="Times New Roman" w:hAnsi="Calibri" w:cs="Times New Roman"/>
                <w:sz w:val="18"/>
                <w:szCs w:val="18"/>
              </w:rPr>
              <w:t>10282E</w:t>
            </w:r>
          </w:p>
        </w:tc>
        <w:tc>
          <w:tcPr>
            <w:tcW w:w="3005" w:type="dxa"/>
            <w:noWrap/>
          </w:tcPr>
          <w:p w:rsidR="003F58BC" w:rsidRPr="00537342" w:rsidRDefault="003F58BC" w:rsidP="00195FD3">
            <w:pPr>
              <w:rPr>
                <w:rFonts w:ascii="Calibri" w:eastAsia="Times New Roman" w:hAnsi="Calibri" w:cs="Times New Roman"/>
                <w:sz w:val="18"/>
                <w:szCs w:val="18"/>
              </w:rPr>
            </w:pPr>
            <w:r w:rsidRPr="00537342">
              <w:rPr>
                <w:rFonts w:ascii="Calibri" w:eastAsia="Times New Roman" w:hAnsi="Calibri" w:cs="Times New Roman"/>
                <w:sz w:val="18"/>
                <w:szCs w:val="18"/>
              </w:rPr>
              <w:t>Metastatic</w:t>
            </w:r>
            <w:r>
              <w:rPr>
                <w:rFonts w:ascii="Calibri" w:eastAsia="Times New Roman" w:hAnsi="Calibri" w:cs="Times New Roman"/>
                <w:sz w:val="18"/>
                <w:szCs w:val="18"/>
              </w:rPr>
              <w:t xml:space="preserve"> </w:t>
            </w:r>
            <w:r w:rsidR="00195FD3">
              <w:rPr>
                <w:rFonts w:ascii="Calibri" w:eastAsia="Times New Roman" w:hAnsi="Calibri" w:cs="Times New Roman"/>
                <w:sz w:val="18"/>
                <w:szCs w:val="18"/>
              </w:rPr>
              <w:t>or</w:t>
            </w:r>
            <w:r>
              <w:rPr>
                <w:rFonts w:ascii="Calibri" w:eastAsia="Times New Roman" w:hAnsi="Calibri" w:cs="Times New Roman"/>
                <w:sz w:val="18"/>
                <w:szCs w:val="18"/>
              </w:rPr>
              <w:t xml:space="preserve"> </w:t>
            </w:r>
            <w:r w:rsidR="00966D7C">
              <w:rPr>
                <w:rFonts w:ascii="Calibri" w:eastAsia="Times New Roman" w:hAnsi="Calibri" w:cs="Times New Roman"/>
                <w:sz w:val="18"/>
                <w:szCs w:val="18"/>
              </w:rPr>
              <w:t>Metastatic, Grandfathered</w:t>
            </w:r>
          </w:p>
        </w:tc>
      </w:tr>
      <w:tr w:rsidR="003F58BC" w:rsidRPr="00537342" w:rsidTr="003F58BC">
        <w:trPr>
          <w:trHeight w:val="57"/>
        </w:trPr>
        <w:tc>
          <w:tcPr>
            <w:tcW w:w="3231" w:type="dxa"/>
            <w:noWrap/>
          </w:tcPr>
          <w:p w:rsidR="003F58BC" w:rsidRPr="003F58BC" w:rsidRDefault="003F58BC" w:rsidP="00537342">
            <w:pPr>
              <w:rPr>
                <w:rFonts w:ascii="Calibri" w:eastAsia="Times New Roman" w:hAnsi="Calibri" w:cs="Times New Roman"/>
                <w:b/>
                <w:bCs/>
                <w:color w:val="000000"/>
                <w:sz w:val="18"/>
                <w:szCs w:val="18"/>
              </w:rPr>
            </w:pPr>
            <w:r w:rsidRPr="003F58BC">
              <w:rPr>
                <w:rFonts w:ascii="Calibri" w:eastAsia="Times New Roman" w:hAnsi="Calibri" w:cs="Times New Roman"/>
                <w:b/>
                <w:bCs/>
                <w:color w:val="000000"/>
                <w:sz w:val="18"/>
                <w:szCs w:val="18"/>
              </w:rPr>
              <w:t>PERTUZUMAB</w:t>
            </w:r>
          </w:p>
        </w:tc>
        <w:tc>
          <w:tcPr>
            <w:tcW w:w="1077" w:type="dxa"/>
            <w:noWrap/>
          </w:tcPr>
          <w:p w:rsidR="003F58BC" w:rsidRPr="00537342" w:rsidRDefault="003F58BC" w:rsidP="00B82D98">
            <w:pPr>
              <w:rPr>
                <w:rFonts w:ascii="Calibri" w:eastAsia="Times New Roman" w:hAnsi="Calibri" w:cs="Times New Roman"/>
                <w:sz w:val="18"/>
                <w:szCs w:val="18"/>
              </w:rPr>
            </w:pPr>
          </w:p>
        </w:tc>
        <w:tc>
          <w:tcPr>
            <w:tcW w:w="3005" w:type="dxa"/>
            <w:noWrap/>
          </w:tcPr>
          <w:p w:rsidR="003F58BC" w:rsidRPr="00537342" w:rsidRDefault="003F58BC" w:rsidP="00B82D98">
            <w:pPr>
              <w:rPr>
                <w:rFonts w:ascii="Calibri" w:eastAsia="Times New Roman" w:hAnsi="Calibri" w:cs="Times New Roman"/>
                <w:sz w:val="18"/>
                <w:szCs w:val="18"/>
              </w:rPr>
            </w:pPr>
          </w:p>
        </w:tc>
      </w:tr>
      <w:tr w:rsidR="003F58BC" w:rsidRPr="00537342" w:rsidTr="003F58BC">
        <w:trPr>
          <w:trHeight w:val="57"/>
        </w:trPr>
        <w:tc>
          <w:tcPr>
            <w:tcW w:w="3231" w:type="dxa"/>
            <w:noWrap/>
            <w:hideMark/>
          </w:tcPr>
          <w:p w:rsidR="003F58BC" w:rsidRPr="00537342" w:rsidRDefault="003F58BC" w:rsidP="00537342">
            <w:pPr>
              <w:rPr>
                <w:rFonts w:ascii="Calibri" w:eastAsia="Times New Roman" w:hAnsi="Calibri" w:cs="Times New Roman"/>
                <w:bCs/>
                <w:color w:val="000000"/>
                <w:sz w:val="18"/>
                <w:szCs w:val="18"/>
              </w:rPr>
            </w:pPr>
            <w:r w:rsidRPr="00537342">
              <w:rPr>
                <w:rFonts w:ascii="Calibri" w:eastAsia="Times New Roman" w:hAnsi="Calibri" w:cs="Times New Roman"/>
                <w:bCs/>
                <w:color w:val="000000"/>
                <w:sz w:val="18"/>
                <w:szCs w:val="18"/>
              </w:rPr>
              <w:t>Solution for I.V. infusion 420 mg in 14 mL</w:t>
            </w:r>
          </w:p>
        </w:tc>
        <w:tc>
          <w:tcPr>
            <w:tcW w:w="1077" w:type="dxa"/>
            <w:noWrap/>
          </w:tcPr>
          <w:p w:rsidR="003F58BC" w:rsidRDefault="003F58BC" w:rsidP="00B82D98">
            <w:pPr>
              <w:rPr>
                <w:rFonts w:ascii="Calibri" w:eastAsia="Times New Roman" w:hAnsi="Calibri" w:cs="Times New Roman"/>
                <w:sz w:val="18"/>
                <w:szCs w:val="18"/>
              </w:rPr>
            </w:pPr>
            <w:r w:rsidRPr="00537342">
              <w:rPr>
                <w:rFonts w:ascii="Calibri" w:eastAsia="Times New Roman" w:hAnsi="Calibri" w:cs="Times New Roman"/>
                <w:sz w:val="18"/>
                <w:szCs w:val="18"/>
              </w:rPr>
              <w:t>10268K</w:t>
            </w:r>
          </w:p>
          <w:p w:rsidR="003F58BC" w:rsidRPr="00537342" w:rsidRDefault="003F58BC" w:rsidP="00B82D98">
            <w:pPr>
              <w:rPr>
                <w:rFonts w:ascii="Calibri" w:eastAsia="Times New Roman" w:hAnsi="Calibri" w:cs="Times New Roman"/>
                <w:sz w:val="18"/>
                <w:szCs w:val="18"/>
              </w:rPr>
            </w:pPr>
            <w:r w:rsidRPr="00537342">
              <w:rPr>
                <w:rFonts w:ascii="Calibri" w:eastAsia="Times New Roman" w:hAnsi="Calibri" w:cs="Times New Roman"/>
                <w:sz w:val="18"/>
                <w:szCs w:val="18"/>
              </w:rPr>
              <w:t>10309N</w:t>
            </w:r>
          </w:p>
        </w:tc>
        <w:tc>
          <w:tcPr>
            <w:tcW w:w="3005" w:type="dxa"/>
            <w:noWrap/>
          </w:tcPr>
          <w:p w:rsidR="003F58BC" w:rsidRPr="00537342" w:rsidRDefault="00966D7C" w:rsidP="00B82D98">
            <w:pPr>
              <w:rPr>
                <w:rFonts w:ascii="Calibri" w:eastAsia="Times New Roman" w:hAnsi="Calibri" w:cs="Times New Roman"/>
                <w:sz w:val="18"/>
                <w:szCs w:val="18"/>
              </w:rPr>
            </w:pPr>
            <w:r>
              <w:rPr>
                <w:rFonts w:ascii="Calibri" w:eastAsia="Times New Roman" w:hAnsi="Calibri" w:cs="Times New Roman"/>
                <w:sz w:val="18"/>
                <w:szCs w:val="18"/>
              </w:rPr>
              <w:t>Metastatic, Grandfathered</w:t>
            </w:r>
          </w:p>
        </w:tc>
      </w:tr>
      <w:tr w:rsidR="003F58BC" w:rsidRPr="00537342" w:rsidTr="003F58BC">
        <w:trPr>
          <w:trHeight w:val="57"/>
        </w:trPr>
        <w:tc>
          <w:tcPr>
            <w:tcW w:w="3231" w:type="dxa"/>
            <w:noWrap/>
            <w:hideMark/>
          </w:tcPr>
          <w:p w:rsidR="003F58BC" w:rsidRPr="00537342" w:rsidRDefault="003F58BC" w:rsidP="00537342">
            <w:pPr>
              <w:rPr>
                <w:rFonts w:ascii="Calibri" w:eastAsia="Times New Roman" w:hAnsi="Calibri" w:cs="Times New Roman"/>
                <w:bCs/>
                <w:color w:val="000000"/>
                <w:sz w:val="18"/>
                <w:szCs w:val="18"/>
              </w:rPr>
            </w:pPr>
          </w:p>
        </w:tc>
        <w:tc>
          <w:tcPr>
            <w:tcW w:w="1077" w:type="dxa"/>
            <w:noWrap/>
          </w:tcPr>
          <w:p w:rsidR="003F58BC" w:rsidRDefault="003F58BC" w:rsidP="00B82D98">
            <w:pPr>
              <w:rPr>
                <w:rFonts w:ascii="Calibri" w:eastAsia="Times New Roman" w:hAnsi="Calibri" w:cs="Times New Roman"/>
                <w:sz w:val="18"/>
                <w:szCs w:val="18"/>
              </w:rPr>
            </w:pPr>
            <w:r w:rsidRPr="00537342">
              <w:rPr>
                <w:rFonts w:ascii="Calibri" w:eastAsia="Times New Roman" w:hAnsi="Calibri" w:cs="Times New Roman"/>
                <w:sz w:val="18"/>
                <w:szCs w:val="18"/>
              </w:rPr>
              <w:t>10267J</w:t>
            </w:r>
          </w:p>
          <w:p w:rsidR="003F58BC" w:rsidRPr="003F58BC" w:rsidRDefault="003F58BC" w:rsidP="003F58BC">
            <w:pPr>
              <w:rPr>
                <w:rFonts w:ascii="Calibri" w:eastAsia="Times New Roman" w:hAnsi="Calibri" w:cs="Times New Roman"/>
                <w:sz w:val="18"/>
                <w:szCs w:val="18"/>
              </w:rPr>
            </w:pPr>
            <w:r w:rsidRPr="003F58BC">
              <w:rPr>
                <w:rFonts w:ascii="Calibri" w:eastAsia="Times New Roman" w:hAnsi="Calibri" w:cs="Times New Roman"/>
                <w:sz w:val="18"/>
                <w:szCs w:val="18"/>
              </w:rPr>
              <w:t>10308M</w:t>
            </w:r>
          </w:p>
          <w:p w:rsidR="003F58BC" w:rsidRPr="003F58BC" w:rsidRDefault="003F58BC" w:rsidP="003F58BC">
            <w:pPr>
              <w:rPr>
                <w:rFonts w:ascii="Calibri" w:eastAsia="Times New Roman" w:hAnsi="Calibri" w:cs="Times New Roman"/>
                <w:sz w:val="18"/>
                <w:szCs w:val="18"/>
              </w:rPr>
            </w:pPr>
            <w:r w:rsidRPr="003F58BC">
              <w:rPr>
                <w:rFonts w:ascii="Calibri" w:eastAsia="Times New Roman" w:hAnsi="Calibri" w:cs="Times New Roman"/>
                <w:sz w:val="18"/>
                <w:szCs w:val="18"/>
              </w:rPr>
              <w:t>10333W</w:t>
            </w:r>
          </w:p>
          <w:p w:rsidR="003F58BC" w:rsidRPr="00537342" w:rsidRDefault="003F58BC" w:rsidP="003F58BC">
            <w:pPr>
              <w:rPr>
                <w:rFonts w:ascii="Calibri" w:eastAsia="Times New Roman" w:hAnsi="Calibri" w:cs="Times New Roman"/>
                <w:sz w:val="18"/>
                <w:szCs w:val="18"/>
              </w:rPr>
            </w:pPr>
            <w:r w:rsidRPr="003F58BC">
              <w:rPr>
                <w:rFonts w:ascii="Calibri" w:eastAsia="Times New Roman" w:hAnsi="Calibri" w:cs="Times New Roman"/>
                <w:sz w:val="18"/>
                <w:szCs w:val="18"/>
              </w:rPr>
              <w:t>10334X</w:t>
            </w:r>
          </w:p>
        </w:tc>
        <w:tc>
          <w:tcPr>
            <w:tcW w:w="3005" w:type="dxa"/>
            <w:noWrap/>
          </w:tcPr>
          <w:p w:rsidR="003F58BC" w:rsidRPr="00537342" w:rsidRDefault="003F58BC" w:rsidP="00B82D98">
            <w:pPr>
              <w:rPr>
                <w:rFonts w:ascii="Calibri" w:eastAsia="Times New Roman" w:hAnsi="Calibri" w:cs="Times New Roman"/>
                <w:sz w:val="18"/>
                <w:szCs w:val="18"/>
              </w:rPr>
            </w:pPr>
            <w:r w:rsidRPr="00537342">
              <w:rPr>
                <w:rFonts w:ascii="Calibri" w:eastAsia="Times New Roman" w:hAnsi="Calibri" w:cs="Times New Roman"/>
                <w:sz w:val="18"/>
                <w:szCs w:val="18"/>
              </w:rPr>
              <w:t>Metastatic</w:t>
            </w:r>
          </w:p>
        </w:tc>
      </w:tr>
      <w:tr w:rsidR="004F405D" w:rsidRPr="004F405D" w:rsidTr="003F58BC">
        <w:trPr>
          <w:trHeight w:val="57"/>
        </w:trPr>
        <w:tc>
          <w:tcPr>
            <w:tcW w:w="3231" w:type="dxa"/>
            <w:noWrap/>
          </w:tcPr>
          <w:p w:rsidR="00A467B7" w:rsidRPr="004F405D" w:rsidRDefault="00A467B7" w:rsidP="00537342">
            <w:pPr>
              <w:rPr>
                <w:rFonts w:ascii="Calibri" w:eastAsia="Times New Roman" w:hAnsi="Calibri" w:cs="Times New Roman"/>
                <w:b/>
                <w:bCs/>
                <w:sz w:val="18"/>
                <w:szCs w:val="18"/>
              </w:rPr>
            </w:pPr>
            <w:r w:rsidRPr="004F405D">
              <w:rPr>
                <w:rFonts w:ascii="Calibri" w:eastAsia="Times New Roman" w:hAnsi="Calibri" w:cs="Times New Roman"/>
                <w:b/>
                <w:bCs/>
                <w:sz w:val="18"/>
                <w:szCs w:val="18"/>
              </w:rPr>
              <w:t>LAPATINIB</w:t>
            </w:r>
          </w:p>
        </w:tc>
        <w:tc>
          <w:tcPr>
            <w:tcW w:w="1077" w:type="dxa"/>
            <w:noWrap/>
          </w:tcPr>
          <w:p w:rsidR="00A467B7" w:rsidRPr="004F405D" w:rsidRDefault="00A467B7" w:rsidP="00B82D98">
            <w:pPr>
              <w:rPr>
                <w:rFonts w:ascii="Calibri" w:eastAsia="Times New Roman" w:hAnsi="Calibri" w:cs="Times New Roman"/>
                <w:sz w:val="18"/>
                <w:szCs w:val="18"/>
              </w:rPr>
            </w:pPr>
          </w:p>
        </w:tc>
        <w:tc>
          <w:tcPr>
            <w:tcW w:w="3005" w:type="dxa"/>
            <w:noWrap/>
          </w:tcPr>
          <w:p w:rsidR="00A467B7" w:rsidRPr="004F405D" w:rsidRDefault="00A467B7" w:rsidP="00B82D98">
            <w:pPr>
              <w:rPr>
                <w:rFonts w:ascii="Calibri" w:eastAsia="Times New Roman" w:hAnsi="Calibri" w:cs="Times New Roman"/>
                <w:sz w:val="18"/>
                <w:szCs w:val="18"/>
              </w:rPr>
            </w:pPr>
          </w:p>
        </w:tc>
      </w:tr>
      <w:tr w:rsidR="004F405D" w:rsidRPr="004F405D" w:rsidTr="003F58BC">
        <w:trPr>
          <w:trHeight w:val="57"/>
        </w:trPr>
        <w:tc>
          <w:tcPr>
            <w:tcW w:w="3231" w:type="dxa"/>
            <w:noWrap/>
          </w:tcPr>
          <w:p w:rsidR="00A467B7" w:rsidRPr="004F405D" w:rsidRDefault="00A467B7" w:rsidP="00537342">
            <w:pPr>
              <w:rPr>
                <w:rFonts w:ascii="Calibri" w:eastAsia="Times New Roman" w:hAnsi="Calibri" w:cs="Times New Roman"/>
                <w:bCs/>
                <w:sz w:val="18"/>
                <w:szCs w:val="18"/>
              </w:rPr>
            </w:pPr>
            <w:r w:rsidRPr="004F405D">
              <w:rPr>
                <w:rFonts w:ascii="Calibri" w:eastAsia="Times New Roman" w:hAnsi="Calibri" w:cs="Times New Roman"/>
                <w:bCs/>
                <w:sz w:val="18"/>
                <w:szCs w:val="18"/>
              </w:rPr>
              <w:t>Tablets 250mg</w:t>
            </w:r>
          </w:p>
        </w:tc>
        <w:tc>
          <w:tcPr>
            <w:tcW w:w="1077" w:type="dxa"/>
            <w:noWrap/>
          </w:tcPr>
          <w:p w:rsidR="00A467B7" w:rsidRPr="004F405D" w:rsidRDefault="00A467B7" w:rsidP="00B82D98">
            <w:pPr>
              <w:rPr>
                <w:rFonts w:ascii="Calibri" w:eastAsia="Times New Roman" w:hAnsi="Calibri" w:cs="Times New Roman"/>
                <w:sz w:val="18"/>
                <w:szCs w:val="18"/>
              </w:rPr>
            </w:pPr>
            <w:r w:rsidRPr="004F405D">
              <w:rPr>
                <w:rFonts w:ascii="Calibri" w:eastAsia="Times New Roman" w:hAnsi="Calibri" w:cs="Times New Roman"/>
                <w:sz w:val="18"/>
                <w:szCs w:val="18"/>
              </w:rPr>
              <w:t>9148L</w:t>
            </w:r>
          </w:p>
        </w:tc>
        <w:tc>
          <w:tcPr>
            <w:tcW w:w="3005" w:type="dxa"/>
            <w:noWrap/>
          </w:tcPr>
          <w:p w:rsidR="00A467B7" w:rsidRPr="004F405D" w:rsidRDefault="00A467B7" w:rsidP="00B82D98">
            <w:pPr>
              <w:rPr>
                <w:rFonts w:ascii="Calibri" w:eastAsia="Times New Roman" w:hAnsi="Calibri" w:cs="Times New Roman"/>
                <w:sz w:val="18"/>
                <w:szCs w:val="18"/>
              </w:rPr>
            </w:pPr>
            <w:r w:rsidRPr="004F405D">
              <w:rPr>
                <w:rFonts w:ascii="Calibri" w:eastAsia="Times New Roman" w:hAnsi="Calibri" w:cs="Times New Roman"/>
                <w:sz w:val="18"/>
                <w:szCs w:val="18"/>
              </w:rPr>
              <w:t>Metastatic</w:t>
            </w:r>
          </w:p>
        </w:tc>
      </w:tr>
    </w:tbl>
    <w:p w:rsidR="00E82C99" w:rsidRPr="00195FD3" w:rsidRDefault="00195FD3" w:rsidP="00CB354F">
      <w:pPr>
        <w:pStyle w:val="Heading2"/>
        <w:rPr>
          <w:b w:val="0"/>
          <w:szCs w:val="28"/>
        </w:rPr>
      </w:pPr>
      <w:r w:rsidRPr="00195FD3">
        <w:rPr>
          <w:b w:val="0"/>
          <w:szCs w:val="28"/>
        </w:rPr>
        <w:t>Some item codes cover use for different stages of breast cancer</w:t>
      </w:r>
      <w:r>
        <w:rPr>
          <w:b w:val="0"/>
          <w:szCs w:val="28"/>
        </w:rPr>
        <w:t xml:space="preserve">. For example, item 4632T can be used for early or locally advanced stages. The stage of </w:t>
      </w:r>
      <w:r w:rsidR="00966D7C">
        <w:rPr>
          <w:b w:val="0"/>
          <w:szCs w:val="28"/>
        </w:rPr>
        <w:t>breast</w:t>
      </w:r>
      <w:r>
        <w:rPr>
          <w:b w:val="0"/>
          <w:szCs w:val="28"/>
        </w:rPr>
        <w:t xml:space="preserve"> cancer assigned to a prescription </w:t>
      </w:r>
      <w:r w:rsidR="00966D7C">
        <w:rPr>
          <w:b w:val="0"/>
          <w:szCs w:val="28"/>
        </w:rPr>
        <w:t>can be</w:t>
      </w:r>
      <w:r>
        <w:rPr>
          <w:b w:val="0"/>
          <w:szCs w:val="28"/>
        </w:rPr>
        <w:t xml:space="preserve"> determined from the authority approval restriction code (See Appendix A).</w:t>
      </w:r>
    </w:p>
    <w:p w:rsidR="00CB354F" w:rsidRPr="00797F09" w:rsidRDefault="00CB354F" w:rsidP="00CB354F">
      <w:pPr>
        <w:pStyle w:val="Heading2"/>
        <w:rPr>
          <w:sz w:val="28"/>
          <w:szCs w:val="28"/>
        </w:rPr>
      </w:pPr>
      <w:r w:rsidRPr="00797F09">
        <w:rPr>
          <w:sz w:val="28"/>
          <w:szCs w:val="28"/>
        </w:rPr>
        <w:t>Restriction</w:t>
      </w:r>
    </w:p>
    <w:p w:rsidR="00FA1A87" w:rsidRDefault="00FA1A87" w:rsidP="00583F37">
      <w:pPr>
        <w:rPr>
          <w:rFonts w:ascii="Calibri" w:eastAsia="Times New Roman" w:hAnsi="Calibri" w:cs="Times New Roman"/>
        </w:rPr>
      </w:pPr>
      <w:r w:rsidRPr="004F405D">
        <w:rPr>
          <w:rFonts w:ascii="Calibri" w:eastAsia="Times New Roman" w:hAnsi="Calibri" w:cs="Times New Roman"/>
        </w:rPr>
        <w:t>Trastuzumab, pertuzumab</w:t>
      </w:r>
      <w:r w:rsidR="00BC546D" w:rsidRPr="004F405D">
        <w:rPr>
          <w:rFonts w:ascii="Calibri" w:eastAsia="Times New Roman" w:hAnsi="Calibri" w:cs="Times New Roman"/>
        </w:rPr>
        <w:t>,</w:t>
      </w:r>
      <w:r w:rsidRPr="004F405D">
        <w:rPr>
          <w:rFonts w:ascii="Calibri" w:eastAsia="Times New Roman" w:hAnsi="Calibri" w:cs="Times New Roman"/>
        </w:rPr>
        <w:t xml:space="preserve"> T</w:t>
      </w:r>
      <w:r w:rsidR="00BC546D" w:rsidRPr="004F405D">
        <w:rPr>
          <w:rFonts w:ascii="Calibri" w:eastAsia="Times New Roman" w:hAnsi="Calibri" w:cs="Times New Roman"/>
        </w:rPr>
        <w:t>-DM</w:t>
      </w:r>
      <w:r w:rsidRPr="004F405D">
        <w:rPr>
          <w:rFonts w:ascii="Calibri" w:eastAsia="Times New Roman" w:hAnsi="Calibri" w:cs="Times New Roman"/>
        </w:rPr>
        <w:t xml:space="preserve">1 </w:t>
      </w:r>
      <w:r w:rsidR="00BC546D" w:rsidRPr="004F405D">
        <w:rPr>
          <w:rFonts w:ascii="Calibri" w:eastAsia="Times New Roman" w:hAnsi="Calibri" w:cs="Times New Roman"/>
        </w:rPr>
        <w:t xml:space="preserve">and lapatinib </w:t>
      </w:r>
      <w:r w:rsidRPr="004F405D">
        <w:rPr>
          <w:rFonts w:ascii="Calibri" w:eastAsia="Times New Roman" w:hAnsi="Calibri" w:cs="Times New Roman"/>
        </w:rPr>
        <w:t xml:space="preserve">are </w:t>
      </w:r>
      <w:r w:rsidR="00B82D98" w:rsidRPr="004F405D">
        <w:rPr>
          <w:rFonts w:ascii="Calibri" w:eastAsia="Times New Roman" w:hAnsi="Calibri" w:cs="Times New Roman"/>
        </w:rPr>
        <w:t>A</w:t>
      </w:r>
      <w:r w:rsidRPr="004F405D">
        <w:rPr>
          <w:rFonts w:ascii="Calibri" w:eastAsia="Times New Roman" w:hAnsi="Calibri" w:cs="Times New Roman"/>
        </w:rPr>
        <w:t xml:space="preserve">uthority </w:t>
      </w:r>
      <w:r w:rsidR="00B82D98" w:rsidRPr="004F405D">
        <w:rPr>
          <w:rFonts w:ascii="Calibri" w:eastAsia="Times New Roman" w:hAnsi="Calibri" w:cs="Times New Roman"/>
        </w:rPr>
        <w:t>R</w:t>
      </w:r>
      <w:r w:rsidRPr="004F405D">
        <w:rPr>
          <w:rFonts w:ascii="Calibri" w:eastAsia="Times New Roman" w:hAnsi="Calibri" w:cs="Times New Roman"/>
        </w:rPr>
        <w:t xml:space="preserve">equired </w:t>
      </w:r>
      <w:r w:rsidR="00BC546D" w:rsidRPr="004F405D">
        <w:rPr>
          <w:rFonts w:ascii="Calibri" w:eastAsia="Times New Roman" w:hAnsi="Calibri" w:cs="Times New Roman"/>
        </w:rPr>
        <w:t>PBS medicines. T</w:t>
      </w:r>
      <w:r w:rsidRPr="004F405D">
        <w:rPr>
          <w:rFonts w:ascii="Calibri" w:eastAsia="Times New Roman" w:hAnsi="Calibri" w:cs="Times New Roman"/>
        </w:rPr>
        <w:t xml:space="preserve">he </w:t>
      </w:r>
      <w:r>
        <w:rPr>
          <w:rFonts w:ascii="Calibri" w:eastAsia="Times New Roman" w:hAnsi="Calibri" w:cs="Times New Roman"/>
        </w:rPr>
        <w:t>initiation application must be made in writing but continuing treatment can be approved by phone.</w:t>
      </w:r>
    </w:p>
    <w:p w:rsidR="00583F37" w:rsidRDefault="00111EB4" w:rsidP="00583F37">
      <w:pPr>
        <w:rPr>
          <w:rFonts w:ascii="Calibri" w:eastAsia="Times New Roman" w:hAnsi="Calibri" w:cs="Times New Roman"/>
        </w:rPr>
      </w:pPr>
      <w:r>
        <w:rPr>
          <w:rFonts w:ascii="Calibri" w:eastAsia="Times New Roman" w:hAnsi="Calibri" w:cs="Times New Roman"/>
        </w:rPr>
        <w:t xml:space="preserve">This report will mainly have regard to MBC. </w:t>
      </w:r>
      <w:r w:rsidR="00583F37">
        <w:rPr>
          <w:rFonts w:ascii="Calibri" w:eastAsia="Times New Roman" w:hAnsi="Calibri" w:cs="Times New Roman"/>
        </w:rPr>
        <w:t xml:space="preserve">The </w:t>
      </w:r>
      <w:r>
        <w:rPr>
          <w:rFonts w:ascii="Calibri" w:eastAsia="Times New Roman" w:hAnsi="Calibri" w:cs="Times New Roman"/>
        </w:rPr>
        <w:t xml:space="preserve">restriction </w:t>
      </w:r>
      <w:r w:rsidR="00583F37">
        <w:rPr>
          <w:rFonts w:ascii="Calibri" w:eastAsia="Times New Roman" w:hAnsi="Calibri" w:cs="Times New Roman"/>
        </w:rPr>
        <w:t>word</w:t>
      </w:r>
      <w:r>
        <w:rPr>
          <w:rFonts w:ascii="Calibri" w:eastAsia="Times New Roman" w:hAnsi="Calibri" w:cs="Times New Roman"/>
        </w:rPr>
        <w:t xml:space="preserve">ing </w:t>
      </w:r>
      <w:r w:rsidR="00E73608">
        <w:rPr>
          <w:rFonts w:ascii="Calibri" w:eastAsia="Times New Roman" w:hAnsi="Calibri" w:cs="Times New Roman"/>
        </w:rPr>
        <w:t xml:space="preserve">(as at 1/11/2017) </w:t>
      </w:r>
      <w:r>
        <w:rPr>
          <w:rFonts w:ascii="Calibri" w:eastAsia="Times New Roman" w:hAnsi="Calibri" w:cs="Times New Roman"/>
        </w:rPr>
        <w:t xml:space="preserve">for initial treatment with traztuzumab for </w:t>
      </w:r>
      <w:r w:rsidR="00FE4DCD">
        <w:rPr>
          <w:rFonts w:ascii="Calibri" w:eastAsia="Times New Roman" w:hAnsi="Calibri" w:cs="Times New Roman"/>
        </w:rPr>
        <w:t>MBC wa</w:t>
      </w:r>
      <w:r>
        <w:rPr>
          <w:rFonts w:ascii="Calibri" w:eastAsia="Times New Roman" w:hAnsi="Calibri" w:cs="Times New Roman"/>
        </w:rPr>
        <w:t>s:</w:t>
      </w:r>
    </w:p>
    <w:p w:rsidR="00965630" w:rsidRDefault="00FE4DCD" w:rsidP="00583F37">
      <w:pPr>
        <w:rPr>
          <w:rFonts w:ascii="Calibri" w:eastAsia="Times New Roman" w:hAnsi="Calibri" w:cs="Times New Roman"/>
          <w:i/>
        </w:rPr>
      </w:pPr>
      <w:r w:rsidRPr="00FE4DCD">
        <w:rPr>
          <w:rFonts w:ascii="Calibri" w:eastAsia="Times New Roman" w:hAnsi="Calibri" w:cs="Times New Roman"/>
          <w:i/>
        </w:rPr>
        <w:t xml:space="preserve">Metastatic (Stage IV) HER2 positive breast cancer  </w:t>
      </w:r>
    </w:p>
    <w:p w:rsidR="00965630" w:rsidRDefault="00FE4DCD" w:rsidP="00583F37">
      <w:pPr>
        <w:rPr>
          <w:rFonts w:ascii="Calibri" w:eastAsia="Times New Roman" w:hAnsi="Calibri" w:cs="Times New Roman"/>
          <w:i/>
        </w:rPr>
      </w:pPr>
      <w:r w:rsidRPr="00FE4DCD">
        <w:rPr>
          <w:rFonts w:ascii="Calibri" w:eastAsia="Times New Roman" w:hAnsi="Calibri" w:cs="Times New Roman"/>
          <w:i/>
        </w:rPr>
        <w:t xml:space="preserve">Treatment Phase: Initial treatment  </w:t>
      </w:r>
    </w:p>
    <w:p w:rsidR="00FE4DCD" w:rsidRPr="00FE4DCD" w:rsidRDefault="00FE4DCD" w:rsidP="00583F37">
      <w:pPr>
        <w:rPr>
          <w:rFonts w:ascii="Calibri" w:eastAsia="Times New Roman" w:hAnsi="Calibri" w:cs="Times New Roman"/>
          <w:i/>
        </w:rPr>
      </w:pPr>
      <w:r w:rsidRPr="00FE4DCD">
        <w:rPr>
          <w:rFonts w:ascii="Calibri" w:eastAsia="Times New Roman" w:hAnsi="Calibri" w:cs="Times New Roman"/>
          <w:i/>
        </w:rPr>
        <w:t xml:space="preserve">Clinical criteria:  </w:t>
      </w:r>
    </w:p>
    <w:p w:rsidR="00FE4DCD" w:rsidRPr="00FE4DCD" w:rsidRDefault="00FE4DCD" w:rsidP="00583F37">
      <w:pPr>
        <w:rPr>
          <w:rFonts w:ascii="Calibri" w:eastAsia="Times New Roman" w:hAnsi="Calibri" w:cs="Times New Roman"/>
          <w:i/>
        </w:rPr>
      </w:pPr>
      <w:r w:rsidRPr="00FE4DCD">
        <w:rPr>
          <w:rFonts w:ascii="Calibri" w:eastAsia="Times New Roman" w:hAnsi="Calibri" w:cs="Times New Roman"/>
          <w:i/>
        </w:rPr>
        <w:t xml:space="preserve">* Patient must have evidence of human epidermal growth factor receptor 2 (HER2) gene amplification as demonstrated by in situ hybridisation (ISH) either in the primary tumour or a metastatic lesion,  AND  </w:t>
      </w:r>
    </w:p>
    <w:p w:rsidR="00FE4DCD" w:rsidRPr="00FE4DCD" w:rsidRDefault="00FE4DCD" w:rsidP="00583F37">
      <w:pPr>
        <w:rPr>
          <w:rFonts w:ascii="Calibri" w:eastAsia="Times New Roman" w:hAnsi="Calibri" w:cs="Times New Roman"/>
          <w:i/>
        </w:rPr>
      </w:pPr>
      <w:r w:rsidRPr="00FE4DCD">
        <w:rPr>
          <w:rFonts w:ascii="Calibri" w:eastAsia="Times New Roman" w:hAnsi="Calibri" w:cs="Times New Roman"/>
          <w:i/>
        </w:rPr>
        <w:t>* The treatment must not be in combination with nab-paclitaxel</w:t>
      </w:r>
      <w:r w:rsidR="00966D7C" w:rsidRPr="00FE4DCD">
        <w:rPr>
          <w:rFonts w:ascii="Calibri" w:eastAsia="Times New Roman" w:hAnsi="Calibri" w:cs="Times New Roman"/>
          <w:i/>
        </w:rPr>
        <w:t>, AND</w:t>
      </w:r>
      <w:r w:rsidRPr="00FE4DCD">
        <w:rPr>
          <w:rFonts w:ascii="Calibri" w:eastAsia="Times New Roman" w:hAnsi="Calibri" w:cs="Times New Roman"/>
          <w:i/>
        </w:rPr>
        <w:t xml:space="preserve">  </w:t>
      </w:r>
    </w:p>
    <w:p w:rsidR="00FE4DCD" w:rsidRPr="00FE4DCD" w:rsidRDefault="00FE4DCD" w:rsidP="00583F37">
      <w:pPr>
        <w:rPr>
          <w:rFonts w:ascii="Calibri" w:eastAsia="Times New Roman" w:hAnsi="Calibri" w:cs="Times New Roman"/>
          <w:i/>
        </w:rPr>
      </w:pPr>
      <w:r w:rsidRPr="00FE4DCD">
        <w:rPr>
          <w:rFonts w:ascii="Calibri" w:eastAsia="Times New Roman" w:hAnsi="Calibri" w:cs="Times New Roman"/>
          <w:i/>
        </w:rPr>
        <w:t>* The treatment must not be used in a patient with a left ventricular ejection fraction (LVEF) of less than 45% and/or with symptomatic heart failure.</w:t>
      </w:r>
    </w:p>
    <w:p w:rsidR="00FC113F" w:rsidRDefault="00FC113F" w:rsidP="00FC113F">
      <w:pPr>
        <w:rPr>
          <w:rFonts w:ascii="Calibri" w:eastAsia="Times New Roman" w:hAnsi="Calibri" w:cs="Times New Roman"/>
        </w:rPr>
      </w:pPr>
      <w:r>
        <w:rPr>
          <w:rFonts w:ascii="Calibri" w:eastAsia="Times New Roman" w:hAnsi="Calibri" w:cs="Times New Roman"/>
        </w:rPr>
        <w:t xml:space="preserve">The restriction wording </w:t>
      </w:r>
      <w:r w:rsidR="00E73608">
        <w:rPr>
          <w:rFonts w:ascii="Calibri" w:eastAsia="Times New Roman" w:hAnsi="Calibri" w:cs="Times New Roman"/>
        </w:rPr>
        <w:t xml:space="preserve">(as at 1/11/2017) </w:t>
      </w:r>
      <w:r>
        <w:rPr>
          <w:rFonts w:ascii="Calibri" w:eastAsia="Times New Roman" w:hAnsi="Calibri" w:cs="Times New Roman"/>
        </w:rPr>
        <w:t xml:space="preserve">for initial treatment with T-DM1 for </w:t>
      </w:r>
      <w:r w:rsidR="00FE4DCD">
        <w:rPr>
          <w:rFonts w:ascii="Calibri" w:eastAsia="Times New Roman" w:hAnsi="Calibri" w:cs="Times New Roman"/>
        </w:rPr>
        <w:t>MBC wa</w:t>
      </w:r>
      <w:r>
        <w:rPr>
          <w:rFonts w:ascii="Calibri" w:eastAsia="Times New Roman" w:hAnsi="Calibri" w:cs="Times New Roman"/>
        </w:rPr>
        <w:t>s:</w:t>
      </w:r>
    </w:p>
    <w:p w:rsidR="00965630" w:rsidRDefault="00FC113F" w:rsidP="00FC113F">
      <w:pPr>
        <w:rPr>
          <w:rFonts w:ascii="Calibri" w:eastAsia="Times New Roman" w:hAnsi="Calibri" w:cs="Times New Roman"/>
          <w:i/>
        </w:rPr>
      </w:pPr>
      <w:r w:rsidRPr="00111EB4">
        <w:rPr>
          <w:rFonts w:ascii="Calibri" w:eastAsia="Times New Roman" w:hAnsi="Calibri" w:cs="Times New Roman"/>
          <w:i/>
        </w:rPr>
        <w:t xml:space="preserve">Metastatic (Stage IV) HER2 positive breast cancer  </w:t>
      </w:r>
    </w:p>
    <w:p w:rsidR="00965630" w:rsidRDefault="00FC113F" w:rsidP="00FC113F">
      <w:pPr>
        <w:rPr>
          <w:rFonts w:ascii="Calibri" w:eastAsia="Times New Roman" w:hAnsi="Calibri" w:cs="Times New Roman"/>
          <w:i/>
        </w:rPr>
      </w:pPr>
      <w:r w:rsidRPr="00111EB4">
        <w:rPr>
          <w:rFonts w:ascii="Calibri" w:eastAsia="Times New Roman" w:hAnsi="Calibri" w:cs="Times New Roman"/>
          <w:i/>
        </w:rPr>
        <w:t xml:space="preserve">Treatment Phase: Initial treatment  </w:t>
      </w:r>
    </w:p>
    <w:p w:rsidR="00FC113F" w:rsidRPr="00111EB4" w:rsidRDefault="00FC113F" w:rsidP="00FC113F">
      <w:pPr>
        <w:rPr>
          <w:rFonts w:ascii="Calibri" w:eastAsia="Times New Roman" w:hAnsi="Calibri" w:cs="Times New Roman"/>
          <w:i/>
        </w:rPr>
      </w:pPr>
      <w:r w:rsidRPr="00111EB4">
        <w:rPr>
          <w:rFonts w:ascii="Calibri" w:eastAsia="Times New Roman" w:hAnsi="Calibri" w:cs="Times New Roman"/>
          <w:i/>
        </w:rPr>
        <w:t xml:space="preserve">Clinical criteria:  </w:t>
      </w:r>
    </w:p>
    <w:p w:rsidR="00FC113F" w:rsidRPr="00111EB4" w:rsidRDefault="00FC113F" w:rsidP="00FC113F">
      <w:pPr>
        <w:rPr>
          <w:rFonts w:ascii="Calibri" w:eastAsia="Times New Roman" w:hAnsi="Calibri" w:cs="Times New Roman"/>
          <w:i/>
        </w:rPr>
      </w:pPr>
      <w:r w:rsidRPr="00111EB4">
        <w:rPr>
          <w:rFonts w:ascii="Calibri" w:eastAsia="Times New Roman" w:hAnsi="Calibri" w:cs="Times New Roman"/>
          <w:i/>
        </w:rPr>
        <w:t xml:space="preserve">* Patient must have evidence of human epidermal growth factor receptor 2 (HER2) gene amplification as demonstrated by in situ hybridisation (ISH) either in the primary tumour or a metastatic lesion,  AND  </w:t>
      </w:r>
    </w:p>
    <w:p w:rsidR="00FC113F" w:rsidRPr="00111EB4" w:rsidRDefault="00FC113F" w:rsidP="00FC113F">
      <w:pPr>
        <w:rPr>
          <w:rFonts w:ascii="Calibri" w:eastAsia="Times New Roman" w:hAnsi="Calibri" w:cs="Times New Roman"/>
          <w:i/>
        </w:rPr>
      </w:pPr>
      <w:r w:rsidRPr="00111EB4">
        <w:rPr>
          <w:rFonts w:ascii="Calibri" w:eastAsia="Times New Roman" w:hAnsi="Calibri" w:cs="Times New Roman"/>
          <w:i/>
        </w:rPr>
        <w:t xml:space="preserve">* The condition must have progressed following treatment with pertuzumab and trastuzumab in combination; OR </w:t>
      </w:r>
    </w:p>
    <w:p w:rsidR="00FC113F" w:rsidRPr="00111EB4" w:rsidRDefault="00FC113F" w:rsidP="00FC113F">
      <w:pPr>
        <w:rPr>
          <w:rFonts w:ascii="Calibri" w:eastAsia="Times New Roman" w:hAnsi="Calibri" w:cs="Times New Roman"/>
          <w:i/>
        </w:rPr>
      </w:pPr>
      <w:r w:rsidRPr="00111EB4">
        <w:rPr>
          <w:rFonts w:ascii="Calibri" w:eastAsia="Times New Roman" w:hAnsi="Calibri" w:cs="Times New Roman"/>
          <w:i/>
        </w:rPr>
        <w:t>* The condition must have progressed during or within 6 months of completing adjuvant therapy with trastuzumab</w:t>
      </w:r>
      <w:r w:rsidR="00966D7C" w:rsidRPr="00111EB4">
        <w:rPr>
          <w:rFonts w:ascii="Calibri" w:eastAsia="Times New Roman" w:hAnsi="Calibri" w:cs="Times New Roman"/>
          <w:i/>
        </w:rPr>
        <w:t>, AND</w:t>
      </w:r>
      <w:r w:rsidRPr="00111EB4">
        <w:rPr>
          <w:rFonts w:ascii="Calibri" w:eastAsia="Times New Roman" w:hAnsi="Calibri" w:cs="Times New Roman"/>
          <w:i/>
        </w:rPr>
        <w:t xml:space="preserve">  </w:t>
      </w:r>
    </w:p>
    <w:p w:rsidR="00FC113F" w:rsidRPr="00111EB4" w:rsidRDefault="00FC113F" w:rsidP="00FC113F">
      <w:pPr>
        <w:rPr>
          <w:rFonts w:ascii="Calibri" w:eastAsia="Times New Roman" w:hAnsi="Calibri" w:cs="Times New Roman"/>
          <w:i/>
        </w:rPr>
      </w:pPr>
      <w:r w:rsidRPr="00111EB4">
        <w:rPr>
          <w:rFonts w:ascii="Calibri" w:eastAsia="Times New Roman" w:hAnsi="Calibri" w:cs="Times New Roman"/>
          <w:i/>
        </w:rPr>
        <w:t>* Patient must have a WHO performance status of 0 or 1</w:t>
      </w:r>
      <w:r w:rsidR="00966D7C" w:rsidRPr="00111EB4">
        <w:rPr>
          <w:rFonts w:ascii="Calibri" w:eastAsia="Times New Roman" w:hAnsi="Calibri" w:cs="Times New Roman"/>
          <w:i/>
        </w:rPr>
        <w:t>, AND</w:t>
      </w:r>
      <w:r w:rsidRPr="00111EB4">
        <w:rPr>
          <w:rFonts w:ascii="Calibri" w:eastAsia="Times New Roman" w:hAnsi="Calibri" w:cs="Times New Roman"/>
          <w:i/>
        </w:rPr>
        <w:t xml:space="preserve">  </w:t>
      </w:r>
    </w:p>
    <w:p w:rsidR="00FC113F" w:rsidRPr="00111EB4" w:rsidRDefault="00FC113F" w:rsidP="00FC113F">
      <w:pPr>
        <w:rPr>
          <w:rFonts w:ascii="Calibri" w:eastAsia="Times New Roman" w:hAnsi="Calibri" w:cs="Times New Roman"/>
          <w:i/>
        </w:rPr>
      </w:pPr>
      <w:r w:rsidRPr="00111EB4">
        <w:rPr>
          <w:rFonts w:ascii="Calibri" w:eastAsia="Times New Roman" w:hAnsi="Calibri" w:cs="Times New Roman"/>
          <w:i/>
        </w:rPr>
        <w:t>* The treatment must be as monotherapy</w:t>
      </w:r>
      <w:r w:rsidR="00966D7C" w:rsidRPr="00111EB4">
        <w:rPr>
          <w:rFonts w:ascii="Calibri" w:eastAsia="Times New Roman" w:hAnsi="Calibri" w:cs="Times New Roman"/>
          <w:i/>
        </w:rPr>
        <w:t>, AND</w:t>
      </w:r>
      <w:r w:rsidRPr="00111EB4">
        <w:rPr>
          <w:rFonts w:ascii="Calibri" w:eastAsia="Times New Roman" w:hAnsi="Calibri" w:cs="Times New Roman"/>
          <w:i/>
        </w:rPr>
        <w:t xml:space="preserve">  </w:t>
      </w:r>
    </w:p>
    <w:p w:rsidR="00FC113F" w:rsidRPr="00111EB4" w:rsidRDefault="00FC113F" w:rsidP="00FC113F">
      <w:pPr>
        <w:rPr>
          <w:rFonts w:ascii="Calibri" w:eastAsia="Times New Roman" w:hAnsi="Calibri" w:cs="Times New Roman"/>
          <w:i/>
        </w:rPr>
      </w:pPr>
      <w:r w:rsidRPr="00111EB4">
        <w:rPr>
          <w:rFonts w:ascii="Calibri" w:eastAsia="Times New Roman" w:hAnsi="Calibri" w:cs="Times New Roman"/>
          <w:i/>
        </w:rPr>
        <w:t>* The treatment must not be used in a patient with a left ventricular ejection fraction (LVEF) of less than 45% and/or with symptomatic heart failure.</w:t>
      </w:r>
    </w:p>
    <w:p w:rsidR="00FE4DCD" w:rsidRDefault="00FE4DCD" w:rsidP="00FE4DCD">
      <w:pPr>
        <w:rPr>
          <w:rFonts w:ascii="Calibri" w:eastAsia="Times New Roman" w:hAnsi="Calibri" w:cs="Times New Roman"/>
        </w:rPr>
      </w:pPr>
      <w:r>
        <w:rPr>
          <w:rFonts w:ascii="Calibri" w:eastAsia="Times New Roman" w:hAnsi="Calibri" w:cs="Times New Roman"/>
        </w:rPr>
        <w:t xml:space="preserve">The restriction wording </w:t>
      </w:r>
      <w:r w:rsidR="007145D8">
        <w:rPr>
          <w:rFonts w:ascii="Calibri" w:eastAsia="Times New Roman" w:hAnsi="Calibri" w:cs="Times New Roman"/>
        </w:rPr>
        <w:t xml:space="preserve">(as at 1/11/2017) </w:t>
      </w:r>
      <w:r>
        <w:rPr>
          <w:rFonts w:ascii="Calibri" w:eastAsia="Times New Roman" w:hAnsi="Calibri" w:cs="Times New Roman"/>
        </w:rPr>
        <w:t>for initial treatment with pertuzumab for MBC was:</w:t>
      </w:r>
    </w:p>
    <w:p w:rsidR="00FE4DCD" w:rsidRPr="00FE4DCD" w:rsidRDefault="00FE4DCD" w:rsidP="00583F37">
      <w:pPr>
        <w:rPr>
          <w:i/>
        </w:rPr>
      </w:pPr>
      <w:r w:rsidRPr="00FE4DCD">
        <w:rPr>
          <w:i/>
        </w:rPr>
        <w:t xml:space="preserve">Metastatic (Stage IV) HER2 positive breast </w:t>
      </w:r>
      <w:r w:rsidR="00966D7C" w:rsidRPr="00FE4DCD">
        <w:rPr>
          <w:i/>
        </w:rPr>
        <w:t>cancer Treatment</w:t>
      </w:r>
      <w:r w:rsidRPr="00FE4DCD">
        <w:rPr>
          <w:i/>
        </w:rPr>
        <w:t xml:space="preserve"> Phase: Initial treatment  Clinical criteria:  </w:t>
      </w:r>
    </w:p>
    <w:p w:rsidR="00FE4DCD" w:rsidRPr="00FE4DCD" w:rsidRDefault="00FE4DCD" w:rsidP="00583F37">
      <w:pPr>
        <w:rPr>
          <w:i/>
        </w:rPr>
      </w:pPr>
      <w:r w:rsidRPr="00FE4DCD">
        <w:rPr>
          <w:i/>
        </w:rPr>
        <w:t xml:space="preserve">* Patient must have evidence of human epidermal growth factor receptor 2 (HER2) gene amplification as demonstrated by in situ hybridisation (ISH) either in the primary tumour or a metastatic lesion,  AND  </w:t>
      </w:r>
    </w:p>
    <w:p w:rsidR="00FE4DCD" w:rsidRPr="00FE4DCD" w:rsidRDefault="00FE4DCD" w:rsidP="00583F37">
      <w:pPr>
        <w:rPr>
          <w:i/>
        </w:rPr>
      </w:pPr>
      <w:r w:rsidRPr="00FE4DCD">
        <w:rPr>
          <w:i/>
        </w:rPr>
        <w:t>* Patient must have a WHO performance status of 0 or 1</w:t>
      </w:r>
      <w:r w:rsidR="00966D7C" w:rsidRPr="00FE4DCD">
        <w:rPr>
          <w:i/>
        </w:rPr>
        <w:t>, AND</w:t>
      </w:r>
      <w:r w:rsidRPr="00FE4DCD">
        <w:rPr>
          <w:i/>
        </w:rPr>
        <w:t xml:space="preserve">  </w:t>
      </w:r>
    </w:p>
    <w:p w:rsidR="00FE4DCD" w:rsidRPr="00FE4DCD" w:rsidRDefault="00FE4DCD" w:rsidP="00583F37">
      <w:pPr>
        <w:rPr>
          <w:i/>
        </w:rPr>
      </w:pPr>
      <w:r w:rsidRPr="00FE4DCD">
        <w:rPr>
          <w:i/>
        </w:rPr>
        <w:t>* Patient must not have received prior anti-HER2 therapy for this condition</w:t>
      </w:r>
      <w:r w:rsidR="00966D7C" w:rsidRPr="00FE4DCD">
        <w:rPr>
          <w:i/>
        </w:rPr>
        <w:t>, AND</w:t>
      </w:r>
      <w:r w:rsidRPr="00FE4DCD">
        <w:rPr>
          <w:i/>
        </w:rPr>
        <w:t xml:space="preserve">  </w:t>
      </w:r>
    </w:p>
    <w:p w:rsidR="00FE4DCD" w:rsidRPr="00FE4DCD" w:rsidRDefault="00FE4DCD" w:rsidP="00583F37">
      <w:pPr>
        <w:rPr>
          <w:i/>
        </w:rPr>
      </w:pPr>
      <w:r w:rsidRPr="00FE4DCD">
        <w:rPr>
          <w:i/>
        </w:rPr>
        <w:t>* Patient must not have received prior chemotherapy for this condition</w:t>
      </w:r>
      <w:r w:rsidR="00966D7C" w:rsidRPr="00FE4DCD">
        <w:rPr>
          <w:i/>
        </w:rPr>
        <w:t>, AND</w:t>
      </w:r>
      <w:r w:rsidRPr="00FE4DCD">
        <w:rPr>
          <w:i/>
        </w:rPr>
        <w:t xml:space="preserve">  </w:t>
      </w:r>
    </w:p>
    <w:p w:rsidR="00FE4DCD" w:rsidRPr="00FE4DCD" w:rsidRDefault="00FE4DCD" w:rsidP="00583F37">
      <w:pPr>
        <w:rPr>
          <w:i/>
        </w:rPr>
      </w:pPr>
      <w:r w:rsidRPr="00FE4DCD">
        <w:rPr>
          <w:i/>
        </w:rPr>
        <w:t>* The treatment must be in combination with trastuzumab and a taxane</w:t>
      </w:r>
      <w:r w:rsidR="00966D7C" w:rsidRPr="00FE4DCD">
        <w:rPr>
          <w:i/>
        </w:rPr>
        <w:t>, AND</w:t>
      </w:r>
      <w:r w:rsidRPr="00FE4DCD">
        <w:rPr>
          <w:i/>
        </w:rPr>
        <w:t xml:space="preserve">  </w:t>
      </w:r>
    </w:p>
    <w:p w:rsidR="00FE4DCD" w:rsidRPr="00FE4DCD" w:rsidRDefault="00FE4DCD" w:rsidP="00583F37">
      <w:pPr>
        <w:rPr>
          <w:i/>
        </w:rPr>
      </w:pPr>
      <w:r w:rsidRPr="00FE4DCD">
        <w:rPr>
          <w:i/>
        </w:rPr>
        <w:t>* The treatment must not be in combination with nab-paclitaxel</w:t>
      </w:r>
      <w:r w:rsidR="00966D7C" w:rsidRPr="00FE4DCD">
        <w:rPr>
          <w:i/>
        </w:rPr>
        <w:t>, AND</w:t>
      </w:r>
      <w:r w:rsidRPr="00FE4DCD">
        <w:rPr>
          <w:i/>
        </w:rPr>
        <w:t xml:space="preserve">  </w:t>
      </w:r>
    </w:p>
    <w:p w:rsidR="00FE4DCD" w:rsidRDefault="00FE4DCD" w:rsidP="00583F37">
      <w:pPr>
        <w:rPr>
          <w:i/>
        </w:rPr>
      </w:pPr>
      <w:r w:rsidRPr="00FE4DCD">
        <w:rPr>
          <w:i/>
        </w:rPr>
        <w:t xml:space="preserve">* The treatment must not be used in a patient with a left ventricular ejection fraction (LVEF) of less than 45% and/or with symptomatic heart failure. </w:t>
      </w:r>
    </w:p>
    <w:p w:rsidR="008635D0" w:rsidRPr="004F405D" w:rsidRDefault="00A467B7" w:rsidP="00583F37">
      <w:r w:rsidRPr="004F405D">
        <w:t>The restriction wording (as at 1 11/2017) for initial treatment with lapatinib for MBC was:</w:t>
      </w:r>
    </w:p>
    <w:p w:rsidR="00A467B7" w:rsidRPr="004F405D" w:rsidRDefault="00A467B7" w:rsidP="00A467B7">
      <w:pPr>
        <w:spacing w:after="150" w:line="300" w:lineRule="atLeast"/>
        <w:rPr>
          <w:i/>
        </w:rPr>
      </w:pPr>
      <w:r w:rsidRPr="004F405D">
        <w:rPr>
          <w:i/>
        </w:rPr>
        <w:t>Metastatic (Stage IV) HER2 positive breast cancer</w:t>
      </w:r>
    </w:p>
    <w:p w:rsidR="00A467B7" w:rsidRPr="004F405D" w:rsidRDefault="00A467B7" w:rsidP="00A467B7">
      <w:pPr>
        <w:spacing w:after="150" w:line="300" w:lineRule="atLeast"/>
        <w:rPr>
          <w:i/>
        </w:rPr>
      </w:pPr>
      <w:r w:rsidRPr="004F405D">
        <w:rPr>
          <w:i/>
        </w:rPr>
        <w:t>Treatment Phase: Initial treatment</w:t>
      </w:r>
    </w:p>
    <w:p w:rsidR="00A467B7" w:rsidRPr="004F405D" w:rsidRDefault="00A467B7" w:rsidP="00A467B7">
      <w:pPr>
        <w:spacing w:after="150" w:line="300" w:lineRule="atLeast"/>
        <w:rPr>
          <w:i/>
        </w:rPr>
      </w:pPr>
      <w:r w:rsidRPr="004F405D">
        <w:rPr>
          <w:i/>
        </w:rPr>
        <w:t>Clinical criteria:</w:t>
      </w:r>
    </w:p>
    <w:p w:rsidR="00A467B7" w:rsidRPr="004F405D" w:rsidRDefault="00A467B7" w:rsidP="00A467B7">
      <w:pPr>
        <w:numPr>
          <w:ilvl w:val="0"/>
          <w:numId w:val="7"/>
        </w:numPr>
        <w:spacing w:after="150" w:line="300" w:lineRule="atLeast"/>
        <w:ind w:left="375"/>
        <w:rPr>
          <w:i/>
        </w:rPr>
      </w:pPr>
      <w:r w:rsidRPr="004F405D">
        <w:rPr>
          <w:i/>
        </w:rPr>
        <w:t>Patient must have evidence of human epidermal growth factor receptor 2 (HER2) gene amplification as demonstrated by in situ hybridisation (ISH) either in the primary tumour or a metastatic lesion, AND</w:t>
      </w:r>
    </w:p>
    <w:p w:rsidR="00A467B7" w:rsidRPr="004F405D" w:rsidRDefault="00A467B7" w:rsidP="00A467B7">
      <w:pPr>
        <w:numPr>
          <w:ilvl w:val="0"/>
          <w:numId w:val="8"/>
        </w:numPr>
        <w:spacing w:after="150" w:line="300" w:lineRule="atLeast"/>
        <w:ind w:left="375"/>
        <w:rPr>
          <w:i/>
        </w:rPr>
      </w:pPr>
      <w:r w:rsidRPr="004F405D">
        <w:rPr>
          <w:i/>
        </w:rPr>
        <w:t>The treatment must be in combination with capecitabine,AND</w:t>
      </w:r>
    </w:p>
    <w:p w:rsidR="00A467B7" w:rsidRPr="004F405D" w:rsidRDefault="00A467B7" w:rsidP="00A467B7">
      <w:pPr>
        <w:numPr>
          <w:ilvl w:val="0"/>
          <w:numId w:val="9"/>
        </w:numPr>
        <w:tabs>
          <w:tab w:val="num" w:pos="720"/>
        </w:tabs>
        <w:spacing w:after="150" w:line="300" w:lineRule="atLeast"/>
        <w:ind w:left="754" w:hanging="357"/>
        <w:rPr>
          <w:i/>
        </w:rPr>
      </w:pPr>
      <w:r w:rsidRPr="004F405D">
        <w:rPr>
          <w:i/>
        </w:rPr>
        <w:t>Patient must have received prior therapy with a taxane for at least 3 cycles; OR</w:t>
      </w:r>
    </w:p>
    <w:p w:rsidR="00A467B7" w:rsidRPr="004F405D" w:rsidRDefault="00A467B7" w:rsidP="00A467B7">
      <w:pPr>
        <w:numPr>
          <w:ilvl w:val="0"/>
          <w:numId w:val="9"/>
        </w:numPr>
        <w:tabs>
          <w:tab w:val="num" w:pos="720"/>
        </w:tabs>
        <w:spacing w:after="150" w:line="300" w:lineRule="atLeast"/>
        <w:ind w:left="754" w:hanging="357"/>
        <w:rPr>
          <w:i/>
        </w:rPr>
      </w:pPr>
      <w:r w:rsidRPr="004F405D">
        <w:rPr>
          <w:i/>
        </w:rPr>
        <w:t xml:space="preserve">Patient must have developed intolerance to treatment with a taxane of a severity necessitating permanent treatment withdrawal, </w:t>
      </w:r>
    </w:p>
    <w:p w:rsidR="00A467B7" w:rsidRPr="004F405D" w:rsidRDefault="00A467B7" w:rsidP="00A467B7">
      <w:pPr>
        <w:spacing w:after="150" w:line="300" w:lineRule="atLeast"/>
        <w:rPr>
          <w:i/>
        </w:rPr>
      </w:pPr>
      <w:r w:rsidRPr="004F405D">
        <w:rPr>
          <w:i/>
        </w:rPr>
        <w:t>AND</w:t>
      </w:r>
    </w:p>
    <w:p w:rsidR="00A467B7" w:rsidRPr="004F405D" w:rsidRDefault="00A467B7" w:rsidP="00A467B7">
      <w:pPr>
        <w:numPr>
          <w:ilvl w:val="0"/>
          <w:numId w:val="10"/>
        </w:numPr>
        <w:spacing w:after="150" w:line="300" w:lineRule="atLeast"/>
        <w:ind w:left="375"/>
        <w:rPr>
          <w:i/>
        </w:rPr>
      </w:pPr>
      <w:r w:rsidRPr="004F405D">
        <w:rPr>
          <w:i/>
        </w:rPr>
        <w:t>The condition must have progressed following treatment with pertuzumab and trastuzumab in combination, AND</w:t>
      </w:r>
    </w:p>
    <w:p w:rsidR="00A467B7" w:rsidRPr="004F405D" w:rsidRDefault="00A467B7" w:rsidP="00A467B7">
      <w:pPr>
        <w:numPr>
          <w:ilvl w:val="0"/>
          <w:numId w:val="11"/>
        </w:numPr>
        <w:spacing w:after="150" w:line="300" w:lineRule="atLeast"/>
        <w:ind w:left="375"/>
        <w:rPr>
          <w:i/>
        </w:rPr>
      </w:pPr>
      <w:r w:rsidRPr="004F405D">
        <w:rPr>
          <w:i/>
        </w:rPr>
        <w:t>The treatment must be the sole PBS-subsidised anti-HER2 therapy for this condition,AND</w:t>
      </w:r>
    </w:p>
    <w:p w:rsidR="00A467B7" w:rsidRPr="004F405D" w:rsidRDefault="00A467B7" w:rsidP="00583F37">
      <w:pPr>
        <w:numPr>
          <w:ilvl w:val="0"/>
          <w:numId w:val="12"/>
        </w:numPr>
        <w:spacing w:after="150" w:line="300" w:lineRule="atLeast"/>
        <w:ind w:left="375"/>
        <w:rPr>
          <w:i/>
        </w:rPr>
      </w:pPr>
      <w:r w:rsidRPr="004F405D">
        <w:rPr>
          <w:i/>
        </w:rPr>
        <w:t>The treatment must not be used in a patient with a left ventricular ejection fraction (LVEF) of less than 45% and/or with symptomatic heart failure.</w:t>
      </w:r>
    </w:p>
    <w:p w:rsidR="00CB354F" w:rsidRPr="000C3E08" w:rsidRDefault="00CB354F" w:rsidP="00320029">
      <w:pPr>
        <w:rPr>
          <w:u w:val="single"/>
        </w:rPr>
      </w:pPr>
      <w:r w:rsidRPr="004F405D">
        <w:t xml:space="preserve">For </w:t>
      </w:r>
      <w:r w:rsidR="00320029" w:rsidRPr="004F405D">
        <w:t xml:space="preserve">more </w:t>
      </w:r>
      <w:r w:rsidRPr="004F405D">
        <w:t xml:space="preserve">details of the PBS listing refer to the </w:t>
      </w:r>
      <w:r w:rsidR="00320029" w:rsidRPr="004F405D">
        <w:t xml:space="preserve">Appendices A and B and the </w:t>
      </w:r>
      <w:r w:rsidRPr="00192A24">
        <w:t>PBS website</w:t>
      </w:r>
      <w:r w:rsidRPr="004F405D">
        <w:rPr>
          <w:rStyle w:val="Hyperlink"/>
          <w:color w:val="auto"/>
        </w:rPr>
        <w:t>.</w:t>
      </w:r>
      <w:r w:rsidR="00320029" w:rsidRPr="004F405D">
        <w:rPr>
          <w:rStyle w:val="Hyperlink"/>
          <w:color w:val="auto"/>
        </w:rPr>
        <w:t xml:space="preserve"> </w:t>
      </w:r>
      <w:r w:rsidRPr="00675BB1">
        <w:t>Date</w:t>
      </w:r>
      <w:r w:rsidR="00320029">
        <w:t>s</w:t>
      </w:r>
      <w:r w:rsidRPr="00675BB1">
        <w:t xml:space="preserve"> of </w:t>
      </w:r>
      <w:r w:rsidR="00320029">
        <w:t xml:space="preserve">PBS </w:t>
      </w:r>
      <w:r w:rsidRPr="00675BB1">
        <w:t>listing o</w:t>
      </w:r>
      <w:r w:rsidR="00320029">
        <w:t xml:space="preserve">f all drugs for the treatment of breast cancer </w:t>
      </w:r>
      <w:r w:rsidR="00A8734D">
        <w:t>can</w:t>
      </w:r>
      <w:r w:rsidR="00320029">
        <w:t xml:space="preserve"> be found in </w:t>
      </w:r>
      <w:r w:rsidR="006A0447" w:rsidRPr="000C3E08">
        <w:t>Attachment 1</w:t>
      </w:r>
      <w:r w:rsidR="00320029" w:rsidRPr="000C3E08">
        <w:t>.</w:t>
      </w:r>
    </w:p>
    <w:p w:rsidR="004D20AB" w:rsidRDefault="004D20AB">
      <w:pPr>
        <w:spacing w:line="276" w:lineRule="auto"/>
        <w:rPr>
          <w:b/>
          <w:sz w:val="28"/>
          <w:szCs w:val="28"/>
        </w:rPr>
      </w:pPr>
      <w:r>
        <w:rPr>
          <w:i/>
          <w:sz w:val="28"/>
        </w:rPr>
        <w:br w:type="page"/>
      </w:r>
    </w:p>
    <w:p w:rsidR="00CB354F" w:rsidRDefault="00CB354F" w:rsidP="00CB354F">
      <w:pPr>
        <w:pStyle w:val="Heading3"/>
        <w:rPr>
          <w:i w:val="0"/>
          <w:sz w:val="28"/>
        </w:rPr>
      </w:pPr>
      <w:r w:rsidRPr="00A8734D">
        <w:rPr>
          <w:i w:val="0"/>
          <w:sz w:val="28"/>
        </w:rPr>
        <w:t>Relevant aspects of consideration by the Pharmaceutical Benefits Advisory Committee (PBAC)</w:t>
      </w:r>
    </w:p>
    <w:p w:rsidR="004D20AB" w:rsidRDefault="004D20AB" w:rsidP="004D20AB">
      <w:pPr>
        <w:pStyle w:val="Heading2"/>
        <w:spacing w:before="0" w:after="0"/>
      </w:pPr>
      <w:r>
        <w:t>Table 2: Summary of PBAC consideration of trastuzumab, pertuzumab and trastuzumab emtansine (T-DM1)</w:t>
      </w:r>
    </w:p>
    <w:tbl>
      <w:tblPr>
        <w:tblStyle w:val="TableGrid"/>
        <w:tblW w:w="0" w:type="auto"/>
        <w:tblLook w:val="04A0" w:firstRow="1" w:lastRow="0" w:firstColumn="1" w:lastColumn="0" w:noHBand="0" w:noVBand="1"/>
        <w:tblCaption w:val="Table 2: Summary of PBAC consideration of trastuzumab, pertuzumab and trastuzumab emtansine (T-DM1)"/>
      </w:tblPr>
      <w:tblGrid>
        <w:gridCol w:w="2802"/>
        <w:gridCol w:w="6371"/>
      </w:tblGrid>
      <w:tr w:rsidR="004D20AB" w:rsidTr="00DC5781">
        <w:trPr>
          <w:tblHeader/>
        </w:trPr>
        <w:tc>
          <w:tcPr>
            <w:tcW w:w="2802" w:type="dxa"/>
            <w:shd w:val="clear" w:color="auto" w:fill="BFBFBF" w:themeFill="background1" w:themeFillShade="BF"/>
          </w:tcPr>
          <w:p w:rsidR="004D20AB" w:rsidRDefault="004D20AB" w:rsidP="008710B9">
            <w:r>
              <w:t>PBAC meeting(s)</w:t>
            </w:r>
          </w:p>
        </w:tc>
        <w:tc>
          <w:tcPr>
            <w:tcW w:w="6371" w:type="dxa"/>
            <w:shd w:val="clear" w:color="auto" w:fill="BFBFBF" w:themeFill="background1" w:themeFillShade="BF"/>
          </w:tcPr>
          <w:p w:rsidR="004D20AB" w:rsidRDefault="004D20AB" w:rsidP="008710B9"/>
        </w:tc>
      </w:tr>
      <w:tr w:rsidR="004D20AB" w:rsidTr="008710B9">
        <w:tc>
          <w:tcPr>
            <w:tcW w:w="2802" w:type="dxa"/>
          </w:tcPr>
          <w:p w:rsidR="004D20AB" w:rsidRDefault="004D20AB" w:rsidP="008710B9">
            <w:r>
              <w:t>September 2000 / March 2001</w:t>
            </w:r>
          </w:p>
        </w:tc>
        <w:tc>
          <w:tcPr>
            <w:tcW w:w="6371" w:type="dxa"/>
          </w:tcPr>
          <w:p w:rsidR="004D20AB" w:rsidRDefault="004D20AB" w:rsidP="008710B9">
            <w:r>
              <w:t>Consideration of trastuzumab for HER2+ metastatic breast cancer. PBAC concludes that trastuzumab provides additional benefit in extending progression free survival (PFS) but was not acceptably cost effective.</w:t>
            </w:r>
          </w:p>
        </w:tc>
      </w:tr>
      <w:tr w:rsidR="004D20AB" w:rsidTr="008710B9">
        <w:tc>
          <w:tcPr>
            <w:tcW w:w="2802" w:type="dxa"/>
          </w:tcPr>
          <w:p w:rsidR="004D20AB" w:rsidRDefault="004D20AB" w:rsidP="008710B9">
            <w:r>
              <w:t>December 2001</w:t>
            </w:r>
          </w:p>
        </w:tc>
        <w:tc>
          <w:tcPr>
            <w:tcW w:w="6371" w:type="dxa"/>
          </w:tcPr>
          <w:p w:rsidR="004D20AB" w:rsidRDefault="004D20AB" w:rsidP="008710B9">
            <w:r>
              <w:t>Government implements the Herceptin Program providing access to trastuzumab 150 mg.</w:t>
            </w:r>
          </w:p>
        </w:tc>
      </w:tr>
      <w:tr w:rsidR="004D20AB" w:rsidTr="008710B9">
        <w:tc>
          <w:tcPr>
            <w:tcW w:w="2802" w:type="dxa"/>
          </w:tcPr>
          <w:p w:rsidR="004D20AB" w:rsidRDefault="004D20AB" w:rsidP="008710B9">
            <w:r>
              <w:t>2004</w:t>
            </w:r>
          </w:p>
        </w:tc>
        <w:tc>
          <w:tcPr>
            <w:tcW w:w="6371" w:type="dxa"/>
          </w:tcPr>
          <w:p w:rsidR="004D20AB" w:rsidRDefault="004D20AB" w:rsidP="008710B9">
            <w:r>
              <w:t xml:space="preserve">First Government review of Herceptin Program. </w:t>
            </w:r>
          </w:p>
        </w:tc>
      </w:tr>
      <w:tr w:rsidR="004D20AB" w:rsidTr="008710B9">
        <w:tc>
          <w:tcPr>
            <w:tcW w:w="2802" w:type="dxa"/>
          </w:tcPr>
          <w:p w:rsidR="004D20AB" w:rsidRDefault="004D20AB" w:rsidP="008710B9">
            <w:r>
              <w:t>July 2006</w:t>
            </w:r>
          </w:p>
        </w:tc>
        <w:tc>
          <w:tcPr>
            <w:tcW w:w="6371" w:type="dxa"/>
          </w:tcPr>
          <w:p w:rsidR="004D20AB" w:rsidRDefault="004D20AB" w:rsidP="008710B9">
            <w:r>
              <w:t>Second Government review of Herceptin Program. Advice from PBAC provided to the Minister.</w:t>
            </w:r>
          </w:p>
          <w:p w:rsidR="004D20AB" w:rsidRDefault="004D20AB" w:rsidP="008710B9">
            <w:r>
              <w:t xml:space="preserve">PBAC recommends listing trastuzumab in early breast cancer. </w:t>
            </w:r>
          </w:p>
        </w:tc>
      </w:tr>
      <w:tr w:rsidR="004D20AB" w:rsidTr="008710B9">
        <w:tc>
          <w:tcPr>
            <w:tcW w:w="2802" w:type="dxa"/>
          </w:tcPr>
          <w:p w:rsidR="004D20AB" w:rsidRDefault="004D20AB" w:rsidP="008710B9">
            <w:r>
              <w:t>1 October 2006</w:t>
            </w:r>
          </w:p>
        </w:tc>
        <w:tc>
          <w:tcPr>
            <w:tcW w:w="6371" w:type="dxa"/>
          </w:tcPr>
          <w:p w:rsidR="004D20AB" w:rsidRDefault="004D20AB" w:rsidP="008710B9">
            <w:r>
              <w:t>Trastuzumab listed on PBS for early breast cancer</w:t>
            </w:r>
          </w:p>
        </w:tc>
      </w:tr>
      <w:tr w:rsidR="004D20AB" w:rsidTr="008710B9">
        <w:tc>
          <w:tcPr>
            <w:tcW w:w="2802" w:type="dxa"/>
          </w:tcPr>
          <w:p w:rsidR="004D20AB" w:rsidRDefault="004D20AB" w:rsidP="008710B9">
            <w:r>
              <w:t>July 2007</w:t>
            </w:r>
          </w:p>
        </w:tc>
        <w:tc>
          <w:tcPr>
            <w:tcW w:w="6371" w:type="dxa"/>
          </w:tcPr>
          <w:p w:rsidR="004D20AB" w:rsidRDefault="004D20AB" w:rsidP="008710B9">
            <w:r>
              <w:t xml:space="preserve">PBAC recommends lapatinib for HER2+ metastatic breast cancer </w:t>
            </w:r>
          </w:p>
        </w:tc>
      </w:tr>
      <w:tr w:rsidR="004D20AB" w:rsidTr="008710B9">
        <w:tc>
          <w:tcPr>
            <w:tcW w:w="2802" w:type="dxa"/>
          </w:tcPr>
          <w:p w:rsidR="004D20AB" w:rsidRDefault="004D20AB" w:rsidP="008710B9">
            <w:r>
              <w:t>1 December 2007</w:t>
            </w:r>
          </w:p>
        </w:tc>
        <w:tc>
          <w:tcPr>
            <w:tcW w:w="6371" w:type="dxa"/>
          </w:tcPr>
          <w:p w:rsidR="004D20AB" w:rsidRDefault="004D20AB" w:rsidP="008710B9">
            <w:r>
              <w:t>Lapatinib listed on PBS for metastatic breast cancer (MBC)</w:t>
            </w:r>
          </w:p>
        </w:tc>
      </w:tr>
      <w:tr w:rsidR="004D20AB" w:rsidTr="008710B9">
        <w:tc>
          <w:tcPr>
            <w:tcW w:w="2802" w:type="dxa"/>
          </w:tcPr>
          <w:p w:rsidR="004D20AB" w:rsidRDefault="004D20AB" w:rsidP="008710B9">
            <w:r>
              <w:t>November 2008</w:t>
            </w:r>
          </w:p>
        </w:tc>
        <w:tc>
          <w:tcPr>
            <w:tcW w:w="6371" w:type="dxa"/>
          </w:tcPr>
          <w:p w:rsidR="004D20AB" w:rsidRDefault="004D20AB" w:rsidP="008710B9">
            <w:r>
              <w:t>Third review of Herceptin Program. PBAC advised the Minister that trastuzumab was not acceptably cost-effective at the price offered.</w:t>
            </w:r>
          </w:p>
        </w:tc>
      </w:tr>
      <w:tr w:rsidR="004D20AB" w:rsidTr="008710B9">
        <w:tc>
          <w:tcPr>
            <w:tcW w:w="2802" w:type="dxa"/>
          </w:tcPr>
          <w:p w:rsidR="004D20AB" w:rsidRDefault="004D20AB" w:rsidP="008710B9">
            <w:r>
              <w:t>July 2010</w:t>
            </w:r>
          </w:p>
        </w:tc>
        <w:tc>
          <w:tcPr>
            <w:tcW w:w="6371" w:type="dxa"/>
          </w:tcPr>
          <w:p w:rsidR="004D20AB" w:rsidRDefault="004D20AB" w:rsidP="008710B9">
            <w:r>
              <w:t>PBAC recommended listing of trastuzumab 60 mg injection in early breast cancer.</w:t>
            </w:r>
          </w:p>
        </w:tc>
      </w:tr>
      <w:tr w:rsidR="004D20AB" w:rsidRPr="004F405D" w:rsidTr="008710B9">
        <w:tc>
          <w:tcPr>
            <w:tcW w:w="2802" w:type="dxa"/>
          </w:tcPr>
          <w:p w:rsidR="004D20AB" w:rsidRPr="004F405D" w:rsidRDefault="004D20AB" w:rsidP="008710B9">
            <w:r w:rsidRPr="004F405D">
              <w:t>November 2014</w:t>
            </w:r>
          </w:p>
        </w:tc>
        <w:tc>
          <w:tcPr>
            <w:tcW w:w="6371" w:type="dxa"/>
          </w:tcPr>
          <w:p w:rsidR="004D20AB" w:rsidRPr="004F405D" w:rsidRDefault="004D20AB" w:rsidP="008710B9">
            <w:r w:rsidRPr="004F405D">
              <w:t>PBAC recommended:</w:t>
            </w:r>
          </w:p>
          <w:p w:rsidR="004D20AB" w:rsidRPr="004F405D" w:rsidRDefault="004D20AB" w:rsidP="008710B9">
            <w:r w:rsidRPr="004F405D">
              <w:t>Pertuzumab plus trastuzumab plus taxane in MBC ,</w:t>
            </w:r>
          </w:p>
          <w:p w:rsidR="004D20AB" w:rsidRPr="004F405D" w:rsidRDefault="004D20AB" w:rsidP="008710B9">
            <w:r w:rsidRPr="004F405D">
              <w:t>Trastuzumab 150 mg and 60 mg plus taxane or vinorelbine in MBC,</w:t>
            </w:r>
          </w:p>
          <w:p w:rsidR="004D20AB" w:rsidRPr="004F405D" w:rsidRDefault="004D20AB" w:rsidP="008710B9">
            <w:r w:rsidRPr="004F405D">
              <w:t>Trastuzumab 150 mg and 60 mg as monotherapy in MBC,</w:t>
            </w:r>
          </w:p>
          <w:p w:rsidR="004D20AB" w:rsidRPr="004F405D" w:rsidRDefault="004D20AB" w:rsidP="008710B9">
            <w:r w:rsidRPr="004F405D">
              <w:t>Trastuzumab-emtansine in MBC after disease progression</w:t>
            </w:r>
            <w:r w:rsidR="00222A88">
              <w:t>.</w:t>
            </w:r>
            <w:r w:rsidRPr="004F405D">
              <w:t xml:space="preserve"> </w:t>
            </w:r>
          </w:p>
          <w:p w:rsidR="004D20AB" w:rsidRPr="004F405D" w:rsidRDefault="004D20AB" w:rsidP="008710B9">
            <w:r w:rsidRPr="004F405D">
              <w:t>Listed on the PBS on 1 July 2015</w:t>
            </w:r>
          </w:p>
        </w:tc>
      </w:tr>
      <w:tr w:rsidR="004D20AB" w:rsidTr="008710B9">
        <w:tc>
          <w:tcPr>
            <w:tcW w:w="2802" w:type="dxa"/>
          </w:tcPr>
          <w:p w:rsidR="004D20AB" w:rsidRDefault="004D20AB" w:rsidP="008710B9">
            <w:r>
              <w:t>July 2015</w:t>
            </w:r>
          </w:p>
        </w:tc>
        <w:tc>
          <w:tcPr>
            <w:tcW w:w="6371" w:type="dxa"/>
          </w:tcPr>
          <w:p w:rsidR="004D20AB" w:rsidRDefault="0095765D" w:rsidP="00DF789F">
            <w:r>
              <w:t>PBAC recommended:</w:t>
            </w:r>
            <w:r>
              <w:br/>
            </w:r>
            <w:r w:rsidR="004D20AB">
              <w:t>Trastuzumab subcutaneous 600 mg/5 mL</w:t>
            </w:r>
            <w:r>
              <w:t xml:space="preserve"> for </w:t>
            </w:r>
            <w:r w:rsidR="00DF789F">
              <w:t xml:space="preserve">the same PBS </w:t>
            </w:r>
            <w:r>
              <w:t>early and metastatic breast cancer</w:t>
            </w:r>
            <w:r w:rsidR="00DF789F">
              <w:t xml:space="preserve"> restrictions as trastuzumab infusions.</w:t>
            </w:r>
          </w:p>
        </w:tc>
      </w:tr>
    </w:tbl>
    <w:p w:rsidR="004D20AB" w:rsidRDefault="004D20AB" w:rsidP="004D20AB">
      <w:pPr>
        <w:spacing w:line="276" w:lineRule="auto"/>
        <w:rPr>
          <w:b/>
          <w:i/>
          <w:szCs w:val="28"/>
        </w:rPr>
      </w:pPr>
    </w:p>
    <w:p w:rsidR="004D20AB" w:rsidRPr="00A8734D" w:rsidRDefault="004D20AB" w:rsidP="004D20AB">
      <w:pPr>
        <w:rPr>
          <w:b/>
          <w:i/>
        </w:rPr>
      </w:pPr>
      <w:r w:rsidRPr="00A8734D">
        <w:rPr>
          <w:b/>
          <w:i/>
        </w:rPr>
        <w:t>Comparative clinical effectiveness</w:t>
      </w:r>
    </w:p>
    <w:p w:rsidR="004D20AB" w:rsidRPr="00A8734D" w:rsidRDefault="004D20AB" w:rsidP="004D20AB">
      <w:pPr>
        <w:rPr>
          <w:u w:val="single"/>
        </w:rPr>
      </w:pPr>
      <w:r w:rsidRPr="00A8734D">
        <w:rPr>
          <w:u w:val="single"/>
        </w:rPr>
        <w:t>Trastuzumab</w:t>
      </w:r>
    </w:p>
    <w:p w:rsidR="004D20AB" w:rsidRDefault="004D20AB" w:rsidP="004D20AB">
      <w:r>
        <w:t>The PBAC (September 2000) considered that there was good evidence to support the effectiveness of trastuzumab in combination with taxanes in MBC</w:t>
      </w:r>
      <w:r w:rsidR="00BE354B">
        <w:t xml:space="preserve">. </w:t>
      </w:r>
      <w:r>
        <w:t>This remained the recommendation of the PBAC (November 2008, November 2014). The comparative clinical effectiveness of monotherapy was uncertain (September 2001, November 2008). Additional evidence was provided by Roche for consideration in November 2014.</w:t>
      </w:r>
    </w:p>
    <w:p w:rsidR="004D20AB" w:rsidRDefault="004D20AB" w:rsidP="004D20AB">
      <w:r>
        <w:t>In the November 2008 review of trastuzumab in MBC (Herceptin Program), the PBAC considered evidence for additional therapies to those considered in 2001. The PBAC concluded:</w:t>
      </w:r>
    </w:p>
    <w:p w:rsidR="004D20AB" w:rsidRDefault="004D20AB" w:rsidP="004D20AB">
      <w:pPr>
        <w:pStyle w:val="ListParagraph"/>
        <w:numPr>
          <w:ilvl w:val="0"/>
          <w:numId w:val="3"/>
        </w:numPr>
      </w:pPr>
      <w:r w:rsidRPr="00141D9E">
        <w:rPr>
          <w:i/>
        </w:rPr>
        <w:t>Trastuzumab in combination with aromatase inhibitors,</w:t>
      </w:r>
      <w:r>
        <w:t xml:space="preserve"> in oestrogen receptor positive patients, was more effective but associated with greater toxicity than aromatase inhibitors alone in first and second line treatment.</w:t>
      </w:r>
    </w:p>
    <w:p w:rsidR="004D20AB" w:rsidRDefault="004D20AB" w:rsidP="004D20AB">
      <w:pPr>
        <w:pStyle w:val="ListParagraph"/>
        <w:numPr>
          <w:ilvl w:val="0"/>
          <w:numId w:val="3"/>
        </w:numPr>
      </w:pPr>
      <w:r w:rsidRPr="00141D9E">
        <w:rPr>
          <w:i/>
        </w:rPr>
        <w:t>Trastuzumab plus vinorelbine</w:t>
      </w:r>
      <w:r>
        <w:t xml:space="preserve"> showed an increasing trend supporting greater efficacy compared to vinorelbine alone. The evidence was difficult to interpret owing to biases associated with single arm studies and confounding. Studies comparing trastuzumab plus vinorelbine with trastuzumab plus taxane in first line treatment demonstrated equal efficacy with different toxicity profiles. This combination is not approved in the product information.</w:t>
      </w:r>
    </w:p>
    <w:p w:rsidR="004D20AB" w:rsidRDefault="004D20AB" w:rsidP="004D20AB">
      <w:pPr>
        <w:pStyle w:val="ListParagraph"/>
        <w:numPr>
          <w:ilvl w:val="0"/>
          <w:numId w:val="3"/>
        </w:numPr>
      </w:pPr>
      <w:r w:rsidRPr="00141D9E">
        <w:rPr>
          <w:i/>
        </w:rPr>
        <w:t>Trastuzumab plus taxanes plus another chemotherapy</w:t>
      </w:r>
      <w:r>
        <w:t>. The PBAC found it could not be certain of additional benefit but noted there was greater toxicity. This combination is not approved in the product information.</w:t>
      </w:r>
    </w:p>
    <w:p w:rsidR="004D20AB" w:rsidRDefault="004D20AB" w:rsidP="004D20AB">
      <w:pPr>
        <w:pStyle w:val="ListParagraph"/>
        <w:numPr>
          <w:ilvl w:val="0"/>
          <w:numId w:val="3"/>
        </w:numPr>
      </w:pPr>
      <w:r w:rsidRPr="00141D9E">
        <w:rPr>
          <w:i/>
        </w:rPr>
        <w:t>Trastuzumab as monotherapy</w:t>
      </w:r>
      <w:r>
        <w:t xml:space="preserve"> used beyond disease progression shows uncertain evidence of clinical benefit. Use beyond disease progression is not approved in the product information.</w:t>
      </w:r>
    </w:p>
    <w:p w:rsidR="004D20AB" w:rsidRDefault="004D20AB" w:rsidP="004D20AB">
      <w:pPr>
        <w:pStyle w:val="ListParagraph"/>
        <w:numPr>
          <w:ilvl w:val="0"/>
          <w:numId w:val="3"/>
        </w:numPr>
      </w:pPr>
      <w:r>
        <w:t>There was no evidence available to support clinical benefit of trastuzumab in patients who have been treated with adjuvant trastuzumab in early breast cancer who then relapsed and presented with MBC. The lack of evidence for these patients is noted in the product information.</w:t>
      </w:r>
    </w:p>
    <w:p w:rsidR="004D20AB" w:rsidRDefault="004D20AB" w:rsidP="004D20AB">
      <w:r>
        <w:t xml:space="preserve">In November 2014 the PBAC considered a further request for trastuzumab to be listed on the PBS for MBC. The committee noted its conclusions from previous considerations of the evidence (November 2008). The PBAC considered new evidence of clinical benefit in patients who had disease progression and where trastuzumab was being used in second and subsequent lines of treatment. </w:t>
      </w:r>
    </w:p>
    <w:p w:rsidR="004D20AB" w:rsidRPr="004F405D" w:rsidRDefault="004D20AB" w:rsidP="004D20AB">
      <w:r w:rsidRPr="004F405D">
        <w:t>The PBAC considered that the results of the M77001 study provided evidence that trastuzumab plus docetaxel in first line therapy was associated with patients having a longer time before their disease worsened (time to progression, TTP) and longer time to death (overall survival) compared to docetaxel alone.</w:t>
      </w:r>
    </w:p>
    <w:p w:rsidR="004D20AB" w:rsidRPr="004F405D" w:rsidRDefault="004D20AB" w:rsidP="004D20AB">
      <w:r w:rsidRPr="004F405D">
        <w:t xml:space="preserve">The most reliable evidence for use of trastuzumab in second and later lines was provided by  study GBG 26. The evidence from this study showed that trastuzumab plus capecitabine was associated with a longer time until the disease worsened compared to capecitabine alone. The study was of poor quality and the result measuring survival was not robust. PBAC accepted that more robust evidence was unlikely to be obtained. </w:t>
      </w:r>
    </w:p>
    <w:p w:rsidR="004D20AB" w:rsidRPr="004F405D" w:rsidRDefault="004D20AB" w:rsidP="004D20AB">
      <w:r w:rsidRPr="004F405D">
        <w:t>The PBAC noted the clinical use of HER2 blockade until death with and without continuous chemotherapy for a significant number of patients in practice. This affects treatment costs and exposes patients to risk of adverse events without good evidence to support this practice.</w:t>
      </w:r>
    </w:p>
    <w:p w:rsidR="004D20AB" w:rsidRPr="004F405D" w:rsidRDefault="004D20AB" w:rsidP="004D20AB">
      <w:pPr>
        <w:rPr>
          <w:u w:val="single"/>
        </w:rPr>
      </w:pPr>
      <w:r w:rsidRPr="004F405D">
        <w:rPr>
          <w:u w:val="single"/>
        </w:rPr>
        <w:t xml:space="preserve">Pertuzumab </w:t>
      </w:r>
    </w:p>
    <w:p w:rsidR="004D20AB" w:rsidRDefault="004D20AB" w:rsidP="004D20AB">
      <w:r w:rsidRPr="004F405D">
        <w:t xml:space="preserve">Pertuzumab used in combination with trastuzumab plus docetaxel was superior to trastuzumab plus docetaxel alone in increasing the time patients’ tumours did not worsen (progression free survival). The combination was slightly worse in terms of comparative safety over trastuzumab plus docetaxel alone, as there were more adverse events in patients treated with the combination. The CLEOPATRA trial showed a median of 18.7 months progression free survival (95%CI 17, 22) when patients were treated with </w:t>
      </w:r>
      <w:r>
        <w:t>pertuzumab plus trastuzumab plus docetaxel compared to 12.4 (95%CI 10, 14) with trastuzumab plus docetaxel alone providing an incremental gain of 6.3 months. The updated 2014 results for median overall survival showed an incremental gain of 15.7 months. The population enrolled in the CLEOPATRA trial had at least 12 months between completion of treatment for early breast cancer and progression of disease to metastatic or unresectable locally advanced disease.</w:t>
      </w:r>
    </w:p>
    <w:p w:rsidR="004D20AB" w:rsidRDefault="004D20AB" w:rsidP="004D20AB">
      <w:r>
        <w:t>One course of pertuzumab is subsidised per patient lifetime.</w:t>
      </w:r>
    </w:p>
    <w:p w:rsidR="004D20AB" w:rsidRPr="003B4553" w:rsidRDefault="004D20AB" w:rsidP="004D20AB">
      <w:pPr>
        <w:rPr>
          <w:u w:val="single"/>
        </w:rPr>
      </w:pPr>
      <w:r w:rsidRPr="003B4553">
        <w:rPr>
          <w:u w:val="single"/>
        </w:rPr>
        <w:t>Trastuzumab emtansine (T-DM1)</w:t>
      </w:r>
    </w:p>
    <w:p w:rsidR="004D20AB" w:rsidRPr="004F405D" w:rsidRDefault="004D20AB" w:rsidP="004D20AB">
      <w:r w:rsidRPr="004F405D">
        <w:t>T-DM1 was superior in terms of time patients’ tumours did not worsen (progression free survival) and survival compared to lapatinib plus capecitabine. The EMILIA trial showed an incremental gain of 5.8 months in median overall survival and 3.2 months in median progression free survival. The PBAC also noted that there were more adverse events in patients receiving T-DM1.</w:t>
      </w:r>
    </w:p>
    <w:p w:rsidR="004D20AB" w:rsidRDefault="004D20AB" w:rsidP="004D20AB">
      <w:r>
        <w:t>However this gain was not convincingly demonstrated in patients who had prior treatment with pertuzumab plus trastuzumab and therefore there was some uncertainty about the magnitude of the benefit that would be seen once pertuzumab plus trastuzumab was standard therapy for first line MBC treatment. There was some use of pertuzumab in patients enrolling in the EMILIA trial but the proportion was too small for any meaningful conclusion about differences in benefit.</w:t>
      </w:r>
    </w:p>
    <w:p w:rsidR="004D20AB" w:rsidRDefault="004D20AB" w:rsidP="004D20AB">
      <w:r>
        <w:t>One course of T-DM1 is subsidised per patient lifetime.</w:t>
      </w:r>
    </w:p>
    <w:p w:rsidR="004D20AB" w:rsidRPr="00A8734D" w:rsidRDefault="004D20AB" w:rsidP="004D20AB">
      <w:pPr>
        <w:rPr>
          <w:b/>
          <w:i/>
        </w:rPr>
      </w:pPr>
      <w:r>
        <w:rPr>
          <w:b/>
          <w:i/>
        </w:rPr>
        <w:t>Cost-</w:t>
      </w:r>
      <w:r w:rsidRPr="00A8734D">
        <w:rPr>
          <w:b/>
          <w:i/>
        </w:rPr>
        <w:t>effectiveness</w:t>
      </w:r>
    </w:p>
    <w:p w:rsidR="004D20AB" w:rsidRPr="00A8734D" w:rsidRDefault="004D20AB" w:rsidP="004D20AB">
      <w:pPr>
        <w:rPr>
          <w:u w:val="single"/>
        </w:rPr>
      </w:pPr>
      <w:r w:rsidRPr="00A8734D">
        <w:rPr>
          <w:u w:val="single"/>
        </w:rPr>
        <w:t>Trastuzumab</w:t>
      </w:r>
    </w:p>
    <w:p w:rsidR="004D20AB" w:rsidRDefault="004D20AB" w:rsidP="004D20AB">
      <w:r w:rsidRPr="000129BF">
        <w:t>Trastuzumab was initially not acceptably cost-effective at the price proposed for either combination therapy with taxanes or monotherapy (September 2000 and March 2001 PBAC meetings).</w:t>
      </w:r>
    </w:p>
    <w:p w:rsidR="004D20AB" w:rsidRDefault="004D20AB" w:rsidP="004D20AB">
      <w:r>
        <w:t>A new model was considered by PBAC in November 2008. The PBAC considered that the Markov model used to assess the cost-effectiveness of trastuzumab in MBC was robust</w:t>
      </w:r>
      <w:r w:rsidR="00BE354B">
        <w:t xml:space="preserve">. </w:t>
      </w:r>
      <w:r>
        <w:t>Any assumptions that might favour trastuzumab and underestimate the incremental cost-effectiveness ratio (ICER) (e.g. that there was no use of drug beyond progression and that there were no costs associated with progression) were likely to be balanced by assumptions that bias the ICER against trastuzumab (e.g. the likelihood that the survival advantage in first line setting was underestimated because of cross over and the poor patient selection resulting from inaccurate testing for HER2 when some of the studies were designed). Overall the committee noted that if the price of trastuzumab was reduced by a substantial amount the ICER would fall into a range which would make it acceptable for PBS subsidy.</w:t>
      </w:r>
    </w:p>
    <w:p w:rsidR="004D20AB" w:rsidRDefault="004D20AB" w:rsidP="004D20AB">
      <w:r>
        <w:t>The models presented in the November 2014 submission included the use of trastuzumab in first-line therapy and in multiple-lines of therapy. The price of trastuzumab was reduced.</w:t>
      </w:r>
    </w:p>
    <w:p w:rsidR="004D20AB" w:rsidRDefault="004D20AB" w:rsidP="004D20AB">
      <w:r>
        <w:t xml:space="preserve">The PBAC concluded that the ICER for first line trastuzumab remains high but was more certain than the ICER for second line. The model in this submission was likely to underestimate the ICER/LYG for multiple lines of treatment due to likely biases in the clinical evidence, not translating the incremental benefit into QALYs gained, excluding the cost and disutilities associated with adverse events and excluding costs of some chemotherapies and retesting of HER2 status. Overall the model was very sensitive to the price of trastuzumab. </w:t>
      </w:r>
    </w:p>
    <w:p w:rsidR="004D20AB" w:rsidRPr="00A8734D" w:rsidRDefault="004D20AB" w:rsidP="004D20AB">
      <w:pPr>
        <w:rPr>
          <w:u w:val="single"/>
        </w:rPr>
      </w:pPr>
      <w:r w:rsidRPr="00A8734D">
        <w:rPr>
          <w:u w:val="single"/>
        </w:rPr>
        <w:t>Pertuzumab</w:t>
      </w:r>
    </w:p>
    <w:p w:rsidR="004D20AB" w:rsidRDefault="004D20AB" w:rsidP="004D20AB">
      <w:r>
        <w:t xml:space="preserve">The PBAC considered the economic model to be reasonably reliable but noted that post progression costs in particular favoured pertuzumab. </w:t>
      </w:r>
    </w:p>
    <w:p w:rsidR="004D20AB" w:rsidRPr="00192A24" w:rsidRDefault="00192A24" w:rsidP="004D20AB">
      <w:pPr>
        <w:rPr>
          <w:highlight w:val="black"/>
        </w:rPr>
      </w:pPr>
      <w:r>
        <w:rPr>
          <w:noProof/>
          <w:color w:val="000000"/>
          <w:highlight w:val="black"/>
        </w:rPr>
        <w:t>''' '''''''''''''''''''' '''' ''''' '''''''''''' '''' '''''''''''''''''''' '''''' ''''''''''''''' '''''''''' '''''''''''''''' ''''''' ''''''''''''''''''' ''''' ''''''''''' '''' ''''''' ''''''''' ''''' ''''''''' ''''''''''''''''' ''''''' '''''''''''''''''''''''''''''' ''''''''''''''''''''' '''''''''' ''''''''' ''''''''''''' ''''''''''''''''' '''''''' '''''''' ''''''''''''''''' '''' '''''' ''''''''''''''''''''''' ''''''' ''' '''''''''''''''' '''''' ''''''''''''''' '''''''''''''''''''''''''''</w:t>
      </w:r>
    </w:p>
    <w:p w:rsidR="004D20AB" w:rsidRPr="00A8734D" w:rsidRDefault="004D20AB" w:rsidP="004D20AB">
      <w:pPr>
        <w:rPr>
          <w:u w:val="single"/>
        </w:rPr>
      </w:pPr>
      <w:r w:rsidRPr="00A8734D">
        <w:rPr>
          <w:u w:val="single"/>
        </w:rPr>
        <w:t>Trastuzumab emtansine (T-DM1)</w:t>
      </w:r>
    </w:p>
    <w:p w:rsidR="004D20AB" w:rsidRDefault="004D20AB" w:rsidP="004D20AB">
      <w:r>
        <w:t xml:space="preserve">The PBAC accepted the model as reasonably reliable but noted that the assumptions and inputs for a number of parameters favour T-DM1 and lead to uncertainty in concluding cost effectiveness. These included </w:t>
      </w:r>
      <w:r w:rsidR="00192A24">
        <w:rPr>
          <w:noProof/>
          <w:color w:val="000000"/>
          <w:highlight w:val="black"/>
        </w:rPr>
        <w:t>''''''</w:t>
      </w:r>
      <w:r>
        <w:t xml:space="preserve">% of the survival gain was after disease progression, an imbalance in HER2 therapy across the treatments being compared in the model, and the way costs of disease progression are attributed. </w:t>
      </w:r>
    </w:p>
    <w:p w:rsidR="004D20AB" w:rsidRPr="00192A24" w:rsidRDefault="00192A24" w:rsidP="004D20AB">
      <w:pPr>
        <w:rPr>
          <w:highlight w:val="black"/>
        </w:rPr>
      </w:pPr>
      <w:r>
        <w:rPr>
          <w:noProof/>
          <w:color w:val="000000"/>
          <w:highlight w:val="black"/>
        </w:rPr>
        <w:t>''' ''''''''''''''''' '''' '''''' '''''''''' '''' ''''''''''' '''''' ''''''''''''' ''''''''''''''' '''''''''' ''''''''''''''' ''''''' '''''''''''''''''' '''' '''''''''''' '''' '''''' '''''''' ''''' '''''''' ''''''''''''''' ''''''''' ''''''''''''''''' '''''' ''''''''' ''''' '''''''''''''''''''''''''' ''''''''''''''''''''''''''' '''''''''''''''''''' ''''''''' ''''''''' '''''''''''''' '''''''''''''' ''''''' '''''''' ''''''''''''''''' ''''' ''''' ''''''''''''''''''''''''' ''''''' ''' ''''''''''''''''' '''''' ''''''''''''''' ''''''''''''''''''''''''''</w:t>
      </w:r>
    </w:p>
    <w:p w:rsidR="004D20AB" w:rsidRPr="00A8734D" w:rsidRDefault="004D20AB" w:rsidP="004D20AB">
      <w:pPr>
        <w:rPr>
          <w:b/>
          <w:i/>
        </w:rPr>
      </w:pPr>
      <w:r w:rsidRPr="00A8734D">
        <w:rPr>
          <w:b/>
          <w:i/>
        </w:rPr>
        <w:t>Access to each product (restriction)</w:t>
      </w:r>
    </w:p>
    <w:p w:rsidR="004D20AB" w:rsidRPr="004F405D" w:rsidRDefault="004D20AB" w:rsidP="004D20AB">
      <w:r>
        <w:t xml:space="preserve">The PBAC (November 2014) reviewed the restrictions for all three medicines. The committee was concerned to ensure that the restrictions reflected current evidence and legitimised clinical practice by allowing use of trastuzumab beyond progression and a range of partner chemotherapy options, with the exception of nab-paclitaxel. The PBAC noted that the restriction should ensure that patients currently accessing trastuzumab on the Herceptin Program would continue to have access to trastuzumab through the PBS. </w:t>
      </w:r>
      <w:r w:rsidRPr="004F405D">
        <w:t>Adjustments to the lapatinib restriction followed finalisation of these restrictions.</w:t>
      </w:r>
    </w:p>
    <w:p w:rsidR="004D20AB" w:rsidRDefault="004D20AB" w:rsidP="004D20AB">
      <w:pPr>
        <w:spacing w:line="276" w:lineRule="auto"/>
        <w:rPr>
          <w:rFonts w:ascii="Calibri" w:eastAsia="MS Mincho" w:hAnsi="Calibri" w:cs="Times New Roman"/>
          <w:b/>
          <w:sz w:val="28"/>
        </w:rPr>
      </w:pPr>
      <w:r w:rsidRPr="003F0749">
        <w:rPr>
          <w:rFonts w:ascii="Calibri" w:eastAsia="MS Mincho" w:hAnsi="Calibri" w:cs="Times New Roman"/>
          <w:b/>
          <w:sz w:val="28"/>
        </w:rPr>
        <w:t>Approach taken to estimate utilisation</w:t>
      </w:r>
    </w:p>
    <w:p w:rsidR="004D20AB" w:rsidRPr="00E202A2" w:rsidRDefault="004D20AB" w:rsidP="004D20AB">
      <w:pPr>
        <w:rPr>
          <w:rFonts w:ascii="Calibri" w:eastAsia="MS Mincho" w:hAnsi="Calibri" w:cs="Times New Roman"/>
        </w:rPr>
      </w:pPr>
      <w:r w:rsidRPr="00E202A2">
        <w:rPr>
          <w:rFonts w:ascii="Calibri" w:eastAsia="MS Mincho" w:hAnsi="Calibri" w:cs="Times New Roman"/>
        </w:rPr>
        <w:t>The submission</w:t>
      </w:r>
      <w:r>
        <w:rPr>
          <w:rFonts w:ascii="Calibri" w:eastAsia="MS Mincho" w:hAnsi="Calibri" w:cs="Times New Roman"/>
        </w:rPr>
        <w:t>s</w:t>
      </w:r>
      <w:r w:rsidRPr="00E202A2">
        <w:rPr>
          <w:rFonts w:ascii="Calibri" w:eastAsia="MS Mincho" w:hAnsi="Calibri" w:cs="Times New Roman"/>
        </w:rPr>
        <w:t xml:space="preserve"> to the PBAC from Roche for trastuzumab, T-DM1 and pertuzumab for MB</w:t>
      </w:r>
      <w:r>
        <w:rPr>
          <w:rFonts w:ascii="Calibri" w:eastAsia="MS Mincho" w:hAnsi="Calibri" w:cs="Times New Roman"/>
        </w:rPr>
        <w:t>C</w:t>
      </w:r>
      <w:r w:rsidRPr="00E202A2">
        <w:rPr>
          <w:rFonts w:ascii="Calibri" w:eastAsia="MS Mincho" w:hAnsi="Calibri" w:cs="Times New Roman"/>
        </w:rPr>
        <w:t xml:space="preserve"> </w:t>
      </w:r>
      <w:r>
        <w:rPr>
          <w:rFonts w:ascii="Calibri" w:eastAsia="MS Mincho" w:hAnsi="Calibri" w:cs="Times New Roman"/>
        </w:rPr>
        <w:t>were</w:t>
      </w:r>
      <w:r w:rsidRPr="00E202A2">
        <w:rPr>
          <w:rFonts w:ascii="Calibri" w:eastAsia="MS Mincho" w:hAnsi="Calibri" w:cs="Times New Roman"/>
        </w:rPr>
        <w:t xml:space="preserve"> considered by DUSC at its October 2014 meeting</w:t>
      </w:r>
      <w:r w:rsidR="00BE354B">
        <w:rPr>
          <w:rFonts w:ascii="Calibri" w:eastAsia="MS Mincho" w:hAnsi="Calibri" w:cs="Times New Roman"/>
        </w:rPr>
        <w:t xml:space="preserve">. </w:t>
      </w:r>
    </w:p>
    <w:p w:rsidR="004D20AB" w:rsidRDefault="004D20AB" w:rsidP="004D20AB">
      <w:pPr>
        <w:rPr>
          <w:rFonts w:ascii="Calibri" w:eastAsia="MS Mincho" w:hAnsi="Calibri" w:cs="Times New Roman"/>
        </w:rPr>
      </w:pPr>
      <w:r w:rsidRPr="00E202A2">
        <w:rPr>
          <w:rFonts w:ascii="Calibri" w:eastAsia="MS Mincho" w:hAnsi="Calibri" w:cs="Times New Roman"/>
        </w:rPr>
        <w:t>The submission</w:t>
      </w:r>
      <w:r>
        <w:rPr>
          <w:rFonts w:ascii="Calibri" w:eastAsia="MS Mincho" w:hAnsi="Calibri" w:cs="Times New Roman"/>
        </w:rPr>
        <w:t>s</w:t>
      </w:r>
      <w:r w:rsidRPr="00E202A2">
        <w:rPr>
          <w:rFonts w:ascii="Calibri" w:eastAsia="MS Mincho" w:hAnsi="Calibri" w:cs="Times New Roman"/>
        </w:rPr>
        <w:t xml:space="preserve"> used Herceptin Program data to estimate patient numbers and current expenditure.</w:t>
      </w:r>
      <w:r>
        <w:rPr>
          <w:rFonts w:ascii="Calibri" w:eastAsia="MS Mincho" w:hAnsi="Calibri" w:cs="Times New Roman"/>
        </w:rPr>
        <w:t xml:space="preserve"> The Herceptin Program was implemented from 1 December 2001 by the government to provide access to trastuzumab 150mg vials for treatment of HER2 expressing (HER2+) MBC. This program was managed separately to the PBS.</w:t>
      </w:r>
    </w:p>
    <w:p w:rsidR="004D20AB" w:rsidRPr="00E202A2" w:rsidRDefault="004D20AB" w:rsidP="004D20AB">
      <w:pPr>
        <w:rPr>
          <w:rFonts w:ascii="Calibri" w:eastAsia="MS Mincho" w:hAnsi="Calibri" w:cs="Times New Roman"/>
        </w:rPr>
      </w:pPr>
      <w:r w:rsidRPr="00E202A2">
        <w:rPr>
          <w:rFonts w:ascii="Calibri" w:eastAsia="MS Mincho" w:hAnsi="Calibri" w:cs="Times New Roman"/>
        </w:rPr>
        <w:t>The submission</w:t>
      </w:r>
      <w:r>
        <w:rPr>
          <w:rFonts w:ascii="Calibri" w:eastAsia="MS Mincho" w:hAnsi="Calibri" w:cs="Times New Roman"/>
        </w:rPr>
        <w:t>s</w:t>
      </w:r>
      <w:r w:rsidRPr="00E202A2">
        <w:rPr>
          <w:rFonts w:ascii="Calibri" w:eastAsia="MS Mincho" w:hAnsi="Calibri" w:cs="Times New Roman"/>
        </w:rPr>
        <w:t xml:space="preserve"> </w:t>
      </w:r>
      <w:r>
        <w:rPr>
          <w:rFonts w:ascii="Calibri" w:eastAsia="MS Mincho" w:hAnsi="Calibri" w:cs="Times New Roman"/>
        </w:rPr>
        <w:t xml:space="preserve">used the Herceptin Program patient numbers as a base for eligible patients. The submission for pertuzumab </w:t>
      </w:r>
      <w:r w:rsidRPr="00E202A2">
        <w:rPr>
          <w:rFonts w:ascii="Calibri" w:eastAsia="MS Mincho" w:hAnsi="Calibri" w:cs="Times New Roman"/>
        </w:rPr>
        <w:t xml:space="preserve">estimated 95% of patients diagnosed with HER2+ </w:t>
      </w:r>
      <w:r>
        <w:rPr>
          <w:rFonts w:ascii="Calibri" w:eastAsia="MS Mincho" w:hAnsi="Calibri" w:cs="Times New Roman"/>
        </w:rPr>
        <w:t>MBC</w:t>
      </w:r>
      <w:r w:rsidRPr="00E202A2">
        <w:rPr>
          <w:rFonts w:ascii="Calibri" w:eastAsia="MS Mincho" w:hAnsi="Calibri" w:cs="Times New Roman"/>
        </w:rPr>
        <w:t xml:space="preserve"> currently commence first line treatment with trastuzumab</w:t>
      </w:r>
      <w:r>
        <w:rPr>
          <w:rFonts w:ascii="Calibri" w:eastAsia="MS Mincho" w:hAnsi="Calibri" w:cs="Times New Roman"/>
        </w:rPr>
        <w:t xml:space="preserve"> with 5% of patients contraindicated to trastuzumab (Section E pertuzumab submission pp5-6)</w:t>
      </w:r>
      <w:r w:rsidRPr="00E202A2">
        <w:rPr>
          <w:rFonts w:ascii="Calibri" w:eastAsia="MS Mincho" w:hAnsi="Calibri" w:cs="Times New Roman"/>
        </w:rPr>
        <w:t xml:space="preserve">. DUSC </w:t>
      </w:r>
      <w:r>
        <w:rPr>
          <w:rFonts w:ascii="Calibri" w:eastAsia="MS Mincho" w:hAnsi="Calibri" w:cs="Times New Roman"/>
        </w:rPr>
        <w:t>agreed that the Herceptin Program patient numbers were a good basis for estimates of eligible patients. In spite of</w:t>
      </w:r>
      <w:r w:rsidRPr="00E202A2">
        <w:rPr>
          <w:rFonts w:ascii="Calibri" w:eastAsia="MS Mincho" w:hAnsi="Calibri" w:cs="Times New Roman"/>
        </w:rPr>
        <w:t xml:space="preserve"> there </w:t>
      </w:r>
      <w:r>
        <w:rPr>
          <w:rFonts w:ascii="Calibri" w:eastAsia="MS Mincho" w:hAnsi="Calibri" w:cs="Times New Roman"/>
        </w:rPr>
        <w:t>being</w:t>
      </w:r>
      <w:r w:rsidRPr="00E202A2">
        <w:rPr>
          <w:rFonts w:ascii="Calibri" w:eastAsia="MS Mincho" w:hAnsi="Calibri" w:cs="Times New Roman"/>
        </w:rPr>
        <w:t xml:space="preserve"> no published data on incidence of HER2+ </w:t>
      </w:r>
      <w:r>
        <w:rPr>
          <w:rFonts w:ascii="Calibri" w:eastAsia="MS Mincho" w:hAnsi="Calibri" w:cs="Times New Roman"/>
        </w:rPr>
        <w:t>MBC</w:t>
      </w:r>
      <w:r w:rsidRPr="00E202A2">
        <w:rPr>
          <w:rFonts w:ascii="Calibri" w:eastAsia="MS Mincho" w:hAnsi="Calibri" w:cs="Times New Roman"/>
        </w:rPr>
        <w:t xml:space="preserve">, new enrolees to the Herceptin Program </w:t>
      </w:r>
      <w:r>
        <w:rPr>
          <w:rFonts w:ascii="Calibri" w:eastAsia="MS Mincho" w:hAnsi="Calibri" w:cs="Times New Roman"/>
        </w:rPr>
        <w:t>were</w:t>
      </w:r>
      <w:r w:rsidRPr="00E202A2">
        <w:rPr>
          <w:rFonts w:ascii="Calibri" w:eastAsia="MS Mincho" w:hAnsi="Calibri" w:cs="Times New Roman"/>
        </w:rPr>
        <w:t xml:space="preserve"> likely to account for almost all patients diagnosed with the condition. The submission</w:t>
      </w:r>
      <w:r>
        <w:rPr>
          <w:rFonts w:ascii="Calibri" w:eastAsia="MS Mincho" w:hAnsi="Calibri" w:cs="Times New Roman"/>
        </w:rPr>
        <w:t>s</w:t>
      </w:r>
      <w:r w:rsidRPr="00E202A2">
        <w:rPr>
          <w:rFonts w:ascii="Calibri" w:eastAsia="MS Mincho" w:hAnsi="Calibri" w:cs="Times New Roman"/>
        </w:rPr>
        <w:t xml:space="preserve"> assume</w:t>
      </w:r>
      <w:r>
        <w:rPr>
          <w:rFonts w:ascii="Calibri" w:eastAsia="MS Mincho" w:hAnsi="Calibri" w:cs="Times New Roman"/>
        </w:rPr>
        <w:t>d</w:t>
      </w:r>
      <w:r w:rsidRPr="00E202A2">
        <w:rPr>
          <w:rFonts w:ascii="Calibri" w:eastAsia="MS Mincho" w:hAnsi="Calibri" w:cs="Times New Roman"/>
        </w:rPr>
        <w:t xml:space="preserve"> 83% of patients </w:t>
      </w:r>
      <w:r>
        <w:rPr>
          <w:rFonts w:ascii="Calibri" w:eastAsia="MS Mincho" w:hAnsi="Calibri" w:cs="Times New Roman"/>
        </w:rPr>
        <w:t>would</w:t>
      </w:r>
      <w:r w:rsidRPr="00E202A2">
        <w:rPr>
          <w:rFonts w:ascii="Calibri" w:eastAsia="MS Mincho" w:hAnsi="Calibri" w:cs="Times New Roman"/>
        </w:rPr>
        <w:t xml:space="preserve"> commence pertuzumab while the remaining 17% </w:t>
      </w:r>
      <w:r>
        <w:rPr>
          <w:rFonts w:ascii="Calibri" w:eastAsia="MS Mincho" w:hAnsi="Calibri" w:cs="Times New Roman"/>
        </w:rPr>
        <w:t>would</w:t>
      </w:r>
      <w:r w:rsidRPr="00E202A2">
        <w:rPr>
          <w:rFonts w:ascii="Calibri" w:eastAsia="MS Mincho" w:hAnsi="Calibri" w:cs="Times New Roman"/>
        </w:rPr>
        <w:t xml:space="preserve"> use trastuzumab+taxane therapy</w:t>
      </w:r>
      <w:r>
        <w:rPr>
          <w:rFonts w:ascii="Calibri" w:eastAsia="MS Mincho" w:hAnsi="Calibri" w:cs="Times New Roman"/>
        </w:rPr>
        <w:t xml:space="preserve"> in first line MBC treatment</w:t>
      </w:r>
      <w:r w:rsidRPr="00E202A2">
        <w:rPr>
          <w:rFonts w:ascii="Calibri" w:eastAsia="MS Mincho" w:hAnsi="Calibri" w:cs="Times New Roman"/>
        </w:rPr>
        <w:t xml:space="preserve">. DUSC considered that </w:t>
      </w:r>
      <w:r>
        <w:rPr>
          <w:rFonts w:ascii="Calibri" w:eastAsia="MS Mincho" w:hAnsi="Calibri" w:cs="Times New Roman"/>
        </w:rPr>
        <w:t xml:space="preserve">pertuzumab uptake of </w:t>
      </w:r>
      <w:r w:rsidRPr="00E202A2">
        <w:rPr>
          <w:rFonts w:ascii="Calibri" w:eastAsia="MS Mincho" w:hAnsi="Calibri" w:cs="Times New Roman"/>
        </w:rPr>
        <w:t xml:space="preserve">83% </w:t>
      </w:r>
      <w:r>
        <w:rPr>
          <w:rFonts w:ascii="Calibri" w:eastAsia="MS Mincho" w:hAnsi="Calibri" w:cs="Times New Roman"/>
        </w:rPr>
        <w:t>was</w:t>
      </w:r>
      <w:r w:rsidRPr="00E202A2">
        <w:rPr>
          <w:rFonts w:ascii="Calibri" w:eastAsia="MS Mincho" w:hAnsi="Calibri" w:cs="Times New Roman"/>
        </w:rPr>
        <w:t xml:space="preserve"> underestimated given the substantial survival benefits demonstrated in the CLEOPATRA trial. It was considered that 95% uptake would be more likely. The committee considered 100% uptake is possible given that there are no</w:t>
      </w:r>
      <w:r>
        <w:rPr>
          <w:rFonts w:ascii="Calibri" w:eastAsia="MS Mincho" w:hAnsi="Calibri" w:cs="Times New Roman"/>
        </w:rPr>
        <w:t xml:space="preserve"> significant</w:t>
      </w:r>
      <w:r w:rsidRPr="00E202A2">
        <w:rPr>
          <w:rFonts w:ascii="Calibri" w:eastAsia="MS Mincho" w:hAnsi="Calibri" w:cs="Times New Roman"/>
        </w:rPr>
        <w:t xml:space="preserve"> contraindications to pertuzumab (aside from hypersensitivity reactions). DUSC revised the base case estimates, increasing the uptake of pertuzumab from 83% to 95%</w:t>
      </w:r>
      <w:r>
        <w:rPr>
          <w:rFonts w:ascii="Calibri" w:eastAsia="MS Mincho" w:hAnsi="Calibri" w:cs="Times New Roman"/>
        </w:rPr>
        <w:t>. This was subsequently applied to the estimates accepted by Roche and the government.</w:t>
      </w:r>
    </w:p>
    <w:p w:rsidR="004D20AB" w:rsidRDefault="004D20AB" w:rsidP="004D20AB">
      <w:pPr>
        <w:rPr>
          <w:rFonts w:ascii="Calibri" w:eastAsia="MS Mincho" w:hAnsi="Calibri" w:cs="Times New Roman"/>
        </w:rPr>
      </w:pPr>
      <w:r w:rsidRPr="00E202A2">
        <w:rPr>
          <w:rFonts w:ascii="Calibri" w:eastAsia="MS Mincho" w:hAnsi="Calibri" w:cs="Times New Roman"/>
        </w:rPr>
        <w:t xml:space="preserve">The </w:t>
      </w:r>
      <w:r>
        <w:rPr>
          <w:rFonts w:ascii="Calibri" w:eastAsia="MS Mincho" w:hAnsi="Calibri" w:cs="Times New Roman"/>
        </w:rPr>
        <w:t xml:space="preserve">estimates of patient use and cost </w:t>
      </w:r>
      <w:r w:rsidRPr="00E202A2">
        <w:rPr>
          <w:rFonts w:ascii="Calibri" w:eastAsia="MS Mincho" w:hAnsi="Calibri" w:cs="Times New Roman"/>
        </w:rPr>
        <w:t xml:space="preserve">assume </w:t>
      </w:r>
      <w:r w:rsidR="00192A24">
        <w:rPr>
          <w:rFonts w:ascii="Calibri" w:eastAsia="MS Mincho" w:hAnsi="Calibri" w:cs="Times New Roman"/>
          <w:noProof/>
          <w:color w:val="000000"/>
          <w:highlight w:val="black"/>
        </w:rPr>
        <w:t>'''''''''</w:t>
      </w:r>
      <w:r w:rsidRPr="00E202A2">
        <w:rPr>
          <w:rFonts w:ascii="Calibri" w:eastAsia="MS Mincho" w:hAnsi="Calibri" w:cs="Times New Roman"/>
        </w:rPr>
        <w:t xml:space="preserve">% of patients will be alive </w:t>
      </w:r>
      <w:r>
        <w:rPr>
          <w:rFonts w:ascii="Calibri" w:eastAsia="MS Mincho" w:hAnsi="Calibri" w:cs="Times New Roman"/>
        </w:rPr>
        <w:t>two</w:t>
      </w:r>
      <w:r w:rsidRPr="00E202A2">
        <w:rPr>
          <w:rFonts w:ascii="Calibri" w:eastAsia="MS Mincho" w:hAnsi="Calibri" w:cs="Times New Roman"/>
        </w:rPr>
        <w:t xml:space="preserve"> years after </w:t>
      </w:r>
      <w:r w:rsidRPr="004F405D">
        <w:rPr>
          <w:rFonts w:ascii="Calibri" w:eastAsia="MS Mincho" w:hAnsi="Calibri" w:cs="Times New Roman"/>
        </w:rPr>
        <w:t xml:space="preserve">starting first line treatment with pertuzumab plus trastuzumab. Using the results of the CLEOPATRA trial the estimates assumed </w:t>
      </w:r>
      <w:r w:rsidR="00192A24">
        <w:rPr>
          <w:rFonts w:ascii="Calibri" w:eastAsia="MS Mincho" w:hAnsi="Calibri" w:cs="Times New Roman"/>
          <w:noProof/>
          <w:color w:val="000000"/>
          <w:highlight w:val="black"/>
        </w:rPr>
        <w:t>'''''''''</w:t>
      </w:r>
      <w:r w:rsidRPr="004F405D">
        <w:rPr>
          <w:rFonts w:ascii="Calibri" w:eastAsia="MS Mincho" w:hAnsi="Calibri" w:cs="Times New Roman"/>
        </w:rPr>
        <w:t xml:space="preserve">% of patients will have worsening or progressed disease after two years. All of these patients will be eligible to use T-DM1 after disease progression (second-line treatment). DUSC considered that the number of people with disease progression and therefore eligible for T-DM1 may be underestimated in the estimates for the earlier years (years 1 and 2) of listing. In the CLEOPATRA trial almost 50% </w:t>
      </w:r>
      <w:r w:rsidRPr="00E202A2">
        <w:rPr>
          <w:rFonts w:ascii="Calibri" w:eastAsia="MS Mincho" w:hAnsi="Calibri" w:cs="Times New Roman"/>
        </w:rPr>
        <w:t>of patients in the comparator arm</w:t>
      </w:r>
      <w:r>
        <w:rPr>
          <w:rFonts w:ascii="Calibri" w:eastAsia="MS Mincho" w:hAnsi="Calibri" w:cs="Times New Roman"/>
        </w:rPr>
        <w:t xml:space="preserve"> (trastuzumab only)</w:t>
      </w:r>
      <w:r w:rsidRPr="00E202A2">
        <w:rPr>
          <w:rFonts w:ascii="Calibri" w:eastAsia="MS Mincho" w:hAnsi="Calibri" w:cs="Times New Roman"/>
        </w:rPr>
        <w:t xml:space="preserve"> had experienced disease progression at 12 months. </w:t>
      </w:r>
      <w:r>
        <w:rPr>
          <w:rFonts w:ascii="Calibri" w:eastAsia="MS Mincho" w:hAnsi="Calibri" w:cs="Times New Roman"/>
        </w:rPr>
        <w:t>By applying two years for PFS rather than one year the number of eligible second line treatment patients in year 1 and 2 would</w:t>
      </w:r>
      <w:r w:rsidRPr="00E202A2">
        <w:rPr>
          <w:rFonts w:ascii="Calibri" w:eastAsia="MS Mincho" w:hAnsi="Calibri" w:cs="Times New Roman"/>
        </w:rPr>
        <w:t xml:space="preserve"> not be adequately accounted</w:t>
      </w:r>
      <w:r>
        <w:rPr>
          <w:rFonts w:ascii="Calibri" w:eastAsia="MS Mincho" w:hAnsi="Calibri" w:cs="Times New Roman"/>
        </w:rPr>
        <w:t xml:space="preserve"> for</w:t>
      </w:r>
      <w:r w:rsidRPr="00E202A2">
        <w:rPr>
          <w:rFonts w:ascii="Calibri" w:eastAsia="MS Mincho" w:hAnsi="Calibri" w:cs="Times New Roman"/>
        </w:rPr>
        <w:t>. DUSC considered that in the later years</w:t>
      </w:r>
      <w:r>
        <w:rPr>
          <w:rFonts w:ascii="Calibri" w:eastAsia="MS Mincho" w:hAnsi="Calibri" w:cs="Times New Roman"/>
        </w:rPr>
        <w:t xml:space="preserve"> (years 3 and 4)</w:t>
      </w:r>
      <w:r w:rsidRPr="00E202A2">
        <w:rPr>
          <w:rFonts w:ascii="Calibri" w:eastAsia="MS Mincho" w:hAnsi="Calibri" w:cs="Times New Roman"/>
        </w:rPr>
        <w:t xml:space="preserve">, </w:t>
      </w:r>
      <w:r>
        <w:rPr>
          <w:rFonts w:ascii="Calibri" w:eastAsia="MS Mincho" w:hAnsi="Calibri" w:cs="Times New Roman"/>
        </w:rPr>
        <w:t>applying the results from CLEOPATRA was appropriate and</w:t>
      </w:r>
      <w:r w:rsidRPr="00E202A2">
        <w:rPr>
          <w:rFonts w:ascii="Calibri" w:eastAsia="MS Mincho" w:hAnsi="Calibri" w:cs="Times New Roman"/>
        </w:rPr>
        <w:t xml:space="preserve"> likely to be more accurate</w:t>
      </w:r>
      <w:r>
        <w:rPr>
          <w:rFonts w:ascii="Calibri" w:eastAsia="MS Mincho" w:hAnsi="Calibri" w:cs="Times New Roman"/>
        </w:rPr>
        <w:t xml:space="preserve"> as all patients will have had the opportunity to use trastuzumab plus pertuzumab</w:t>
      </w:r>
      <w:r w:rsidRPr="00E202A2">
        <w:rPr>
          <w:rFonts w:ascii="Calibri" w:eastAsia="MS Mincho" w:hAnsi="Calibri" w:cs="Times New Roman"/>
        </w:rPr>
        <w:t>.</w:t>
      </w:r>
    </w:p>
    <w:p w:rsidR="004D20AB" w:rsidRPr="00E202A2" w:rsidRDefault="004D20AB" w:rsidP="004D20AB">
      <w:pPr>
        <w:rPr>
          <w:rFonts w:ascii="Calibri" w:eastAsia="MS Mincho" w:hAnsi="Calibri" w:cs="Times New Roman"/>
        </w:rPr>
      </w:pPr>
      <w:r>
        <w:rPr>
          <w:rFonts w:ascii="Calibri" w:eastAsia="MS Mincho" w:hAnsi="Calibri" w:cs="Times New Roman"/>
        </w:rPr>
        <w:t>The PBAC noted that a large proportion of the cost of T-DM1 in the estimates of use was contributed by use of T-DM1 in patients as third line therapy in the first two years of listing. Third line therapy with T-DM1 was assumed to stop after this time and third line therapy would be with trastuzumab.</w:t>
      </w:r>
      <w:r w:rsidRPr="00E202A2">
        <w:rPr>
          <w:rFonts w:ascii="Calibri" w:eastAsia="MS Mincho" w:hAnsi="Calibri" w:cs="Times New Roman"/>
        </w:rPr>
        <w:t xml:space="preserve"> </w:t>
      </w:r>
    </w:p>
    <w:p w:rsidR="004D20AB" w:rsidRDefault="004D20AB" w:rsidP="004D20AB">
      <w:pPr>
        <w:rPr>
          <w:rFonts w:ascii="Calibri" w:eastAsia="MS Mincho" w:hAnsi="Calibri" w:cs="Times New Roman"/>
        </w:rPr>
      </w:pPr>
      <w:r w:rsidRPr="00E202A2">
        <w:rPr>
          <w:rFonts w:ascii="Calibri" w:eastAsia="MS Mincho" w:hAnsi="Calibri" w:cs="Times New Roman"/>
        </w:rPr>
        <w:t xml:space="preserve">The </w:t>
      </w:r>
      <w:r>
        <w:rPr>
          <w:rFonts w:ascii="Calibri" w:eastAsia="MS Mincho" w:hAnsi="Calibri" w:cs="Times New Roman"/>
        </w:rPr>
        <w:t xml:space="preserve">trastuzumab </w:t>
      </w:r>
      <w:r w:rsidRPr="00E202A2">
        <w:rPr>
          <w:rFonts w:ascii="Calibri" w:eastAsia="MS Mincho" w:hAnsi="Calibri" w:cs="Times New Roman"/>
        </w:rPr>
        <w:t>submission assume</w:t>
      </w:r>
      <w:r>
        <w:rPr>
          <w:rFonts w:ascii="Calibri" w:eastAsia="MS Mincho" w:hAnsi="Calibri" w:cs="Times New Roman"/>
        </w:rPr>
        <w:t>d</w:t>
      </w:r>
      <w:r w:rsidRPr="00E202A2">
        <w:rPr>
          <w:rFonts w:ascii="Calibri" w:eastAsia="MS Mincho" w:hAnsi="Calibri" w:cs="Times New Roman"/>
        </w:rPr>
        <w:t xml:space="preserve"> third and later line trastuzumab use </w:t>
      </w:r>
      <w:r>
        <w:rPr>
          <w:rFonts w:ascii="Calibri" w:eastAsia="MS Mincho" w:hAnsi="Calibri" w:cs="Times New Roman"/>
        </w:rPr>
        <w:t>would</w:t>
      </w:r>
      <w:r w:rsidRPr="00E202A2">
        <w:rPr>
          <w:rFonts w:ascii="Calibri" w:eastAsia="MS Mincho" w:hAnsi="Calibri" w:cs="Times New Roman"/>
        </w:rPr>
        <w:t xml:space="preserve"> remain at current levels. DUSC considered this to be uncertain. The survival benefits of pertuzumab and T-DM1 </w:t>
      </w:r>
      <w:r>
        <w:rPr>
          <w:rFonts w:ascii="Calibri" w:eastAsia="MS Mincho" w:hAnsi="Calibri" w:cs="Times New Roman"/>
        </w:rPr>
        <w:t>would</w:t>
      </w:r>
      <w:r w:rsidRPr="00E202A2">
        <w:rPr>
          <w:rFonts w:ascii="Calibri" w:eastAsia="MS Mincho" w:hAnsi="Calibri" w:cs="Times New Roman"/>
        </w:rPr>
        <w:t xml:space="preserve"> increase the prevalent population with metastatic breast cancer; however it </w:t>
      </w:r>
      <w:r>
        <w:rPr>
          <w:rFonts w:ascii="Calibri" w:eastAsia="MS Mincho" w:hAnsi="Calibri" w:cs="Times New Roman"/>
        </w:rPr>
        <w:t>was</w:t>
      </w:r>
      <w:r w:rsidRPr="00E202A2">
        <w:rPr>
          <w:rFonts w:ascii="Calibri" w:eastAsia="MS Mincho" w:hAnsi="Calibri" w:cs="Times New Roman"/>
        </w:rPr>
        <w:t xml:space="preserve"> difficult to say whether this would increase use of trastuzumab in later lines of therapy</w:t>
      </w:r>
      <w:r>
        <w:rPr>
          <w:rFonts w:ascii="Calibri" w:eastAsia="MS Mincho" w:hAnsi="Calibri" w:cs="Times New Roman"/>
        </w:rPr>
        <w:t xml:space="preserve"> given the availability of T-DM1</w:t>
      </w:r>
      <w:r w:rsidRPr="00E202A2">
        <w:rPr>
          <w:rFonts w:ascii="Calibri" w:eastAsia="MS Mincho" w:hAnsi="Calibri" w:cs="Times New Roman"/>
        </w:rPr>
        <w:t xml:space="preserve">. </w:t>
      </w:r>
    </w:p>
    <w:p w:rsidR="004D20AB" w:rsidRPr="00E202A2" w:rsidRDefault="004D20AB" w:rsidP="004D20AB">
      <w:pPr>
        <w:rPr>
          <w:rFonts w:ascii="Calibri" w:eastAsia="MS Mincho" w:hAnsi="Calibri" w:cs="Times New Roman"/>
        </w:rPr>
      </w:pPr>
      <w:r>
        <w:rPr>
          <w:rFonts w:ascii="Calibri" w:eastAsia="MS Mincho" w:hAnsi="Calibri" w:cs="Times New Roman"/>
        </w:rPr>
        <w:t>The PBAC also considered that the cost offsets proposed for reduced use of taxanes were overestimated.</w:t>
      </w:r>
    </w:p>
    <w:p w:rsidR="004D20AB" w:rsidRPr="00E202A2" w:rsidRDefault="004D20AB" w:rsidP="004D20AB">
      <w:pPr>
        <w:rPr>
          <w:rFonts w:ascii="Calibri" w:eastAsia="MS Mincho" w:hAnsi="Calibri" w:cs="Times New Roman"/>
        </w:rPr>
      </w:pPr>
      <w:r w:rsidRPr="00E202A2">
        <w:rPr>
          <w:rFonts w:ascii="Calibri" w:eastAsia="MS Mincho" w:hAnsi="Calibri" w:cs="Times New Roman"/>
        </w:rPr>
        <w:t>Overall DUSC considered the estimates presented in the submission to be underestimated. The main issues were:</w:t>
      </w:r>
    </w:p>
    <w:p w:rsidR="004D20AB" w:rsidRPr="000556A2" w:rsidRDefault="004D20AB" w:rsidP="004D20AB">
      <w:pPr>
        <w:pStyle w:val="ListParagraph"/>
        <w:numPr>
          <w:ilvl w:val="0"/>
          <w:numId w:val="6"/>
        </w:numPr>
        <w:ind w:left="426" w:hanging="426"/>
        <w:rPr>
          <w:rFonts w:ascii="Calibri" w:eastAsia="MS Mincho" w:hAnsi="Calibri" w:cs="Times New Roman"/>
          <w:i/>
        </w:rPr>
      </w:pPr>
      <w:r w:rsidRPr="000556A2">
        <w:rPr>
          <w:rFonts w:ascii="Calibri" w:eastAsia="MS Mincho" w:hAnsi="Calibri" w:cs="Times New Roman"/>
        </w:rPr>
        <w:t>The uptake of pertuzumab is likely to be higher than the base case (83%). Given the substantial survival benefit in the CLEOPATRA trial, uptake may be up to 100</w:t>
      </w:r>
      <w:r w:rsidRPr="000556A2">
        <w:rPr>
          <w:rFonts w:ascii="Calibri" w:eastAsia="MS Mincho" w:hAnsi="Calibri" w:cs="Times New Roman"/>
          <w:i/>
        </w:rPr>
        <w:t>%. This was later adjusted to be 95%</w:t>
      </w:r>
    </w:p>
    <w:p w:rsidR="004D20AB" w:rsidRPr="000556A2" w:rsidRDefault="004D20AB" w:rsidP="004D20AB">
      <w:pPr>
        <w:pStyle w:val="ListParagraph"/>
        <w:numPr>
          <w:ilvl w:val="0"/>
          <w:numId w:val="6"/>
        </w:numPr>
        <w:spacing w:before="240"/>
        <w:ind w:left="426" w:hanging="426"/>
        <w:outlineLvl w:val="1"/>
        <w:rPr>
          <w:rFonts w:ascii="Calibri" w:eastAsia="MS Mincho" w:hAnsi="Calibri" w:cs="Times New Roman"/>
        </w:rPr>
      </w:pPr>
      <w:r w:rsidRPr="000556A2">
        <w:rPr>
          <w:rFonts w:ascii="Calibri" w:eastAsia="MS Mincho" w:hAnsi="Calibri" w:cs="Times New Roman"/>
        </w:rPr>
        <w:t>The financial estimates may not adequately account f</w:t>
      </w:r>
      <w:r>
        <w:rPr>
          <w:rFonts w:ascii="Calibri" w:eastAsia="MS Mincho" w:hAnsi="Calibri" w:cs="Times New Roman"/>
        </w:rPr>
        <w:t xml:space="preserve">or increased prevalence of HER2 </w:t>
      </w:r>
      <w:r w:rsidRPr="00D876FE">
        <w:rPr>
          <w:rFonts w:ascii="Calibri" w:eastAsia="MS Mincho" w:hAnsi="Calibri" w:cs="Times New Roman"/>
        </w:rPr>
        <w:t xml:space="preserve">positive </w:t>
      </w:r>
      <w:r w:rsidRPr="000556A2">
        <w:rPr>
          <w:rFonts w:ascii="Calibri" w:eastAsia="MS Mincho" w:hAnsi="Calibri" w:cs="Times New Roman"/>
        </w:rPr>
        <w:t>metastatic breast cancer. Due to the survival gains from the newer treatments (trastuzumab plus pertuzumab first line and T-DM1 second line which both have shown an increase in median PFS) there is likely to be a larger pool of patients eligible for third line trastuzumab in the future. It was assumed that the quantity of trastuzumab used for third line treatment will not increase beyond the current trends. However, DUSC considered that the extent of use of trastuzumab was uncertain and could potentially increase with the increase in the prevalent population.</w:t>
      </w:r>
    </w:p>
    <w:p w:rsidR="004D20AB" w:rsidRPr="000556A2" w:rsidRDefault="004D20AB" w:rsidP="004D20AB">
      <w:pPr>
        <w:spacing w:before="240"/>
        <w:outlineLvl w:val="1"/>
        <w:rPr>
          <w:rFonts w:ascii="Calibri" w:eastAsia="MS Mincho" w:hAnsi="Calibri" w:cs="Times New Roman"/>
          <w:b/>
          <w:i/>
        </w:rPr>
      </w:pPr>
      <w:r w:rsidRPr="000556A2">
        <w:rPr>
          <w:rFonts w:ascii="Calibri" w:eastAsia="MS Mincho" w:hAnsi="Calibri" w:cs="Times New Roman"/>
          <w:b/>
          <w:i/>
        </w:rPr>
        <w:t>Risk Sharing Arrangement and estimates</w:t>
      </w:r>
    </w:p>
    <w:p w:rsidR="004D20AB" w:rsidRPr="004F405D" w:rsidRDefault="00192A24" w:rsidP="004D20AB">
      <w:pPr>
        <w:spacing w:before="240"/>
        <w:outlineLvl w:val="1"/>
        <w:rPr>
          <w:rFonts w:ascii="Calibri" w:eastAsia="MS Mincho" w:hAnsi="Calibri" w:cs="Times New Roman"/>
        </w:rPr>
      </w:pPr>
      <w:r>
        <w:rPr>
          <w:rFonts w:ascii="Calibri" w:eastAsia="MS Mincho" w:hAnsi="Calibri" w:cs="Times New Roman"/>
          <w:noProof/>
          <w:color w:val="000000"/>
          <w:highlight w:val="black"/>
        </w:rPr>
        <w:t>''''''' ''''''''''' ''''''''''''''''''''''''''' '''''''' '''''' '''''''''''''''' ''''' '''''''' ''''''''''' '''''''''''''''' ''''' '''''''''''' '''' ''' ''''''''''' ''''' ''''''''''''''''''''' '''''''''''''''''''''''''''''''''''' '''' ''''''''''''''''''''''' '''''' '''''''''''' ''''' ''''''''''''''''''''''' ''''''' ''''''' ''''''''''''''''' '''' ''''''' '''''' '''''''' ''''' '''''' '''''''''''''''''' '''''''''' ''''' ''' '''''''''' ''''' '''''' ''''''''''''''''''''''''' ''''''''' '''''''''' '''''''''''' '''''' '''''''''''''''''''''''' '''''''''''''' ''''''''''''''''' ''''' ''''''''''' ''''' ''''''''''''''''''''''' '''''''' ''''''''''''' '''''''''''''''' ''''''''''''''' ''''' ''''''''''' '''''''''''' '''''''''''' ''''''''' ''''''''''''''</w:t>
      </w:r>
      <w:r w:rsidR="004D20AB" w:rsidRPr="00C12687">
        <w:rPr>
          <w:rFonts w:ascii="Calibri" w:eastAsia="MS Mincho" w:hAnsi="Calibri" w:cs="Times New Roman"/>
        </w:rPr>
        <w:t xml:space="preserve"> subsidisation caps for a financial risk sharing </w:t>
      </w:r>
      <w:r w:rsidR="004D20AB" w:rsidRPr="004F405D">
        <w:rPr>
          <w:rFonts w:ascii="Calibri" w:eastAsia="MS Mincho" w:hAnsi="Calibri" w:cs="Times New Roman"/>
        </w:rPr>
        <w:t>arrangement thereby sharing the risk of excessive expenditure with the Government.</w:t>
      </w:r>
    </w:p>
    <w:p w:rsidR="004D20AB" w:rsidRPr="00C12687" w:rsidRDefault="004D20AB" w:rsidP="004D20AB">
      <w:pPr>
        <w:spacing w:before="240"/>
        <w:outlineLvl w:val="1"/>
        <w:rPr>
          <w:rFonts w:ascii="Calibri" w:eastAsia="MS Mincho" w:hAnsi="Calibri" w:cs="Times New Roman"/>
        </w:rPr>
      </w:pPr>
      <w:r w:rsidRPr="00C12687">
        <w:rPr>
          <w:rFonts w:ascii="Calibri" w:eastAsia="MS Mincho" w:hAnsi="Calibri" w:cs="Times New Roman"/>
        </w:rPr>
        <w:t xml:space="preserve">This review examined the estimate of use and cost agreed by Roche and the Department and noted that the </w:t>
      </w:r>
      <w:r>
        <w:rPr>
          <w:rFonts w:ascii="Calibri" w:eastAsia="MS Mincho" w:hAnsi="Calibri" w:cs="Times New Roman"/>
        </w:rPr>
        <w:t xml:space="preserve">method used to apply these limits in the </w:t>
      </w:r>
      <w:r w:rsidRPr="00C12687">
        <w:rPr>
          <w:rFonts w:ascii="Calibri" w:eastAsia="MS Mincho" w:hAnsi="Calibri" w:cs="Times New Roman"/>
        </w:rPr>
        <w:t xml:space="preserve">estimates </w:t>
      </w:r>
      <w:r>
        <w:rPr>
          <w:rFonts w:ascii="Calibri" w:eastAsia="MS Mincho" w:hAnsi="Calibri" w:cs="Times New Roman"/>
        </w:rPr>
        <w:t xml:space="preserve">may have </w:t>
      </w:r>
      <w:r w:rsidRPr="00C12687">
        <w:rPr>
          <w:rFonts w:ascii="Calibri" w:eastAsia="MS Mincho" w:hAnsi="Calibri" w:cs="Times New Roman"/>
        </w:rPr>
        <w:t xml:space="preserve">resulted in a </w:t>
      </w:r>
      <w:r>
        <w:rPr>
          <w:rFonts w:ascii="Calibri" w:eastAsia="MS Mincho" w:hAnsi="Calibri" w:cs="Times New Roman"/>
        </w:rPr>
        <w:t xml:space="preserve">small </w:t>
      </w:r>
      <w:r w:rsidRPr="00C12687">
        <w:rPr>
          <w:rFonts w:ascii="Calibri" w:eastAsia="MS Mincho" w:hAnsi="Calibri" w:cs="Times New Roman"/>
        </w:rPr>
        <w:t>overestimate of the caps in the risk sharing arrangement.</w:t>
      </w:r>
    </w:p>
    <w:p w:rsidR="004D4087" w:rsidRPr="00C67251" w:rsidRDefault="004D4087" w:rsidP="00C67251">
      <w:pPr>
        <w:spacing w:before="240"/>
        <w:outlineLvl w:val="1"/>
        <w:rPr>
          <w:rFonts w:ascii="Calibri" w:eastAsia="MS Mincho" w:hAnsi="Calibri" w:cs="Times New Roman"/>
          <w:b/>
          <w:sz w:val="28"/>
        </w:rPr>
      </w:pPr>
      <w:r w:rsidRPr="00C67251">
        <w:rPr>
          <w:rFonts w:ascii="Calibri" w:eastAsia="MS Mincho" w:hAnsi="Calibri" w:cs="Times New Roman"/>
          <w:b/>
          <w:sz w:val="28"/>
        </w:rPr>
        <w:t xml:space="preserve">Previous </w:t>
      </w:r>
      <w:r w:rsidR="00910C80">
        <w:rPr>
          <w:rFonts w:ascii="Calibri" w:eastAsia="MS Mincho" w:hAnsi="Calibri" w:cs="Times New Roman"/>
          <w:b/>
          <w:sz w:val="28"/>
        </w:rPr>
        <w:t xml:space="preserve">DUSC </w:t>
      </w:r>
      <w:r w:rsidRPr="00C67251">
        <w:rPr>
          <w:rFonts w:ascii="Calibri" w:eastAsia="MS Mincho" w:hAnsi="Calibri" w:cs="Times New Roman"/>
          <w:b/>
          <w:sz w:val="28"/>
        </w:rPr>
        <w:t>reviews</w:t>
      </w:r>
      <w:r w:rsidR="00DE1AEF">
        <w:rPr>
          <w:rFonts w:ascii="Calibri" w:eastAsia="MS Mincho" w:hAnsi="Calibri" w:cs="Times New Roman"/>
          <w:b/>
          <w:sz w:val="28"/>
        </w:rPr>
        <w:t xml:space="preserve"> </w:t>
      </w:r>
      <w:r w:rsidR="00C67251">
        <w:rPr>
          <w:rFonts w:ascii="Calibri" w:eastAsia="MS Mincho" w:hAnsi="Calibri" w:cs="Times New Roman"/>
          <w:b/>
          <w:sz w:val="28"/>
        </w:rPr>
        <w:t xml:space="preserve">of </w:t>
      </w:r>
      <w:r w:rsidR="00910C80">
        <w:rPr>
          <w:rFonts w:ascii="Calibri" w:eastAsia="MS Mincho" w:hAnsi="Calibri" w:cs="Times New Roman"/>
          <w:b/>
          <w:sz w:val="28"/>
        </w:rPr>
        <w:t>medicines for the treatment of breast cancer</w:t>
      </w:r>
    </w:p>
    <w:p w:rsidR="00207070" w:rsidRDefault="00C12687" w:rsidP="00391B11">
      <w:pPr>
        <w:rPr>
          <w:rFonts w:ascii="Calibri" w:eastAsia="MS Gothic" w:hAnsi="Calibri" w:cs="Times New Roman"/>
          <w:b/>
          <w:bCs/>
          <w:sz w:val="32"/>
          <w:szCs w:val="32"/>
        </w:rPr>
      </w:pPr>
      <w:r w:rsidRPr="00C12687">
        <w:rPr>
          <w:rFonts w:ascii="Calibri" w:eastAsia="MS Mincho" w:hAnsi="Calibri" w:cs="Times New Roman"/>
        </w:rPr>
        <w:t xml:space="preserve">DUSC has not reviewed medicines listed for treatment of metastatic or locally advanced HER2 positive breast cancer. </w:t>
      </w:r>
    </w:p>
    <w:p w:rsidR="00D2256D" w:rsidRPr="00941706" w:rsidRDefault="00D2256D" w:rsidP="00D2256D">
      <w:pPr>
        <w:keepNext/>
        <w:keepLines/>
        <w:spacing w:before="480" w:after="240"/>
        <w:outlineLvl w:val="0"/>
        <w:rPr>
          <w:rFonts w:ascii="Calibri" w:eastAsia="MS Gothic" w:hAnsi="Calibri" w:cs="Times New Roman"/>
          <w:b/>
          <w:bCs/>
          <w:sz w:val="32"/>
          <w:szCs w:val="32"/>
        </w:rPr>
      </w:pPr>
      <w:r w:rsidRPr="00941706">
        <w:rPr>
          <w:rFonts w:ascii="Calibri" w:eastAsia="MS Gothic" w:hAnsi="Calibri" w:cs="Times New Roman"/>
          <w:b/>
          <w:bCs/>
          <w:sz w:val="32"/>
          <w:szCs w:val="32"/>
        </w:rPr>
        <w:t>Methods</w:t>
      </w:r>
    </w:p>
    <w:p w:rsidR="002129B0" w:rsidRDefault="002129B0" w:rsidP="00D2256D">
      <w:pPr>
        <w:rPr>
          <w:rFonts w:ascii="Calibri" w:eastAsia="MS Mincho" w:hAnsi="Calibri" w:cs="Times New Roman"/>
        </w:rPr>
      </w:pPr>
      <w:r>
        <w:rPr>
          <w:rFonts w:ascii="Calibri" w:eastAsia="MS Mincho" w:hAnsi="Calibri" w:cs="Times New Roman"/>
        </w:rPr>
        <w:t xml:space="preserve">PBS prescription data for all </w:t>
      </w:r>
      <w:r w:rsidR="00520FD8">
        <w:rPr>
          <w:rFonts w:ascii="Calibri" w:eastAsia="MS Mincho" w:hAnsi="Calibri" w:cs="Times New Roman"/>
        </w:rPr>
        <w:t xml:space="preserve">PBS </w:t>
      </w:r>
      <w:r>
        <w:rPr>
          <w:rFonts w:ascii="Calibri" w:eastAsia="MS Mincho" w:hAnsi="Calibri" w:cs="Times New Roman"/>
        </w:rPr>
        <w:t>item codes used to treat breast cancer were extracted from the</w:t>
      </w:r>
      <w:r w:rsidR="00605A05">
        <w:rPr>
          <w:rFonts w:ascii="Calibri" w:eastAsia="MS Mincho" w:hAnsi="Calibri" w:cs="Times New Roman"/>
        </w:rPr>
        <w:t xml:space="preserve"> Department of Human Services (</w:t>
      </w:r>
      <w:r w:rsidRPr="00B87CD5">
        <w:rPr>
          <w:rFonts w:ascii="Calibri" w:eastAsia="MS Mincho" w:hAnsi="Calibri" w:cs="Times New Roman"/>
        </w:rPr>
        <w:t>DHS</w:t>
      </w:r>
      <w:r w:rsidR="00605A05">
        <w:rPr>
          <w:rFonts w:ascii="Calibri" w:eastAsia="MS Mincho" w:hAnsi="Calibri" w:cs="Times New Roman"/>
        </w:rPr>
        <w:t>)</w:t>
      </w:r>
      <w:r w:rsidRPr="00B87CD5">
        <w:rPr>
          <w:rFonts w:ascii="Calibri" w:eastAsia="MS Mincho" w:hAnsi="Calibri" w:cs="Times New Roman"/>
        </w:rPr>
        <w:t xml:space="preserve"> prescription database</w:t>
      </w:r>
      <w:r>
        <w:rPr>
          <w:rFonts w:ascii="Calibri" w:eastAsia="MS Mincho" w:hAnsi="Calibri" w:cs="Times New Roman"/>
        </w:rPr>
        <w:t xml:space="preserve"> for date of supply from Jan</w:t>
      </w:r>
      <w:r w:rsidR="006F7DCB">
        <w:rPr>
          <w:rFonts w:ascii="Calibri" w:eastAsia="MS Mincho" w:hAnsi="Calibri" w:cs="Times New Roman"/>
        </w:rPr>
        <w:t>uary</w:t>
      </w:r>
      <w:r>
        <w:rPr>
          <w:rFonts w:ascii="Calibri" w:eastAsia="MS Mincho" w:hAnsi="Calibri" w:cs="Times New Roman"/>
        </w:rPr>
        <w:t xml:space="preserve"> 2003 to the end of September 2017. PBS items were selected on the basis of having the words “breast cancer” in the restriction text for at least one of the indications for the item.</w:t>
      </w:r>
    </w:p>
    <w:p w:rsidR="00657685" w:rsidRDefault="00513CEC" w:rsidP="00D2256D">
      <w:pPr>
        <w:rPr>
          <w:rFonts w:ascii="Calibri" w:eastAsia="MS Mincho" w:hAnsi="Calibri" w:cs="Times New Roman"/>
        </w:rPr>
      </w:pPr>
      <w:r>
        <w:rPr>
          <w:rFonts w:ascii="Calibri" w:eastAsia="MS Mincho" w:hAnsi="Calibri" w:cs="Times New Roman"/>
        </w:rPr>
        <w:t xml:space="preserve">As per the request from DUSC, the main focus was on trastuzumab, </w:t>
      </w:r>
      <w:r w:rsidR="006F7DCB">
        <w:rPr>
          <w:rFonts w:ascii="Calibri" w:eastAsia="MS Mincho" w:hAnsi="Calibri" w:cs="Times New Roman"/>
        </w:rPr>
        <w:t>T-DM1</w:t>
      </w:r>
      <w:r>
        <w:rPr>
          <w:rFonts w:ascii="Calibri" w:eastAsia="MS Mincho" w:hAnsi="Calibri" w:cs="Times New Roman"/>
        </w:rPr>
        <w:t xml:space="preserve"> and pertuzumab. </w:t>
      </w:r>
      <w:r w:rsidR="00FC74AD">
        <w:rPr>
          <w:rFonts w:ascii="Calibri" w:eastAsia="MS Mincho" w:hAnsi="Calibri" w:cs="Times New Roman"/>
        </w:rPr>
        <w:t>T</w:t>
      </w:r>
      <w:r>
        <w:rPr>
          <w:rFonts w:ascii="Calibri" w:eastAsia="MS Mincho" w:hAnsi="Calibri" w:cs="Times New Roman"/>
        </w:rPr>
        <w:t xml:space="preserve">able </w:t>
      </w:r>
      <w:r w:rsidR="00FC74AD">
        <w:rPr>
          <w:rFonts w:ascii="Calibri" w:eastAsia="MS Mincho" w:hAnsi="Calibri" w:cs="Times New Roman"/>
        </w:rPr>
        <w:t xml:space="preserve">A.1 in Appendix A shows the </w:t>
      </w:r>
      <w:r w:rsidR="00C2161C">
        <w:rPr>
          <w:rFonts w:ascii="Calibri" w:eastAsia="MS Mincho" w:hAnsi="Calibri" w:cs="Times New Roman"/>
        </w:rPr>
        <w:t xml:space="preserve">PBS </w:t>
      </w:r>
      <w:r w:rsidR="00FC74AD">
        <w:rPr>
          <w:rFonts w:ascii="Calibri" w:eastAsia="MS Mincho" w:hAnsi="Calibri" w:cs="Times New Roman"/>
        </w:rPr>
        <w:t xml:space="preserve">items, restriction code and </w:t>
      </w:r>
      <w:r w:rsidR="00C2161C">
        <w:rPr>
          <w:rFonts w:ascii="Calibri" w:eastAsia="MS Mincho" w:hAnsi="Calibri" w:cs="Times New Roman"/>
        </w:rPr>
        <w:t xml:space="preserve">breast cancer </w:t>
      </w:r>
      <w:r w:rsidR="00FC74AD">
        <w:rPr>
          <w:rFonts w:ascii="Calibri" w:eastAsia="MS Mincho" w:hAnsi="Calibri" w:cs="Times New Roman"/>
        </w:rPr>
        <w:t xml:space="preserve">stages </w:t>
      </w:r>
      <w:r>
        <w:rPr>
          <w:rFonts w:ascii="Calibri" w:eastAsia="MS Mincho" w:hAnsi="Calibri" w:cs="Times New Roman"/>
        </w:rPr>
        <w:t xml:space="preserve">for these </w:t>
      </w:r>
      <w:r w:rsidR="006F7DCB">
        <w:rPr>
          <w:rFonts w:ascii="Calibri" w:eastAsia="MS Mincho" w:hAnsi="Calibri" w:cs="Times New Roman"/>
        </w:rPr>
        <w:t>medicines</w:t>
      </w:r>
      <w:r>
        <w:rPr>
          <w:rFonts w:ascii="Calibri" w:eastAsia="MS Mincho" w:hAnsi="Calibri" w:cs="Times New Roman"/>
        </w:rPr>
        <w:t>.</w:t>
      </w:r>
      <w:r w:rsidR="00FC74AD">
        <w:rPr>
          <w:rFonts w:ascii="Calibri" w:eastAsia="MS Mincho" w:hAnsi="Calibri" w:cs="Times New Roman"/>
        </w:rPr>
        <w:t xml:space="preserve"> The </w:t>
      </w:r>
      <w:r w:rsidR="00520FD8">
        <w:rPr>
          <w:rFonts w:ascii="Calibri" w:eastAsia="MS Mincho" w:hAnsi="Calibri" w:cs="Times New Roman"/>
        </w:rPr>
        <w:t xml:space="preserve">disease </w:t>
      </w:r>
      <w:r w:rsidR="00FC74AD">
        <w:rPr>
          <w:rFonts w:ascii="Calibri" w:eastAsia="MS Mincho" w:hAnsi="Calibri" w:cs="Times New Roman"/>
        </w:rPr>
        <w:t xml:space="preserve">stage </w:t>
      </w:r>
      <w:r w:rsidR="00520FD8">
        <w:rPr>
          <w:rFonts w:ascii="Calibri" w:eastAsia="MS Mincho" w:hAnsi="Calibri" w:cs="Times New Roman"/>
        </w:rPr>
        <w:t>was</w:t>
      </w:r>
      <w:r w:rsidR="00FC74AD">
        <w:rPr>
          <w:rFonts w:ascii="Calibri" w:eastAsia="MS Mincho" w:hAnsi="Calibri" w:cs="Times New Roman"/>
        </w:rPr>
        <w:t xml:space="preserve"> derived from the restriction text </w:t>
      </w:r>
      <w:r w:rsidR="00E448D9">
        <w:rPr>
          <w:rFonts w:ascii="Calibri" w:eastAsia="MS Mincho" w:hAnsi="Calibri" w:cs="Times New Roman"/>
        </w:rPr>
        <w:t>associated</w:t>
      </w:r>
      <w:r w:rsidR="00FC74AD">
        <w:rPr>
          <w:rFonts w:ascii="Calibri" w:eastAsia="MS Mincho" w:hAnsi="Calibri" w:cs="Times New Roman"/>
        </w:rPr>
        <w:t xml:space="preserve"> with each restriction code.</w:t>
      </w:r>
    </w:p>
    <w:p w:rsidR="002129B0" w:rsidRDefault="00605A05" w:rsidP="00657685">
      <w:pPr>
        <w:rPr>
          <w:rFonts w:ascii="Calibri" w:eastAsia="MS Mincho" w:hAnsi="Calibri" w:cs="Times New Roman"/>
        </w:rPr>
      </w:pPr>
      <w:r>
        <w:rPr>
          <w:rFonts w:ascii="Calibri" w:eastAsia="MS Mincho" w:hAnsi="Calibri" w:cs="Times New Roman"/>
        </w:rPr>
        <w:t xml:space="preserve">Information in </w:t>
      </w:r>
      <w:r w:rsidR="00C2161C">
        <w:rPr>
          <w:rFonts w:ascii="Calibri" w:eastAsia="MS Mincho" w:hAnsi="Calibri" w:cs="Times New Roman"/>
        </w:rPr>
        <w:t xml:space="preserve">Table A.1 </w:t>
      </w:r>
      <w:r>
        <w:rPr>
          <w:rFonts w:ascii="Calibri" w:eastAsia="MS Mincho" w:hAnsi="Calibri" w:cs="Times New Roman"/>
        </w:rPr>
        <w:t>wa</w:t>
      </w:r>
      <w:r w:rsidR="00C2161C">
        <w:rPr>
          <w:rFonts w:ascii="Calibri" w:eastAsia="MS Mincho" w:hAnsi="Calibri" w:cs="Times New Roman"/>
        </w:rPr>
        <w:t>s</w:t>
      </w:r>
      <w:r>
        <w:rPr>
          <w:rFonts w:ascii="Calibri" w:eastAsia="MS Mincho" w:hAnsi="Calibri" w:cs="Times New Roman"/>
        </w:rPr>
        <w:t xml:space="preserve"> used</w:t>
      </w:r>
      <w:r w:rsidR="00C2161C">
        <w:rPr>
          <w:rFonts w:ascii="Calibri" w:eastAsia="MS Mincho" w:hAnsi="Calibri" w:cs="Times New Roman"/>
        </w:rPr>
        <w:t xml:space="preserve"> to allocate a cancer </w:t>
      </w:r>
      <w:r w:rsidR="00520FD8">
        <w:rPr>
          <w:rFonts w:ascii="Calibri" w:eastAsia="MS Mincho" w:hAnsi="Calibri" w:cs="Times New Roman"/>
        </w:rPr>
        <w:t xml:space="preserve">disease </w:t>
      </w:r>
      <w:r w:rsidR="00C2161C">
        <w:rPr>
          <w:rFonts w:ascii="Calibri" w:eastAsia="MS Mincho" w:hAnsi="Calibri" w:cs="Times New Roman"/>
        </w:rPr>
        <w:t xml:space="preserve">stage to a prescription. </w:t>
      </w:r>
      <w:r w:rsidR="00657685">
        <w:rPr>
          <w:rFonts w:ascii="Calibri" w:eastAsia="MS Mincho" w:hAnsi="Calibri" w:cs="Times New Roman"/>
        </w:rPr>
        <w:t xml:space="preserve">All items for trastuzumab, </w:t>
      </w:r>
      <w:r w:rsidR="006B3308">
        <w:rPr>
          <w:rFonts w:ascii="Calibri" w:eastAsia="MS Mincho" w:hAnsi="Calibri" w:cs="Times New Roman"/>
        </w:rPr>
        <w:t>T-DM1</w:t>
      </w:r>
      <w:r w:rsidR="00657685">
        <w:rPr>
          <w:rFonts w:ascii="Calibri" w:eastAsia="MS Mincho" w:hAnsi="Calibri" w:cs="Times New Roman"/>
        </w:rPr>
        <w:t xml:space="preserve"> and pertuzumab are </w:t>
      </w:r>
      <w:r w:rsidR="006B3308">
        <w:rPr>
          <w:rFonts w:ascii="Calibri" w:eastAsia="MS Mincho" w:hAnsi="Calibri" w:cs="Times New Roman"/>
        </w:rPr>
        <w:t xml:space="preserve">Authority Required </w:t>
      </w:r>
      <w:r w:rsidR="00657685">
        <w:rPr>
          <w:rFonts w:ascii="Calibri" w:eastAsia="MS Mincho" w:hAnsi="Calibri" w:cs="Times New Roman"/>
        </w:rPr>
        <w:t xml:space="preserve">and this means that the restriction code </w:t>
      </w:r>
      <w:r w:rsidR="00520FD8">
        <w:rPr>
          <w:rFonts w:ascii="Calibri" w:eastAsia="MS Mincho" w:hAnsi="Calibri" w:cs="Times New Roman"/>
        </w:rPr>
        <w:t>should be recorded</w:t>
      </w:r>
      <w:r w:rsidR="00657685">
        <w:rPr>
          <w:rFonts w:ascii="Calibri" w:eastAsia="MS Mincho" w:hAnsi="Calibri" w:cs="Times New Roman"/>
        </w:rPr>
        <w:t xml:space="preserve"> in the DHS Authority Approvals </w:t>
      </w:r>
      <w:r w:rsidR="00657685" w:rsidRPr="005E7E99">
        <w:rPr>
          <w:rFonts w:ascii="Calibri" w:eastAsia="MS Mincho" w:hAnsi="Calibri" w:cs="Times New Roman"/>
        </w:rPr>
        <w:t xml:space="preserve">database. </w:t>
      </w:r>
      <w:r w:rsidR="00657685" w:rsidRPr="006A7C6D">
        <w:rPr>
          <w:rFonts w:ascii="Calibri" w:eastAsia="MS Mincho" w:hAnsi="Calibri" w:cs="Times New Roman"/>
        </w:rPr>
        <w:t xml:space="preserve">All items for these </w:t>
      </w:r>
      <w:r w:rsidR="006B3308">
        <w:rPr>
          <w:rFonts w:ascii="Calibri" w:eastAsia="MS Mincho" w:hAnsi="Calibri" w:cs="Times New Roman"/>
        </w:rPr>
        <w:t>medicines</w:t>
      </w:r>
      <w:r w:rsidR="006B3308" w:rsidRPr="006A7C6D">
        <w:rPr>
          <w:rFonts w:ascii="Calibri" w:eastAsia="MS Mincho" w:hAnsi="Calibri" w:cs="Times New Roman"/>
        </w:rPr>
        <w:t xml:space="preserve"> </w:t>
      </w:r>
      <w:r w:rsidR="00657685" w:rsidRPr="006A7C6D">
        <w:rPr>
          <w:rFonts w:ascii="Calibri" w:eastAsia="MS Mincho" w:hAnsi="Calibri" w:cs="Times New Roman"/>
        </w:rPr>
        <w:t>are for HER2 positive breast cancer, so it is only necessary to use the restriction code to determine the stage of the cancer (i</w:t>
      </w:r>
      <w:r w:rsidR="002C0FDC">
        <w:rPr>
          <w:rFonts w:ascii="Calibri" w:eastAsia="MS Mincho" w:hAnsi="Calibri" w:cs="Times New Roman"/>
        </w:rPr>
        <w:t>.</w:t>
      </w:r>
      <w:r w:rsidR="00657685" w:rsidRPr="006A7C6D">
        <w:rPr>
          <w:rFonts w:ascii="Calibri" w:eastAsia="MS Mincho" w:hAnsi="Calibri" w:cs="Times New Roman"/>
        </w:rPr>
        <w:t>e. Early, Locally advanced</w:t>
      </w:r>
      <w:r w:rsidR="006B3308">
        <w:rPr>
          <w:rFonts w:ascii="Calibri" w:eastAsia="MS Mincho" w:hAnsi="Calibri" w:cs="Times New Roman"/>
        </w:rPr>
        <w:t>,</w:t>
      </w:r>
      <w:r w:rsidR="00657685" w:rsidRPr="006A7C6D">
        <w:rPr>
          <w:rFonts w:ascii="Calibri" w:eastAsia="MS Mincho" w:hAnsi="Calibri" w:cs="Times New Roman"/>
        </w:rPr>
        <w:t xml:space="preserve"> Metastatic</w:t>
      </w:r>
      <w:r w:rsidR="006B3308">
        <w:rPr>
          <w:rFonts w:ascii="Calibri" w:eastAsia="MS Mincho" w:hAnsi="Calibri" w:cs="Times New Roman"/>
        </w:rPr>
        <w:t xml:space="preserve"> or “</w:t>
      </w:r>
      <w:r w:rsidR="006B3308" w:rsidRPr="006A7C6D">
        <w:rPr>
          <w:rFonts w:ascii="Calibri" w:eastAsia="MS Mincho" w:hAnsi="Calibri" w:cs="Times New Roman"/>
        </w:rPr>
        <w:t>Grandfather</w:t>
      </w:r>
      <w:r w:rsidR="00041D11">
        <w:rPr>
          <w:rFonts w:ascii="Calibri" w:eastAsia="MS Mincho" w:hAnsi="Calibri" w:cs="Times New Roman"/>
        </w:rPr>
        <w:t>ed</w:t>
      </w:r>
      <w:r w:rsidR="006B3308">
        <w:rPr>
          <w:rFonts w:ascii="Calibri" w:eastAsia="MS Mincho" w:hAnsi="Calibri" w:cs="Times New Roman"/>
        </w:rPr>
        <w:t>”</w:t>
      </w:r>
      <w:r w:rsidR="00657685" w:rsidRPr="006A7C6D">
        <w:rPr>
          <w:rFonts w:ascii="Calibri" w:eastAsia="MS Mincho" w:hAnsi="Calibri" w:cs="Times New Roman"/>
        </w:rPr>
        <w:t>).</w:t>
      </w:r>
      <w:r w:rsidR="00041D11">
        <w:rPr>
          <w:rFonts w:ascii="Calibri" w:eastAsia="MS Mincho" w:hAnsi="Calibri" w:cs="Times New Roman"/>
        </w:rPr>
        <w:t xml:space="preserve"> “Grandfathered” refers to patients who commenced treatment prior to </w:t>
      </w:r>
      <w:r w:rsidR="00E448D9">
        <w:rPr>
          <w:rFonts w:ascii="Calibri" w:eastAsia="MS Mincho" w:hAnsi="Calibri" w:cs="Times New Roman"/>
        </w:rPr>
        <w:t>subsidy</w:t>
      </w:r>
      <w:r w:rsidR="00041D11">
        <w:rPr>
          <w:rFonts w:ascii="Calibri" w:eastAsia="MS Mincho" w:hAnsi="Calibri" w:cs="Times New Roman"/>
        </w:rPr>
        <w:t xml:space="preserve"> commencing on the PBS but who would have been eligible to commence PBS treatment.</w:t>
      </w:r>
    </w:p>
    <w:p w:rsidR="00657685" w:rsidRDefault="00657685" w:rsidP="00657685">
      <w:pPr>
        <w:rPr>
          <w:rFonts w:ascii="Calibri" w:eastAsia="MS Mincho" w:hAnsi="Calibri" w:cs="Times New Roman"/>
        </w:rPr>
      </w:pPr>
      <w:r>
        <w:rPr>
          <w:rFonts w:ascii="Calibri" w:eastAsia="MS Mincho" w:hAnsi="Calibri" w:cs="Times New Roman"/>
        </w:rPr>
        <w:t>The prescription data was matched to the authority approval data base</w:t>
      </w:r>
      <w:r w:rsidR="00520FD8">
        <w:rPr>
          <w:rFonts w:ascii="Calibri" w:eastAsia="MS Mincho" w:hAnsi="Calibri" w:cs="Times New Roman"/>
        </w:rPr>
        <w:t>d</w:t>
      </w:r>
      <w:r>
        <w:rPr>
          <w:rFonts w:ascii="Calibri" w:eastAsia="MS Mincho" w:hAnsi="Calibri" w:cs="Times New Roman"/>
        </w:rPr>
        <w:t xml:space="preserve"> on </w:t>
      </w:r>
      <w:r w:rsidR="00520FD8">
        <w:rPr>
          <w:rFonts w:ascii="Calibri" w:eastAsia="MS Mincho" w:hAnsi="Calibri" w:cs="Times New Roman"/>
        </w:rPr>
        <w:t xml:space="preserve">the </w:t>
      </w:r>
      <w:r>
        <w:rPr>
          <w:rFonts w:ascii="Calibri" w:eastAsia="MS Mincho" w:hAnsi="Calibri" w:cs="Times New Roman"/>
        </w:rPr>
        <w:t xml:space="preserve">patient ID, PBS item code and </w:t>
      </w:r>
      <w:r w:rsidR="00520FD8">
        <w:rPr>
          <w:rFonts w:ascii="Calibri" w:eastAsia="MS Mincho" w:hAnsi="Calibri" w:cs="Times New Roman"/>
        </w:rPr>
        <w:t xml:space="preserve">the </w:t>
      </w:r>
      <w:r>
        <w:rPr>
          <w:rFonts w:ascii="Calibri" w:eastAsia="MS Mincho" w:hAnsi="Calibri" w:cs="Times New Roman"/>
        </w:rPr>
        <w:t xml:space="preserve">dates of supply and approval. After undertaking this process, there </w:t>
      </w:r>
      <w:r w:rsidR="00D93E3A">
        <w:rPr>
          <w:rFonts w:ascii="Calibri" w:eastAsia="MS Mincho" w:hAnsi="Calibri" w:cs="Times New Roman"/>
        </w:rPr>
        <w:t>were</w:t>
      </w:r>
      <w:r>
        <w:rPr>
          <w:rFonts w:ascii="Calibri" w:eastAsia="MS Mincho" w:hAnsi="Calibri" w:cs="Times New Roman"/>
        </w:rPr>
        <w:t xml:space="preserve"> some prescriptions that lack</w:t>
      </w:r>
      <w:r w:rsidR="00D93E3A">
        <w:rPr>
          <w:rFonts w:ascii="Calibri" w:eastAsia="MS Mincho" w:hAnsi="Calibri" w:cs="Times New Roman"/>
        </w:rPr>
        <w:t>ed</w:t>
      </w:r>
      <w:r>
        <w:rPr>
          <w:rFonts w:ascii="Calibri" w:eastAsia="MS Mincho" w:hAnsi="Calibri" w:cs="Times New Roman"/>
        </w:rPr>
        <w:t xml:space="preserve"> a res</w:t>
      </w:r>
      <w:r w:rsidR="00520FD8">
        <w:rPr>
          <w:rFonts w:ascii="Calibri" w:eastAsia="MS Mincho" w:hAnsi="Calibri" w:cs="Times New Roman"/>
        </w:rPr>
        <w:t>tric</w:t>
      </w:r>
      <w:r>
        <w:rPr>
          <w:rFonts w:ascii="Calibri" w:eastAsia="MS Mincho" w:hAnsi="Calibri" w:cs="Times New Roman"/>
        </w:rPr>
        <w:t xml:space="preserve">tion code, either because the </w:t>
      </w:r>
      <w:r w:rsidR="00DD76A0">
        <w:rPr>
          <w:rFonts w:ascii="Calibri" w:eastAsia="MS Mincho" w:hAnsi="Calibri" w:cs="Times New Roman"/>
        </w:rPr>
        <w:t xml:space="preserve">matched authority approval </w:t>
      </w:r>
      <w:r w:rsidR="00D93E3A">
        <w:rPr>
          <w:rFonts w:ascii="Calibri" w:eastAsia="MS Mincho" w:hAnsi="Calibri" w:cs="Times New Roman"/>
        </w:rPr>
        <w:t xml:space="preserve">had no recorded restriction </w:t>
      </w:r>
      <w:r w:rsidR="00DD76A0">
        <w:rPr>
          <w:rFonts w:ascii="Calibri" w:eastAsia="MS Mincho" w:hAnsi="Calibri" w:cs="Times New Roman"/>
        </w:rPr>
        <w:t xml:space="preserve">code or there was no matching authority approval found. To increase the percentage of prescriptions with </w:t>
      </w:r>
      <w:r w:rsidR="00D93E3A">
        <w:rPr>
          <w:rFonts w:ascii="Calibri" w:eastAsia="MS Mincho" w:hAnsi="Calibri" w:cs="Times New Roman"/>
        </w:rPr>
        <w:t xml:space="preserve">an </w:t>
      </w:r>
      <w:r w:rsidR="00DD76A0">
        <w:rPr>
          <w:rFonts w:ascii="Calibri" w:eastAsia="MS Mincho" w:hAnsi="Calibri" w:cs="Times New Roman"/>
        </w:rPr>
        <w:t>a</w:t>
      </w:r>
      <w:r w:rsidR="00D93E3A">
        <w:rPr>
          <w:rFonts w:ascii="Calibri" w:eastAsia="MS Mincho" w:hAnsi="Calibri" w:cs="Times New Roman"/>
        </w:rPr>
        <w:t xml:space="preserve">llocated </w:t>
      </w:r>
      <w:r w:rsidR="00520FD8">
        <w:rPr>
          <w:rFonts w:ascii="Calibri" w:eastAsia="MS Mincho" w:hAnsi="Calibri" w:cs="Times New Roman"/>
        </w:rPr>
        <w:t xml:space="preserve">disease </w:t>
      </w:r>
      <w:r w:rsidR="00D93E3A">
        <w:rPr>
          <w:rFonts w:ascii="Calibri" w:eastAsia="MS Mincho" w:hAnsi="Calibri" w:cs="Times New Roman"/>
        </w:rPr>
        <w:t>stage</w:t>
      </w:r>
      <w:r w:rsidR="00DD76A0">
        <w:rPr>
          <w:rFonts w:ascii="Calibri" w:eastAsia="MS Mincho" w:hAnsi="Calibri" w:cs="Times New Roman"/>
        </w:rPr>
        <w:t>, if the PBS item has only one stage (e</w:t>
      </w:r>
      <w:r w:rsidR="002C0FDC">
        <w:rPr>
          <w:rFonts w:ascii="Calibri" w:eastAsia="MS Mincho" w:hAnsi="Calibri" w:cs="Times New Roman"/>
        </w:rPr>
        <w:t>.</w:t>
      </w:r>
      <w:r w:rsidR="00DD76A0">
        <w:rPr>
          <w:rFonts w:ascii="Calibri" w:eastAsia="MS Mincho" w:hAnsi="Calibri" w:cs="Times New Roman"/>
        </w:rPr>
        <w:t xml:space="preserve">g. </w:t>
      </w:r>
      <w:r w:rsidR="001521A2">
        <w:rPr>
          <w:rFonts w:ascii="Calibri" w:eastAsia="MS Mincho" w:hAnsi="Calibri" w:cs="Times New Roman"/>
        </w:rPr>
        <w:t xml:space="preserve">item 6497Y in Table A.1 is only for Early stage) then the stage allocation was made on the basis of the item code only, without regard to the </w:t>
      </w:r>
      <w:r w:rsidR="000F0152">
        <w:rPr>
          <w:rFonts w:ascii="Calibri" w:eastAsia="MS Mincho" w:hAnsi="Calibri" w:cs="Times New Roman"/>
        </w:rPr>
        <w:t xml:space="preserve">authority approval </w:t>
      </w:r>
      <w:r w:rsidR="001521A2">
        <w:rPr>
          <w:rFonts w:ascii="Calibri" w:eastAsia="MS Mincho" w:hAnsi="Calibri" w:cs="Times New Roman"/>
        </w:rPr>
        <w:t>restriction code.</w:t>
      </w:r>
    </w:p>
    <w:p w:rsidR="00513CEC" w:rsidRDefault="000F0152" w:rsidP="00D2256D">
      <w:pPr>
        <w:rPr>
          <w:rFonts w:ascii="Calibri" w:eastAsia="MS Mincho" w:hAnsi="Calibri" w:cs="Times New Roman"/>
        </w:rPr>
      </w:pPr>
      <w:r>
        <w:rPr>
          <w:rFonts w:ascii="Calibri" w:eastAsia="MS Mincho" w:hAnsi="Calibri" w:cs="Times New Roman"/>
        </w:rPr>
        <w:t>For other PBS medicines indicated to treat breast cancer the allocation of restriction code and breast cancer stage was more complex. Some items are Aut</w:t>
      </w:r>
      <w:r w:rsidR="00F76104">
        <w:rPr>
          <w:rFonts w:ascii="Calibri" w:eastAsia="MS Mincho" w:hAnsi="Calibri" w:cs="Times New Roman"/>
        </w:rPr>
        <w:t>h</w:t>
      </w:r>
      <w:r>
        <w:rPr>
          <w:rFonts w:ascii="Calibri" w:eastAsia="MS Mincho" w:hAnsi="Calibri" w:cs="Times New Roman"/>
        </w:rPr>
        <w:t>ority Required (Streamlined</w:t>
      </w:r>
      <w:r w:rsidR="00110513">
        <w:rPr>
          <w:rFonts w:ascii="Calibri" w:eastAsia="MS Mincho" w:hAnsi="Calibri" w:cs="Times New Roman"/>
        </w:rPr>
        <w:t xml:space="preserve">) </w:t>
      </w:r>
      <w:r w:rsidR="009B0776">
        <w:rPr>
          <w:rFonts w:ascii="Calibri" w:eastAsia="MS Mincho" w:hAnsi="Calibri" w:cs="Times New Roman"/>
        </w:rPr>
        <w:t xml:space="preserve">(see items with Restriction Type = S in </w:t>
      </w:r>
      <w:r w:rsidR="006A0447">
        <w:rPr>
          <w:rFonts w:ascii="Calibri" w:eastAsia="MS Mincho" w:hAnsi="Calibri" w:cs="Times New Roman"/>
        </w:rPr>
        <w:t>Attachment 1</w:t>
      </w:r>
      <w:r w:rsidR="009B0776">
        <w:rPr>
          <w:rFonts w:ascii="Calibri" w:eastAsia="MS Mincho" w:hAnsi="Calibri" w:cs="Times New Roman"/>
        </w:rPr>
        <w:t xml:space="preserve">) </w:t>
      </w:r>
      <w:r w:rsidR="00110513">
        <w:rPr>
          <w:rFonts w:ascii="Calibri" w:eastAsia="MS Mincho" w:hAnsi="Calibri" w:cs="Times New Roman"/>
        </w:rPr>
        <w:t xml:space="preserve">and for these items the restriction code is recorded in the </w:t>
      </w:r>
      <w:r w:rsidR="00110513" w:rsidRPr="00B87CD5">
        <w:rPr>
          <w:rFonts w:ascii="Calibri" w:eastAsia="MS Mincho" w:hAnsi="Calibri" w:cs="Times New Roman"/>
        </w:rPr>
        <w:t>DHS prescription database</w:t>
      </w:r>
      <w:r w:rsidR="00110513">
        <w:rPr>
          <w:rFonts w:ascii="Calibri" w:eastAsia="MS Mincho" w:hAnsi="Calibri" w:cs="Times New Roman"/>
        </w:rPr>
        <w:t xml:space="preserve"> instead of the DHS Aut</w:t>
      </w:r>
      <w:r w:rsidR="00C12687">
        <w:rPr>
          <w:rFonts w:ascii="Calibri" w:eastAsia="MS Mincho" w:hAnsi="Calibri" w:cs="Times New Roman"/>
        </w:rPr>
        <w:t>h</w:t>
      </w:r>
      <w:r w:rsidR="00110513">
        <w:rPr>
          <w:rFonts w:ascii="Calibri" w:eastAsia="MS Mincho" w:hAnsi="Calibri" w:cs="Times New Roman"/>
        </w:rPr>
        <w:t xml:space="preserve">ority Approvals database. For these items the Streamlined restriction code </w:t>
      </w:r>
      <w:r w:rsidR="00A85D16">
        <w:rPr>
          <w:rFonts w:ascii="Calibri" w:eastAsia="MS Mincho" w:hAnsi="Calibri" w:cs="Times New Roman"/>
        </w:rPr>
        <w:t xml:space="preserve">was </w:t>
      </w:r>
      <w:r w:rsidR="00110513">
        <w:rPr>
          <w:rFonts w:ascii="Calibri" w:eastAsia="MS Mincho" w:hAnsi="Calibri" w:cs="Times New Roman"/>
        </w:rPr>
        <w:t>used to determine the restriction text and the stage of cancer (even if an alternative restriction code also exist</w:t>
      </w:r>
      <w:r w:rsidR="000F3697">
        <w:rPr>
          <w:rFonts w:ascii="Calibri" w:eastAsia="MS Mincho" w:hAnsi="Calibri" w:cs="Times New Roman"/>
        </w:rPr>
        <w:t>ed</w:t>
      </w:r>
      <w:r w:rsidR="00110513">
        <w:rPr>
          <w:rFonts w:ascii="Calibri" w:eastAsia="MS Mincho" w:hAnsi="Calibri" w:cs="Times New Roman"/>
        </w:rPr>
        <w:t xml:space="preserve"> in the DHS Aut</w:t>
      </w:r>
      <w:r w:rsidR="00A6126C">
        <w:rPr>
          <w:rFonts w:ascii="Calibri" w:eastAsia="MS Mincho" w:hAnsi="Calibri" w:cs="Times New Roman"/>
        </w:rPr>
        <w:t>h</w:t>
      </w:r>
      <w:r w:rsidR="00110513">
        <w:rPr>
          <w:rFonts w:ascii="Calibri" w:eastAsia="MS Mincho" w:hAnsi="Calibri" w:cs="Times New Roman"/>
        </w:rPr>
        <w:t>ority Approvals database. This can occur if there are increased quantity or repeats requested for a Streamlined item). In addition</w:t>
      </w:r>
      <w:r w:rsidR="00C2161C">
        <w:rPr>
          <w:rFonts w:ascii="Calibri" w:eastAsia="MS Mincho" w:hAnsi="Calibri" w:cs="Times New Roman"/>
        </w:rPr>
        <w:t xml:space="preserve"> flag</w:t>
      </w:r>
      <w:r w:rsidR="00110513">
        <w:rPr>
          <w:rFonts w:ascii="Calibri" w:eastAsia="MS Mincho" w:hAnsi="Calibri" w:cs="Times New Roman"/>
        </w:rPr>
        <w:t xml:space="preserve">s were constructed </w:t>
      </w:r>
      <w:r w:rsidR="00C2161C">
        <w:rPr>
          <w:rFonts w:ascii="Calibri" w:eastAsia="MS Mincho" w:hAnsi="Calibri" w:cs="Times New Roman"/>
        </w:rPr>
        <w:t xml:space="preserve">to indicate if the restriction code and text </w:t>
      </w:r>
      <w:r w:rsidR="00110513">
        <w:rPr>
          <w:rFonts w:ascii="Calibri" w:eastAsia="MS Mincho" w:hAnsi="Calibri" w:cs="Times New Roman"/>
        </w:rPr>
        <w:t>was</w:t>
      </w:r>
      <w:r w:rsidR="00C2161C">
        <w:rPr>
          <w:rFonts w:ascii="Calibri" w:eastAsia="MS Mincho" w:hAnsi="Calibri" w:cs="Times New Roman"/>
        </w:rPr>
        <w:t xml:space="preserve"> for breast cancer </w:t>
      </w:r>
      <w:r w:rsidR="00110513">
        <w:rPr>
          <w:rFonts w:ascii="Calibri" w:eastAsia="MS Mincho" w:hAnsi="Calibri" w:cs="Times New Roman"/>
        </w:rPr>
        <w:t>(i</w:t>
      </w:r>
      <w:r w:rsidR="002C0FDC">
        <w:rPr>
          <w:rFonts w:ascii="Calibri" w:eastAsia="MS Mincho" w:hAnsi="Calibri" w:cs="Times New Roman"/>
        </w:rPr>
        <w:t>.</w:t>
      </w:r>
      <w:r w:rsidR="00110513">
        <w:rPr>
          <w:rFonts w:ascii="Calibri" w:eastAsia="MS Mincho" w:hAnsi="Calibri" w:cs="Times New Roman"/>
        </w:rPr>
        <w:t xml:space="preserve">e. some items </w:t>
      </w:r>
      <w:r w:rsidR="00520FD8">
        <w:rPr>
          <w:rFonts w:ascii="Calibri" w:eastAsia="MS Mincho" w:hAnsi="Calibri" w:cs="Times New Roman"/>
        </w:rPr>
        <w:t xml:space="preserve">are </w:t>
      </w:r>
      <w:r w:rsidR="00110513">
        <w:rPr>
          <w:rFonts w:ascii="Calibri" w:eastAsia="MS Mincho" w:hAnsi="Calibri" w:cs="Times New Roman"/>
        </w:rPr>
        <w:t xml:space="preserve">also indicated for other cancers) </w:t>
      </w:r>
      <w:r w:rsidR="00C2161C">
        <w:rPr>
          <w:rFonts w:ascii="Calibri" w:eastAsia="MS Mincho" w:hAnsi="Calibri" w:cs="Times New Roman"/>
        </w:rPr>
        <w:t xml:space="preserve">and to indicate if the restriction code and text </w:t>
      </w:r>
      <w:r w:rsidR="00110513">
        <w:rPr>
          <w:rFonts w:ascii="Calibri" w:eastAsia="MS Mincho" w:hAnsi="Calibri" w:cs="Times New Roman"/>
        </w:rPr>
        <w:t>was</w:t>
      </w:r>
      <w:r w:rsidR="00C2161C">
        <w:rPr>
          <w:rFonts w:ascii="Calibri" w:eastAsia="MS Mincho" w:hAnsi="Calibri" w:cs="Times New Roman"/>
        </w:rPr>
        <w:t xml:space="preserve"> </w:t>
      </w:r>
      <w:r w:rsidR="00110513">
        <w:rPr>
          <w:rFonts w:ascii="Calibri" w:eastAsia="MS Mincho" w:hAnsi="Calibri" w:cs="Times New Roman"/>
        </w:rPr>
        <w:t xml:space="preserve">for </w:t>
      </w:r>
      <w:r w:rsidR="00C2161C">
        <w:rPr>
          <w:rFonts w:ascii="Calibri" w:eastAsia="MS Mincho" w:hAnsi="Calibri" w:cs="Times New Roman"/>
        </w:rPr>
        <w:t>HER2 positive cancer</w:t>
      </w:r>
      <w:r w:rsidR="003E38DA">
        <w:rPr>
          <w:rFonts w:ascii="Calibri" w:eastAsia="MS Mincho" w:hAnsi="Calibri" w:cs="Times New Roman"/>
        </w:rPr>
        <w:t xml:space="preserve"> or not</w:t>
      </w:r>
      <w:r w:rsidR="00C2161C">
        <w:rPr>
          <w:rFonts w:ascii="Calibri" w:eastAsia="MS Mincho" w:hAnsi="Calibri" w:cs="Times New Roman"/>
        </w:rPr>
        <w:t xml:space="preserve">. </w:t>
      </w:r>
      <w:r w:rsidR="006A0447">
        <w:rPr>
          <w:rFonts w:ascii="Calibri" w:eastAsia="MS Mincho" w:hAnsi="Calibri" w:cs="Times New Roman"/>
        </w:rPr>
        <w:t xml:space="preserve">Table </w:t>
      </w:r>
      <w:r w:rsidR="00596A9C">
        <w:rPr>
          <w:rFonts w:ascii="Calibri" w:eastAsia="MS Mincho" w:hAnsi="Calibri" w:cs="Times New Roman"/>
        </w:rPr>
        <w:t>1</w:t>
      </w:r>
      <w:r w:rsidR="0087698E">
        <w:rPr>
          <w:rFonts w:ascii="Calibri" w:eastAsia="MS Mincho" w:hAnsi="Calibri" w:cs="Times New Roman"/>
        </w:rPr>
        <w:t xml:space="preserve"> in </w:t>
      </w:r>
      <w:r w:rsidR="006A0447">
        <w:rPr>
          <w:rFonts w:ascii="Calibri" w:eastAsia="MS Mincho" w:hAnsi="Calibri" w:cs="Times New Roman"/>
        </w:rPr>
        <w:t>Attachment 1</w:t>
      </w:r>
      <w:r w:rsidR="00B37071">
        <w:rPr>
          <w:rFonts w:ascii="Calibri" w:eastAsia="MS Mincho" w:hAnsi="Calibri" w:cs="Times New Roman"/>
        </w:rPr>
        <w:t xml:space="preserve"> </w:t>
      </w:r>
      <w:r w:rsidR="0087698E">
        <w:rPr>
          <w:rFonts w:ascii="Calibri" w:eastAsia="MS Mincho" w:hAnsi="Calibri" w:cs="Times New Roman"/>
        </w:rPr>
        <w:t xml:space="preserve">shows the PBS items, </w:t>
      </w:r>
      <w:r w:rsidR="00406603">
        <w:rPr>
          <w:rFonts w:ascii="Calibri" w:eastAsia="MS Mincho" w:hAnsi="Calibri" w:cs="Times New Roman"/>
        </w:rPr>
        <w:t xml:space="preserve">breast cancer flag, HER2 positive flag </w:t>
      </w:r>
      <w:r w:rsidR="0087698E">
        <w:rPr>
          <w:rFonts w:ascii="Calibri" w:eastAsia="MS Mincho" w:hAnsi="Calibri" w:cs="Times New Roman"/>
        </w:rPr>
        <w:t xml:space="preserve">and breast cancer stages for these </w:t>
      </w:r>
      <w:r w:rsidR="00A85D16">
        <w:rPr>
          <w:rFonts w:ascii="Calibri" w:eastAsia="MS Mincho" w:hAnsi="Calibri" w:cs="Times New Roman"/>
        </w:rPr>
        <w:t>medicines</w:t>
      </w:r>
      <w:r w:rsidR="0087698E">
        <w:rPr>
          <w:rFonts w:ascii="Calibri" w:eastAsia="MS Mincho" w:hAnsi="Calibri" w:cs="Times New Roman"/>
        </w:rPr>
        <w:t>.</w:t>
      </w:r>
    </w:p>
    <w:p w:rsidR="00B85976" w:rsidRPr="00C66EF7" w:rsidRDefault="00A6126C" w:rsidP="00D2256D">
      <w:pPr>
        <w:rPr>
          <w:rFonts w:ascii="Calibri" w:eastAsia="MS Mincho" w:hAnsi="Calibri" w:cs="Times New Roman"/>
        </w:rPr>
      </w:pPr>
      <w:r w:rsidRPr="00C66EF7">
        <w:rPr>
          <w:rFonts w:ascii="Calibri" w:eastAsia="MS Mincho" w:hAnsi="Calibri" w:cs="Times New Roman"/>
        </w:rPr>
        <w:t>As noted in the “Relevant aspects of consideration by the PBAC” section of this report</w:t>
      </w:r>
      <w:r w:rsidR="00DE717E" w:rsidRPr="00C66EF7">
        <w:rPr>
          <w:rFonts w:ascii="Calibri" w:eastAsia="MS Mincho" w:hAnsi="Calibri" w:cs="Times New Roman"/>
        </w:rPr>
        <w:t xml:space="preserve">, for pertuzumab a maximum of </w:t>
      </w:r>
      <w:r w:rsidR="00192A24">
        <w:rPr>
          <w:rFonts w:ascii="Calibri" w:eastAsia="MS Mincho" w:hAnsi="Calibri" w:cs="Times New Roman"/>
          <w:noProof/>
          <w:color w:val="000000"/>
          <w:highlight w:val="black"/>
        </w:rPr>
        <w:t>''''''</w:t>
      </w:r>
      <w:r w:rsidR="00DE717E" w:rsidRPr="00C66EF7">
        <w:rPr>
          <w:rFonts w:ascii="Calibri" w:eastAsia="MS Mincho" w:hAnsi="Calibri" w:cs="Times New Roman"/>
        </w:rPr>
        <w:t xml:space="preserve"> cycles of treatment per patient (</w:t>
      </w:r>
      <w:r w:rsidR="00192A24">
        <w:rPr>
          <w:rFonts w:ascii="Calibri" w:eastAsia="MS Mincho" w:hAnsi="Calibri" w:cs="Times New Roman"/>
          <w:noProof/>
          <w:color w:val="000000"/>
          <w:highlight w:val="black"/>
        </w:rPr>
        <w:t>''''''''</w:t>
      </w:r>
      <w:r w:rsidR="00DE717E" w:rsidRPr="00C66EF7">
        <w:rPr>
          <w:rFonts w:ascii="Calibri" w:eastAsia="MS Mincho" w:hAnsi="Calibri" w:cs="Times New Roman"/>
        </w:rPr>
        <w:t xml:space="preserve"> months) was proposed by Roche and accepted by the PBAC </w:t>
      </w:r>
      <w:r w:rsidR="00192A24">
        <w:rPr>
          <w:rFonts w:ascii="Calibri" w:eastAsia="MS Mincho" w:hAnsi="Calibri" w:cs="Times New Roman"/>
          <w:noProof/>
          <w:color w:val="000000"/>
          <w:highlight w:val="black"/>
        </w:rPr>
        <w:t>''''' ''''''' '''''''' ''''' ''''''''''''''''''''''''' '''''''</w:t>
      </w:r>
      <w:r w:rsidR="00DE717E" w:rsidRPr="00C66EF7">
        <w:rPr>
          <w:rFonts w:ascii="Calibri" w:eastAsia="MS Mincho" w:hAnsi="Calibri" w:cs="Times New Roman"/>
        </w:rPr>
        <w:t>. For T-DM1</w:t>
      </w:r>
      <w:r w:rsidR="000F3697" w:rsidRPr="00C66EF7">
        <w:rPr>
          <w:rFonts w:ascii="Calibri" w:eastAsia="MS Mincho" w:hAnsi="Calibri" w:cs="Times New Roman"/>
        </w:rPr>
        <w:t>,</w:t>
      </w:r>
      <w:r w:rsidR="00DE717E" w:rsidRPr="00C66EF7">
        <w:rPr>
          <w:rFonts w:ascii="Calibri" w:eastAsia="MS Mincho" w:hAnsi="Calibri" w:cs="Times New Roman"/>
        </w:rPr>
        <w:t xml:space="preserve"> a maximum of </w:t>
      </w:r>
      <w:r w:rsidR="00192A24">
        <w:rPr>
          <w:rFonts w:ascii="Calibri" w:eastAsia="MS Mincho" w:hAnsi="Calibri" w:cs="Times New Roman"/>
          <w:noProof/>
          <w:color w:val="000000"/>
          <w:highlight w:val="black"/>
        </w:rPr>
        <w:t>'''''</w:t>
      </w:r>
      <w:r w:rsidR="00DE717E" w:rsidRPr="00C66EF7">
        <w:rPr>
          <w:rFonts w:ascii="Calibri" w:eastAsia="MS Mincho" w:hAnsi="Calibri" w:cs="Times New Roman"/>
        </w:rPr>
        <w:t xml:space="preserve"> cycles per patient lifetime (</w:t>
      </w:r>
      <w:r w:rsidR="00192A24">
        <w:rPr>
          <w:rFonts w:ascii="Calibri" w:eastAsia="MS Mincho" w:hAnsi="Calibri" w:cs="Times New Roman"/>
          <w:noProof/>
          <w:color w:val="000000"/>
          <w:highlight w:val="black"/>
        </w:rPr>
        <w:t>''''''''</w:t>
      </w:r>
      <w:r w:rsidR="00DE717E" w:rsidRPr="00C66EF7">
        <w:rPr>
          <w:rFonts w:ascii="Calibri" w:eastAsia="MS Mincho" w:hAnsi="Calibri" w:cs="Times New Roman"/>
        </w:rPr>
        <w:t xml:space="preserve"> months) was proposed by Roche and accepted by</w:t>
      </w:r>
      <w:r w:rsidR="00391B11" w:rsidRPr="00C66EF7">
        <w:rPr>
          <w:rFonts w:ascii="Calibri" w:eastAsia="MS Mincho" w:hAnsi="Calibri" w:cs="Times New Roman"/>
        </w:rPr>
        <w:t xml:space="preserve"> the PBAC </w:t>
      </w:r>
      <w:r w:rsidR="00192A24">
        <w:rPr>
          <w:rFonts w:ascii="Calibri" w:eastAsia="MS Mincho" w:hAnsi="Calibri" w:cs="Times New Roman"/>
          <w:noProof/>
          <w:color w:val="000000"/>
          <w:highlight w:val="black"/>
        </w:rPr>
        <w:t>'''' '''''' ''''''''' '''''' ''''''''''''''''''''''''' '''''''</w:t>
      </w:r>
      <w:r w:rsidR="00DE717E" w:rsidRPr="00C66EF7">
        <w:rPr>
          <w:rFonts w:ascii="Calibri" w:eastAsia="MS Mincho" w:hAnsi="Calibri" w:cs="Times New Roman"/>
        </w:rPr>
        <w:t xml:space="preserve">. </w:t>
      </w:r>
    </w:p>
    <w:p w:rsidR="003A3136" w:rsidRDefault="008A52BF" w:rsidP="00D2256D">
      <w:pPr>
        <w:rPr>
          <w:rFonts w:ascii="Calibri" w:eastAsia="MS Mincho" w:hAnsi="Calibri" w:cs="Times New Roman"/>
        </w:rPr>
      </w:pPr>
      <w:r w:rsidRPr="00C66EF7">
        <w:rPr>
          <w:rFonts w:ascii="Calibri" w:eastAsia="MS Mincho" w:hAnsi="Calibri" w:cs="Times New Roman"/>
        </w:rPr>
        <w:t xml:space="preserve">To test if the </w:t>
      </w:r>
      <w:r w:rsidR="000F3697" w:rsidRPr="00C66EF7">
        <w:rPr>
          <w:rFonts w:ascii="Calibri" w:eastAsia="MS Mincho" w:hAnsi="Calibri" w:cs="Times New Roman"/>
        </w:rPr>
        <w:t xml:space="preserve">number of cycles was limited to </w:t>
      </w:r>
      <w:r w:rsidR="00192A24">
        <w:rPr>
          <w:rFonts w:ascii="Calibri" w:eastAsia="MS Mincho" w:hAnsi="Calibri" w:cs="Times New Roman"/>
          <w:noProof/>
          <w:color w:val="000000"/>
          <w:highlight w:val="black"/>
        </w:rPr>
        <w:t>'''''</w:t>
      </w:r>
      <w:r w:rsidRPr="00C66EF7">
        <w:rPr>
          <w:rFonts w:ascii="Calibri" w:eastAsia="MS Mincho" w:hAnsi="Calibri" w:cs="Times New Roman"/>
        </w:rPr>
        <w:t xml:space="preserve"> </w:t>
      </w:r>
      <w:r w:rsidR="000F3697" w:rsidRPr="00C66EF7">
        <w:rPr>
          <w:rFonts w:ascii="Calibri" w:eastAsia="MS Mincho" w:hAnsi="Calibri" w:cs="Times New Roman"/>
        </w:rPr>
        <w:t xml:space="preserve">for pertuzumab </w:t>
      </w:r>
      <w:r w:rsidRPr="00C66EF7">
        <w:rPr>
          <w:rFonts w:ascii="Calibri" w:eastAsia="MS Mincho" w:hAnsi="Calibri" w:cs="Times New Roman"/>
        </w:rPr>
        <w:t xml:space="preserve">and </w:t>
      </w:r>
      <w:r w:rsidR="00192A24">
        <w:rPr>
          <w:rFonts w:ascii="Calibri" w:eastAsia="MS Mincho" w:hAnsi="Calibri" w:cs="Times New Roman"/>
          <w:noProof/>
          <w:color w:val="000000"/>
          <w:highlight w:val="black"/>
        </w:rPr>
        <w:t>''''''</w:t>
      </w:r>
      <w:r w:rsidRPr="00C66EF7">
        <w:rPr>
          <w:rFonts w:ascii="Calibri" w:eastAsia="MS Mincho" w:hAnsi="Calibri" w:cs="Times New Roman"/>
        </w:rPr>
        <w:t xml:space="preserve"> </w:t>
      </w:r>
      <w:r w:rsidR="000F3697" w:rsidRPr="00C66EF7">
        <w:rPr>
          <w:rFonts w:ascii="Calibri" w:eastAsia="MS Mincho" w:hAnsi="Calibri" w:cs="Times New Roman"/>
        </w:rPr>
        <w:t>for T-DM1 in practice,</w:t>
      </w:r>
      <w:r w:rsidR="000F3697">
        <w:rPr>
          <w:rFonts w:ascii="Calibri" w:eastAsia="MS Mincho" w:hAnsi="Calibri" w:cs="Times New Roman"/>
        </w:rPr>
        <w:t xml:space="preserve"> </w:t>
      </w:r>
      <w:r>
        <w:rPr>
          <w:rFonts w:ascii="Calibri" w:eastAsia="MS Mincho" w:hAnsi="Calibri" w:cs="Times New Roman"/>
        </w:rPr>
        <w:t xml:space="preserve">the distribution of number of </w:t>
      </w:r>
      <w:r w:rsidR="00294479">
        <w:rPr>
          <w:rFonts w:ascii="Calibri" w:eastAsia="MS Mincho" w:hAnsi="Calibri" w:cs="Times New Roman"/>
        </w:rPr>
        <w:t xml:space="preserve">prescriptions per patient </w:t>
      </w:r>
      <w:r w:rsidR="003A3136">
        <w:rPr>
          <w:rFonts w:ascii="Calibri" w:eastAsia="MS Mincho" w:hAnsi="Calibri" w:cs="Times New Roman"/>
        </w:rPr>
        <w:t>(</w:t>
      </w:r>
      <w:r w:rsidR="00963C23">
        <w:rPr>
          <w:rFonts w:ascii="Calibri" w:eastAsia="MS Mincho" w:hAnsi="Calibri" w:cs="Times New Roman"/>
        </w:rPr>
        <w:t>see “D</w:t>
      </w:r>
      <w:r w:rsidR="003A3136">
        <w:rPr>
          <w:rFonts w:ascii="Calibri" w:eastAsia="MS Mincho" w:hAnsi="Calibri" w:cs="Times New Roman"/>
        </w:rPr>
        <w:t xml:space="preserve">uration of </w:t>
      </w:r>
      <w:r w:rsidR="00963C23">
        <w:rPr>
          <w:rFonts w:ascii="Calibri" w:eastAsia="MS Mincho" w:hAnsi="Calibri" w:cs="Times New Roman"/>
        </w:rPr>
        <w:t>therapy” section</w:t>
      </w:r>
      <w:r w:rsidR="003A3136">
        <w:rPr>
          <w:rFonts w:ascii="Calibri" w:eastAsia="MS Mincho" w:hAnsi="Calibri" w:cs="Times New Roman"/>
        </w:rPr>
        <w:t>)</w:t>
      </w:r>
      <w:r w:rsidR="005E7E99">
        <w:rPr>
          <w:rFonts w:ascii="Calibri" w:eastAsia="MS Mincho" w:hAnsi="Calibri" w:cs="Times New Roman"/>
        </w:rPr>
        <w:t xml:space="preserve"> </w:t>
      </w:r>
      <w:r w:rsidR="00294479">
        <w:rPr>
          <w:rFonts w:ascii="Calibri" w:eastAsia="MS Mincho" w:hAnsi="Calibri" w:cs="Times New Roman"/>
        </w:rPr>
        <w:t xml:space="preserve">was calculated. </w:t>
      </w:r>
    </w:p>
    <w:p w:rsidR="008A52BF" w:rsidRPr="003A3136" w:rsidRDefault="00294479" w:rsidP="003A3136">
      <w:pPr>
        <w:pStyle w:val="ListParagraph"/>
        <w:numPr>
          <w:ilvl w:val="0"/>
          <w:numId w:val="4"/>
        </w:numPr>
        <w:rPr>
          <w:rFonts w:ascii="Calibri" w:eastAsia="MS Mincho" w:hAnsi="Calibri" w:cs="Times New Roman"/>
        </w:rPr>
      </w:pPr>
      <w:r w:rsidRPr="003A3136">
        <w:rPr>
          <w:rFonts w:ascii="Calibri" w:eastAsia="MS Mincho" w:hAnsi="Calibri" w:cs="Times New Roman"/>
        </w:rPr>
        <w:t>For pertuzumab, the analysis cohort was those patients that initiated pertuzumab in the first si</w:t>
      </w:r>
      <w:r w:rsidR="00486408" w:rsidRPr="003A3136">
        <w:rPr>
          <w:rFonts w:ascii="Calibri" w:eastAsia="MS Mincho" w:hAnsi="Calibri" w:cs="Times New Roman"/>
        </w:rPr>
        <w:t>x</w:t>
      </w:r>
      <w:r w:rsidRPr="003A3136">
        <w:rPr>
          <w:rFonts w:ascii="Calibri" w:eastAsia="MS Mincho" w:hAnsi="Calibri" w:cs="Times New Roman"/>
        </w:rPr>
        <w:t xml:space="preserve"> months of listing (i</w:t>
      </w:r>
      <w:r w:rsidR="002C0FDC">
        <w:rPr>
          <w:rFonts w:ascii="Calibri" w:eastAsia="MS Mincho" w:hAnsi="Calibri" w:cs="Times New Roman"/>
        </w:rPr>
        <w:t>.</w:t>
      </w:r>
      <w:r w:rsidRPr="003A3136">
        <w:rPr>
          <w:rFonts w:ascii="Calibri" w:eastAsia="MS Mincho" w:hAnsi="Calibri" w:cs="Times New Roman"/>
        </w:rPr>
        <w:t>e. July 2015 to the end of December 2015, n=546)</w:t>
      </w:r>
      <w:r w:rsidR="002C0FDC">
        <w:rPr>
          <w:rFonts w:ascii="Calibri" w:eastAsia="MS Mincho" w:hAnsi="Calibri" w:cs="Times New Roman"/>
        </w:rPr>
        <w:t>.</w:t>
      </w:r>
      <w:r w:rsidRPr="003A3136">
        <w:rPr>
          <w:rFonts w:ascii="Calibri" w:eastAsia="MS Mincho" w:hAnsi="Calibri" w:cs="Times New Roman"/>
        </w:rPr>
        <w:t xml:space="preserve"> All these patients were followed up for exactly 21 months from their individual initiation date</w:t>
      </w:r>
      <w:r w:rsidR="00F26935" w:rsidRPr="003A3136">
        <w:rPr>
          <w:rFonts w:ascii="Calibri" w:eastAsia="MS Mincho" w:hAnsi="Calibri" w:cs="Times New Roman"/>
        </w:rPr>
        <w:t xml:space="preserve"> (this was the maximum follow</w:t>
      </w:r>
      <w:r w:rsidR="002C0FDC">
        <w:rPr>
          <w:rFonts w:ascii="Calibri" w:eastAsia="MS Mincho" w:hAnsi="Calibri" w:cs="Times New Roman"/>
        </w:rPr>
        <w:t>-</w:t>
      </w:r>
      <w:r w:rsidR="00F26935" w:rsidRPr="003A3136">
        <w:rPr>
          <w:rFonts w:ascii="Calibri" w:eastAsia="MS Mincho" w:hAnsi="Calibri" w:cs="Times New Roman"/>
        </w:rPr>
        <w:t>up possib</w:t>
      </w:r>
      <w:r w:rsidR="00B85976" w:rsidRPr="003A3136">
        <w:rPr>
          <w:rFonts w:ascii="Calibri" w:eastAsia="MS Mincho" w:hAnsi="Calibri" w:cs="Times New Roman"/>
        </w:rPr>
        <w:t>l</w:t>
      </w:r>
      <w:r w:rsidR="00F26935" w:rsidRPr="003A3136">
        <w:rPr>
          <w:rFonts w:ascii="Calibri" w:eastAsia="MS Mincho" w:hAnsi="Calibri" w:cs="Times New Roman"/>
        </w:rPr>
        <w:t>e as the data were only complete to the end of September 2017</w:t>
      </w:r>
      <w:r w:rsidR="00B85976" w:rsidRPr="003A3136">
        <w:rPr>
          <w:rFonts w:ascii="Calibri" w:eastAsia="MS Mincho" w:hAnsi="Calibri" w:cs="Times New Roman"/>
        </w:rPr>
        <w:t>)</w:t>
      </w:r>
      <w:r w:rsidR="00F26935" w:rsidRPr="003A3136">
        <w:rPr>
          <w:rFonts w:ascii="Calibri" w:eastAsia="MS Mincho" w:hAnsi="Calibri" w:cs="Times New Roman"/>
        </w:rPr>
        <w:t>.</w:t>
      </w:r>
      <w:r w:rsidRPr="003A3136">
        <w:rPr>
          <w:rFonts w:ascii="Calibri" w:eastAsia="MS Mincho" w:hAnsi="Calibri" w:cs="Times New Roman"/>
        </w:rPr>
        <w:t xml:space="preserve"> 21 months </w:t>
      </w:r>
      <w:r w:rsidR="00F26935" w:rsidRPr="003A3136">
        <w:rPr>
          <w:rFonts w:ascii="Calibri" w:eastAsia="MS Mincho" w:hAnsi="Calibri" w:cs="Times New Roman"/>
        </w:rPr>
        <w:t>provided</w:t>
      </w:r>
      <w:r w:rsidRPr="003A3136">
        <w:rPr>
          <w:rFonts w:ascii="Calibri" w:eastAsia="MS Mincho" w:hAnsi="Calibri" w:cs="Times New Roman"/>
        </w:rPr>
        <w:t xml:space="preserve"> the </w:t>
      </w:r>
      <w:r w:rsidR="00E448D9" w:rsidRPr="003A3136">
        <w:rPr>
          <w:rFonts w:ascii="Calibri" w:eastAsia="MS Mincho" w:hAnsi="Calibri" w:cs="Times New Roman"/>
        </w:rPr>
        <w:t>opportunity</w:t>
      </w:r>
      <w:r w:rsidRPr="003A3136">
        <w:rPr>
          <w:rFonts w:ascii="Calibri" w:eastAsia="MS Mincho" w:hAnsi="Calibri" w:cs="Times New Roman"/>
        </w:rPr>
        <w:t xml:space="preserve"> </w:t>
      </w:r>
      <w:r w:rsidR="00486408" w:rsidRPr="003A3136">
        <w:rPr>
          <w:rFonts w:ascii="Calibri" w:eastAsia="MS Mincho" w:hAnsi="Calibri" w:cs="Times New Roman"/>
        </w:rPr>
        <w:t>for 31 scripts to be supplied assuming a standard 21 days cycle</w:t>
      </w:r>
      <w:r w:rsidR="003A3136" w:rsidRPr="003A3136">
        <w:rPr>
          <w:rFonts w:ascii="Calibri" w:eastAsia="MS Mincho" w:hAnsi="Calibri" w:cs="Times New Roman"/>
        </w:rPr>
        <w:t xml:space="preserve"> without breaks in therapy</w:t>
      </w:r>
      <w:r w:rsidR="00486408" w:rsidRPr="003A3136">
        <w:rPr>
          <w:rFonts w:ascii="Calibri" w:eastAsia="MS Mincho" w:hAnsi="Calibri" w:cs="Times New Roman"/>
        </w:rPr>
        <w:t>.</w:t>
      </w:r>
    </w:p>
    <w:p w:rsidR="00323B30" w:rsidRPr="003A3136" w:rsidRDefault="003A3136" w:rsidP="003A3136">
      <w:pPr>
        <w:pStyle w:val="ListParagraph"/>
        <w:numPr>
          <w:ilvl w:val="0"/>
          <w:numId w:val="4"/>
        </w:numPr>
        <w:rPr>
          <w:rFonts w:ascii="Calibri" w:eastAsia="MS Mincho" w:hAnsi="Calibri" w:cs="Times New Roman"/>
        </w:rPr>
      </w:pPr>
      <w:r w:rsidRPr="003A3136">
        <w:rPr>
          <w:rFonts w:ascii="Calibri" w:eastAsia="MS Mincho" w:hAnsi="Calibri" w:cs="Times New Roman"/>
        </w:rPr>
        <w:t>F</w:t>
      </w:r>
      <w:r w:rsidR="00323B30" w:rsidRPr="003A3136">
        <w:rPr>
          <w:rFonts w:ascii="Calibri" w:eastAsia="MS Mincho" w:hAnsi="Calibri" w:cs="Times New Roman"/>
        </w:rPr>
        <w:t>or T-DM1, the analysis cohort was those patients that initiated pertuzumab in the first three months of listing (i</w:t>
      </w:r>
      <w:r w:rsidR="002C0FDC">
        <w:rPr>
          <w:rFonts w:ascii="Calibri" w:eastAsia="MS Mincho" w:hAnsi="Calibri" w:cs="Times New Roman"/>
        </w:rPr>
        <w:t>.</w:t>
      </w:r>
      <w:r w:rsidR="00323B30" w:rsidRPr="003A3136">
        <w:rPr>
          <w:rFonts w:ascii="Calibri" w:eastAsia="MS Mincho" w:hAnsi="Calibri" w:cs="Times New Roman"/>
        </w:rPr>
        <w:t xml:space="preserve">e. July 2015 to the end of </w:t>
      </w:r>
      <w:r w:rsidR="00E448D9" w:rsidRPr="003A3136">
        <w:rPr>
          <w:rFonts w:ascii="Calibri" w:eastAsia="MS Mincho" w:hAnsi="Calibri" w:cs="Times New Roman"/>
        </w:rPr>
        <w:t>September</w:t>
      </w:r>
      <w:r w:rsidR="00323B30" w:rsidRPr="003A3136">
        <w:rPr>
          <w:rFonts w:ascii="Calibri" w:eastAsia="MS Mincho" w:hAnsi="Calibri" w:cs="Times New Roman"/>
        </w:rPr>
        <w:t xml:space="preserve"> 2015, n=258)</w:t>
      </w:r>
      <w:r w:rsidR="002C0FDC">
        <w:rPr>
          <w:rFonts w:ascii="Calibri" w:eastAsia="MS Mincho" w:hAnsi="Calibri" w:cs="Times New Roman"/>
        </w:rPr>
        <w:t>.</w:t>
      </w:r>
      <w:r w:rsidR="00323B30" w:rsidRPr="003A3136">
        <w:rPr>
          <w:rFonts w:ascii="Calibri" w:eastAsia="MS Mincho" w:hAnsi="Calibri" w:cs="Times New Roman"/>
        </w:rPr>
        <w:t xml:space="preserve"> All these patients were followed up for exactly 24 months from their individual initiation date (this was the maximum </w:t>
      </w:r>
      <w:r w:rsidR="00966D7C" w:rsidRPr="003A3136">
        <w:rPr>
          <w:rFonts w:ascii="Calibri" w:eastAsia="MS Mincho" w:hAnsi="Calibri" w:cs="Times New Roman"/>
        </w:rPr>
        <w:t>follow up</w:t>
      </w:r>
      <w:r w:rsidR="00323B30" w:rsidRPr="003A3136">
        <w:rPr>
          <w:rFonts w:ascii="Calibri" w:eastAsia="MS Mincho" w:hAnsi="Calibri" w:cs="Times New Roman"/>
        </w:rPr>
        <w:t xml:space="preserve"> possib</w:t>
      </w:r>
      <w:r w:rsidR="00F76104" w:rsidRPr="003A3136">
        <w:rPr>
          <w:rFonts w:ascii="Calibri" w:eastAsia="MS Mincho" w:hAnsi="Calibri" w:cs="Times New Roman"/>
        </w:rPr>
        <w:t>l</w:t>
      </w:r>
      <w:r w:rsidR="00323B30" w:rsidRPr="003A3136">
        <w:rPr>
          <w:rFonts w:ascii="Calibri" w:eastAsia="MS Mincho" w:hAnsi="Calibri" w:cs="Times New Roman"/>
        </w:rPr>
        <w:t xml:space="preserve">e as the data were only complete to the end of September 2017). 24 months provided the </w:t>
      </w:r>
      <w:r w:rsidR="00E448D9" w:rsidRPr="003A3136">
        <w:rPr>
          <w:rFonts w:ascii="Calibri" w:eastAsia="MS Mincho" w:hAnsi="Calibri" w:cs="Times New Roman"/>
        </w:rPr>
        <w:t>opportunity</w:t>
      </w:r>
      <w:r w:rsidR="00323B30" w:rsidRPr="003A3136">
        <w:rPr>
          <w:rFonts w:ascii="Calibri" w:eastAsia="MS Mincho" w:hAnsi="Calibri" w:cs="Times New Roman"/>
        </w:rPr>
        <w:t xml:space="preserve"> for 35 scripts to be supplied assuming a standard 21 days cycle</w:t>
      </w:r>
      <w:r w:rsidRPr="003A3136">
        <w:rPr>
          <w:rFonts w:ascii="Calibri" w:eastAsia="MS Mincho" w:hAnsi="Calibri" w:cs="Times New Roman"/>
        </w:rPr>
        <w:t xml:space="preserve"> without breaks in therapy.</w:t>
      </w:r>
    </w:p>
    <w:p w:rsidR="00BA4C68" w:rsidRDefault="00BA4C68" w:rsidP="00BA4C68">
      <w:pPr>
        <w:rPr>
          <w:rFonts w:ascii="Calibri" w:eastAsia="MS Mincho" w:hAnsi="Calibri" w:cs="Times New Roman"/>
        </w:rPr>
      </w:pPr>
      <w:r>
        <w:rPr>
          <w:rFonts w:ascii="Calibri" w:eastAsia="MS Mincho" w:hAnsi="Calibri" w:cs="Times New Roman"/>
        </w:rPr>
        <w:t>Th</w:t>
      </w:r>
      <w:r w:rsidR="003A3136">
        <w:rPr>
          <w:rFonts w:ascii="Calibri" w:eastAsia="MS Mincho" w:hAnsi="Calibri" w:cs="Times New Roman"/>
        </w:rPr>
        <w:t>e duration of treatment</w:t>
      </w:r>
      <w:r>
        <w:rPr>
          <w:rFonts w:ascii="Calibri" w:eastAsia="MS Mincho" w:hAnsi="Calibri" w:cs="Times New Roman"/>
        </w:rPr>
        <w:t xml:space="preserve"> analysis used the Kaplan Meier (aka Product-Limit) method to determine the length of treatment for patients on pertuzumab and T-DM1. T</w:t>
      </w:r>
      <w:r w:rsidRPr="00DE3347">
        <w:rPr>
          <w:rFonts w:ascii="Calibri" w:eastAsia="MS Mincho" w:hAnsi="Calibri" w:cs="Times New Roman"/>
        </w:rPr>
        <w:t xml:space="preserve">wo </w:t>
      </w:r>
      <w:r>
        <w:rPr>
          <w:rFonts w:ascii="Calibri" w:eastAsia="MS Mincho" w:hAnsi="Calibri" w:cs="Times New Roman"/>
        </w:rPr>
        <w:t xml:space="preserve">ways of </w:t>
      </w:r>
      <w:r w:rsidRPr="00DE3347">
        <w:rPr>
          <w:rFonts w:ascii="Calibri" w:eastAsia="MS Mincho" w:hAnsi="Calibri" w:cs="Times New Roman"/>
        </w:rPr>
        <w:t>measur</w:t>
      </w:r>
      <w:r>
        <w:rPr>
          <w:rFonts w:ascii="Calibri" w:eastAsia="MS Mincho" w:hAnsi="Calibri" w:cs="Times New Roman"/>
        </w:rPr>
        <w:t>ing length of treatment were undertaken</w:t>
      </w:r>
      <w:r w:rsidRPr="00DE3347">
        <w:rPr>
          <w:rFonts w:ascii="Calibri" w:eastAsia="MS Mincho" w:hAnsi="Calibri" w:cs="Times New Roman"/>
        </w:rPr>
        <w:t>. One exclude</w:t>
      </w:r>
      <w:r>
        <w:rPr>
          <w:rFonts w:ascii="Calibri" w:eastAsia="MS Mincho" w:hAnsi="Calibri" w:cs="Times New Roman"/>
        </w:rPr>
        <w:t>d</w:t>
      </w:r>
      <w:r w:rsidRPr="00DE3347">
        <w:rPr>
          <w:rFonts w:ascii="Calibri" w:eastAsia="MS Mincho" w:hAnsi="Calibri" w:cs="Times New Roman"/>
        </w:rPr>
        <w:t xml:space="preserve"> any breaks in treatment and the other d</w:t>
      </w:r>
      <w:r>
        <w:rPr>
          <w:rFonts w:ascii="Calibri" w:eastAsia="MS Mincho" w:hAnsi="Calibri" w:cs="Times New Roman"/>
        </w:rPr>
        <w:t>id</w:t>
      </w:r>
      <w:r w:rsidRPr="00DE3347">
        <w:rPr>
          <w:rFonts w:ascii="Calibri" w:eastAsia="MS Mincho" w:hAnsi="Calibri" w:cs="Times New Roman"/>
        </w:rPr>
        <w:t xml:space="preserve"> not.</w:t>
      </w:r>
      <w:r>
        <w:rPr>
          <w:rFonts w:ascii="Calibri" w:eastAsia="MS Mincho" w:hAnsi="Calibri" w:cs="Times New Roman"/>
        </w:rPr>
        <w:t xml:space="preserve"> A break in treatment was defined as a gap of more than 3 </w:t>
      </w:r>
      <w:r w:rsidR="002C0FDC">
        <w:rPr>
          <w:rFonts w:ascii="Calibri" w:eastAsia="MS Mincho" w:hAnsi="Calibri" w:cs="Times New Roman"/>
        </w:rPr>
        <w:t>times the</w:t>
      </w:r>
      <w:r>
        <w:rPr>
          <w:rFonts w:ascii="Calibri" w:eastAsia="MS Mincho" w:hAnsi="Calibri" w:cs="Times New Roman"/>
        </w:rPr>
        <w:t xml:space="preserve"> median time to resupply between supplies, which was an estimated break in treatment of at least 2 </w:t>
      </w:r>
      <w:r w:rsidR="002C0FDC">
        <w:rPr>
          <w:rFonts w:ascii="Calibri" w:eastAsia="MS Mincho" w:hAnsi="Calibri" w:cs="Times New Roman"/>
        </w:rPr>
        <w:t>times the</w:t>
      </w:r>
      <w:r>
        <w:rPr>
          <w:rFonts w:ascii="Calibri" w:eastAsia="MS Mincho" w:hAnsi="Calibri" w:cs="Times New Roman"/>
        </w:rPr>
        <w:t xml:space="preserve"> median time to resupply. A patient was deemed to be continuing treatment (classif</w:t>
      </w:r>
      <w:r w:rsidR="00391B11">
        <w:rPr>
          <w:rFonts w:ascii="Calibri" w:eastAsia="MS Mincho" w:hAnsi="Calibri" w:cs="Times New Roman"/>
        </w:rPr>
        <w:t>ied as censored in the Product-</w:t>
      </w:r>
      <w:r>
        <w:rPr>
          <w:rFonts w:ascii="Calibri" w:eastAsia="MS Mincho" w:hAnsi="Calibri" w:cs="Times New Roman"/>
        </w:rPr>
        <w:t>Limit method) at the end of the data period (i</w:t>
      </w:r>
      <w:r w:rsidR="002C0FDC">
        <w:rPr>
          <w:rFonts w:ascii="Calibri" w:eastAsia="MS Mincho" w:hAnsi="Calibri" w:cs="Times New Roman"/>
        </w:rPr>
        <w:t>.</w:t>
      </w:r>
      <w:r>
        <w:rPr>
          <w:rFonts w:ascii="Calibri" w:eastAsia="MS Mincho" w:hAnsi="Calibri" w:cs="Times New Roman"/>
        </w:rPr>
        <w:t xml:space="preserve">e. the end of September 2017) if their last prescription </w:t>
      </w:r>
      <w:r w:rsidR="002C0FDC">
        <w:rPr>
          <w:rFonts w:ascii="Calibri" w:eastAsia="MS Mincho" w:hAnsi="Calibri" w:cs="Times New Roman"/>
        </w:rPr>
        <w:t>was</w:t>
      </w:r>
      <w:r>
        <w:rPr>
          <w:rFonts w:ascii="Calibri" w:eastAsia="MS Mincho" w:hAnsi="Calibri" w:cs="Times New Roman"/>
        </w:rPr>
        <w:t xml:space="preserve"> within 3 </w:t>
      </w:r>
      <w:r w:rsidR="002C0FDC">
        <w:rPr>
          <w:rFonts w:ascii="Calibri" w:eastAsia="MS Mincho" w:hAnsi="Calibri" w:cs="Times New Roman"/>
        </w:rPr>
        <w:t>times the</w:t>
      </w:r>
      <w:r>
        <w:rPr>
          <w:rFonts w:ascii="Calibri" w:eastAsia="MS Mincho" w:hAnsi="Calibri" w:cs="Times New Roman"/>
        </w:rPr>
        <w:t xml:space="preserve"> median time to resupply of this end date. Otherwise the patient </w:t>
      </w:r>
      <w:r w:rsidR="002C0FDC">
        <w:rPr>
          <w:rFonts w:ascii="Calibri" w:eastAsia="MS Mincho" w:hAnsi="Calibri" w:cs="Times New Roman"/>
        </w:rPr>
        <w:t>was</w:t>
      </w:r>
      <w:r>
        <w:rPr>
          <w:rFonts w:ascii="Calibri" w:eastAsia="MS Mincho" w:hAnsi="Calibri" w:cs="Times New Roman"/>
        </w:rPr>
        <w:t xml:space="preserve"> deemed to have ceased treatment with the treatment coverage end date being the supply date of their last prescription plus a median time to resupply or the end of the data period, whichever </w:t>
      </w:r>
      <w:r w:rsidR="002C0FDC">
        <w:rPr>
          <w:rFonts w:ascii="Calibri" w:eastAsia="MS Mincho" w:hAnsi="Calibri" w:cs="Times New Roman"/>
        </w:rPr>
        <w:t>was</w:t>
      </w:r>
      <w:r>
        <w:rPr>
          <w:rFonts w:ascii="Calibri" w:eastAsia="MS Mincho" w:hAnsi="Calibri" w:cs="Times New Roman"/>
        </w:rPr>
        <w:t xml:space="preserve"> </w:t>
      </w:r>
      <w:r w:rsidR="0091020D">
        <w:rPr>
          <w:rFonts w:ascii="Calibri" w:eastAsia="MS Mincho" w:hAnsi="Calibri" w:cs="Times New Roman"/>
        </w:rPr>
        <w:t>later</w:t>
      </w:r>
      <w:r>
        <w:rPr>
          <w:rFonts w:ascii="Calibri" w:eastAsia="MS Mincho" w:hAnsi="Calibri" w:cs="Times New Roman"/>
        </w:rPr>
        <w:t>.</w:t>
      </w:r>
    </w:p>
    <w:p w:rsidR="008A52BF" w:rsidRDefault="008A52BF" w:rsidP="00D2256D">
      <w:pPr>
        <w:rPr>
          <w:rFonts w:ascii="Calibri" w:eastAsia="MS Mincho" w:hAnsi="Calibri" w:cs="Times New Roman"/>
        </w:rPr>
      </w:pPr>
    </w:p>
    <w:p w:rsidR="00207070" w:rsidRDefault="00207070">
      <w:pPr>
        <w:spacing w:line="276" w:lineRule="auto"/>
        <w:rPr>
          <w:rFonts w:ascii="Calibri" w:eastAsia="MS Gothic" w:hAnsi="Calibri" w:cs="Times New Roman"/>
          <w:b/>
          <w:bCs/>
          <w:sz w:val="32"/>
          <w:szCs w:val="32"/>
        </w:rPr>
      </w:pPr>
      <w:r>
        <w:rPr>
          <w:rFonts w:ascii="Calibri" w:eastAsia="MS Gothic" w:hAnsi="Calibri" w:cs="Times New Roman"/>
          <w:b/>
          <w:bCs/>
          <w:sz w:val="32"/>
          <w:szCs w:val="32"/>
        </w:rPr>
        <w:br w:type="page"/>
      </w:r>
    </w:p>
    <w:p w:rsidR="005C3590" w:rsidRDefault="005C3590" w:rsidP="005C3590">
      <w:pPr>
        <w:keepNext/>
        <w:keepLines/>
        <w:spacing w:before="480" w:after="240"/>
        <w:outlineLvl w:val="0"/>
        <w:rPr>
          <w:rFonts w:ascii="Calibri" w:eastAsia="MS Gothic" w:hAnsi="Calibri" w:cs="Times New Roman"/>
          <w:b/>
          <w:bCs/>
          <w:sz w:val="32"/>
          <w:szCs w:val="32"/>
        </w:rPr>
      </w:pPr>
      <w:r w:rsidRPr="00B87CD5">
        <w:rPr>
          <w:rFonts w:ascii="Calibri" w:eastAsia="MS Gothic" w:hAnsi="Calibri" w:cs="Times New Roman"/>
          <w:b/>
          <w:bCs/>
          <w:sz w:val="32"/>
          <w:szCs w:val="32"/>
        </w:rPr>
        <w:t>Results</w:t>
      </w:r>
    </w:p>
    <w:p w:rsidR="005C3590" w:rsidRPr="00B87CD5" w:rsidRDefault="005C3590" w:rsidP="005C3590">
      <w:pPr>
        <w:spacing w:before="240"/>
        <w:outlineLvl w:val="1"/>
        <w:rPr>
          <w:rFonts w:ascii="Calibri" w:eastAsia="MS Mincho" w:hAnsi="Calibri" w:cs="Times New Roman"/>
          <w:b/>
          <w:sz w:val="28"/>
        </w:rPr>
      </w:pPr>
      <w:r>
        <w:rPr>
          <w:rFonts w:ascii="Calibri" w:eastAsia="MS Mincho" w:hAnsi="Calibri" w:cs="Times New Roman"/>
          <w:b/>
          <w:sz w:val="28"/>
        </w:rPr>
        <w:t>1. Utilisation analyses</w:t>
      </w:r>
    </w:p>
    <w:p w:rsidR="007E45BD" w:rsidRPr="004F405D" w:rsidRDefault="00B25842" w:rsidP="00923263">
      <w:pPr>
        <w:rPr>
          <w:rFonts w:ascii="Calibri" w:eastAsia="MS Mincho" w:hAnsi="Calibri" w:cs="Times New Roman"/>
          <w:b/>
          <w:i/>
        </w:rPr>
      </w:pPr>
      <w:r w:rsidRPr="004F405D">
        <w:rPr>
          <w:rFonts w:ascii="Calibri" w:eastAsia="MS Mincho" w:hAnsi="Calibri" w:cs="Times New Roman"/>
          <w:i/>
          <w:noProof/>
        </w:rPr>
        <mc:AlternateContent>
          <mc:Choice Requires="wps">
            <w:drawing>
              <wp:anchor distT="0" distB="0" distL="114300" distR="114300" simplePos="0" relativeHeight="251662336" behindDoc="0" locked="0" layoutInCell="1" allowOverlap="1" wp14:anchorId="28EE32CA" wp14:editId="551F2B2D">
                <wp:simplePos x="0" y="0"/>
                <wp:positionH relativeFrom="column">
                  <wp:posOffset>4396831</wp:posOffset>
                </wp:positionH>
                <wp:positionV relativeFrom="paragraph">
                  <wp:posOffset>774519</wp:posOffset>
                </wp:positionV>
                <wp:extent cx="153035" cy="397237"/>
                <wp:effectExtent l="0" t="0" r="75565" b="60325"/>
                <wp:wrapNone/>
                <wp:docPr id="9" name="Straight Arrow Connector 9" title="Trastuzumab PBS listed for metastatic breast cancer, 1 July 2015"/>
                <wp:cNvGraphicFramePr/>
                <a:graphic xmlns:a="http://schemas.openxmlformats.org/drawingml/2006/main">
                  <a:graphicData uri="http://schemas.microsoft.com/office/word/2010/wordprocessingShape">
                    <wps:wsp>
                      <wps:cNvCnPr/>
                      <wps:spPr>
                        <a:xfrm>
                          <a:off x="0" y="0"/>
                          <a:ext cx="153035" cy="39723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alt="Title: Trastuzumab PBS listed for metastatic breast cancer, 1 July 2015" style="position:absolute;margin-left:346.2pt;margin-top:61pt;width:12.05pt;height:31.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" strokecolor="#4579b8 [3044]">
                <v:stroke endarrow="open"/>
              </v:shape>
            </w:pict>
          </mc:Fallback>
        </mc:AlternateContent>
      </w:r>
      <w:r w:rsidR="00A8281C" w:rsidRPr="004F405D">
        <w:rPr>
          <w:rFonts w:ascii="Calibri" w:eastAsia="MS Mincho" w:hAnsi="Calibri" w:cs="Times New Roman"/>
          <w:b/>
          <w:i/>
        </w:rPr>
        <w:t>Trastuzumab</w:t>
      </w:r>
      <w:r w:rsidR="008B475C" w:rsidRPr="004F405D">
        <w:rPr>
          <w:rFonts w:ascii="Calibri" w:eastAsia="MS Mincho" w:hAnsi="Calibri" w:cs="Times New Roman"/>
          <w:b/>
          <w:i/>
        </w:rPr>
        <w:t xml:space="preserve"> (in all stages of breast cancer)</w:t>
      </w:r>
    </w:p>
    <w:p w:rsidR="00904B7E" w:rsidRPr="00DE5F07" w:rsidRDefault="007E45BD" w:rsidP="00DE5F07">
      <w:pPr>
        <w:rPr>
          <w:rFonts w:ascii="Calibri" w:eastAsia="MS Mincho" w:hAnsi="Calibri" w:cs="Times New Roman"/>
          <w:b/>
        </w:rPr>
      </w:pPr>
      <w:r>
        <w:rPr>
          <w:noProof/>
        </w:rPr>
        <w:drawing>
          <wp:inline distT="0" distB="0" distL="0" distR="0" wp14:anchorId="27C8353E" wp14:editId="46AF4179">
            <wp:extent cx="5687695" cy="3719485"/>
            <wp:effectExtent l="0" t="0" r="27305" b="14605"/>
            <wp:docPr id="17" name="Chart 17" title="Figure 1: Prescriptions for trastuzumab, pertuzumab and trastuzumab emtansine (T-DM1) for the treatment of early stage, locally advanced and mestastatic breast cance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23263" w:rsidRPr="00B87CD5">
        <w:rPr>
          <w:rFonts w:ascii="Calibri" w:eastAsia="MS Mincho" w:hAnsi="Calibri" w:cs="Times New Roman"/>
          <w:b/>
        </w:rPr>
        <w:t xml:space="preserve">Figure </w:t>
      </w:r>
      <w:r w:rsidR="00923263">
        <w:rPr>
          <w:rFonts w:ascii="Calibri" w:eastAsia="MS Mincho" w:hAnsi="Calibri" w:cs="Times New Roman"/>
          <w:b/>
        </w:rPr>
        <w:t>1</w:t>
      </w:r>
      <w:r w:rsidR="00923263" w:rsidRPr="00B87CD5">
        <w:rPr>
          <w:rFonts w:ascii="Calibri" w:eastAsia="MS Mincho" w:hAnsi="Calibri" w:cs="Times New Roman"/>
          <w:b/>
        </w:rPr>
        <w:t xml:space="preserve">: </w:t>
      </w:r>
      <w:r w:rsidR="00923263">
        <w:rPr>
          <w:rFonts w:ascii="Calibri" w:eastAsia="MS Mincho" w:hAnsi="Calibri" w:cs="Times New Roman"/>
          <w:b/>
        </w:rPr>
        <w:t xml:space="preserve">Prescriptions for </w:t>
      </w:r>
      <w:r w:rsidR="00041D11">
        <w:rPr>
          <w:rFonts w:ascii="Calibri" w:eastAsia="MS Mincho" w:hAnsi="Calibri" w:cs="Times New Roman"/>
          <w:b/>
        </w:rPr>
        <w:t>trast</w:t>
      </w:r>
      <w:r w:rsidR="00F55CD5">
        <w:rPr>
          <w:rFonts w:ascii="Calibri" w:eastAsia="MS Mincho" w:hAnsi="Calibri" w:cs="Times New Roman"/>
          <w:b/>
        </w:rPr>
        <w:t>uzumab, pertuzumab and t</w:t>
      </w:r>
      <w:r w:rsidR="00041D11">
        <w:rPr>
          <w:rFonts w:ascii="Calibri" w:eastAsia="MS Mincho" w:hAnsi="Calibri" w:cs="Times New Roman"/>
          <w:b/>
        </w:rPr>
        <w:t>rastuzumab</w:t>
      </w:r>
      <w:r w:rsidR="00F55CD5">
        <w:rPr>
          <w:rFonts w:ascii="Calibri" w:eastAsia="MS Mincho" w:hAnsi="Calibri" w:cs="Times New Roman"/>
          <w:b/>
        </w:rPr>
        <w:t xml:space="preserve"> </w:t>
      </w:r>
      <w:r w:rsidR="00041D11">
        <w:rPr>
          <w:rFonts w:ascii="Calibri" w:eastAsia="MS Mincho" w:hAnsi="Calibri" w:cs="Times New Roman"/>
          <w:b/>
        </w:rPr>
        <w:t>emtansine</w:t>
      </w:r>
      <w:r w:rsidR="00F55CD5">
        <w:rPr>
          <w:rFonts w:ascii="Calibri" w:eastAsia="MS Mincho" w:hAnsi="Calibri" w:cs="Times New Roman"/>
          <w:b/>
        </w:rPr>
        <w:t xml:space="preserve"> (T-DM1)</w:t>
      </w:r>
      <w:r w:rsidR="00923263">
        <w:rPr>
          <w:rFonts w:ascii="Calibri" w:eastAsia="MS Mincho" w:hAnsi="Calibri" w:cs="Times New Roman"/>
          <w:b/>
        </w:rPr>
        <w:t xml:space="preserve"> </w:t>
      </w:r>
      <w:r w:rsidR="00923263" w:rsidRPr="004F405D">
        <w:rPr>
          <w:rFonts w:ascii="Calibri" w:eastAsia="MS Mincho" w:hAnsi="Calibri" w:cs="Times New Roman"/>
          <w:b/>
        </w:rPr>
        <w:t xml:space="preserve">for the treatment of </w:t>
      </w:r>
      <w:r w:rsidR="008B475C" w:rsidRPr="004F405D">
        <w:rPr>
          <w:rFonts w:ascii="Calibri" w:eastAsia="MS Mincho" w:hAnsi="Calibri" w:cs="Times New Roman"/>
          <w:b/>
        </w:rPr>
        <w:t xml:space="preserve">early stage, locally advanced and mestastatic </w:t>
      </w:r>
      <w:r w:rsidR="00923263" w:rsidRPr="004F405D">
        <w:rPr>
          <w:rFonts w:ascii="Calibri" w:eastAsia="MS Mincho" w:hAnsi="Calibri" w:cs="Times New Roman"/>
          <w:b/>
        </w:rPr>
        <w:t>breast cancer.</w:t>
      </w:r>
      <w:r w:rsidR="0001158E" w:rsidRPr="004F405D">
        <w:rPr>
          <w:rFonts w:ascii="Calibri" w:eastAsia="MS Mincho" w:hAnsi="Calibri" w:cs="Times New Roman"/>
          <w:b/>
        </w:rPr>
        <w:t xml:space="preserve"> </w:t>
      </w:r>
      <w:r w:rsidR="00904B7E" w:rsidRPr="004F405D">
        <w:rPr>
          <w:rFonts w:ascii="Calibri" w:eastAsia="MS Mincho" w:hAnsi="Calibri" w:cs="Times New Roman"/>
          <w:sz w:val="20"/>
        </w:rPr>
        <w:t xml:space="preserve">Source: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13/11/</w:t>
      </w:r>
      <w:r w:rsidR="00904B7E" w:rsidRPr="00B87CD5">
        <w:rPr>
          <w:rFonts w:ascii="Calibri" w:eastAsia="MS Mincho" w:hAnsi="Calibri" w:cs="Times New Roman"/>
          <w:sz w:val="20"/>
        </w:rPr>
        <w:t>201</w:t>
      </w:r>
      <w:r w:rsidR="00904B7E">
        <w:rPr>
          <w:rFonts w:ascii="Calibri" w:eastAsia="MS Mincho" w:hAnsi="Calibri" w:cs="Times New Roman"/>
          <w:sz w:val="20"/>
        </w:rPr>
        <w:t>7)</w:t>
      </w:r>
      <w:r w:rsidR="00904B7E" w:rsidRPr="00B87CD5">
        <w:rPr>
          <w:rFonts w:ascii="Calibri" w:eastAsia="MS Mincho" w:hAnsi="Calibri" w:cs="Times New Roman"/>
          <w:sz w:val="20"/>
        </w:rPr>
        <w:t>.</w:t>
      </w:r>
      <w:r w:rsidR="00904B7E">
        <w:rPr>
          <w:rFonts w:ascii="Calibri" w:eastAsia="MS Mincho" w:hAnsi="Calibri" w:cs="Times New Roman"/>
          <w:sz w:val="20"/>
        </w:rPr>
        <w:t xml:space="preserve"> Report</w:t>
      </w:r>
      <w:r w:rsidR="0001158E">
        <w:rPr>
          <w:rFonts w:ascii="Calibri" w:eastAsia="MS Mincho" w:hAnsi="Calibri" w:cs="Times New Roman"/>
          <w:sz w:val="20"/>
        </w:rPr>
        <w:t>s</w:t>
      </w:r>
      <w:r w:rsidR="00904B7E">
        <w:rPr>
          <w:rFonts w:ascii="Calibri" w:eastAsia="MS Mincho" w:hAnsi="Calibri" w:cs="Times New Roman"/>
          <w:sz w:val="20"/>
        </w:rPr>
        <w:t xml:space="preserve"> on Herceptin Program supplied by DHS.</w:t>
      </w:r>
    </w:p>
    <w:p w:rsidR="00923263" w:rsidRDefault="00923263" w:rsidP="005C3590">
      <w:pPr>
        <w:rPr>
          <w:rFonts w:ascii="Calibri" w:eastAsia="MS Mincho" w:hAnsi="Calibri" w:cs="Times New Roman"/>
        </w:rPr>
      </w:pPr>
      <w:r>
        <w:rPr>
          <w:rFonts w:ascii="Calibri" w:eastAsia="MS Mincho" w:hAnsi="Calibri" w:cs="Times New Roman"/>
        </w:rPr>
        <w:t xml:space="preserve">The </w:t>
      </w:r>
      <w:r w:rsidR="00041D11">
        <w:rPr>
          <w:rFonts w:ascii="Calibri" w:eastAsia="MS Mincho" w:hAnsi="Calibri" w:cs="Times New Roman"/>
        </w:rPr>
        <w:t xml:space="preserve">number of </w:t>
      </w:r>
      <w:r>
        <w:rPr>
          <w:rFonts w:ascii="Calibri" w:eastAsia="MS Mincho" w:hAnsi="Calibri" w:cs="Times New Roman"/>
        </w:rPr>
        <w:t>prescription</w:t>
      </w:r>
      <w:r w:rsidR="00041D11">
        <w:rPr>
          <w:rFonts w:ascii="Calibri" w:eastAsia="MS Mincho" w:hAnsi="Calibri" w:cs="Times New Roman"/>
        </w:rPr>
        <w:t>s</w:t>
      </w:r>
      <w:r>
        <w:rPr>
          <w:rFonts w:ascii="Calibri" w:eastAsia="MS Mincho" w:hAnsi="Calibri" w:cs="Times New Roman"/>
        </w:rPr>
        <w:t xml:space="preserve">  of trastuzumab i</w:t>
      </w:r>
      <w:r w:rsidR="00B37071">
        <w:rPr>
          <w:rFonts w:ascii="Calibri" w:eastAsia="MS Mincho" w:hAnsi="Calibri" w:cs="Times New Roman"/>
        </w:rPr>
        <w:t xml:space="preserve">ncreased steadily from 2006 Q4 , when it was </w:t>
      </w:r>
      <w:r>
        <w:rPr>
          <w:rFonts w:ascii="Calibri" w:eastAsia="MS Mincho" w:hAnsi="Calibri" w:cs="Times New Roman"/>
        </w:rPr>
        <w:t xml:space="preserve">PBS listed </w:t>
      </w:r>
      <w:r w:rsidR="008A49AE">
        <w:rPr>
          <w:rFonts w:ascii="Calibri" w:eastAsia="MS Mincho" w:hAnsi="Calibri" w:cs="Times New Roman"/>
        </w:rPr>
        <w:t>for early stage HER2 positive breast cancer</w:t>
      </w:r>
      <w:r w:rsidR="000A13F5">
        <w:rPr>
          <w:rFonts w:ascii="Calibri" w:eastAsia="MS Mincho" w:hAnsi="Calibri" w:cs="Times New Roman"/>
        </w:rPr>
        <w:t xml:space="preserve"> </w:t>
      </w:r>
      <w:r w:rsidR="00B37071">
        <w:rPr>
          <w:rFonts w:ascii="Calibri" w:eastAsia="MS Mincho" w:hAnsi="Calibri" w:cs="Times New Roman"/>
        </w:rPr>
        <w:t>(i</w:t>
      </w:r>
      <w:r w:rsidR="002C0FDC">
        <w:rPr>
          <w:rFonts w:ascii="Calibri" w:eastAsia="MS Mincho" w:hAnsi="Calibri" w:cs="Times New Roman"/>
        </w:rPr>
        <w:t>.</w:t>
      </w:r>
      <w:r w:rsidR="00B37071">
        <w:rPr>
          <w:rFonts w:ascii="Calibri" w:eastAsia="MS Mincho" w:hAnsi="Calibri" w:cs="Times New Roman"/>
        </w:rPr>
        <w:t>e.</w:t>
      </w:r>
      <w:r w:rsidR="008A49AE">
        <w:rPr>
          <w:rFonts w:ascii="Calibri" w:eastAsia="MS Mincho" w:hAnsi="Calibri" w:cs="Times New Roman"/>
        </w:rPr>
        <w:t xml:space="preserve"> 1 October 2006) until 2015 Q2</w:t>
      </w:r>
      <w:r w:rsidR="00F55CD5">
        <w:rPr>
          <w:rFonts w:ascii="Calibri" w:eastAsia="MS Mincho" w:hAnsi="Calibri" w:cs="Times New Roman"/>
        </w:rPr>
        <w:t>, when it was listed for metastatic HER2 positive breast cancer on 1 July 2015</w:t>
      </w:r>
      <w:r w:rsidR="008A49AE">
        <w:rPr>
          <w:rFonts w:ascii="Calibri" w:eastAsia="MS Mincho" w:hAnsi="Calibri" w:cs="Times New Roman"/>
        </w:rPr>
        <w:t>. Trastuzumab emtansine</w:t>
      </w:r>
      <w:r w:rsidR="003A3136">
        <w:rPr>
          <w:rFonts w:ascii="Calibri" w:eastAsia="MS Mincho" w:hAnsi="Calibri" w:cs="Times New Roman"/>
        </w:rPr>
        <w:t xml:space="preserve"> (T-DM1)</w:t>
      </w:r>
      <w:r w:rsidR="008A49AE">
        <w:rPr>
          <w:rFonts w:ascii="Calibri" w:eastAsia="MS Mincho" w:hAnsi="Calibri" w:cs="Times New Roman"/>
        </w:rPr>
        <w:t xml:space="preserve"> and pertuzumab were also list</w:t>
      </w:r>
      <w:r w:rsidR="009B0776">
        <w:rPr>
          <w:rFonts w:ascii="Calibri" w:eastAsia="MS Mincho" w:hAnsi="Calibri" w:cs="Times New Roman"/>
        </w:rPr>
        <w:t>ed</w:t>
      </w:r>
      <w:r w:rsidR="008A49AE">
        <w:rPr>
          <w:rFonts w:ascii="Calibri" w:eastAsia="MS Mincho" w:hAnsi="Calibri" w:cs="Times New Roman"/>
        </w:rPr>
        <w:t xml:space="preserve"> on t</w:t>
      </w:r>
      <w:r w:rsidR="003A3136">
        <w:rPr>
          <w:rFonts w:ascii="Calibri" w:eastAsia="MS Mincho" w:hAnsi="Calibri" w:cs="Times New Roman"/>
        </w:rPr>
        <w:t>his date. Utilisation of T-DM1</w:t>
      </w:r>
      <w:r w:rsidR="008A49AE">
        <w:rPr>
          <w:rFonts w:ascii="Calibri" w:eastAsia="MS Mincho" w:hAnsi="Calibri" w:cs="Times New Roman"/>
        </w:rPr>
        <w:t xml:space="preserve"> has remained ste</w:t>
      </w:r>
      <w:r w:rsidR="003A3136">
        <w:rPr>
          <w:rFonts w:ascii="Calibri" w:eastAsia="MS Mincho" w:hAnsi="Calibri" w:cs="Times New Roman"/>
        </w:rPr>
        <w:t>ady since listing and pertuzumab</w:t>
      </w:r>
      <w:r w:rsidR="008A49AE">
        <w:rPr>
          <w:rFonts w:ascii="Calibri" w:eastAsia="MS Mincho" w:hAnsi="Calibri" w:cs="Times New Roman"/>
        </w:rPr>
        <w:t xml:space="preserve"> has increased.</w:t>
      </w:r>
      <w:r w:rsidR="008E4019">
        <w:rPr>
          <w:rFonts w:ascii="Calibri" w:eastAsia="MS Mincho" w:hAnsi="Calibri" w:cs="Times New Roman"/>
        </w:rPr>
        <w:t xml:space="preserve"> </w:t>
      </w:r>
    </w:p>
    <w:p w:rsidR="00B25842" w:rsidRDefault="008B475C" w:rsidP="005C3590">
      <w:pPr>
        <w:rPr>
          <w:rFonts w:ascii="Calibri" w:eastAsia="MS Mincho" w:hAnsi="Calibri" w:cs="Times New Roman"/>
        </w:rPr>
      </w:pPr>
      <w:r w:rsidRPr="004F405D">
        <w:rPr>
          <w:rFonts w:ascii="Calibri" w:eastAsia="MS Mincho" w:hAnsi="Calibri" w:cs="Times New Roman"/>
        </w:rPr>
        <w:t>Prior to 1 July 2015 trastuzumab for metastatic breast cancer was supplied through another government program. To allow for incorporation</w:t>
      </w:r>
      <w:r w:rsidR="00041D11" w:rsidRPr="004F405D">
        <w:rPr>
          <w:rFonts w:ascii="Calibri" w:eastAsia="MS Mincho" w:hAnsi="Calibri" w:cs="Times New Roman"/>
        </w:rPr>
        <w:t xml:space="preserve"> supply of trastuzumab through the Herceptin Program</w:t>
      </w:r>
      <w:r w:rsidRPr="004F405D">
        <w:rPr>
          <w:rFonts w:ascii="Calibri" w:eastAsia="MS Mincho" w:hAnsi="Calibri" w:cs="Times New Roman"/>
        </w:rPr>
        <w:t xml:space="preserve"> and supply through the PBS</w:t>
      </w:r>
      <w:r w:rsidR="000B1947" w:rsidRPr="004F405D">
        <w:rPr>
          <w:rFonts w:ascii="Calibri" w:eastAsia="MS Mincho" w:hAnsi="Calibri" w:cs="Times New Roman"/>
        </w:rPr>
        <w:t>,</w:t>
      </w:r>
      <w:r w:rsidR="00041D11" w:rsidRPr="004F405D">
        <w:rPr>
          <w:rFonts w:ascii="Calibri" w:eastAsia="MS Mincho" w:hAnsi="Calibri" w:cs="Times New Roman"/>
        </w:rPr>
        <w:t xml:space="preserve"> </w:t>
      </w:r>
      <w:r w:rsidR="003A3136" w:rsidRPr="004F405D">
        <w:rPr>
          <w:rFonts w:ascii="Calibri" w:eastAsia="MS Mincho" w:hAnsi="Calibri" w:cs="Times New Roman"/>
        </w:rPr>
        <w:t>Figure 1 incorporat</w:t>
      </w:r>
      <w:r w:rsidR="00443130" w:rsidRPr="004F405D">
        <w:rPr>
          <w:rFonts w:ascii="Calibri" w:eastAsia="MS Mincho" w:hAnsi="Calibri" w:cs="Times New Roman"/>
        </w:rPr>
        <w:t xml:space="preserve">es counts of </w:t>
      </w:r>
      <w:r w:rsidR="00203A5B" w:rsidRPr="004F405D">
        <w:rPr>
          <w:rFonts w:ascii="Calibri" w:eastAsia="MS Mincho" w:hAnsi="Calibri" w:cs="Times New Roman"/>
        </w:rPr>
        <w:t>‘</w:t>
      </w:r>
      <w:r w:rsidR="00443130" w:rsidRPr="004F405D">
        <w:rPr>
          <w:rFonts w:ascii="Calibri" w:eastAsia="MS Mincho" w:hAnsi="Calibri" w:cs="Times New Roman"/>
        </w:rPr>
        <w:t xml:space="preserve">patient </w:t>
      </w:r>
      <w:r w:rsidR="00443130">
        <w:rPr>
          <w:rFonts w:ascii="Calibri" w:eastAsia="MS Mincho" w:hAnsi="Calibri" w:cs="Times New Roman"/>
        </w:rPr>
        <w:t>orders</w:t>
      </w:r>
      <w:r w:rsidR="00203A5B">
        <w:rPr>
          <w:rFonts w:ascii="Calibri" w:eastAsia="MS Mincho" w:hAnsi="Calibri" w:cs="Times New Roman"/>
        </w:rPr>
        <w:t>’</w:t>
      </w:r>
      <w:r w:rsidR="003A3136">
        <w:rPr>
          <w:rFonts w:ascii="Calibri" w:eastAsia="MS Mincho" w:hAnsi="Calibri" w:cs="Times New Roman"/>
        </w:rPr>
        <w:t>; these can be regarded as</w:t>
      </w:r>
      <w:r w:rsidR="00443130">
        <w:rPr>
          <w:rFonts w:ascii="Calibri" w:eastAsia="MS Mincho" w:hAnsi="Calibri" w:cs="Times New Roman"/>
        </w:rPr>
        <w:t xml:space="preserve"> PBS</w:t>
      </w:r>
      <w:r w:rsidR="003A3136">
        <w:rPr>
          <w:rFonts w:ascii="Calibri" w:eastAsia="MS Mincho" w:hAnsi="Calibri" w:cs="Times New Roman"/>
        </w:rPr>
        <w:t xml:space="preserve"> prescriptions as the </w:t>
      </w:r>
      <w:r w:rsidR="00E448D9">
        <w:rPr>
          <w:rFonts w:ascii="Calibri" w:eastAsia="MS Mincho" w:hAnsi="Calibri" w:cs="Times New Roman"/>
        </w:rPr>
        <w:t>quantity</w:t>
      </w:r>
      <w:r w:rsidR="003A3136">
        <w:rPr>
          <w:rFonts w:ascii="Calibri" w:eastAsia="MS Mincho" w:hAnsi="Calibri" w:cs="Times New Roman"/>
        </w:rPr>
        <w:t xml:space="preserve"> supplied was essentially the same. T</w:t>
      </w:r>
      <w:r w:rsidR="00B25842">
        <w:rPr>
          <w:rFonts w:ascii="Calibri" w:eastAsia="MS Mincho" w:hAnsi="Calibri" w:cs="Times New Roman"/>
        </w:rPr>
        <w:t xml:space="preserve">he number of patient orders in 2015 Q3 (slightly less than 5,000) was consistent with the number of prescriptions </w:t>
      </w:r>
      <w:r w:rsidR="000B1947">
        <w:rPr>
          <w:rFonts w:ascii="Calibri" w:eastAsia="MS Mincho" w:hAnsi="Calibri" w:cs="Times New Roman"/>
        </w:rPr>
        <w:t xml:space="preserve">per quarter </w:t>
      </w:r>
      <w:r w:rsidR="00B25842">
        <w:rPr>
          <w:rFonts w:ascii="Calibri" w:eastAsia="MS Mincho" w:hAnsi="Calibri" w:cs="Times New Roman"/>
        </w:rPr>
        <w:t>for metastatic d</w:t>
      </w:r>
      <w:r w:rsidR="00391B11">
        <w:rPr>
          <w:rFonts w:ascii="Calibri" w:eastAsia="MS Mincho" w:hAnsi="Calibri" w:cs="Times New Roman"/>
        </w:rPr>
        <w:t>isease shortly after it was PBS-</w:t>
      </w:r>
      <w:r w:rsidR="00B25842">
        <w:rPr>
          <w:rFonts w:ascii="Calibri" w:eastAsia="MS Mincho" w:hAnsi="Calibri" w:cs="Times New Roman"/>
        </w:rPr>
        <w:t>listed for this indication in July 2015</w:t>
      </w:r>
      <w:r w:rsidR="003A3136">
        <w:rPr>
          <w:rFonts w:ascii="Calibri" w:eastAsia="MS Mincho" w:hAnsi="Calibri" w:cs="Times New Roman"/>
        </w:rPr>
        <w:t>.</w:t>
      </w:r>
      <w:r w:rsidR="00B25842">
        <w:rPr>
          <w:rFonts w:ascii="Calibri" w:eastAsia="MS Mincho" w:hAnsi="Calibri" w:cs="Times New Roman"/>
        </w:rPr>
        <w:t xml:space="preserve"> </w:t>
      </w:r>
    </w:p>
    <w:p w:rsidR="008A49AE" w:rsidRDefault="008A49AE" w:rsidP="005C3590">
      <w:pPr>
        <w:rPr>
          <w:rFonts w:ascii="Calibri" w:eastAsia="MS Mincho" w:hAnsi="Calibri" w:cs="Times New Roman"/>
        </w:rPr>
      </w:pPr>
      <w:r>
        <w:rPr>
          <w:rFonts w:ascii="Calibri" w:eastAsia="MS Mincho" w:hAnsi="Calibri" w:cs="Times New Roman"/>
        </w:rPr>
        <w:t xml:space="preserve">Trastuzumab was also listed for locally advanced HER2 positive breast cancer on </w:t>
      </w:r>
      <w:r w:rsidR="003D3037" w:rsidRPr="003D3037">
        <w:t>1</w:t>
      </w:r>
      <w:r w:rsidR="003D3037">
        <w:t> </w:t>
      </w:r>
      <w:r w:rsidRPr="003D3037">
        <w:t>December</w:t>
      </w:r>
      <w:r>
        <w:rPr>
          <w:rFonts w:ascii="Calibri" w:eastAsia="MS Mincho" w:hAnsi="Calibri" w:cs="Times New Roman"/>
        </w:rPr>
        <w:t xml:space="preserve"> 2012</w:t>
      </w:r>
      <w:r w:rsidR="004B7231">
        <w:rPr>
          <w:rFonts w:ascii="Calibri" w:eastAsia="MS Mincho" w:hAnsi="Calibri" w:cs="Times New Roman"/>
        </w:rPr>
        <w:t xml:space="preserve"> (see Figure 2)</w:t>
      </w:r>
      <w:r>
        <w:rPr>
          <w:rFonts w:ascii="Calibri" w:eastAsia="MS Mincho" w:hAnsi="Calibri" w:cs="Times New Roman"/>
        </w:rPr>
        <w:t xml:space="preserve">, but this did not make </w:t>
      </w:r>
      <w:r w:rsidR="00966D7C">
        <w:rPr>
          <w:rFonts w:ascii="Calibri" w:eastAsia="MS Mincho" w:hAnsi="Calibri" w:cs="Times New Roman"/>
        </w:rPr>
        <w:t>a</w:t>
      </w:r>
      <w:r>
        <w:rPr>
          <w:rFonts w:ascii="Calibri" w:eastAsia="MS Mincho" w:hAnsi="Calibri" w:cs="Times New Roman"/>
        </w:rPr>
        <w:t xml:space="preserve"> noticeable </w:t>
      </w:r>
      <w:r w:rsidR="00E448D9">
        <w:rPr>
          <w:rFonts w:ascii="Calibri" w:eastAsia="MS Mincho" w:hAnsi="Calibri" w:cs="Times New Roman"/>
        </w:rPr>
        <w:t>impact</w:t>
      </w:r>
      <w:r>
        <w:rPr>
          <w:rFonts w:ascii="Calibri" w:eastAsia="MS Mincho" w:hAnsi="Calibri" w:cs="Times New Roman"/>
        </w:rPr>
        <w:t xml:space="preserve"> on the trend in Figure 1.</w:t>
      </w:r>
    </w:p>
    <w:p w:rsidR="00C967D9" w:rsidRDefault="00C967D9" w:rsidP="005C3590">
      <w:pPr>
        <w:rPr>
          <w:rFonts w:ascii="Calibri" w:eastAsia="MS Mincho" w:hAnsi="Calibri" w:cs="Times New Roman"/>
        </w:rPr>
      </w:pPr>
    </w:p>
    <w:p w:rsidR="004902ED" w:rsidRPr="004902ED" w:rsidRDefault="004902ED" w:rsidP="004902ED">
      <w:pPr>
        <w:rPr>
          <w:noProof/>
        </w:rPr>
      </w:pPr>
      <w:r>
        <w:rPr>
          <w:noProof/>
        </w:rPr>
        <w:drawing>
          <wp:inline distT="0" distB="0" distL="0" distR="0" wp14:anchorId="4C6F9067" wp14:editId="6F03AA43">
            <wp:extent cx="5687695" cy="3712801"/>
            <wp:effectExtent l="0" t="0" r="27305" b="21590"/>
            <wp:docPr id="21" name="Chart 21" title="Figure 2: R/PBS Prescriptions for trastuzumab by disease st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44416">
        <w:rPr>
          <w:rFonts w:ascii="Calibri" w:eastAsia="MS Mincho" w:hAnsi="Calibri" w:cs="Times New Roman"/>
          <w:b/>
        </w:rPr>
        <w:t xml:space="preserve">Figure 2: </w:t>
      </w:r>
      <w:r w:rsidR="004423E3" w:rsidRPr="00844416">
        <w:rPr>
          <w:rFonts w:ascii="Calibri" w:eastAsia="MS Mincho" w:hAnsi="Calibri" w:cs="Times New Roman"/>
          <w:b/>
        </w:rPr>
        <w:t xml:space="preserve">R/PBS </w:t>
      </w:r>
      <w:r w:rsidRPr="00844416">
        <w:rPr>
          <w:rFonts w:ascii="Calibri" w:eastAsia="MS Mincho" w:hAnsi="Calibri" w:cs="Times New Roman"/>
          <w:b/>
        </w:rPr>
        <w:t>Prescriptions for trastuzumab</w:t>
      </w:r>
      <w:r w:rsidR="009B17C1" w:rsidRPr="00844416">
        <w:rPr>
          <w:rFonts w:ascii="Calibri" w:eastAsia="MS Mincho" w:hAnsi="Calibri" w:cs="Times New Roman"/>
          <w:b/>
        </w:rPr>
        <w:t xml:space="preserve"> by disease stage</w:t>
      </w:r>
      <w:r w:rsidR="00925444" w:rsidRPr="00844416">
        <w:rPr>
          <w:rFonts w:ascii="Calibri" w:eastAsia="MS Mincho" w:hAnsi="Calibri" w:cs="Times New Roman"/>
          <w:b/>
        </w:rPr>
        <w:t xml:space="preserve">. </w:t>
      </w:r>
      <w:r w:rsidR="00844416">
        <w:rPr>
          <w:rFonts w:ascii="Calibri" w:eastAsia="MS Mincho" w:hAnsi="Calibri" w:cs="Times New Roman"/>
          <w:b/>
        </w:rPr>
        <w:br/>
      </w:r>
      <w:r w:rsidR="002C0601" w:rsidRPr="002C0601">
        <w:rPr>
          <w:rFonts w:ascii="Calibri" w:eastAsia="MS Mincho" w:hAnsi="Calibri" w:cs="Times New Roman"/>
          <w:sz w:val="20"/>
        </w:rPr>
        <w:t>Prescriptions for MBC</w:t>
      </w:r>
      <w:r w:rsidR="00925444" w:rsidRPr="002C0601">
        <w:rPr>
          <w:rFonts w:ascii="Calibri" w:eastAsia="MS Mincho" w:hAnsi="Calibri" w:cs="Times New Roman"/>
          <w:sz w:val="20"/>
        </w:rPr>
        <w:t xml:space="preserve"> prior to 1 July 2015 </w:t>
      </w:r>
      <w:r w:rsidR="00D65ED6" w:rsidRPr="002C0601">
        <w:rPr>
          <w:rFonts w:ascii="Calibri" w:eastAsia="MS Mincho" w:hAnsi="Calibri" w:cs="Times New Roman"/>
          <w:sz w:val="20"/>
        </w:rPr>
        <w:t xml:space="preserve">(ie. Herceptin Program data) </w:t>
      </w:r>
      <w:r w:rsidR="002C0601" w:rsidRPr="002C0601">
        <w:rPr>
          <w:rFonts w:ascii="Calibri" w:eastAsia="MS Mincho" w:hAnsi="Calibri" w:cs="Times New Roman"/>
          <w:sz w:val="20"/>
        </w:rPr>
        <w:t>are</w:t>
      </w:r>
      <w:r w:rsidR="00925444" w:rsidRPr="002C0601">
        <w:rPr>
          <w:rFonts w:ascii="Calibri" w:eastAsia="MS Mincho" w:hAnsi="Calibri" w:cs="Times New Roman"/>
          <w:sz w:val="20"/>
        </w:rPr>
        <w:t xml:space="preserve"> not included in this </w:t>
      </w:r>
      <w:r w:rsidR="002C0601" w:rsidRPr="002C0601">
        <w:rPr>
          <w:rFonts w:ascii="Calibri" w:eastAsia="MS Mincho" w:hAnsi="Calibri" w:cs="Times New Roman"/>
          <w:sz w:val="20"/>
        </w:rPr>
        <w:t>figure</w:t>
      </w:r>
      <w:r w:rsidR="00925444" w:rsidRPr="002C0601">
        <w:rPr>
          <w:rFonts w:ascii="Calibri" w:eastAsia="MS Mincho" w:hAnsi="Calibri" w:cs="Times New Roman"/>
          <w:b/>
          <w:sz w:val="20"/>
        </w:rPr>
        <w:t>.</w:t>
      </w:r>
      <w:r w:rsidR="00D65ED6" w:rsidRPr="002C0601">
        <w:rPr>
          <w:rFonts w:ascii="Calibri" w:eastAsia="MS Mincho" w:hAnsi="Calibri" w:cs="Times New Roman"/>
          <w:b/>
          <w:sz w:val="20"/>
        </w:rPr>
        <w:t xml:space="preserve"> </w:t>
      </w:r>
      <w:r w:rsidR="00904B7E" w:rsidRPr="002C0601">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13/11/</w:t>
      </w:r>
      <w:r w:rsidR="00904B7E" w:rsidRPr="00B87CD5">
        <w:rPr>
          <w:rFonts w:ascii="Calibri" w:eastAsia="MS Mincho" w:hAnsi="Calibri" w:cs="Times New Roman"/>
          <w:sz w:val="20"/>
        </w:rPr>
        <w:t>201</w:t>
      </w:r>
      <w:r w:rsidR="00904B7E">
        <w:rPr>
          <w:rFonts w:ascii="Calibri" w:eastAsia="MS Mincho" w:hAnsi="Calibri" w:cs="Times New Roman"/>
          <w:sz w:val="20"/>
        </w:rPr>
        <w:t>7)</w:t>
      </w:r>
    </w:p>
    <w:p w:rsidR="009B486E" w:rsidRDefault="00C22B8C" w:rsidP="005C3590">
      <w:pPr>
        <w:rPr>
          <w:rFonts w:ascii="Calibri" w:eastAsia="MS Mincho" w:hAnsi="Calibri" w:cs="Times New Roman"/>
        </w:rPr>
      </w:pPr>
      <w:r>
        <w:rPr>
          <w:rFonts w:ascii="Calibri" w:eastAsia="MS Mincho" w:hAnsi="Calibri" w:cs="Times New Roman"/>
        </w:rPr>
        <w:t xml:space="preserve">Figure 2 </w:t>
      </w:r>
      <w:r w:rsidR="008A10E6">
        <w:rPr>
          <w:rFonts w:ascii="Calibri" w:eastAsia="MS Mincho" w:hAnsi="Calibri" w:cs="Times New Roman"/>
        </w:rPr>
        <w:t xml:space="preserve">shows </w:t>
      </w:r>
      <w:r w:rsidR="009B486E">
        <w:rPr>
          <w:rFonts w:ascii="Calibri" w:eastAsia="MS Mincho" w:hAnsi="Calibri" w:cs="Times New Roman"/>
        </w:rPr>
        <w:t>a</w:t>
      </w:r>
      <w:r w:rsidR="008A10E6">
        <w:rPr>
          <w:rFonts w:ascii="Calibri" w:eastAsia="MS Mincho" w:hAnsi="Calibri" w:cs="Times New Roman"/>
        </w:rPr>
        <w:t xml:space="preserve">n apparent </w:t>
      </w:r>
      <w:r w:rsidR="009B486E">
        <w:rPr>
          <w:rFonts w:ascii="Calibri" w:eastAsia="MS Mincho" w:hAnsi="Calibri" w:cs="Times New Roman"/>
        </w:rPr>
        <w:t xml:space="preserve">large drop in the utilisation of trastuzumab </w:t>
      </w:r>
      <w:r w:rsidR="00634EF4">
        <w:rPr>
          <w:rFonts w:ascii="Calibri" w:eastAsia="MS Mincho" w:hAnsi="Calibri" w:cs="Times New Roman"/>
        </w:rPr>
        <w:t>for early breast cancer in 2015</w:t>
      </w:r>
      <w:r w:rsidR="00391B11">
        <w:rPr>
          <w:rFonts w:ascii="Calibri" w:eastAsia="MS Mincho" w:hAnsi="Calibri" w:cs="Times New Roman"/>
        </w:rPr>
        <w:t xml:space="preserve"> </w:t>
      </w:r>
      <w:r w:rsidR="00634EF4">
        <w:rPr>
          <w:rFonts w:ascii="Calibri" w:eastAsia="MS Mincho" w:hAnsi="Calibri" w:cs="Times New Roman"/>
        </w:rPr>
        <w:t>Q2, which is the quarter before the listing of trastuzumab for metastatic disease on 1 July 201</w:t>
      </w:r>
      <w:r w:rsidR="009B17C1">
        <w:rPr>
          <w:rFonts w:ascii="Calibri" w:eastAsia="MS Mincho" w:hAnsi="Calibri" w:cs="Times New Roman"/>
        </w:rPr>
        <w:t xml:space="preserve">5. The increase in “Unknown” </w:t>
      </w:r>
      <w:r>
        <w:rPr>
          <w:rFonts w:ascii="Calibri" w:eastAsia="MS Mincho" w:hAnsi="Calibri" w:cs="Times New Roman"/>
        </w:rPr>
        <w:t xml:space="preserve">disease stage </w:t>
      </w:r>
      <w:r w:rsidR="009B17C1">
        <w:rPr>
          <w:rFonts w:ascii="Calibri" w:eastAsia="MS Mincho" w:hAnsi="Calibri" w:cs="Times New Roman"/>
        </w:rPr>
        <w:t>is approximately equal to the decrease in early stage disease. Upon investigation it appears that this was due to utilisation changing from the item code 7267L (</w:t>
      </w:r>
      <w:r w:rsidR="009B17C1" w:rsidRPr="009B17C1">
        <w:rPr>
          <w:rFonts w:ascii="Calibri" w:eastAsia="MS Mincho" w:hAnsi="Calibri" w:cs="Times New Roman"/>
        </w:rPr>
        <w:t>Powder for I.V. infusion 100 mg</w:t>
      </w:r>
      <w:r w:rsidR="009B17C1">
        <w:rPr>
          <w:rFonts w:ascii="Calibri" w:eastAsia="MS Mincho" w:hAnsi="Calibri" w:cs="Times New Roman"/>
        </w:rPr>
        <w:t>, S100</w:t>
      </w:r>
      <w:r w:rsidR="00203A5B">
        <w:rPr>
          <w:rFonts w:ascii="Calibri" w:eastAsia="MS Mincho" w:hAnsi="Calibri" w:cs="Times New Roman"/>
        </w:rPr>
        <w:t xml:space="preserve"> EFC, Private Hospital, Continu</w:t>
      </w:r>
      <w:r w:rsidR="009B17C1">
        <w:rPr>
          <w:rFonts w:ascii="Calibri" w:eastAsia="MS Mincho" w:hAnsi="Calibri" w:cs="Times New Roman"/>
        </w:rPr>
        <w:t>ing treatment) to 4703M (</w:t>
      </w:r>
      <w:r w:rsidR="009B17C1" w:rsidRPr="009B17C1">
        <w:rPr>
          <w:rFonts w:ascii="Calibri" w:eastAsia="MS Mincho" w:hAnsi="Calibri" w:cs="Times New Roman"/>
        </w:rPr>
        <w:t>Powder for I.V. infusion 100 mg</w:t>
      </w:r>
      <w:r w:rsidR="009B17C1">
        <w:rPr>
          <w:rFonts w:ascii="Calibri" w:eastAsia="MS Mincho" w:hAnsi="Calibri" w:cs="Times New Roman"/>
        </w:rPr>
        <w:t>, S10</w:t>
      </w:r>
      <w:r w:rsidR="00203A5B">
        <w:rPr>
          <w:rFonts w:ascii="Calibri" w:eastAsia="MS Mincho" w:hAnsi="Calibri" w:cs="Times New Roman"/>
        </w:rPr>
        <w:t>0 EFC, Public Hospital, Continu</w:t>
      </w:r>
      <w:r w:rsidR="009B17C1">
        <w:rPr>
          <w:rFonts w:ascii="Calibri" w:eastAsia="MS Mincho" w:hAnsi="Calibri" w:cs="Times New Roman"/>
        </w:rPr>
        <w:t>ing treatment).</w:t>
      </w:r>
      <w:r>
        <w:rPr>
          <w:rFonts w:ascii="Calibri" w:eastAsia="MS Mincho" w:hAnsi="Calibri" w:cs="Times New Roman"/>
        </w:rPr>
        <w:t xml:space="preserve"> The problem was that although the restriction code data was recorded in the Private Hospital setting, this was not the case in the Public Hospital setti</w:t>
      </w:r>
      <w:r w:rsidR="00203A5B">
        <w:rPr>
          <w:rFonts w:ascii="Calibri" w:eastAsia="MS Mincho" w:hAnsi="Calibri" w:cs="Times New Roman"/>
        </w:rPr>
        <w:t>ng, leading to an increase in</w:t>
      </w:r>
      <w:r w:rsidR="001B4303">
        <w:rPr>
          <w:rFonts w:ascii="Calibri" w:eastAsia="MS Mincho" w:hAnsi="Calibri" w:cs="Times New Roman"/>
        </w:rPr>
        <w:t xml:space="preserve"> “</w:t>
      </w:r>
      <w:r w:rsidR="00203A5B">
        <w:rPr>
          <w:rFonts w:ascii="Calibri" w:eastAsia="MS Mincho" w:hAnsi="Calibri" w:cs="Times New Roman"/>
        </w:rPr>
        <w:t>U</w:t>
      </w:r>
      <w:r>
        <w:rPr>
          <w:rFonts w:ascii="Calibri" w:eastAsia="MS Mincho" w:hAnsi="Calibri" w:cs="Times New Roman"/>
        </w:rPr>
        <w:t>nknown</w:t>
      </w:r>
      <w:r w:rsidR="001B4303">
        <w:rPr>
          <w:rFonts w:ascii="Calibri" w:eastAsia="MS Mincho" w:hAnsi="Calibri" w:cs="Times New Roman"/>
        </w:rPr>
        <w:t>”</w:t>
      </w:r>
      <w:r>
        <w:rPr>
          <w:rFonts w:ascii="Calibri" w:eastAsia="MS Mincho" w:hAnsi="Calibri" w:cs="Times New Roman"/>
        </w:rPr>
        <w:t xml:space="preserve"> disease stage</w:t>
      </w:r>
      <w:r w:rsidR="008A10E6">
        <w:rPr>
          <w:rFonts w:ascii="Calibri" w:eastAsia="MS Mincho" w:hAnsi="Calibri" w:cs="Times New Roman"/>
        </w:rPr>
        <w:t xml:space="preserve"> prescriptions</w:t>
      </w:r>
      <w:r>
        <w:rPr>
          <w:rFonts w:ascii="Calibri" w:eastAsia="MS Mincho" w:hAnsi="Calibri" w:cs="Times New Roman"/>
        </w:rPr>
        <w:t>. Both these item codes have indications for Early and Locally advanced, however the Locally advanced tim</w:t>
      </w:r>
      <w:r w:rsidR="0066119E">
        <w:rPr>
          <w:rFonts w:ascii="Calibri" w:eastAsia="MS Mincho" w:hAnsi="Calibri" w:cs="Times New Roman"/>
        </w:rPr>
        <w:t>e series does not appear to be a</w:t>
      </w:r>
      <w:r>
        <w:rPr>
          <w:rFonts w:ascii="Calibri" w:eastAsia="MS Mincho" w:hAnsi="Calibri" w:cs="Times New Roman"/>
        </w:rPr>
        <w:t xml:space="preserve">ffected by this problem. Thus to </w:t>
      </w:r>
      <w:r w:rsidR="00203A5B">
        <w:rPr>
          <w:rFonts w:ascii="Calibri" w:eastAsia="MS Mincho" w:hAnsi="Calibri" w:cs="Times New Roman"/>
        </w:rPr>
        <w:t>simplify the figures</w:t>
      </w:r>
      <w:r w:rsidR="001B4303">
        <w:rPr>
          <w:rFonts w:ascii="Calibri" w:eastAsia="MS Mincho" w:hAnsi="Calibri" w:cs="Times New Roman"/>
        </w:rPr>
        <w:t>,</w:t>
      </w:r>
      <w:r w:rsidR="00203A5B">
        <w:rPr>
          <w:rFonts w:ascii="Calibri" w:eastAsia="MS Mincho" w:hAnsi="Calibri" w:cs="Times New Roman"/>
        </w:rPr>
        <w:t xml:space="preserve"> this review</w:t>
      </w:r>
      <w:r>
        <w:rPr>
          <w:rFonts w:ascii="Calibri" w:eastAsia="MS Mincho" w:hAnsi="Calibri" w:cs="Times New Roman"/>
        </w:rPr>
        <w:t xml:space="preserve"> combine</w:t>
      </w:r>
      <w:r w:rsidR="00203A5B">
        <w:rPr>
          <w:rFonts w:ascii="Calibri" w:eastAsia="MS Mincho" w:hAnsi="Calibri" w:cs="Times New Roman"/>
        </w:rPr>
        <w:t>d</w:t>
      </w:r>
      <w:r>
        <w:rPr>
          <w:rFonts w:ascii="Calibri" w:eastAsia="MS Mincho" w:hAnsi="Calibri" w:cs="Times New Roman"/>
        </w:rPr>
        <w:t xml:space="preserve"> th</w:t>
      </w:r>
      <w:r w:rsidR="00203A5B">
        <w:rPr>
          <w:rFonts w:ascii="Calibri" w:eastAsia="MS Mincho" w:hAnsi="Calibri" w:cs="Times New Roman"/>
        </w:rPr>
        <w:t>e Early and Unknown indications and</w:t>
      </w:r>
      <w:r w:rsidR="0092090F">
        <w:rPr>
          <w:rFonts w:ascii="Calibri" w:eastAsia="MS Mincho" w:hAnsi="Calibri" w:cs="Times New Roman"/>
        </w:rPr>
        <w:t xml:space="preserve"> the Metastatic and Metastatic-</w:t>
      </w:r>
      <w:r>
        <w:rPr>
          <w:rFonts w:ascii="Calibri" w:eastAsia="MS Mincho" w:hAnsi="Calibri" w:cs="Times New Roman"/>
        </w:rPr>
        <w:t xml:space="preserve"> </w:t>
      </w:r>
      <w:r w:rsidR="0092090F">
        <w:rPr>
          <w:rFonts w:ascii="Calibri" w:eastAsia="MS Mincho" w:hAnsi="Calibri" w:cs="Times New Roman"/>
        </w:rPr>
        <w:t>g</w:t>
      </w:r>
      <w:r>
        <w:rPr>
          <w:rFonts w:ascii="Calibri" w:eastAsia="MS Mincho" w:hAnsi="Calibri" w:cs="Times New Roman"/>
        </w:rPr>
        <w:t>ran</w:t>
      </w:r>
      <w:r w:rsidR="0092090F">
        <w:rPr>
          <w:rFonts w:ascii="Calibri" w:eastAsia="MS Mincho" w:hAnsi="Calibri" w:cs="Times New Roman"/>
        </w:rPr>
        <w:t>dfathered</w:t>
      </w:r>
      <w:r>
        <w:rPr>
          <w:rFonts w:ascii="Calibri" w:eastAsia="MS Mincho" w:hAnsi="Calibri" w:cs="Times New Roman"/>
        </w:rPr>
        <w:t xml:space="preserve"> (See Figure </w:t>
      </w:r>
      <w:r w:rsidR="00C03F10">
        <w:rPr>
          <w:rFonts w:ascii="Calibri" w:eastAsia="MS Mincho" w:hAnsi="Calibri" w:cs="Times New Roman"/>
        </w:rPr>
        <w:t>3</w:t>
      </w:r>
      <w:r>
        <w:rPr>
          <w:rFonts w:ascii="Calibri" w:eastAsia="MS Mincho" w:hAnsi="Calibri" w:cs="Times New Roman"/>
        </w:rPr>
        <w:t xml:space="preserve">). </w:t>
      </w:r>
    </w:p>
    <w:p w:rsidR="0094344E" w:rsidRPr="0094344E" w:rsidRDefault="0094344E" w:rsidP="0094344E">
      <w:pPr>
        <w:rPr>
          <w:rFonts w:ascii="Calibri" w:eastAsia="MS Mincho" w:hAnsi="Calibri" w:cs="Times New Roman"/>
        </w:rPr>
      </w:pPr>
      <w:r w:rsidRPr="0094344E">
        <w:rPr>
          <w:rFonts w:ascii="Calibri" w:eastAsia="MS Mincho" w:hAnsi="Calibri" w:cs="Times New Roman"/>
          <w:noProof/>
        </w:rPr>
        <mc:AlternateContent>
          <mc:Choice Requires="wps">
            <w:drawing>
              <wp:anchor distT="0" distB="0" distL="114300" distR="114300" simplePos="0" relativeHeight="251663359" behindDoc="0" locked="0" layoutInCell="1" allowOverlap="1" wp14:anchorId="7AA7CD4A" wp14:editId="127B80F4">
                <wp:simplePos x="0" y="0"/>
                <wp:positionH relativeFrom="column">
                  <wp:posOffset>1643394</wp:posOffset>
                </wp:positionH>
                <wp:positionV relativeFrom="paragraph">
                  <wp:posOffset>1719875</wp:posOffset>
                </wp:positionV>
                <wp:extent cx="1082565" cy="325623"/>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565" cy="325623"/>
                        </a:xfrm>
                        <a:prstGeom prst="rect">
                          <a:avLst/>
                        </a:prstGeom>
                        <a:solidFill>
                          <a:srgbClr val="FFFFFF"/>
                        </a:solidFill>
                        <a:ln w="9525">
                          <a:noFill/>
                          <a:miter lim="800000"/>
                          <a:headEnd/>
                          <a:tailEnd/>
                        </a:ln>
                      </wps:spPr>
                      <wps:txbx>
                        <w:txbxContent>
                          <w:p w:rsidR="00B073A1" w:rsidRPr="0094344E" w:rsidRDefault="00B073A1">
                            <w:pPr>
                              <w:rPr>
                                <w:sz w:val="16"/>
                              </w:rPr>
                            </w:pPr>
                            <w:r w:rsidRPr="0094344E">
                              <w:rPr>
                                <w:sz w:val="16"/>
                              </w:rPr>
                              <w:t>Conversion from CPAP to EFC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35.4pt;width:85.25pt;height:25.6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" stroked="f">
                <v:textbox>
                  <w:txbxContent>
                    <w:p w:rsidR="00B073A1" w:rsidRPr="0094344E" w:rsidRDefault="00B073A1">
                      <w:pPr>
                        <w:rPr>
                          <w:sz w:val="16"/>
                        </w:rPr>
                      </w:pPr>
                      <w:r w:rsidRPr="0094344E">
                        <w:rPr>
                          <w:sz w:val="16"/>
                        </w:rPr>
                        <w:t>Conversion from CPAP to EFC</w:t>
                      </w:r>
                    </w:p>
                  </w:txbxContent>
                </v:textbox>
              </v:shape>
            </w:pict>
          </mc:Fallback>
        </mc:AlternateContent>
      </w:r>
      <w:r>
        <w:rPr>
          <w:noProof/>
        </w:rPr>
        <w:drawing>
          <wp:inline distT="0" distB="0" distL="0" distR="0" wp14:anchorId="270EC7DD" wp14:editId="7D163E1A">
            <wp:extent cx="5687695" cy="3710978"/>
            <wp:effectExtent l="0" t="0" r="27305" b="22860"/>
            <wp:docPr id="1" name="Chart 1" title="Figure 3: R/PBS Prescriptions for trastuzumab by disease stage consolidated to include grandfathered in the metastatic group and unknown in the early stage group (refer to text).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844416">
        <w:rPr>
          <w:rFonts w:ascii="Calibri" w:eastAsia="MS Mincho" w:hAnsi="Calibri" w:cs="Times New Roman"/>
          <w:b/>
        </w:rPr>
        <w:t xml:space="preserve">Figure </w:t>
      </w:r>
      <w:r w:rsidR="00A8281C" w:rsidRPr="00844416">
        <w:rPr>
          <w:rFonts w:ascii="Calibri" w:eastAsia="MS Mincho" w:hAnsi="Calibri" w:cs="Times New Roman"/>
          <w:b/>
        </w:rPr>
        <w:t>3</w:t>
      </w:r>
      <w:r w:rsidRPr="00844416">
        <w:rPr>
          <w:rFonts w:ascii="Calibri" w:eastAsia="MS Mincho" w:hAnsi="Calibri" w:cs="Times New Roman"/>
          <w:b/>
        </w:rPr>
        <w:t xml:space="preserve">: </w:t>
      </w:r>
      <w:r w:rsidR="004423E3" w:rsidRPr="00844416">
        <w:rPr>
          <w:rFonts w:ascii="Calibri" w:eastAsia="MS Mincho" w:hAnsi="Calibri" w:cs="Times New Roman"/>
          <w:b/>
        </w:rPr>
        <w:t xml:space="preserve">R/PBS </w:t>
      </w:r>
      <w:r w:rsidRPr="00844416">
        <w:rPr>
          <w:rFonts w:ascii="Calibri" w:eastAsia="MS Mincho" w:hAnsi="Calibri" w:cs="Times New Roman"/>
          <w:b/>
        </w:rPr>
        <w:t>Prescriptions for trastuzumab by disease stage</w:t>
      </w:r>
      <w:r w:rsidR="00925444" w:rsidRPr="00844416">
        <w:rPr>
          <w:rFonts w:ascii="Calibri" w:eastAsia="MS Mincho" w:hAnsi="Calibri" w:cs="Times New Roman"/>
          <w:b/>
        </w:rPr>
        <w:t xml:space="preserve"> consolidated to include grandfathered in </w:t>
      </w:r>
      <w:r w:rsidR="002C0601">
        <w:rPr>
          <w:rFonts w:ascii="Calibri" w:eastAsia="MS Mincho" w:hAnsi="Calibri" w:cs="Times New Roman"/>
          <w:b/>
        </w:rPr>
        <w:t xml:space="preserve">the </w:t>
      </w:r>
      <w:r w:rsidR="00925444" w:rsidRPr="00844416">
        <w:rPr>
          <w:rFonts w:ascii="Calibri" w:eastAsia="MS Mincho" w:hAnsi="Calibri" w:cs="Times New Roman"/>
          <w:b/>
        </w:rPr>
        <w:t xml:space="preserve">metastatic group and unknown in </w:t>
      </w:r>
      <w:r w:rsidR="002C0601">
        <w:rPr>
          <w:rFonts w:ascii="Calibri" w:eastAsia="MS Mincho" w:hAnsi="Calibri" w:cs="Times New Roman"/>
          <w:b/>
        </w:rPr>
        <w:t xml:space="preserve">the </w:t>
      </w:r>
      <w:r w:rsidR="00925444" w:rsidRPr="00844416">
        <w:rPr>
          <w:rFonts w:ascii="Calibri" w:eastAsia="MS Mincho" w:hAnsi="Calibri" w:cs="Times New Roman"/>
          <w:b/>
        </w:rPr>
        <w:t>early stage group (refer to text).</w:t>
      </w:r>
      <w:r w:rsidR="002C0601">
        <w:rPr>
          <w:rFonts w:ascii="Calibri" w:eastAsia="MS Mincho" w:hAnsi="Calibri" w:cs="Times New Roman"/>
          <w:b/>
        </w:rPr>
        <w:t xml:space="preserve"> </w:t>
      </w:r>
      <w:r w:rsidR="002C0601" w:rsidRPr="002C0601">
        <w:rPr>
          <w:rFonts w:ascii="Calibri" w:eastAsia="MS Mincho" w:hAnsi="Calibri" w:cs="Times New Roman"/>
          <w:sz w:val="20"/>
        </w:rPr>
        <w:t>Prescriptions for MBC prior to 1 July 2015 (ie. Herceptin Program data) are not included in this figure</w:t>
      </w:r>
      <w:r w:rsidR="002C0601" w:rsidRPr="002C0601">
        <w:rPr>
          <w:rFonts w:ascii="Calibri" w:eastAsia="MS Mincho" w:hAnsi="Calibri" w:cs="Times New Roman"/>
          <w:b/>
          <w:sz w:val="20"/>
        </w:rPr>
        <w:t>.</w:t>
      </w:r>
      <w:r w:rsidR="002C0601">
        <w:rPr>
          <w:rFonts w:ascii="Calibri" w:eastAsia="MS Mincho" w:hAnsi="Calibri" w:cs="Times New Roman"/>
          <w:b/>
          <w:sz w:val="20"/>
        </w:rPr>
        <w:t xml:space="preserve"> </w:t>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13/11/</w:t>
      </w:r>
      <w:r w:rsidR="00904B7E" w:rsidRPr="00B87CD5">
        <w:rPr>
          <w:rFonts w:ascii="Calibri" w:eastAsia="MS Mincho" w:hAnsi="Calibri" w:cs="Times New Roman"/>
          <w:sz w:val="20"/>
        </w:rPr>
        <w:t>201</w:t>
      </w:r>
      <w:r w:rsidR="00904B7E">
        <w:rPr>
          <w:rFonts w:ascii="Calibri" w:eastAsia="MS Mincho" w:hAnsi="Calibri" w:cs="Times New Roman"/>
          <w:sz w:val="20"/>
        </w:rPr>
        <w:t>7)</w:t>
      </w:r>
      <w:r>
        <w:rPr>
          <w:rFonts w:ascii="Calibri" w:eastAsia="MS Mincho" w:hAnsi="Calibri" w:cs="Times New Roman"/>
          <w:sz w:val="20"/>
        </w:rPr>
        <w:t xml:space="preserve"> </w:t>
      </w:r>
    </w:p>
    <w:p w:rsidR="0094344E" w:rsidRDefault="004F1E12" w:rsidP="005C3590">
      <w:pPr>
        <w:rPr>
          <w:rFonts w:ascii="Calibri" w:eastAsia="MS Mincho" w:hAnsi="Calibri" w:cs="Times New Roman"/>
        </w:rPr>
      </w:pPr>
      <w:r>
        <w:rPr>
          <w:rFonts w:ascii="Calibri" w:eastAsia="MS Mincho" w:hAnsi="Calibri" w:cs="Times New Roman"/>
        </w:rPr>
        <w:t>Figure 3</w:t>
      </w:r>
      <w:r w:rsidR="008A10E6">
        <w:rPr>
          <w:rFonts w:ascii="Calibri" w:eastAsia="MS Mincho" w:hAnsi="Calibri" w:cs="Times New Roman"/>
        </w:rPr>
        <w:t xml:space="preserve"> shows that the p</w:t>
      </w:r>
      <w:r w:rsidR="0094344E">
        <w:rPr>
          <w:rFonts w:ascii="Calibri" w:eastAsia="MS Mincho" w:hAnsi="Calibri" w:cs="Times New Roman"/>
        </w:rPr>
        <w:t xml:space="preserve">rescription utilisation of </w:t>
      </w:r>
      <w:r w:rsidR="0094344E" w:rsidRPr="0094344E">
        <w:rPr>
          <w:rFonts w:ascii="Calibri" w:eastAsia="MS Mincho" w:hAnsi="Calibri" w:cs="Times New Roman"/>
        </w:rPr>
        <w:t>trastuzumab</w:t>
      </w:r>
      <w:r w:rsidR="0094344E">
        <w:rPr>
          <w:rFonts w:ascii="Calibri" w:eastAsia="MS Mincho" w:hAnsi="Calibri" w:cs="Times New Roman"/>
        </w:rPr>
        <w:t xml:space="preserve"> for early disease start</w:t>
      </w:r>
      <w:r w:rsidR="008A10E6">
        <w:rPr>
          <w:rFonts w:ascii="Calibri" w:eastAsia="MS Mincho" w:hAnsi="Calibri" w:cs="Times New Roman"/>
        </w:rPr>
        <w:t>ed</w:t>
      </w:r>
      <w:r w:rsidR="0094344E">
        <w:rPr>
          <w:rFonts w:ascii="Calibri" w:eastAsia="MS Mincho" w:hAnsi="Calibri" w:cs="Times New Roman"/>
        </w:rPr>
        <w:t xml:space="preserve"> to decline after it was listed for metastatic disease. This may indic</w:t>
      </w:r>
      <w:r w:rsidR="008A10E6">
        <w:rPr>
          <w:rFonts w:ascii="Calibri" w:eastAsia="MS Mincho" w:hAnsi="Calibri" w:cs="Times New Roman"/>
        </w:rPr>
        <w:t xml:space="preserve">ate that there was some </w:t>
      </w:r>
      <w:r w:rsidR="003B2FDB">
        <w:rPr>
          <w:rFonts w:ascii="Calibri" w:eastAsia="MS Mincho" w:hAnsi="Calibri" w:cs="Times New Roman"/>
        </w:rPr>
        <w:t xml:space="preserve">use </w:t>
      </w:r>
      <w:r w:rsidR="008A10E6">
        <w:rPr>
          <w:rFonts w:ascii="Calibri" w:eastAsia="MS Mincho" w:hAnsi="Calibri" w:cs="Times New Roman"/>
        </w:rPr>
        <w:t>outside</w:t>
      </w:r>
      <w:r w:rsidR="003B2FDB">
        <w:rPr>
          <w:rFonts w:ascii="Calibri" w:eastAsia="MS Mincho" w:hAnsi="Calibri" w:cs="Times New Roman"/>
        </w:rPr>
        <w:t xml:space="preserve"> </w:t>
      </w:r>
      <w:r w:rsidR="008A10E6">
        <w:rPr>
          <w:rFonts w:ascii="Calibri" w:eastAsia="MS Mincho" w:hAnsi="Calibri" w:cs="Times New Roman"/>
        </w:rPr>
        <w:t>of</w:t>
      </w:r>
      <w:r w:rsidR="003B2FDB">
        <w:rPr>
          <w:rFonts w:ascii="Calibri" w:eastAsia="MS Mincho" w:hAnsi="Calibri" w:cs="Times New Roman"/>
        </w:rPr>
        <w:t xml:space="preserve"> </w:t>
      </w:r>
      <w:r w:rsidR="0094344E">
        <w:rPr>
          <w:rFonts w:ascii="Calibri" w:eastAsia="MS Mincho" w:hAnsi="Calibri" w:cs="Times New Roman"/>
        </w:rPr>
        <w:t>restriction prior to the listing for metastatic disease.</w:t>
      </w:r>
    </w:p>
    <w:p w:rsidR="009B486E" w:rsidRDefault="00203A5B" w:rsidP="005C3590">
      <w:pPr>
        <w:rPr>
          <w:rFonts w:ascii="Calibri" w:eastAsia="MS Mincho" w:hAnsi="Calibri" w:cs="Times New Roman"/>
        </w:rPr>
      </w:pPr>
      <w:r>
        <w:rPr>
          <w:rFonts w:ascii="Calibri" w:eastAsia="MS Mincho" w:hAnsi="Calibri" w:cs="Times New Roman"/>
        </w:rPr>
        <w:t>The time series of trastuzumab for</w:t>
      </w:r>
      <w:r w:rsidR="00A8281C">
        <w:rPr>
          <w:rFonts w:ascii="Calibri" w:eastAsia="MS Mincho" w:hAnsi="Calibri" w:cs="Times New Roman"/>
        </w:rPr>
        <w:t xml:space="preserve"> early breast cancer in Figure 3</w:t>
      </w:r>
      <w:r>
        <w:rPr>
          <w:rFonts w:ascii="Calibri" w:eastAsia="MS Mincho" w:hAnsi="Calibri" w:cs="Times New Roman"/>
        </w:rPr>
        <w:t xml:space="preserve"> shows that the number of </w:t>
      </w:r>
      <w:r w:rsidR="0066119E">
        <w:rPr>
          <w:rFonts w:ascii="Calibri" w:eastAsia="MS Mincho" w:hAnsi="Calibri" w:cs="Times New Roman"/>
        </w:rPr>
        <w:t>pre</w:t>
      </w:r>
      <w:r>
        <w:rPr>
          <w:rFonts w:ascii="Calibri" w:eastAsia="MS Mincho" w:hAnsi="Calibri" w:cs="Times New Roman"/>
        </w:rPr>
        <w:t>script</w:t>
      </w:r>
      <w:r w:rsidR="0066119E">
        <w:rPr>
          <w:rFonts w:ascii="Calibri" w:eastAsia="MS Mincho" w:hAnsi="Calibri" w:cs="Times New Roman"/>
        </w:rPr>
        <w:t>ion</w:t>
      </w:r>
      <w:r>
        <w:rPr>
          <w:rFonts w:ascii="Calibri" w:eastAsia="MS Mincho" w:hAnsi="Calibri" w:cs="Times New Roman"/>
        </w:rPr>
        <w:t xml:space="preserve">s before and after the start of the </w:t>
      </w:r>
      <w:r w:rsidR="0066119E" w:rsidRPr="004B7231">
        <w:rPr>
          <w:rFonts w:ascii="Calibri" w:eastAsia="MS Mincho" w:hAnsi="Calibri" w:cs="Times New Roman"/>
        </w:rPr>
        <w:t>Efficient Funding of Chemotherapy Drugs initiative</w:t>
      </w:r>
      <w:r w:rsidR="0066119E">
        <w:rPr>
          <w:rFonts w:ascii="Calibri" w:eastAsia="MS Mincho" w:hAnsi="Calibri" w:cs="Times New Roman"/>
        </w:rPr>
        <w:t xml:space="preserve"> (</w:t>
      </w:r>
      <w:r>
        <w:rPr>
          <w:rFonts w:ascii="Calibri" w:eastAsia="MS Mincho" w:hAnsi="Calibri" w:cs="Times New Roman"/>
        </w:rPr>
        <w:t>EFC</w:t>
      </w:r>
      <w:r w:rsidR="0066119E">
        <w:rPr>
          <w:rFonts w:ascii="Calibri" w:eastAsia="MS Mincho" w:hAnsi="Calibri" w:cs="Times New Roman"/>
        </w:rPr>
        <w:t>)</w:t>
      </w:r>
      <w:r>
        <w:rPr>
          <w:rFonts w:ascii="Calibri" w:eastAsia="MS Mincho" w:hAnsi="Calibri" w:cs="Times New Roman"/>
        </w:rPr>
        <w:t xml:space="preserve"> (2011 Q4) </w:t>
      </w:r>
      <w:r w:rsidR="003B2FDB">
        <w:rPr>
          <w:rFonts w:ascii="Calibri" w:eastAsia="MS Mincho" w:hAnsi="Calibri" w:cs="Times New Roman"/>
        </w:rPr>
        <w:t>was</w:t>
      </w:r>
      <w:r>
        <w:rPr>
          <w:rFonts w:ascii="Calibri" w:eastAsia="MS Mincho" w:hAnsi="Calibri" w:cs="Times New Roman"/>
        </w:rPr>
        <w:t xml:space="preserve"> quite consistent and so, in this case, the prescriptions prior to EFC seem to correspond </w:t>
      </w:r>
      <w:r w:rsidR="001B4303">
        <w:rPr>
          <w:rFonts w:ascii="Calibri" w:eastAsia="MS Mincho" w:hAnsi="Calibri" w:cs="Times New Roman"/>
        </w:rPr>
        <w:t xml:space="preserve">to </w:t>
      </w:r>
      <w:r>
        <w:rPr>
          <w:rFonts w:ascii="Calibri" w:eastAsia="MS Mincho" w:hAnsi="Calibri" w:cs="Times New Roman"/>
        </w:rPr>
        <w:t xml:space="preserve">a single infusion. </w:t>
      </w:r>
      <w:r w:rsidR="004B7231" w:rsidRPr="004B7231">
        <w:rPr>
          <w:rFonts w:ascii="Calibri" w:eastAsia="MS Mincho" w:hAnsi="Calibri" w:cs="Times New Roman"/>
        </w:rPr>
        <w:t>Revised prescribing and dispensing arrangements for certain chemotherapy drugs subsidised by the PBS came into effect on 1</w:t>
      </w:r>
      <w:r w:rsidR="0066119E">
        <w:rPr>
          <w:rFonts w:ascii="Calibri" w:eastAsia="MS Mincho" w:hAnsi="Calibri" w:cs="Times New Roman"/>
        </w:rPr>
        <w:t> </w:t>
      </w:r>
      <w:r w:rsidR="004B7231" w:rsidRPr="004B7231">
        <w:rPr>
          <w:rFonts w:ascii="Calibri" w:eastAsia="MS Mincho" w:hAnsi="Calibri" w:cs="Times New Roman"/>
        </w:rPr>
        <w:t xml:space="preserve">December 2011 under the Revised Arrangements for the </w:t>
      </w:r>
      <w:r w:rsidR="0066119E">
        <w:rPr>
          <w:rFonts w:ascii="Calibri" w:eastAsia="MS Mincho" w:hAnsi="Calibri" w:cs="Times New Roman"/>
        </w:rPr>
        <w:t>EFC</w:t>
      </w:r>
      <w:r w:rsidR="004B7231">
        <w:rPr>
          <w:rFonts w:ascii="Calibri" w:eastAsia="MS Mincho" w:hAnsi="Calibri" w:cs="Times New Roman"/>
        </w:rPr>
        <w:t xml:space="preserve">. </w:t>
      </w:r>
      <w:r w:rsidR="0027673F">
        <w:rPr>
          <w:rFonts w:ascii="Calibri" w:eastAsia="MS Mincho" w:hAnsi="Calibri" w:cs="Times New Roman"/>
        </w:rPr>
        <w:t>Prior to this</w:t>
      </w:r>
      <w:r w:rsidR="004B7231">
        <w:rPr>
          <w:rFonts w:ascii="Calibri" w:eastAsia="MS Mincho" w:hAnsi="Calibri" w:cs="Times New Roman"/>
        </w:rPr>
        <w:t xml:space="preserve"> the </w:t>
      </w:r>
      <w:r w:rsidR="0027673F">
        <w:rPr>
          <w:rFonts w:ascii="Calibri" w:eastAsia="MS Mincho" w:hAnsi="Calibri" w:cs="Times New Roman"/>
        </w:rPr>
        <w:t>medicines were available via the S</w:t>
      </w:r>
      <w:r w:rsidR="0027673F" w:rsidRPr="0027673F">
        <w:rPr>
          <w:rFonts w:ascii="Calibri" w:eastAsia="MS Mincho" w:hAnsi="Calibri" w:cs="Times New Roman"/>
        </w:rPr>
        <w:t>ection 100 Chemotherapy Pharmaceutical Access Program (CPAP) special arrangements</w:t>
      </w:r>
      <w:r w:rsidR="0027673F">
        <w:rPr>
          <w:rFonts w:ascii="Calibri" w:eastAsia="MS Mincho" w:hAnsi="Calibri" w:cs="Times New Roman"/>
        </w:rPr>
        <w:t xml:space="preserve"> for Public Hospital prescribing and via PBS </w:t>
      </w:r>
      <w:r w:rsidR="0027673F" w:rsidRPr="0027673F">
        <w:rPr>
          <w:rFonts w:ascii="Calibri" w:eastAsia="MS Mincho" w:hAnsi="Calibri" w:cs="Times New Roman"/>
        </w:rPr>
        <w:t>section 85 general schedule</w:t>
      </w:r>
      <w:r w:rsidR="0027673F">
        <w:rPr>
          <w:rFonts w:ascii="Calibri" w:eastAsia="MS Mincho" w:hAnsi="Calibri" w:cs="Times New Roman"/>
        </w:rPr>
        <w:t xml:space="preserve"> for Private Hospital prescribing. The transition from CPAP to EFC changed the definition of a prescription. Under CPAP a prescription specified a number of vials of medicine for infusion which may have been </w:t>
      </w:r>
      <w:r w:rsidR="009B486E">
        <w:rPr>
          <w:rFonts w:ascii="Calibri" w:eastAsia="MS Mincho" w:hAnsi="Calibri" w:cs="Times New Roman"/>
        </w:rPr>
        <w:t>sufficient for one or multiple infusions. Under EFC a prescription specifie</w:t>
      </w:r>
      <w:r w:rsidR="008A10E6">
        <w:rPr>
          <w:rFonts w:ascii="Calibri" w:eastAsia="MS Mincho" w:hAnsi="Calibri" w:cs="Times New Roman"/>
        </w:rPr>
        <w:t>s</w:t>
      </w:r>
      <w:r w:rsidR="009B486E">
        <w:rPr>
          <w:rFonts w:ascii="Calibri" w:eastAsia="MS Mincho" w:hAnsi="Calibri" w:cs="Times New Roman"/>
        </w:rPr>
        <w:t xml:space="preserve"> a single infusion only and also specifies the patient</w:t>
      </w:r>
      <w:r w:rsidR="008A10E6">
        <w:rPr>
          <w:rFonts w:ascii="Calibri" w:eastAsia="MS Mincho" w:hAnsi="Calibri" w:cs="Times New Roman"/>
        </w:rPr>
        <w:t>’s</w:t>
      </w:r>
      <w:r w:rsidR="009B486E">
        <w:rPr>
          <w:rFonts w:ascii="Calibri" w:eastAsia="MS Mincho" w:hAnsi="Calibri" w:cs="Times New Roman"/>
        </w:rPr>
        <w:t xml:space="preserve"> dose</w:t>
      </w:r>
      <w:r w:rsidR="008A10E6">
        <w:rPr>
          <w:rFonts w:ascii="Calibri" w:eastAsia="MS Mincho" w:hAnsi="Calibri" w:cs="Times New Roman"/>
        </w:rPr>
        <w:t xml:space="preserve"> and </w:t>
      </w:r>
      <w:r w:rsidR="009B486E">
        <w:rPr>
          <w:rFonts w:ascii="Calibri" w:eastAsia="MS Mincho" w:hAnsi="Calibri" w:cs="Times New Roman"/>
        </w:rPr>
        <w:t>number and size of v</w:t>
      </w:r>
      <w:r>
        <w:rPr>
          <w:rFonts w:ascii="Calibri" w:eastAsia="MS Mincho" w:hAnsi="Calibri" w:cs="Times New Roman"/>
        </w:rPr>
        <w:t>ials paid for by the government</w:t>
      </w:r>
      <w:r w:rsidR="009B486E">
        <w:rPr>
          <w:rFonts w:ascii="Calibri" w:eastAsia="MS Mincho" w:hAnsi="Calibri" w:cs="Times New Roman"/>
        </w:rPr>
        <w:t>.</w:t>
      </w:r>
    </w:p>
    <w:p w:rsidR="0094344E" w:rsidRDefault="008A49AE" w:rsidP="005C3590">
      <w:pPr>
        <w:rPr>
          <w:rFonts w:ascii="Calibri" w:eastAsia="MS Mincho" w:hAnsi="Calibri" w:cs="Times New Roman"/>
        </w:rPr>
      </w:pPr>
      <w:r>
        <w:rPr>
          <w:rFonts w:ascii="Calibri" w:eastAsia="MS Mincho" w:hAnsi="Calibri" w:cs="Times New Roman"/>
        </w:rPr>
        <w:t>Two components of trastuzumab utilisation data are not represe</w:t>
      </w:r>
      <w:r w:rsidR="00A8281C">
        <w:rPr>
          <w:rFonts w:ascii="Calibri" w:eastAsia="MS Mincho" w:hAnsi="Calibri" w:cs="Times New Roman"/>
        </w:rPr>
        <w:t>nted in Figure 3</w:t>
      </w:r>
      <w:r>
        <w:rPr>
          <w:rFonts w:ascii="Calibri" w:eastAsia="MS Mincho" w:hAnsi="Calibri" w:cs="Times New Roman"/>
        </w:rPr>
        <w:t xml:space="preserve">. The main </w:t>
      </w:r>
      <w:r w:rsidRPr="004A592B">
        <w:rPr>
          <w:rFonts w:ascii="Calibri" w:eastAsia="MS Mincho" w:hAnsi="Calibri" w:cs="Times New Roman"/>
        </w:rPr>
        <w:t>component comes from the non</w:t>
      </w:r>
      <w:r w:rsidR="0094344E" w:rsidRPr="004A592B">
        <w:rPr>
          <w:rFonts w:ascii="Calibri" w:eastAsia="MS Mincho" w:hAnsi="Calibri" w:cs="Times New Roman"/>
        </w:rPr>
        <w:t>-</w:t>
      </w:r>
      <w:r w:rsidRPr="004A592B">
        <w:rPr>
          <w:rFonts w:ascii="Calibri" w:eastAsia="MS Mincho" w:hAnsi="Calibri" w:cs="Times New Roman"/>
        </w:rPr>
        <w:t>PBS Herceptin Prog</w:t>
      </w:r>
      <w:r w:rsidR="0092090F" w:rsidRPr="004A592B">
        <w:rPr>
          <w:rFonts w:ascii="Calibri" w:eastAsia="MS Mincho" w:hAnsi="Calibri" w:cs="Times New Roman"/>
        </w:rPr>
        <w:t>ra</w:t>
      </w:r>
      <w:r w:rsidRPr="004A592B">
        <w:rPr>
          <w:rFonts w:ascii="Calibri" w:eastAsia="MS Mincho" w:hAnsi="Calibri" w:cs="Times New Roman"/>
        </w:rPr>
        <w:t xml:space="preserve">m, which began in </w:t>
      </w:r>
      <w:r w:rsidR="007127C4" w:rsidRPr="004A592B">
        <w:rPr>
          <w:rFonts w:ascii="Calibri" w:eastAsia="MS Mincho" w:hAnsi="Calibri" w:cs="Times New Roman"/>
        </w:rPr>
        <w:t>December</w:t>
      </w:r>
      <w:r w:rsidR="0094344E" w:rsidRPr="004A592B">
        <w:rPr>
          <w:rFonts w:ascii="Calibri" w:eastAsia="MS Mincho" w:hAnsi="Calibri" w:cs="Times New Roman"/>
        </w:rPr>
        <w:t xml:space="preserve"> 2001</w:t>
      </w:r>
      <w:r w:rsidRPr="004A592B">
        <w:rPr>
          <w:rFonts w:ascii="Calibri" w:eastAsia="MS Mincho" w:hAnsi="Calibri" w:cs="Times New Roman"/>
        </w:rPr>
        <w:t xml:space="preserve"> </w:t>
      </w:r>
      <w:r>
        <w:rPr>
          <w:rFonts w:ascii="Calibri" w:eastAsia="MS Mincho" w:hAnsi="Calibri" w:cs="Times New Roman"/>
        </w:rPr>
        <w:t xml:space="preserve">and </w:t>
      </w:r>
      <w:r w:rsidR="00084558">
        <w:rPr>
          <w:rFonts w:ascii="Calibri" w:eastAsia="MS Mincho" w:hAnsi="Calibri" w:cs="Times New Roman"/>
        </w:rPr>
        <w:t xml:space="preserve">ceased </w:t>
      </w:r>
      <w:r w:rsidR="008A10E6">
        <w:rPr>
          <w:rFonts w:ascii="Calibri" w:eastAsia="MS Mincho" w:hAnsi="Calibri" w:cs="Times New Roman"/>
        </w:rPr>
        <w:t xml:space="preserve">at </w:t>
      </w:r>
      <w:r w:rsidR="00084558">
        <w:rPr>
          <w:rFonts w:ascii="Calibri" w:eastAsia="MS Mincho" w:hAnsi="Calibri" w:cs="Times New Roman"/>
        </w:rPr>
        <w:t>the end of July 2015</w:t>
      </w:r>
      <w:r w:rsidR="0066119E">
        <w:rPr>
          <w:rFonts w:ascii="Calibri" w:eastAsia="MS Mincho" w:hAnsi="Calibri" w:cs="Times New Roman"/>
        </w:rPr>
        <w:t>;</w:t>
      </w:r>
      <w:r w:rsidR="00084558">
        <w:rPr>
          <w:rFonts w:ascii="Calibri" w:eastAsia="MS Mincho" w:hAnsi="Calibri" w:cs="Times New Roman"/>
        </w:rPr>
        <w:t xml:space="preserve"> </w:t>
      </w:r>
      <w:r w:rsidR="0094344E">
        <w:rPr>
          <w:rFonts w:ascii="Calibri" w:eastAsia="MS Mincho" w:hAnsi="Calibri" w:cs="Times New Roman"/>
        </w:rPr>
        <w:t xml:space="preserve">a month after </w:t>
      </w:r>
      <w:r w:rsidR="00084558">
        <w:rPr>
          <w:rFonts w:ascii="Calibri" w:eastAsia="MS Mincho" w:hAnsi="Calibri" w:cs="Times New Roman"/>
        </w:rPr>
        <w:t>trastuzumab for metastatic breast cancer was listed on the PBS. Utilisation for t</w:t>
      </w:r>
      <w:r w:rsidR="00A8281C">
        <w:rPr>
          <w:rFonts w:ascii="Calibri" w:eastAsia="MS Mincho" w:hAnsi="Calibri" w:cs="Times New Roman"/>
        </w:rPr>
        <w:t>his program is shown in Figure 4</w:t>
      </w:r>
      <w:r w:rsidR="00203A5B">
        <w:rPr>
          <w:rFonts w:ascii="Calibri" w:eastAsia="MS Mincho" w:hAnsi="Calibri" w:cs="Times New Roman"/>
        </w:rPr>
        <w:t xml:space="preserve"> and incorporated into Figure 1</w:t>
      </w:r>
      <w:r w:rsidR="00084558">
        <w:rPr>
          <w:rFonts w:ascii="Calibri" w:eastAsia="MS Mincho" w:hAnsi="Calibri" w:cs="Times New Roman"/>
        </w:rPr>
        <w:t xml:space="preserve">. </w:t>
      </w:r>
    </w:p>
    <w:p w:rsidR="00551170" w:rsidRDefault="00084558" w:rsidP="00084558">
      <w:pPr>
        <w:rPr>
          <w:rFonts w:ascii="Calibri" w:eastAsia="MS Mincho" w:hAnsi="Calibri" w:cs="Times New Roman"/>
        </w:rPr>
      </w:pPr>
      <w:r>
        <w:rPr>
          <w:rFonts w:ascii="Calibri" w:eastAsia="MS Mincho" w:hAnsi="Calibri" w:cs="Times New Roman"/>
        </w:rPr>
        <w:t xml:space="preserve">A </w:t>
      </w:r>
      <w:r w:rsidR="008A10E6">
        <w:rPr>
          <w:rFonts w:ascii="Calibri" w:eastAsia="MS Mincho" w:hAnsi="Calibri" w:cs="Times New Roman"/>
        </w:rPr>
        <w:t xml:space="preserve">minor </w:t>
      </w:r>
      <w:r>
        <w:rPr>
          <w:rFonts w:ascii="Calibri" w:eastAsia="MS Mincho" w:hAnsi="Calibri" w:cs="Times New Roman"/>
        </w:rPr>
        <w:t xml:space="preserve">second component </w:t>
      </w:r>
      <w:r w:rsidR="0094344E">
        <w:rPr>
          <w:rFonts w:ascii="Calibri" w:eastAsia="MS Mincho" w:hAnsi="Calibri" w:cs="Times New Roman"/>
        </w:rPr>
        <w:t xml:space="preserve">that is missing from </w:t>
      </w:r>
      <w:r w:rsidR="00551170">
        <w:rPr>
          <w:rFonts w:ascii="Calibri" w:eastAsia="MS Mincho" w:hAnsi="Calibri" w:cs="Times New Roman"/>
        </w:rPr>
        <w:t xml:space="preserve">Figure </w:t>
      </w:r>
      <w:r w:rsidR="003D3037">
        <w:rPr>
          <w:rFonts w:ascii="Calibri" w:eastAsia="MS Mincho" w:hAnsi="Calibri" w:cs="Times New Roman"/>
        </w:rPr>
        <w:t xml:space="preserve">3 </w:t>
      </w:r>
      <w:r w:rsidR="00551170">
        <w:rPr>
          <w:rFonts w:ascii="Calibri" w:eastAsia="MS Mincho" w:hAnsi="Calibri" w:cs="Times New Roman"/>
        </w:rPr>
        <w:t xml:space="preserve">is the </w:t>
      </w:r>
      <w:r>
        <w:rPr>
          <w:rFonts w:ascii="Calibri" w:eastAsia="MS Mincho" w:hAnsi="Calibri" w:cs="Times New Roman"/>
        </w:rPr>
        <w:t>PBS trastuzumab utilisation data that was process</w:t>
      </w:r>
      <w:r w:rsidR="003B2FDB">
        <w:rPr>
          <w:rFonts w:ascii="Calibri" w:eastAsia="MS Mincho" w:hAnsi="Calibri" w:cs="Times New Roman"/>
        </w:rPr>
        <w:t>ed</w:t>
      </w:r>
      <w:r>
        <w:rPr>
          <w:rFonts w:ascii="Calibri" w:eastAsia="MS Mincho" w:hAnsi="Calibri" w:cs="Times New Roman"/>
        </w:rPr>
        <w:t xml:space="preserve"> via the HSD bulk processing for public hospitals prior to </w:t>
      </w:r>
      <w:r w:rsidR="004902ED">
        <w:rPr>
          <w:rFonts w:ascii="Calibri" w:eastAsia="MS Mincho" w:hAnsi="Calibri" w:cs="Times New Roman"/>
        </w:rPr>
        <w:t>the introduction of EFC</w:t>
      </w:r>
      <w:r w:rsidR="00551170">
        <w:rPr>
          <w:rFonts w:ascii="Calibri" w:eastAsia="MS Mincho" w:hAnsi="Calibri" w:cs="Times New Roman"/>
        </w:rPr>
        <w:t>. Not all p</w:t>
      </w:r>
      <w:r>
        <w:rPr>
          <w:rFonts w:ascii="Calibri" w:eastAsia="MS Mincho" w:hAnsi="Calibri" w:cs="Times New Roman"/>
        </w:rPr>
        <w:t xml:space="preserve">rescriptions from public hospitals </w:t>
      </w:r>
      <w:r w:rsidR="00751467">
        <w:rPr>
          <w:rFonts w:ascii="Calibri" w:eastAsia="MS Mincho" w:hAnsi="Calibri" w:cs="Times New Roman"/>
        </w:rPr>
        <w:t>were</w:t>
      </w:r>
      <w:r>
        <w:rPr>
          <w:rFonts w:ascii="Calibri" w:eastAsia="MS Mincho" w:hAnsi="Calibri" w:cs="Times New Roman"/>
        </w:rPr>
        <w:t xml:space="preserve"> available at the patient level prior to </w:t>
      </w:r>
      <w:r w:rsidR="00E448D9">
        <w:rPr>
          <w:rFonts w:ascii="Calibri" w:eastAsia="MS Mincho" w:hAnsi="Calibri" w:cs="Times New Roman"/>
        </w:rPr>
        <w:t>transition</w:t>
      </w:r>
      <w:r w:rsidR="00551170">
        <w:rPr>
          <w:rFonts w:ascii="Calibri" w:eastAsia="MS Mincho" w:hAnsi="Calibri" w:cs="Times New Roman"/>
        </w:rPr>
        <w:t xml:space="preserve"> to EFC (December 2011). This is because some of the utilisation was processed via a bulk processing system. </w:t>
      </w:r>
      <w:r w:rsidR="008A10E6">
        <w:rPr>
          <w:rFonts w:ascii="Calibri" w:eastAsia="MS Mincho" w:hAnsi="Calibri" w:cs="Times New Roman"/>
        </w:rPr>
        <w:t xml:space="preserve">This has a small impact on the prescription volume in Figure </w:t>
      </w:r>
      <w:r w:rsidR="003D3037">
        <w:rPr>
          <w:rFonts w:ascii="Calibri" w:eastAsia="MS Mincho" w:hAnsi="Calibri" w:cs="Times New Roman"/>
        </w:rPr>
        <w:t>3</w:t>
      </w:r>
      <w:r w:rsidR="008A10E6">
        <w:rPr>
          <w:rFonts w:ascii="Calibri" w:eastAsia="MS Mincho" w:hAnsi="Calibri" w:cs="Times New Roman"/>
        </w:rPr>
        <w:t xml:space="preserve">. </w:t>
      </w:r>
      <w:r w:rsidR="00551170">
        <w:rPr>
          <w:rFonts w:ascii="Calibri" w:eastAsia="MS Mincho" w:hAnsi="Calibri" w:cs="Times New Roman"/>
        </w:rPr>
        <w:t xml:space="preserve">It was estimated from the DUSC HSD database (which contains all utilisation, including from the bulk processing system) that only 3% of utilisation prior to 2012 Q1 is missing from Figure </w:t>
      </w:r>
      <w:r w:rsidR="00385FAC">
        <w:rPr>
          <w:rFonts w:ascii="Calibri" w:eastAsia="MS Mincho" w:hAnsi="Calibri" w:cs="Times New Roman"/>
        </w:rPr>
        <w:t>3</w:t>
      </w:r>
      <w:r w:rsidR="00BE354B">
        <w:rPr>
          <w:rFonts w:ascii="Calibri" w:eastAsia="MS Mincho" w:hAnsi="Calibri" w:cs="Times New Roman"/>
        </w:rPr>
        <w:t xml:space="preserve">. </w:t>
      </w:r>
    </w:p>
    <w:p w:rsidR="003E02B1" w:rsidRDefault="003E02B1" w:rsidP="003E02B1">
      <w:pPr>
        <w:rPr>
          <w:rFonts w:ascii="Calibri" w:eastAsia="MS Mincho" w:hAnsi="Calibri" w:cs="Times New Roman"/>
          <w:sz w:val="20"/>
        </w:rPr>
      </w:pPr>
      <w:r>
        <w:rPr>
          <w:noProof/>
        </w:rPr>
        <w:drawing>
          <wp:inline distT="0" distB="0" distL="0" distR="0" wp14:anchorId="59595CF6" wp14:editId="54502A66">
            <wp:extent cx="5687695" cy="3719485"/>
            <wp:effectExtent l="0" t="0" r="27305" b="14605"/>
            <wp:docPr id="22" name="Chart 22" title="Figure 4: Number of patient orders by Herceptin program"/>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87CD5">
        <w:rPr>
          <w:rFonts w:ascii="Calibri" w:eastAsia="MS Mincho" w:hAnsi="Calibri" w:cs="Times New Roman"/>
          <w:b/>
        </w:rPr>
        <w:t xml:space="preserve">Figure </w:t>
      </w:r>
      <w:r w:rsidR="00A8281C">
        <w:rPr>
          <w:rFonts w:ascii="Calibri" w:eastAsia="MS Mincho" w:hAnsi="Calibri" w:cs="Times New Roman"/>
          <w:b/>
        </w:rPr>
        <w:t>4</w:t>
      </w:r>
      <w:r w:rsidRPr="00B87CD5">
        <w:rPr>
          <w:rFonts w:ascii="Calibri" w:eastAsia="MS Mincho" w:hAnsi="Calibri" w:cs="Times New Roman"/>
          <w:b/>
        </w:rPr>
        <w:t xml:space="preserve">: </w:t>
      </w:r>
      <w:r>
        <w:rPr>
          <w:rFonts w:ascii="Calibri" w:eastAsia="MS Mincho" w:hAnsi="Calibri" w:cs="Times New Roman"/>
          <w:b/>
        </w:rPr>
        <w:t xml:space="preserve">Number of patient orders by Herceptin program </w:t>
      </w:r>
      <w:r>
        <w:rPr>
          <w:rFonts w:ascii="Calibri" w:eastAsia="MS Mincho" w:hAnsi="Calibri" w:cs="Times New Roman"/>
          <w:b/>
        </w:rPr>
        <w:br/>
      </w:r>
      <w:r>
        <w:rPr>
          <w:rFonts w:ascii="Calibri" w:eastAsia="MS Mincho" w:hAnsi="Calibri" w:cs="Times New Roman"/>
          <w:sz w:val="20"/>
        </w:rPr>
        <w:t>Source:</w:t>
      </w:r>
      <w:r w:rsidRPr="00AB4293">
        <w:rPr>
          <w:rFonts w:ascii="Calibri" w:eastAsia="MS Mincho" w:hAnsi="Calibri" w:cs="Times New Roman"/>
          <w:sz w:val="20"/>
        </w:rPr>
        <w:t xml:space="preserve"> </w:t>
      </w:r>
      <w:r>
        <w:rPr>
          <w:rFonts w:ascii="Calibri" w:eastAsia="MS Mincho" w:hAnsi="Calibri" w:cs="Times New Roman"/>
          <w:sz w:val="20"/>
        </w:rPr>
        <w:t>DHS</w:t>
      </w:r>
      <w:r w:rsidRPr="003E02B1">
        <w:rPr>
          <w:rFonts w:ascii="Calibri" w:eastAsia="MS Mincho" w:hAnsi="Calibri" w:cs="Times New Roman"/>
          <w:sz w:val="20"/>
        </w:rPr>
        <w:t xml:space="preserve"> Complex Drugs (Tasmania)</w:t>
      </w:r>
      <w:r>
        <w:rPr>
          <w:rFonts w:ascii="Calibri" w:eastAsia="MS Mincho" w:hAnsi="Calibri" w:cs="Times New Roman"/>
          <w:sz w:val="20"/>
        </w:rPr>
        <w:t xml:space="preserve"> </w:t>
      </w:r>
      <w:r w:rsidR="00626FED">
        <w:rPr>
          <w:rFonts w:ascii="Calibri" w:eastAsia="MS Mincho" w:hAnsi="Calibri" w:cs="Times New Roman"/>
          <w:sz w:val="20"/>
        </w:rPr>
        <w:t>reports on Herceptin program</w:t>
      </w:r>
      <w:r w:rsidR="00A8281C">
        <w:rPr>
          <w:rFonts w:ascii="Calibri" w:eastAsia="MS Mincho" w:hAnsi="Calibri" w:cs="Times New Roman"/>
          <w:sz w:val="20"/>
        </w:rPr>
        <w:t xml:space="preserve"> supplied by DHS (</w:t>
      </w:r>
      <w:r w:rsidR="00466AD2">
        <w:rPr>
          <w:rFonts w:ascii="Calibri" w:eastAsia="MS Mincho" w:hAnsi="Calibri" w:cs="Times New Roman"/>
          <w:sz w:val="20"/>
        </w:rPr>
        <w:t>final report received in November 2015</w:t>
      </w:r>
      <w:r w:rsidR="00A8281C">
        <w:rPr>
          <w:rFonts w:ascii="Calibri" w:eastAsia="MS Mincho" w:hAnsi="Calibri" w:cs="Times New Roman"/>
          <w:sz w:val="20"/>
        </w:rPr>
        <w:t>)</w:t>
      </w:r>
    </w:p>
    <w:p w:rsidR="00A8281C" w:rsidRDefault="00A8281C">
      <w:pPr>
        <w:spacing w:line="276" w:lineRule="auto"/>
        <w:rPr>
          <w:rFonts w:ascii="Calibri" w:eastAsia="MS Mincho" w:hAnsi="Calibri" w:cs="Times New Roman"/>
          <w:sz w:val="20"/>
        </w:rPr>
      </w:pPr>
      <w:r>
        <w:rPr>
          <w:rFonts w:ascii="Calibri" w:eastAsia="MS Mincho" w:hAnsi="Calibri" w:cs="Times New Roman"/>
          <w:sz w:val="20"/>
        </w:rPr>
        <w:br w:type="page"/>
      </w:r>
    </w:p>
    <w:p w:rsidR="00923263" w:rsidRPr="00751467" w:rsidRDefault="00203A5B" w:rsidP="005C3590">
      <w:pPr>
        <w:rPr>
          <w:rFonts w:ascii="Calibri" w:eastAsia="MS Mincho" w:hAnsi="Calibri" w:cs="Times New Roman"/>
          <w:b/>
          <w:i/>
        </w:rPr>
      </w:pPr>
      <w:r w:rsidRPr="00751467">
        <w:rPr>
          <w:rFonts w:ascii="Calibri" w:eastAsia="MS Mincho" w:hAnsi="Calibri" w:cs="Times New Roman"/>
          <w:b/>
          <w:i/>
        </w:rPr>
        <w:t>Trastuzumab emtansine</w:t>
      </w:r>
      <w:r w:rsidR="00A8281C" w:rsidRPr="00751467">
        <w:rPr>
          <w:rFonts w:ascii="Calibri" w:eastAsia="MS Mincho" w:hAnsi="Calibri" w:cs="Times New Roman"/>
          <w:b/>
          <w:i/>
        </w:rPr>
        <w:t xml:space="preserve"> (T-DM1)</w:t>
      </w:r>
    </w:p>
    <w:p w:rsidR="00062535" w:rsidRDefault="00062535" w:rsidP="005C3590">
      <w:pPr>
        <w:rPr>
          <w:rFonts w:ascii="Calibri" w:eastAsia="MS Mincho" w:hAnsi="Calibri" w:cs="Times New Roman"/>
          <w:b/>
        </w:rPr>
      </w:pPr>
    </w:p>
    <w:p w:rsidR="001B4303" w:rsidRDefault="00062535" w:rsidP="005C3590">
      <w:pPr>
        <w:rPr>
          <w:rFonts w:ascii="Calibri" w:eastAsia="MS Mincho" w:hAnsi="Calibri" w:cs="Times New Roman"/>
          <w:sz w:val="20"/>
        </w:rPr>
      </w:pPr>
      <w:r>
        <w:rPr>
          <w:noProof/>
        </w:rPr>
        <w:drawing>
          <wp:inline distT="0" distB="0" distL="0" distR="0" wp14:anchorId="22776D83" wp14:editId="5AB107FD">
            <wp:extent cx="5687695" cy="3715232"/>
            <wp:effectExtent l="0" t="0" r="27305" b="19050"/>
            <wp:docPr id="7" name="Chart 7" title="Figure 5: R/PBS Prescriptions for T-DM1 by disease st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26FED" w:rsidRPr="00B87CD5">
        <w:rPr>
          <w:rFonts w:ascii="Calibri" w:eastAsia="MS Mincho" w:hAnsi="Calibri" w:cs="Times New Roman"/>
          <w:b/>
        </w:rPr>
        <w:t xml:space="preserve">Figure </w:t>
      </w:r>
      <w:r w:rsidR="00A8281C">
        <w:rPr>
          <w:rFonts w:ascii="Calibri" w:eastAsia="MS Mincho" w:hAnsi="Calibri" w:cs="Times New Roman"/>
          <w:b/>
        </w:rPr>
        <w:t>5</w:t>
      </w:r>
      <w:r w:rsidR="00626FED" w:rsidRPr="00B87CD5">
        <w:rPr>
          <w:rFonts w:ascii="Calibri" w:eastAsia="MS Mincho" w:hAnsi="Calibri" w:cs="Times New Roman"/>
          <w:b/>
        </w:rPr>
        <w:t xml:space="preserve">: </w:t>
      </w:r>
      <w:r w:rsidR="004423E3">
        <w:rPr>
          <w:rFonts w:ascii="Calibri" w:eastAsia="MS Mincho" w:hAnsi="Calibri" w:cs="Times New Roman"/>
          <w:b/>
        </w:rPr>
        <w:t xml:space="preserve">R/PBS </w:t>
      </w:r>
      <w:r w:rsidR="00626FED">
        <w:rPr>
          <w:rFonts w:ascii="Calibri" w:eastAsia="MS Mincho" w:hAnsi="Calibri" w:cs="Times New Roman"/>
          <w:b/>
        </w:rPr>
        <w:t xml:space="preserve">Prescriptions for </w:t>
      </w:r>
      <w:r w:rsidR="001B4303">
        <w:rPr>
          <w:rFonts w:ascii="Calibri" w:eastAsia="MS Mincho" w:hAnsi="Calibri" w:cs="Times New Roman"/>
          <w:b/>
        </w:rPr>
        <w:t>T-DM1</w:t>
      </w:r>
      <w:r w:rsidR="00BC13B3">
        <w:rPr>
          <w:rFonts w:ascii="Calibri" w:eastAsia="MS Mincho" w:hAnsi="Calibri" w:cs="Times New Roman"/>
          <w:b/>
        </w:rPr>
        <w:t xml:space="preserve"> by disease stage</w:t>
      </w:r>
      <w:r w:rsidR="00626FED">
        <w:rPr>
          <w:rFonts w:ascii="Calibri" w:eastAsia="MS Mincho" w:hAnsi="Calibri" w:cs="Times New Roman"/>
          <w:b/>
        </w:rPr>
        <w:br/>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13/11/</w:t>
      </w:r>
      <w:r w:rsidR="00904B7E" w:rsidRPr="00B87CD5">
        <w:rPr>
          <w:rFonts w:ascii="Calibri" w:eastAsia="MS Mincho" w:hAnsi="Calibri" w:cs="Times New Roman"/>
          <w:sz w:val="20"/>
        </w:rPr>
        <w:t>201</w:t>
      </w:r>
      <w:r w:rsidR="00904B7E">
        <w:rPr>
          <w:rFonts w:ascii="Calibri" w:eastAsia="MS Mincho" w:hAnsi="Calibri" w:cs="Times New Roman"/>
          <w:sz w:val="20"/>
        </w:rPr>
        <w:t>7)</w:t>
      </w:r>
    </w:p>
    <w:p w:rsidR="00626FED" w:rsidRDefault="001B4303" w:rsidP="005C3590">
      <w:pPr>
        <w:rPr>
          <w:rFonts w:ascii="Calibri" w:eastAsia="MS Mincho" w:hAnsi="Calibri" w:cs="Times New Roman"/>
        </w:rPr>
      </w:pPr>
      <w:r>
        <w:rPr>
          <w:rFonts w:ascii="Calibri" w:eastAsia="MS Mincho" w:hAnsi="Calibri" w:cs="Times New Roman"/>
        </w:rPr>
        <w:t>T-DM1</w:t>
      </w:r>
      <w:r w:rsidR="00626FED" w:rsidRPr="00626FED">
        <w:rPr>
          <w:rFonts w:ascii="Calibri" w:eastAsia="MS Mincho" w:hAnsi="Calibri" w:cs="Times New Roman"/>
        </w:rPr>
        <w:t xml:space="preserve"> </w:t>
      </w:r>
      <w:r w:rsidR="00A8281C">
        <w:rPr>
          <w:rFonts w:ascii="Calibri" w:eastAsia="MS Mincho" w:hAnsi="Calibri" w:cs="Times New Roman"/>
        </w:rPr>
        <w:t>is PBS subsidised</w:t>
      </w:r>
      <w:r w:rsidR="00626FED">
        <w:rPr>
          <w:rFonts w:ascii="Calibri" w:eastAsia="MS Mincho" w:hAnsi="Calibri" w:cs="Times New Roman"/>
        </w:rPr>
        <w:t xml:space="preserve"> for metastatic breast cancer</w:t>
      </w:r>
      <w:r w:rsidR="00A8281C">
        <w:rPr>
          <w:rFonts w:ascii="Calibri" w:eastAsia="MS Mincho" w:hAnsi="Calibri" w:cs="Times New Roman"/>
        </w:rPr>
        <w:t xml:space="preserve"> (PBS items 10281D, 10282E). The PBAC agreed that patients who were on treatment prior to PBS listing should continue to access T-DM</w:t>
      </w:r>
      <w:r w:rsidR="00462CB6">
        <w:rPr>
          <w:rFonts w:ascii="Calibri" w:eastAsia="MS Mincho" w:hAnsi="Calibri" w:cs="Times New Roman"/>
        </w:rPr>
        <w:t xml:space="preserve">1 </w:t>
      </w:r>
      <w:r w:rsidR="00A8281C">
        <w:rPr>
          <w:rFonts w:ascii="Calibri" w:eastAsia="MS Mincho" w:hAnsi="Calibri" w:cs="Times New Roman"/>
        </w:rPr>
        <w:t>and these patients are designated as “grandfathered” with a separate</w:t>
      </w:r>
      <w:r w:rsidR="00626FED">
        <w:rPr>
          <w:rFonts w:ascii="Calibri" w:eastAsia="MS Mincho" w:hAnsi="Calibri" w:cs="Times New Roman"/>
        </w:rPr>
        <w:t xml:space="preserve"> rest</w:t>
      </w:r>
      <w:r w:rsidR="00A8281C">
        <w:rPr>
          <w:rFonts w:ascii="Calibri" w:eastAsia="MS Mincho" w:hAnsi="Calibri" w:cs="Times New Roman"/>
        </w:rPr>
        <w:t>riction code for grandfathered</w:t>
      </w:r>
      <w:r w:rsidR="00626FED">
        <w:rPr>
          <w:rFonts w:ascii="Calibri" w:eastAsia="MS Mincho" w:hAnsi="Calibri" w:cs="Times New Roman"/>
        </w:rPr>
        <w:t xml:space="preserve"> </w:t>
      </w:r>
      <w:r w:rsidR="0092090F">
        <w:rPr>
          <w:rFonts w:ascii="Calibri" w:eastAsia="MS Mincho" w:hAnsi="Calibri" w:cs="Times New Roman"/>
        </w:rPr>
        <w:t>and</w:t>
      </w:r>
      <w:r w:rsidR="008A1F9A">
        <w:rPr>
          <w:rFonts w:ascii="Calibri" w:eastAsia="MS Mincho" w:hAnsi="Calibri" w:cs="Times New Roman"/>
        </w:rPr>
        <w:t xml:space="preserve"> </w:t>
      </w:r>
      <w:r w:rsidR="00A8281C">
        <w:rPr>
          <w:rFonts w:ascii="Calibri" w:eastAsia="MS Mincho" w:hAnsi="Calibri" w:cs="Times New Roman"/>
        </w:rPr>
        <w:t>those initiating</w:t>
      </w:r>
      <w:r w:rsidR="0092090F">
        <w:rPr>
          <w:rFonts w:ascii="Calibri" w:eastAsia="MS Mincho" w:hAnsi="Calibri" w:cs="Times New Roman"/>
        </w:rPr>
        <w:t xml:space="preserve"> therapy</w:t>
      </w:r>
      <w:r w:rsidR="00626FED">
        <w:rPr>
          <w:rFonts w:ascii="Calibri" w:eastAsia="MS Mincho" w:hAnsi="Calibri" w:cs="Times New Roman"/>
        </w:rPr>
        <w:t>.</w:t>
      </w:r>
      <w:r w:rsidR="008A1F9A">
        <w:rPr>
          <w:rFonts w:ascii="Calibri" w:eastAsia="MS Mincho" w:hAnsi="Calibri" w:cs="Times New Roman"/>
        </w:rPr>
        <w:t xml:space="preserve"> Th</w:t>
      </w:r>
      <w:r w:rsidR="00A8281C">
        <w:rPr>
          <w:rFonts w:ascii="Calibri" w:eastAsia="MS Mincho" w:hAnsi="Calibri" w:cs="Times New Roman"/>
        </w:rPr>
        <w:t>e same issues outline</w:t>
      </w:r>
      <w:r w:rsidR="003E3D73">
        <w:rPr>
          <w:rFonts w:ascii="Calibri" w:eastAsia="MS Mincho" w:hAnsi="Calibri" w:cs="Times New Roman"/>
        </w:rPr>
        <w:t>d</w:t>
      </w:r>
      <w:r w:rsidR="00A8281C">
        <w:rPr>
          <w:rFonts w:ascii="Calibri" w:eastAsia="MS Mincho" w:hAnsi="Calibri" w:cs="Times New Roman"/>
        </w:rPr>
        <w:t xml:space="preserve"> above with respect to </w:t>
      </w:r>
      <w:r w:rsidR="003E3D73">
        <w:rPr>
          <w:rFonts w:ascii="Calibri" w:eastAsia="MS Mincho" w:hAnsi="Calibri" w:cs="Times New Roman"/>
        </w:rPr>
        <w:t>”</w:t>
      </w:r>
      <w:r w:rsidR="00A8281C">
        <w:rPr>
          <w:rFonts w:ascii="Calibri" w:eastAsia="MS Mincho" w:hAnsi="Calibri" w:cs="Times New Roman"/>
        </w:rPr>
        <w:t xml:space="preserve">unknown” restriction codes </w:t>
      </w:r>
      <w:r w:rsidR="003E3D73">
        <w:rPr>
          <w:rFonts w:ascii="Calibri" w:eastAsia="MS Mincho" w:hAnsi="Calibri" w:cs="Times New Roman"/>
        </w:rPr>
        <w:t xml:space="preserve">apply </w:t>
      </w:r>
      <w:r>
        <w:rPr>
          <w:rFonts w:ascii="Calibri" w:eastAsia="MS Mincho" w:hAnsi="Calibri" w:cs="Times New Roman"/>
        </w:rPr>
        <w:t xml:space="preserve">here </w:t>
      </w:r>
      <w:r w:rsidR="00A8281C">
        <w:rPr>
          <w:rFonts w:ascii="Calibri" w:eastAsia="MS Mincho" w:hAnsi="Calibri" w:cs="Times New Roman"/>
        </w:rPr>
        <w:t xml:space="preserve">and while </w:t>
      </w:r>
      <w:r w:rsidR="008A1F9A">
        <w:rPr>
          <w:rFonts w:ascii="Calibri" w:eastAsia="MS Mincho" w:hAnsi="Calibri" w:cs="Times New Roman"/>
        </w:rPr>
        <w:t>the “unknown” category is still</w:t>
      </w:r>
      <w:r w:rsidR="00A8281C">
        <w:rPr>
          <w:rFonts w:ascii="Calibri" w:eastAsia="MS Mincho" w:hAnsi="Calibri" w:cs="Times New Roman"/>
        </w:rPr>
        <w:t xml:space="preserve"> for metastatic disease</w:t>
      </w:r>
      <w:r w:rsidR="008A1F9A">
        <w:rPr>
          <w:rFonts w:ascii="Calibri" w:eastAsia="MS Mincho" w:hAnsi="Calibri" w:cs="Times New Roman"/>
        </w:rPr>
        <w:t xml:space="preserve"> it is not known if the patient was “grandfathered” or not. Nearly all the instances of</w:t>
      </w:r>
      <w:r w:rsidR="00DA5B1D">
        <w:rPr>
          <w:rFonts w:ascii="Calibri" w:eastAsia="MS Mincho" w:hAnsi="Calibri" w:cs="Times New Roman"/>
        </w:rPr>
        <w:t xml:space="preserve"> “unknown” come for the public h</w:t>
      </w:r>
      <w:r w:rsidR="008A1F9A">
        <w:rPr>
          <w:rFonts w:ascii="Calibri" w:eastAsia="MS Mincho" w:hAnsi="Calibri" w:cs="Times New Roman"/>
        </w:rPr>
        <w:t>ospital specific item 10282E.</w:t>
      </w:r>
      <w:r w:rsidR="00626FED">
        <w:rPr>
          <w:rFonts w:ascii="Calibri" w:eastAsia="MS Mincho" w:hAnsi="Calibri" w:cs="Times New Roman"/>
        </w:rPr>
        <w:t xml:space="preserve"> </w:t>
      </w:r>
      <w:r w:rsidR="008A1F9A">
        <w:rPr>
          <w:rFonts w:ascii="Calibri" w:eastAsia="MS Mincho" w:hAnsi="Calibri" w:cs="Times New Roman"/>
        </w:rPr>
        <w:t xml:space="preserve">This item requires </w:t>
      </w:r>
      <w:r w:rsidR="00DA5B1D">
        <w:rPr>
          <w:rFonts w:ascii="Calibri" w:eastAsia="MS Mincho" w:hAnsi="Calibri" w:cs="Times New Roman"/>
        </w:rPr>
        <w:t xml:space="preserve">a </w:t>
      </w:r>
      <w:r w:rsidR="008A1F9A">
        <w:rPr>
          <w:rFonts w:ascii="Calibri" w:eastAsia="MS Mincho" w:hAnsi="Calibri" w:cs="Times New Roman"/>
        </w:rPr>
        <w:t xml:space="preserve">written authority application and </w:t>
      </w:r>
      <w:r w:rsidR="00DA5B1D">
        <w:rPr>
          <w:rFonts w:ascii="Calibri" w:eastAsia="MS Mincho" w:hAnsi="Calibri" w:cs="Times New Roman"/>
        </w:rPr>
        <w:t xml:space="preserve">so </w:t>
      </w:r>
      <w:r w:rsidR="008A1F9A">
        <w:rPr>
          <w:rFonts w:ascii="Calibri" w:eastAsia="MS Mincho" w:hAnsi="Calibri" w:cs="Times New Roman"/>
        </w:rPr>
        <w:t xml:space="preserve">there seems to be a </w:t>
      </w:r>
      <w:r w:rsidR="00A8281C">
        <w:rPr>
          <w:rFonts w:ascii="Calibri" w:eastAsia="MS Mincho" w:hAnsi="Calibri" w:cs="Times New Roman"/>
        </w:rPr>
        <w:t xml:space="preserve">system </w:t>
      </w:r>
      <w:r w:rsidR="008A1F9A">
        <w:rPr>
          <w:rFonts w:ascii="Calibri" w:eastAsia="MS Mincho" w:hAnsi="Calibri" w:cs="Times New Roman"/>
        </w:rPr>
        <w:t xml:space="preserve">problem with the recording of restrictions </w:t>
      </w:r>
      <w:r w:rsidR="008A10E6">
        <w:rPr>
          <w:rFonts w:ascii="Calibri" w:eastAsia="MS Mincho" w:hAnsi="Calibri" w:cs="Times New Roman"/>
        </w:rPr>
        <w:t xml:space="preserve">in the DHS authority approvals database </w:t>
      </w:r>
      <w:r w:rsidR="008A1F9A">
        <w:rPr>
          <w:rFonts w:ascii="Calibri" w:eastAsia="MS Mincho" w:hAnsi="Calibri" w:cs="Times New Roman"/>
        </w:rPr>
        <w:t xml:space="preserve">from </w:t>
      </w:r>
      <w:r w:rsidR="008A10E6">
        <w:rPr>
          <w:rFonts w:ascii="Calibri" w:eastAsia="MS Mincho" w:hAnsi="Calibri" w:cs="Times New Roman"/>
        </w:rPr>
        <w:t xml:space="preserve">public hospital </w:t>
      </w:r>
      <w:r w:rsidR="008A1F9A">
        <w:rPr>
          <w:rFonts w:ascii="Calibri" w:eastAsia="MS Mincho" w:hAnsi="Calibri" w:cs="Times New Roman"/>
        </w:rPr>
        <w:t>application</w:t>
      </w:r>
      <w:r w:rsidR="008A10E6">
        <w:rPr>
          <w:rFonts w:ascii="Calibri" w:eastAsia="MS Mincho" w:hAnsi="Calibri" w:cs="Times New Roman"/>
        </w:rPr>
        <w:t>s</w:t>
      </w:r>
      <w:r w:rsidR="008A1F9A">
        <w:rPr>
          <w:rFonts w:ascii="Calibri" w:eastAsia="MS Mincho" w:hAnsi="Calibri" w:cs="Times New Roman"/>
        </w:rPr>
        <w:t>.</w:t>
      </w:r>
      <w:r w:rsidR="00A8281C">
        <w:rPr>
          <w:rFonts w:ascii="Calibri" w:eastAsia="MS Mincho" w:hAnsi="Calibri" w:cs="Times New Roman"/>
        </w:rPr>
        <w:t xml:space="preserve"> </w:t>
      </w:r>
    </w:p>
    <w:p w:rsidR="00A8281C" w:rsidRDefault="00A8281C">
      <w:pPr>
        <w:spacing w:line="276" w:lineRule="auto"/>
        <w:rPr>
          <w:rFonts w:ascii="Calibri" w:eastAsia="MS Mincho" w:hAnsi="Calibri" w:cs="Times New Roman"/>
        </w:rPr>
      </w:pPr>
      <w:r>
        <w:rPr>
          <w:rFonts w:ascii="Calibri" w:eastAsia="MS Mincho" w:hAnsi="Calibri" w:cs="Times New Roman"/>
        </w:rPr>
        <w:br w:type="page"/>
      </w:r>
    </w:p>
    <w:p w:rsidR="00A8281C" w:rsidRPr="00751467" w:rsidRDefault="00A8281C" w:rsidP="005C3590">
      <w:pPr>
        <w:rPr>
          <w:rFonts w:ascii="Calibri" w:eastAsia="MS Mincho" w:hAnsi="Calibri" w:cs="Times New Roman"/>
          <w:b/>
          <w:i/>
        </w:rPr>
      </w:pPr>
      <w:r w:rsidRPr="00751467">
        <w:rPr>
          <w:rFonts w:ascii="Calibri" w:eastAsia="MS Mincho" w:hAnsi="Calibri" w:cs="Times New Roman"/>
          <w:b/>
          <w:i/>
        </w:rPr>
        <w:t>Pertuzumab</w:t>
      </w:r>
    </w:p>
    <w:p w:rsidR="0053375B" w:rsidRDefault="00AA530D" w:rsidP="00466AD2">
      <w:pPr>
        <w:rPr>
          <w:rFonts w:ascii="Calibri" w:eastAsia="MS Mincho" w:hAnsi="Calibri" w:cs="Times New Roman"/>
          <w:sz w:val="20"/>
        </w:rPr>
      </w:pPr>
      <w:r>
        <w:rPr>
          <w:noProof/>
        </w:rPr>
        <w:drawing>
          <wp:inline distT="0" distB="0" distL="0" distR="0" wp14:anchorId="548C671A" wp14:editId="295C2365">
            <wp:extent cx="5687695" cy="3712801"/>
            <wp:effectExtent l="0" t="0" r="27305" b="21590"/>
            <wp:docPr id="39" name="Chart 39" title="Figure 6: R/PBS Prescriptions for pertuzumab by disease st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B87CD5">
        <w:rPr>
          <w:rFonts w:ascii="Calibri" w:eastAsia="MS Mincho" w:hAnsi="Calibri" w:cs="Times New Roman"/>
          <w:b/>
        </w:rPr>
        <w:t xml:space="preserve">Figure </w:t>
      </w:r>
      <w:r w:rsidR="00A8281C">
        <w:rPr>
          <w:rFonts w:ascii="Calibri" w:eastAsia="MS Mincho" w:hAnsi="Calibri" w:cs="Times New Roman"/>
          <w:b/>
        </w:rPr>
        <w:t>6</w:t>
      </w:r>
      <w:r w:rsidRPr="00B87CD5">
        <w:rPr>
          <w:rFonts w:ascii="Calibri" w:eastAsia="MS Mincho" w:hAnsi="Calibri" w:cs="Times New Roman"/>
          <w:b/>
        </w:rPr>
        <w:t xml:space="preserve">: </w:t>
      </w:r>
      <w:r w:rsidR="004423E3">
        <w:rPr>
          <w:rFonts w:ascii="Calibri" w:eastAsia="MS Mincho" w:hAnsi="Calibri" w:cs="Times New Roman"/>
          <w:b/>
        </w:rPr>
        <w:t xml:space="preserve">R/PBS </w:t>
      </w:r>
      <w:r>
        <w:rPr>
          <w:rFonts w:ascii="Calibri" w:eastAsia="MS Mincho" w:hAnsi="Calibri" w:cs="Times New Roman"/>
          <w:b/>
        </w:rPr>
        <w:t>Prescriptions for pertuzumab</w:t>
      </w:r>
      <w:r w:rsidR="00BC13B3">
        <w:rPr>
          <w:rFonts w:ascii="Calibri" w:eastAsia="MS Mincho" w:hAnsi="Calibri" w:cs="Times New Roman"/>
          <w:b/>
        </w:rPr>
        <w:t xml:space="preserve"> by disease stage</w:t>
      </w:r>
      <w:r>
        <w:rPr>
          <w:rFonts w:ascii="Calibri" w:eastAsia="MS Mincho" w:hAnsi="Calibri" w:cs="Times New Roman"/>
          <w:b/>
        </w:rPr>
        <w:br/>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13/11/</w:t>
      </w:r>
      <w:r w:rsidR="00904B7E" w:rsidRPr="00B87CD5">
        <w:rPr>
          <w:rFonts w:ascii="Calibri" w:eastAsia="MS Mincho" w:hAnsi="Calibri" w:cs="Times New Roman"/>
          <w:sz w:val="20"/>
        </w:rPr>
        <w:t>201</w:t>
      </w:r>
      <w:r w:rsidR="00904B7E">
        <w:rPr>
          <w:rFonts w:ascii="Calibri" w:eastAsia="MS Mincho" w:hAnsi="Calibri" w:cs="Times New Roman"/>
          <w:sz w:val="20"/>
        </w:rPr>
        <w:t>7)</w:t>
      </w:r>
    </w:p>
    <w:p w:rsidR="00AA530D" w:rsidRDefault="00A8281C" w:rsidP="00466AD2">
      <w:pPr>
        <w:rPr>
          <w:rFonts w:ascii="Calibri" w:eastAsia="MS Mincho" w:hAnsi="Calibri" w:cs="Times New Roman"/>
        </w:rPr>
      </w:pPr>
      <w:r>
        <w:rPr>
          <w:rFonts w:ascii="Calibri" w:eastAsia="MS Mincho" w:hAnsi="Calibri" w:cs="Times New Roman"/>
        </w:rPr>
        <w:t>Pertuzumab is PBS subsidised for metastatic disease (PBS items</w:t>
      </w:r>
      <w:r w:rsidR="00466AD2">
        <w:rPr>
          <w:rFonts w:ascii="Calibri" w:eastAsia="MS Mincho" w:hAnsi="Calibri" w:cs="Times New Roman"/>
        </w:rPr>
        <w:t xml:space="preserve"> - </w:t>
      </w:r>
      <w:r w:rsidR="00466AD2" w:rsidRPr="00466AD2">
        <w:rPr>
          <w:rFonts w:ascii="Calibri" w:eastAsia="MS Mincho" w:hAnsi="Calibri" w:cs="Times New Roman"/>
        </w:rPr>
        <w:t>10267J</w:t>
      </w:r>
      <w:r w:rsidR="00466AD2">
        <w:rPr>
          <w:rFonts w:ascii="Calibri" w:eastAsia="MS Mincho" w:hAnsi="Calibri" w:cs="Times New Roman"/>
        </w:rPr>
        <w:t xml:space="preserve">, </w:t>
      </w:r>
      <w:r w:rsidR="00466AD2" w:rsidRPr="00466AD2">
        <w:rPr>
          <w:rFonts w:ascii="Calibri" w:eastAsia="MS Mincho" w:hAnsi="Calibri" w:cs="Times New Roman"/>
        </w:rPr>
        <w:t>10268K</w:t>
      </w:r>
      <w:r w:rsidR="00466AD2">
        <w:rPr>
          <w:rFonts w:ascii="Calibri" w:eastAsia="MS Mincho" w:hAnsi="Calibri" w:cs="Times New Roman"/>
        </w:rPr>
        <w:t xml:space="preserve">, </w:t>
      </w:r>
      <w:r w:rsidR="00466AD2" w:rsidRPr="00466AD2">
        <w:rPr>
          <w:rFonts w:ascii="Calibri" w:eastAsia="MS Mincho" w:hAnsi="Calibri" w:cs="Times New Roman"/>
        </w:rPr>
        <w:t>10308M</w:t>
      </w:r>
      <w:r w:rsidR="00466AD2">
        <w:rPr>
          <w:rFonts w:ascii="Calibri" w:eastAsia="MS Mincho" w:hAnsi="Calibri" w:cs="Times New Roman"/>
        </w:rPr>
        <w:t xml:space="preserve">, </w:t>
      </w:r>
      <w:r w:rsidR="00466AD2" w:rsidRPr="00466AD2">
        <w:rPr>
          <w:rFonts w:ascii="Calibri" w:eastAsia="MS Mincho" w:hAnsi="Calibri" w:cs="Times New Roman"/>
        </w:rPr>
        <w:t>10309N</w:t>
      </w:r>
      <w:r w:rsidR="00466AD2">
        <w:rPr>
          <w:rFonts w:ascii="Calibri" w:eastAsia="MS Mincho" w:hAnsi="Calibri" w:cs="Times New Roman"/>
        </w:rPr>
        <w:t xml:space="preserve">, </w:t>
      </w:r>
      <w:r w:rsidR="00466AD2" w:rsidRPr="00466AD2">
        <w:rPr>
          <w:rFonts w:ascii="Calibri" w:eastAsia="MS Mincho" w:hAnsi="Calibri" w:cs="Times New Roman"/>
        </w:rPr>
        <w:t>10333W</w:t>
      </w:r>
      <w:r w:rsidR="00466AD2">
        <w:rPr>
          <w:rFonts w:ascii="Calibri" w:eastAsia="MS Mincho" w:hAnsi="Calibri" w:cs="Times New Roman"/>
        </w:rPr>
        <w:t xml:space="preserve">, </w:t>
      </w:r>
      <w:r w:rsidR="00466AD2" w:rsidRPr="00466AD2">
        <w:rPr>
          <w:rFonts w:ascii="Calibri" w:eastAsia="MS Mincho" w:hAnsi="Calibri" w:cs="Times New Roman"/>
        </w:rPr>
        <w:t>10334X</w:t>
      </w:r>
      <w:r>
        <w:rPr>
          <w:rFonts w:ascii="Calibri" w:eastAsia="MS Mincho" w:hAnsi="Calibri" w:cs="Times New Roman"/>
        </w:rPr>
        <w:t xml:space="preserve">). </w:t>
      </w:r>
      <w:r w:rsidR="00BC13B3">
        <w:rPr>
          <w:rFonts w:ascii="Calibri" w:eastAsia="MS Mincho" w:hAnsi="Calibri" w:cs="Times New Roman"/>
        </w:rPr>
        <w:t>These item codes are indication specific to “Metastatic” or “Metastatic grandfathering”, so there was no need to rely on the authority approval restriction code to allocate indication to prescriptions. Thus there is no “Unknown” disease stage in Figure 6</w:t>
      </w:r>
      <w:r w:rsidR="00AC3702">
        <w:rPr>
          <w:rFonts w:ascii="Calibri" w:eastAsia="MS Mincho" w:hAnsi="Calibri" w:cs="Times New Roman"/>
        </w:rPr>
        <w:t>.</w:t>
      </w:r>
      <w:r w:rsidR="00BC13B3">
        <w:rPr>
          <w:rFonts w:ascii="Calibri" w:eastAsia="MS Mincho" w:hAnsi="Calibri" w:cs="Times New Roman"/>
        </w:rPr>
        <w:t xml:space="preserve"> </w:t>
      </w:r>
    </w:p>
    <w:p w:rsidR="00E54407" w:rsidRDefault="00E54407" w:rsidP="005C3590">
      <w:pPr>
        <w:rPr>
          <w:rFonts w:ascii="Calibri" w:eastAsia="MS Mincho" w:hAnsi="Calibri" w:cs="Times New Roman"/>
        </w:rPr>
      </w:pPr>
    </w:p>
    <w:p w:rsidR="00624200" w:rsidRDefault="00624200" w:rsidP="005C3590">
      <w:pPr>
        <w:rPr>
          <w:rFonts w:ascii="Calibri" w:eastAsia="MS Mincho" w:hAnsi="Calibri" w:cs="Times New Roman"/>
        </w:rPr>
      </w:pPr>
    </w:p>
    <w:p w:rsidR="00C967D9" w:rsidRPr="00844416" w:rsidRDefault="00624200" w:rsidP="000C3E08">
      <w:pPr>
        <w:keepNext/>
        <w:rPr>
          <w:rFonts w:ascii="Calibri" w:eastAsia="MS Mincho" w:hAnsi="Calibri" w:cs="Times New Roman"/>
          <w:b/>
        </w:rPr>
      </w:pPr>
      <w:r w:rsidRPr="00844416">
        <w:rPr>
          <w:rFonts w:ascii="Calibri" w:eastAsia="MS Mincho" w:hAnsi="Calibri" w:cs="Times New Roman"/>
          <w:b/>
        </w:rPr>
        <w:t>Utilisation of all PBS and RPBS subsidised medicines for HER2 positive breast cancer.</w:t>
      </w:r>
    </w:p>
    <w:p w:rsidR="0053375B" w:rsidRPr="00751467" w:rsidRDefault="00C945C3" w:rsidP="005C3590">
      <w:pPr>
        <w:rPr>
          <w:rFonts w:ascii="Calibri" w:eastAsia="MS Mincho" w:hAnsi="Calibri" w:cs="Times New Roman"/>
          <w:b/>
        </w:rPr>
      </w:pPr>
      <w:r>
        <w:rPr>
          <w:noProof/>
        </w:rPr>
        <w:drawing>
          <wp:inline distT="0" distB="0" distL="0" distR="0" wp14:anchorId="4EC69017" wp14:editId="32929740">
            <wp:extent cx="5687695" cy="3715232"/>
            <wp:effectExtent l="0" t="0" r="27305" b="19050"/>
            <wp:docPr id="11" name="Chart 11" title="Figure 7: R/PBS Prescriptions for PBS subsidised HER2 inhibitors for early, locally advanced and metastatic HER2 positive breast canc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4B7231" w:rsidRPr="00B87CD5">
        <w:rPr>
          <w:rFonts w:ascii="Calibri" w:eastAsia="MS Mincho" w:hAnsi="Calibri" w:cs="Times New Roman"/>
          <w:b/>
        </w:rPr>
        <w:t xml:space="preserve">Figure </w:t>
      </w:r>
      <w:r w:rsidR="00363927">
        <w:rPr>
          <w:rFonts w:ascii="Calibri" w:eastAsia="MS Mincho" w:hAnsi="Calibri" w:cs="Times New Roman"/>
          <w:b/>
        </w:rPr>
        <w:t>7</w:t>
      </w:r>
      <w:r w:rsidR="004B7231" w:rsidRPr="00B87CD5">
        <w:rPr>
          <w:rFonts w:ascii="Calibri" w:eastAsia="MS Mincho" w:hAnsi="Calibri" w:cs="Times New Roman"/>
          <w:b/>
        </w:rPr>
        <w:t xml:space="preserve">: </w:t>
      </w:r>
      <w:r w:rsidR="004423E3">
        <w:rPr>
          <w:rFonts w:ascii="Calibri" w:eastAsia="MS Mincho" w:hAnsi="Calibri" w:cs="Times New Roman"/>
          <w:b/>
        </w:rPr>
        <w:t xml:space="preserve">R/PBS </w:t>
      </w:r>
      <w:r w:rsidR="004B7231">
        <w:rPr>
          <w:rFonts w:ascii="Calibri" w:eastAsia="MS Mincho" w:hAnsi="Calibri" w:cs="Times New Roman"/>
          <w:b/>
        </w:rPr>
        <w:t xml:space="preserve">Prescriptions for </w:t>
      </w:r>
      <w:r w:rsidR="004B7231" w:rsidRPr="00363927">
        <w:rPr>
          <w:rFonts w:ascii="Calibri" w:eastAsia="MS Mincho" w:hAnsi="Calibri" w:cs="Times New Roman"/>
          <w:b/>
          <w:shd w:val="clear" w:color="auto" w:fill="FFFFFF" w:themeFill="background1"/>
        </w:rPr>
        <w:t xml:space="preserve">PBS </w:t>
      </w:r>
      <w:r w:rsidR="00363927" w:rsidRPr="00363927">
        <w:rPr>
          <w:rFonts w:ascii="Calibri" w:eastAsia="MS Mincho" w:hAnsi="Calibri" w:cs="Times New Roman"/>
          <w:b/>
          <w:shd w:val="clear" w:color="auto" w:fill="FFFFFF" w:themeFill="background1"/>
        </w:rPr>
        <w:t xml:space="preserve">subsidised </w:t>
      </w:r>
      <w:r w:rsidR="00363927">
        <w:rPr>
          <w:rFonts w:ascii="Calibri" w:eastAsia="MS Mincho" w:hAnsi="Calibri" w:cs="Times New Roman"/>
          <w:b/>
          <w:shd w:val="clear" w:color="auto" w:fill="FFFFFF" w:themeFill="background1"/>
        </w:rPr>
        <w:t>HER2 inhibitors</w:t>
      </w:r>
      <w:r w:rsidR="00624200">
        <w:rPr>
          <w:rFonts w:ascii="Calibri" w:eastAsia="MS Mincho" w:hAnsi="Calibri" w:cs="Times New Roman"/>
          <w:b/>
          <w:shd w:val="clear" w:color="auto" w:fill="FFFFFF" w:themeFill="background1"/>
        </w:rPr>
        <w:t xml:space="preserve"> for early, locally advanced and metastatic HER2 positive breast cancer.</w:t>
      </w:r>
      <w:r w:rsidR="00D070B1">
        <w:rPr>
          <w:rFonts w:ascii="Calibri" w:eastAsia="MS Mincho" w:hAnsi="Calibri" w:cs="Times New Roman"/>
          <w:b/>
          <w:shd w:val="clear" w:color="auto" w:fill="FFFFFF" w:themeFill="background1"/>
        </w:rPr>
        <w:t xml:space="preserve"> </w:t>
      </w:r>
      <w:r w:rsidR="00D070B1" w:rsidRPr="00D070B1">
        <w:rPr>
          <w:rFonts w:ascii="Calibri" w:eastAsia="MS Mincho" w:hAnsi="Calibri" w:cs="Times New Roman"/>
          <w:sz w:val="20"/>
        </w:rPr>
        <w:t>Trastuzumab p</w:t>
      </w:r>
      <w:r w:rsidR="00D070B1" w:rsidRPr="002C0601">
        <w:rPr>
          <w:rFonts w:ascii="Calibri" w:eastAsia="MS Mincho" w:hAnsi="Calibri" w:cs="Times New Roman"/>
          <w:sz w:val="20"/>
        </w:rPr>
        <w:t>rescriptions for MBC prior to 1 July 2015 (ie. Herceptin Program data) are not included in this figure</w:t>
      </w:r>
      <w:r w:rsidR="00D070B1" w:rsidRPr="002C0601">
        <w:rPr>
          <w:rFonts w:ascii="Calibri" w:eastAsia="MS Mincho" w:hAnsi="Calibri" w:cs="Times New Roman"/>
          <w:b/>
          <w:sz w:val="20"/>
        </w:rPr>
        <w:t>.</w:t>
      </w:r>
      <w:r w:rsidR="00D070B1">
        <w:rPr>
          <w:rFonts w:ascii="Calibri" w:eastAsia="MS Mincho" w:hAnsi="Calibri" w:cs="Times New Roman"/>
          <w:b/>
          <w:sz w:val="20"/>
        </w:rPr>
        <w:t xml:space="preserve"> </w:t>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13/11/</w:t>
      </w:r>
      <w:r w:rsidR="00904B7E" w:rsidRPr="00B87CD5">
        <w:rPr>
          <w:rFonts w:ascii="Calibri" w:eastAsia="MS Mincho" w:hAnsi="Calibri" w:cs="Times New Roman"/>
          <w:sz w:val="20"/>
        </w:rPr>
        <w:t>201</w:t>
      </w:r>
      <w:r w:rsidR="00904B7E">
        <w:rPr>
          <w:rFonts w:ascii="Calibri" w:eastAsia="MS Mincho" w:hAnsi="Calibri" w:cs="Times New Roman"/>
          <w:sz w:val="20"/>
        </w:rPr>
        <w:t>7)</w:t>
      </w:r>
    </w:p>
    <w:p w:rsidR="00624200" w:rsidRDefault="00E448D9" w:rsidP="005C3590">
      <w:pPr>
        <w:rPr>
          <w:rFonts w:ascii="Calibri" w:eastAsia="MS Mincho" w:hAnsi="Calibri" w:cs="Times New Roman"/>
        </w:rPr>
      </w:pPr>
      <w:r>
        <w:rPr>
          <w:rFonts w:ascii="Calibri" w:eastAsia="MS Mincho" w:hAnsi="Calibri" w:cs="Times New Roman"/>
        </w:rPr>
        <w:t>Lapatinib</w:t>
      </w:r>
      <w:r w:rsidR="001635B4">
        <w:rPr>
          <w:rFonts w:ascii="Calibri" w:eastAsia="MS Mincho" w:hAnsi="Calibri" w:cs="Times New Roman"/>
        </w:rPr>
        <w:t xml:space="preserve"> has been listed for metastatic breast cancer since 1 May 2008. </w:t>
      </w:r>
      <w:r w:rsidR="00363927">
        <w:rPr>
          <w:rFonts w:ascii="Calibri" w:eastAsia="MS Mincho" w:hAnsi="Calibri" w:cs="Times New Roman"/>
        </w:rPr>
        <w:t>Use of lapatinib has been quite low</w:t>
      </w:r>
      <w:r w:rsidR="00624200">
        <w:rPr>
          <w:rFonts w:ascii="Calibri" w:eastAsia="MS Mincho" w:hAnsi="Calibri" w:cs="Times New Roman"/>
        </w:rPr>
        <w:t>.</w:t>
      </w:r>
    </w:p>
    <w:p w:rsidR="008F3257" w:rsidRPr="004466FB" w:rsidRDefault="008F3257" w:rsidP="004466FB">
      <w:pPr>
        <w:rPr>
          <w:rFonts w:ascii="Calibri" w:eastAsia="MS Mincho" w:hAnsi="Calibri" w:cs="Times New Roman"/>
        </w:rPr>
      </w:pPr>
      <w:r>
        <w:rPr>
          <w:rFonts w:ascii="Calibri" w:eastAsia="MS Mincho" w:hAnsi="Calibri" w:cs="Times New Roman"/>
          <w:b/>
          <w:i/>
        </w:rPr>
        <w:br w:type="page"/>
      </w:r>
    </w:p>
    <w:p w:rsidR="004B7231" w:rsidRPr="00190784" w:rsidRDefault="004B7231" w:rsidP="004B7231">
      <w:pPr>
        <w:rPr>
          <w:rFonts w:ascii="Calibri" w:eastAsia="MS Mincho" w:hAnsi="Calibri" w:cs="Times New Roman"/>
          <w:b/>
          <w:i/>
        </w:rPr>
      </w:pPr>
      <w:r>
        <w:rPr>
          <w:rFonts w:ascii="Calibri" w:eastAsia="MS Mincho" w:hAnsi="Calibri" w:cs="Times New Roman"/>
          <w:b/>
          <w:i/>
        </w:rPr>
        <w:t>I</w:t>
      </w:r>
      <w:r w:rsidRPr="00190784">
        <w:rPr>
          <w:rFonts w:ascii="Calibri" w:eastAsia="MS Mincho" w:hAnsi="Calibri" w:cs="Times New Roman"/>
          <w:b/>
          <w:i/>
        </w:rPr>
        <w:t>nitiating and prevalent patient</w:t>
      </w:r>
      <w:r>
        <w:rPr>
          <w:rFonts w:ascii="Calibri" w:eastAsia="MS Mincho" w:hAnsi="Calibri" w:cs="Times New Roman"/>
          <w:b/>
          <w:i/>
        </w:rPr>
        <w:t xml:space="preserve"> counts</w:t>
      </w:r>
    </w:p>
    <w:p w:rsidR="00C945C3" w:rsidRPr="00680089" w:rsidRDefault="00680089" w:rsidP="008F3257">
      <w:pPr>
        <w:rPr>
          <w:rFonts w:ascii="Calibri" w:eastAsia="MS Mincho" w:hAnsi="Calibri" w:cs="Times New Roman"/>
        </w:rPr>
      </w:pPr>
      <w:r w:rsidRPr="00680089">
        <w:rPr>
          <w:rFonts w:ascii="Calibri" w:eastAsia="MS Mincho" w:hAnsi="Calibri" w:cs="Times New Roman"/>
        </w:rPr>
        <w:t xml:space="preserve">This section reports the numbers of patients who commence treatment (initiating) and who are on treatment (prevalent) in each quarter. As patients may continue from one quarter to </w:t>
      </w:r>
      <w:r w:rsidR="00AC3702">
        <w:rPr>
          <w:rFonts w:ascii="Calibri" w:eastAsia="MS Mincho" w:hAnsi="Calibri" w:cs="Times New Roman"/>
        </w:rPr>
        <w:t xml:space="preserve">the next </w:t>
      </w:r>
      <w:r w:rsidRPr="00680089">
        <w:rPr>
          <w:rFonts w:ascii="Calibri" w:eastAsia="MS Mincho" w:hAnsi="Calibri" w:cs="Times New Roman"/>
        </w:rPr>
        <w:t>the prevalent counts per quarter cannot be added together to report the yearly prevalence.</w:t>
      </w:r>
    </w:p>
    <w:p w:rsidR="0053375B" w:rsidRPr="00751467" w:rsidRDefault="00680089" w:rsidP="00904B7E">
      <w:pPr>
        <w:rPr>
          <w:rFonts w:ascii="Calibri" w:eastAsia="MS Mincho" w:hAnsi="Calibri" w:cs="Times New Roman"/>
          <w:b/>
        </w:rPr>
      </w:pPr>
      <w:r w:rsidRPr="00680089">
        <w:rPr>
          <w:rFonts w:ascii="Calibri" w:eastAsia="MS Mincho" w:hAnsi="Calibri" w:cs="Times New Roman"/>
          <w:b/>
          <w:noProof/>
        </w:rPr>
        <mc:AlternateContent>
          <mc:Choice Requires="wps">
            <w:drawing>
              <wp:anchor distT="0" distB="0" distL="114300" distR="114300" simplePos="0" relativeHeight="251664384" behindDoc="0" locked="0" layoutInCell="1" allowOverlap="1" wp14:anchorId="3CC1445F" wp14:editId="5D68CD59">
                <wp:simplePos x="0" y="0"/>
                <wp:positionH relativeFrom="column">
                  <wp:posOffset>3491576</wp:posOffset>
                </wp:positionH>
                <wp:positionV relativeFrom="paragraph">
                  <wp:posOffset>474517</wp:posOffset>
                </wp:positionV>
                <wp:extent cx="891944" cy="775855"/>
                <wp:effectExtent l="0" t="0" r="2286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944" cy="775855"/>
                        </a:xfrm>
                        <a:prstGeom prst="rect">
                          <a:avLst/>
                        </a:prstGeom>
                        <a:solidFill>
                          <a:srgbClr val="FFFFFF"/>
                        </a:solidFill>
                        <a:ln w="9525">
                          <a:solidFill>
                            <a:srgbClr val="000000"/>
                          </a:solidFill>
                          <a:miter lim="800000"/>
                          <a:headEnd/>
                          <a:tailEnd/>
                        </a:ln>
                      </wps:spPr>
                      <wps:txbx>
                        <w:txbxContent>
                          <w:p w:rsidR="00B073A1" w:rsidRPr="00680089" w:rsidRDefault="00B073A1">
                            <w:pPr>
                              <w:rPr>
                                <w:sz w:val="20"/>
                                <w:szCs w:val="20"/>
                              </w:rPr>
                            </w:pPr>
                            <w:r>
                              <w:rPr>
                                <w:sz w:val="20"/>
                                <w:szCs w:val="20"/>
                              </w:rPr>
                              <w:t>Patients transfer from Herceptin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4.95pt;margin-top:37.35pt;width:70.25pt;height:6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">
                <v:textbox>
                  <w:txbxContent>
                    <w:p w:rsidR="00B073A1" w:rsidRPr="00680089" w:rsidRDefault="00B073A1">
                      <w:pPr>
                        <w:rPr>
                          <w:sz w:val="20"/>
                          <w:szCs w:val="20"/>
                        </w:rPr>
                      </w:pPr>
                      <w:r>
                        <w:rPr>
                          <w:sz w:val="20"/>
                          <w:szCs w:val="20"/>
                        </w:rPr>
                        <w:t>Patients transfer from Herceptin Program</w:t>
                      </w:r>
                    </w:p>
                  </w:txbxContent>
                </v:textbox>
              </v:shape>
            </w:pict>
          </mc:Fallback>
        </mc:AlternateContent>
      </w:r>
      <w:r w:rsidR="00B7592F">
        <w:rPr>
          <w:noProof/>
        </w:rPr>
        <w:drawing>
          <wp:inline distT="0" distB="0" distL="0" distR="0" wp14:anchorId="189AAB32" wp14:editId="00A66B2B">
            <wp:extent cx="5687695" cy="3715232"/>
            <wp:effectExtent l="0" t="0" r="27305" b="19050"/>
            <wp:docPr id="12" name="Chart 12" title="Figure 8:  Prevalent patients per quarter by PBS listed medic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8F3257" w:rsidRPr="00B87CD5">
        <w:rPr>
          <w:rFonts w:ascii="Calibri" w:eastAsia="MS Mincho" w:hAnsi="Calibri" w:cs="Times New Roman"/>
          <w:b/>
        </w:rPr>
        <w:t xml:space="preserve">Figure </w:t>
      </w:r>
      <w:r w:rsidR="004466FB">
        <w:rPr>
          <w:rFonts w:ascii="Calibri" w:eastAsia="MS Mincho" w:hAnsi="Calibri" w:cs="Times New Roman"/>
          <w:b/>
        </w:rPr>
        <w:t>8</w:t>
      </w:r>
      <w:r w:rsidR="008F3257" w:rsidRPr="00B87CD5">
        <w:rPr>
          <w:rFonts w:ascii="Calibri" w:eastAsia="MS Mincho" w:hAnsi="Calibri" w:cs="Times New Roman"/>
          <w:b/>
        </w:rPr>
        <w:t xml:space="preserve">: </w:t>
      </w:r>
      <w:r w:rsidR="00385FAC">
        <w:rPr>
          <w:rFonts w:ascii="Calibri" w:eastAsia="MS Mincho" w:hAnsi="Calibri" w:cs="Times New Roman"/>
          <w:b/>
        </w:rPr>
        <w:t xml:space="preserve"> </w:t>
      </w:r>
      <w:r w:rsidR="00936E02">
        <w:rPr>
          <w:rFonts w:ascii="Calibri" w:eastAsia="MS Mincho" w:hAnsi="Calibri" w:cs="Times New Roman"/>
          <w:b/>
        </w:rPr>
        <w:t>Prevalent patients per quarter by PBS listed medicine</w:t>
      </w:r>
      <w:r>
        <w:rPr>
          <w:rFonts w:ascii="Calibri" w:eastAsia="MS Mincho" w:hAnsi="Calibri" w:cs="Times New Roman"/>
          <w:b/>
        </w:rPr>
        <w:t>.</w:t>
      </w:r>
      <w:r w:rsidR="008F3257">
        <w:rPr>
          <w:rFonts w:ascii="Calibri" w:eastAsia="MS Mincho" w:hAnsi="Calibri" w:cs="Times New Roman"/>
          <w:b/>
        </w:rPr>
        <w:br/>
      </w:r>
      <w:r w:rsidR="00D070B1" w:rsidRPr="00D070B1">
        <w:rPr>
          <w:rFonts w:ascii="Calibri" w:eastAsia="MS Mincho" w:hAnsi="Calibri" w:cs="Times New Roman"/>
          <w:sz w:val="20"/>
        </w:rPr>
        <w:t>Trastuzumab p</w:t>
      </w:r>
      <w:r w:rsidR="00D070B1" w:rsidRPr="002C0601">
        <w:rPr>
          <w:rFonts w:ascii="Calibri" w:eastAsia="MS Mincho" w:hAnsi="Calibri" w:cs="Times New Roman"/>
          <w:sz w:val="20"/>
        </w:rPr>
        <w:t xml:space="preserve">rescriptions for MBC prior to 1 July 2015 (ie. Herceptin Program data) </w:t>
      </w:r>
      <w:r w:rsidR="00D070B1">
        <w:rPr>
          <w:rFonts w:ascii="Calibri" w:eastAsia="MS Mincho" w:hAnsi="Calibri" w:cs="Times New Roman"/>
          <w:sz w:val="20"/>
        </w:rPr>
        <w:t>were</w:t>
      </w:r>
      <w:r w:rsidR="00D070B1" w:rsidRPr="002C0601">
        <w:rPr>
          <w:rFonts w:ascii="Calibri" w:eastAsia="MS Mincho" w:hAnsi="Calibri" w:cs="Times New Roman"/>
          <w:sz w:val="20"/>
        </w:rPr>
        <w:t xml:space="preserve"> not </w:t>
      </w:r>
      <w:r w:rsidR="00D070B1">
        <w:rPr>
          <w:rFonts w:ascii="Calibri" w:eastAsia="MS Mincho" w:hAnsi="Calibri" w:cs="Times New Roman"/>
          <w:sz w:val="20"/>
        </w:rPr>
        <w:t xml:space="preserve">used </w:t>
      </w:r>
      <w:r w:rsidR="00D070B1" w:rsidRPr="002C0601">
        <w:rPr>
          <w:rFonts w:ascii="Calibri" w:eastAsia="MS Mincho" w:hAnsi="Calibri" w:cs="Times New Roman"/>
          <w:sz w:val="20"/>
        </w:rPr>
        <w:t>in this figure</w:t>
      </w:r>
      <w:r w:rsidR="00D070B1" w:rsidRPr="002C0601">
        <w:rPr>
          <w:rFonts w:ascii="Calibri" w:eastAsia="MS Mincho" w:hAnsi="Calibri" w:cs="Times New Roman"/>
          <w:b/>
          <w:sz w:val="20"/>
        </w:rPr>
        <w:t>.</w:t>
      </w:r>
      <w:r w:rsidR="00D070B1">
        <w:rPr>
          <w:rFonts w:ascii="Calibri" w:eastAsia="MS Mincho" w:hAnsi="Calibri" w:cs="Times New Roman"/>
          <w:b/>
          <w:sz w:val="20"/>
        </w:rPr>
        <w:t xml:space="preserve"> </w:t>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13/11/</w:t>
      </w:r>
      <w:r w:rsidR="00904B7E" w:rsidRPr="00B87CD5">
        <w:rPr>
          <w:rFonts w:ascii="Calibri" w:eastAsia="MS Mincho" w:hAnsi="Calibri" w:cs="Times New Roman"/>
          <w:sz w:val="20"/>
        </w:rPr>
        <w:t>201</w:t>
      </w:r>
      <w:r w:rsidR="00904B7E">
        <w:rPr>
          <w:rFonts w:ascii="Calibri" w:eastAsia="MS Mincho" w:hAnsi="Calibri" w:cs="Times New Roman"/>
          <w:sz w:val="20"/>
        </w:rPr>
        <w:t>7)</w:t>
      </w:r>
      <w:r w:rsidR="00D070B1">
        <w:rPr>
          <w:rFonts w:ascii="Calibri" w:eastAsia="MS Mincho" w:hAnsi="Calibri" w:cs="Times New Roman"/>
          <w:sz w:val="20"/>
        </w:rPr>
        <w:t xml:space="preserve">. </w:t>
      </w:r>
    </w:p>
    <w:p w:rsidR="008F3257" w:rsidRPr="00CF4FF7" w:rsidRDefault="00CF4FF7" w:rsidP="00904B7E">
      <w:pPr>
        <w:rPr>
          <w:rFonts w:ascii="Calibri" w:eastAsia="MS Mincho" w:hAnsi="Calibri" w:cs="Times New Roman"/>
        </w:rPr>
      </w:pPr>
      <w:r>
        <w:rPr>
          <w:rFonts w:ascii="Calibri" w:eastAsia="MS Mincho" w:hAnsi="Calibri" w:cs="Times New Roman"/>
        </w:rPr>
        <w:t>Figure</w:t>
      </w:r>
      <w:r w:rsidR="00680089">
        <w:rPr>
          <w:rFonts w:ascii="Calibri" w:eastAsia="MS Mincho" w:hAnsi="Calibri" w:cs="Times New Roman"/>
        </w:rPr>
        <w:t xml:space="preserve"> </w:t>
      </w:r>
      <w:r>
        <w:rPr>
          <w:rFonts w:ascii="Calibri" w:eastAsia="MS Mincho" w:hAnsi="Calibri" w:cs="Times New Roman"/>
        </w:rPr>
        <w:t>9 shows the medicines in Figure 8 broken down by stage of disease.</w:t>
      </w:r>
    </w:p>
    <w:p w:rsidR="00B7592F" w:rsidRDefault="00B7592F" w:rsidP="0077600A">
      <w:pPr>
        <w:rPr>
          <w:rFonts w:ascii="Calibri" w:eastAsia="MS Mincho" w:hAnsi="Calibri" w:cs="Times New Roman"/>
          <w:b/>
        </w:rPr>
      </w:pPr>
    </w:p>
    <w:p w:rsidR="0053375B" w:rsidRDefault="00B7592F" w:rsidP="00904B7E">
      <w:pPr>
        <w:rPr>
          <w:rFonts w:ascii="Calibri" w:eastAsia="MS Mincho" w:hAnsi="Calibri" w:cs="Times New Roman"/>
          <w:sz w:val="20"/>
        </w:rPr>
      </w:pPr>
      <w:r>
        <w:rPr>
          <w:noProof/>
        </w:rPr>
        <w:drawing>
          <wp:inline distT="0" distB="0" distL="0" distR="0" wp14:anchorId="0B6A0779" wp14:editId="7DAD5EEF">
            <wp:extent cx="5687695" cy="3715232"/>
            <wp:effectExtent l="0" t="0" r="27305" b="19050"/>
            <wp:docPr id="13" name="Chart 13" title="Figure 9: Prevalent patients per quarter by PBS listed medicine and stage of disea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F64C53" w:rsidRPr="00B87CD5">
        <w:rPr>
          <w:rFonts w:ascii="Calibri" w:eastAsia="MS Mincho" w:hAnsi="Calibri" w:cs="Times New Roman"/>
          <w:b/>
        </w:rPr>
        <w:t xml:space="preserve">Figure </w:t>
      </w:r>
      <w:r w:rsidR="00F64C53">
        <w:rPr>
          <w:rFonts w:ascii="Calibri" w:eastAsia="MS Mincho" w:hAnsi="Calibri" w:cs="Times New Roman"/>
          <w:b/>
        </w:rPr>
        <w:t>9</w:t>
      </w:r>
      <w:r w:rsidR="00F64C53" w:rsidRPr="00B87CD5">
        <w:rPr>
          <w:rFonts w:ascii="Calibri" w:eastAsia="MS Mincho" w:hAnsi="Calibri" w:cs="Times New Roman"/>
          <w:b/>
        </w:rPr>
        <w:t>:</w:t>
      </w:r>
      <w:r w:rsidR="00936E02">
        <w:rPr>
          <w:rFonts w:ascii="Calibri" w:eastAsia="MS Mincho" w:hAnsi="Calibri" w:cs="Times New Roman"/>
          <w:b/>
        </w:rPr>
        <w:t xml:space="preserve"> Prevalent patients per quarter by PBS listed </w:t>
      </w:r>
      <w:r w:rsidR="00966D7C">
        <w:rPr>
          <w:rFonts w:ascii="Calibri" w:eastAsia="MS Mincho" w:hAnsi="Calibri" w:cs="Times New Roman"/>
          <w:b/>
        </w:rPr>
        <w:t>medicine and</w:t>
      </w:r>
      <w:r w:rsidR="00936E02">
        <w:rPr>
          <w:rFonts w:ascii="Calibri" w:eastAsia="MS Mincho" w:hAnsi="Calibri" w:cs="Times New Roman"/>
          <w:b/>
        </w:rPr>
        <w:t xml:space="preserve"> stage of disease</w:t>
      </w:r>
      <w:r w:rsidR="00F64C53">
        <w:rPr>
          <w:rFonts w:ascii="Calibri" w:eastAsia="MS Mincho" w:hAnsi="Calibri" w:cs="Times New Roman"/>
          <w:b/>
        </w:rPr>
        <w:br/>
      </w:r>
      <w:r w:rsidR="00D070B1" w:rsidRPr="00D070B1">
        <w:rPr>
          <w:rFonts w:ascii="Calibri" w:eastAsia="MS Mincho" w:hAnsi="Calibri" w:cs="Times New Roman"/>
          <w:sz w:val="20"/>
        </w:rPr>
        <w:t>Trastuzumab p</w:t>
      </w:r>
      <w:r w:rsidR="00D070B1" w:rsidRPr="002C0601">
        <w:rPr>
          <w:rFonts w:ascii="Calibri" w:eastAsia="MS Mincho" w:hAnsi="Calibri" w:cs="Times New Roman"/>
          <w:sz w:val="20"/>
        </w:rPr>
        <w:t xml:space="preserve">rescriptions for MBC prior to 1 July 2015 (ie. Herceptin Program data) </w:t>
      </w:r>
      <w:r w:rsidR="00D070B1">
        <w:rPr>
          <w:rFonts w:ascii="Calibri" w:eastAsia="MS Mincho" w:hAnsi="Calibri" w:cs="Times New Roman"/>
          <w:sz w:val="20"/>
        </w:rPr>
        <w:t>were</w:t>
      </w:r>
      <w:r w:rsidR="00D070B1" w:rsidRPr="002C0601">
        <w:rPr>
          <w:rFonts w:ascii="Calibri" w:eastAsia="MS Mincho" w:hAnsi="Calibri" w:cs="Times New Roman"/>
          <w:sz w:val="20"/>
        </w:rPr>
        <w:t xml:space="preserve"> not </w:t>
      </w:r>
      <w:r w:rsidR="00D070B1">
        <w:rPr>
          <w:rFonts w:ascii="Calibri" w:eastAsia="MS Mincho" w:hAnsi="Calibri" w:cs="Times New Roman"/>
          <w:sz w:val="20"/>
        </w:rPr>
        <w:t xml:space="preserve">used </w:t>
      </w:r>
      <w:r w:rsidR="00D070B1" w:rsidRPr="002C0601">
        <w:rPr>
          <w:rFonts w:ascii="Calibri" w:eastAsia="MS Mincho" w:hAnsi="Calibri" w:cs="Times New Roman"/>
          <w:sz w:val="20"/>
        </w:rPr>
        <w:t>in this figure</w:t>
      </w:r>
      <w:r w:rsidR="00D070B1" w:rsidRPr="002C0601">
        <w:rPr>
          <w:rFonts w:ascii="Calibri" w:eastAsia="MS Mincho" w:hAnsi="Calibri" w:cs="Times New Roman"/>
          <w:b/>
          <w:sz w:val="20"/>
        </w:rPr>
        <w:t>.</w:t>
      </w:r>
      <w:r w:rsidR="00D070B1">
        <w:rPr>
          <w:rFonts w:ascii="Calibri" w:eastAsia="MS Mincho" w:hAnsi="Calibri" w:cs="Times New Roman"/>
          <w:b/>
          <w:sz w:val="20"/>
        </w:rPr>
        <w:t xml:space="preserve"> </w:t>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13/11/</w:t>
      </w:r>
      <w:r w:rsidR="00904B7E" w:rsidRPr="00B87CD5">
        <w:rPr>
          <w:rFonts w:ascii="Calibri" w:eastAsia="MS Mincho" w:hAnsi="Calibri" w:cs="Times New Roman"/>
          <w:sz w:val="20"/>
        </w:rPr>
        <w:t>201</w:t>
      </w:r>
      <w:r w:rsidR="00904B7E">
        <w:rPr>
          <w:rFonts w:ascii="Calibri" w:eastAsia="MS Mincho" w:hAnsi="Calibri" w:cs="Times New Roman"/>
          <w:sz w:val="20"/>
        </w:rPr>
        <w:t>7)</w:t>
      </w:r>
    </w:p>
    <w:p w:rsidR="004F1E12" w:rsidRDefault="004F1E12" w:rsidP="00904B7E">
      <w:pPr>
        <w:rPr>
          <w:rFonts w:ascii="Calibri" w:eastAsia="MS Mincho" w:hAnsi="Calibri" w:cs="Times New Roman"/>
        </w:rPr>
      </w:pPr>
      <w:r>
        <w:rPr>
          <w:rFonts w:ascii="Calibri" w:eastAsia="MS Mincho" w:hAnsi="Calibri" w:cs="Times New Roman"/>
        </w:rPr>
        <w:t>The reduction in number of prescription</w:t>
      </w:r>
      <w:r w:rsidR="00385FAC">
        <w:rPr>
          <w:rFonts w:ascii="Calibri" w:eastAsia="MS Mincho" w:hAnsi="Calibri" w:cs="Times New Roman"/>
        </w:rPr>
        <w:t>s</w:t>
      </w:r>
      <w:r>
        <w:rPr>
          <w:rFonts w:ascii="Calibri" w:eastAsia="MS Mincho" w:hAnsi="Calibri" w:cs="Times New Roman"/>
        </w:rPr>
        <w:t xml:space="preserve"> dispensed for trastuzumab following PBS listing of pertuzumab and T-DM1 was identified in </w:t>
      </w:r>
      <w:r w:rsidR="00BC13B3">
        <w:rPr>
          <w:rFonts w:ascii="Calibri" w:eastAsia="MS Mincho" w:hAnsi="Calibri" w:cs="Times New Roman"/>
        </w:rPr>
        <w:t xml:space="preserve">Figure </w:t>
      </w:r>
      <w:r>
        <w:rPr>
          <w:rFonts w:ascii="Calibri" w:eastAsia="MS Mincho" w:hAnsi="Calibri" w:cs="Times New Roman"/>
        </w:rPr>
        <w:t>3 and is reflected in lower numbers of patients being treated</w:t>
      </w:r>
      <w:r w:rsidR="00385FAC">
        <w:rPr>
          <w:rFonts w:ascii="Calibri" w:eastAsia="MS Mincho" w:hAnsi="Calibri" w:cs="Times New Roman"/>
        </w:rPr>
        <w:t xml:space="preserve"> for early breast cancer by trastuzumab</w:t>
      </w:r>
      <w:r w:rsidR="00C973BC">
        <w:rPr>
          <w:rFonts w:ascii="Calibri" w:eastAsia="MS Mincho" w:hAnsi="Calibri" w:cs="Times New Roman"/>
        </w:rPr>
        <w:t xml:space="preserve"> in Figure 9</w:t>
      </w:r>
      <w:r w:rsidR="00385FAC">
        <w:rPr>
          <w:rFonts w:ascii="Calibri" w:eastAsia="MS Mincho" w:hAnsi="Calibri" w:cs="Times New Roman"/>
        </w:rPr>
        <w:t xml:space="preserve">. This supports the view that some patients </w:t>
      </w:r>
      <w:r w:rsidR="00E448D9">
        <w:rPr>
          <w:rFonts w:ascii="Calibri" w:eastAsia="MS Mincho" w:hAnsi="Calibri" w:cs="Times New Roman"/>
        </w:rPr>
        <w:t>receiving</w:t>
      </w:r>
      <w:r w:rsidR="00385FAC">
        <w:rPr>
          <w:rFonts w:ascii="Calibri" w:eastAsia="MS Mincho" w:hAnsi="Calibri" w:cs="Times New Roman"/>
        </w:rPr>
        <w:t xml:space="preserve"> early breast cancer treatment may have had</w:t>
      </w:r>
      <w:r w:rsidR="00233C73">
        <w:rPr>
          <w:rFonts w:ascii="Calibri" w:eastAsia="MS Mincho" w:hAnsi="Calibri" w:cs="Times New Roman"/>
        </w:rPr>
        <w:t xml:space="preserve"> metastatic</w:t>
      </w:r>
      <w:r w:rsidR="00B4500A">
        <w:rPr>
          <w:rFonts w:ascii="Calibri" w:eastAsia="MS Mincho" w:hAnsi="Calibri" w:cs="Times New Roman"/>
        </w:rPr>
        <w:t xml:space="preserve"> disease</w:t>
      </w:r>
      <w:r w:rsidR="00233C73">
        <w:rPr>
          <w:rFonts w:ascii="Calibri" w:eastAsia="MS Mincho" w:hAnsi="Calibri" w:cs="Times New Roman"/>
        </w:rPr>
        <w:t xml:space="preserve"> or have progressed while on treatment for early breast cancer and only switched when trast</w:t>
      </w:r>
      <w:r w:rsidR="00966D7C">
        <w:rPr>
          <w:rFonts w:ascii="Calibri" w:eastAsia="MS Mincho" w:hAnsi="Calibri" w:cs="Times New Roman"/>
        </w:rPr>
        <w:t>u</w:t>
      </w:r>
      <w:r w:rsidR="00233C73">
        <w:rPr>
          <w:rFonts w:ascii="Calibri" w:eastAsia="MS Mincho" w:hAnsi="Calibri" w:cs="Times New Roman"/>
        </w:rPr>
        <w:t>zumab for MBC was listed.</w:t>
      </w:r>
    </w:p>
    <w:p w:rsidR="002017F2" w:rsidRPr="002017F2" w:rsidRDefault="002017F2">
      <w:pPr>
        <w:spacing w:line="276" w:lineRule="auto"/>
        <w:rPr>
          <w:rFonts w:ascii="Calibri" w:eastAsia="MS Mincho" w:hAnsi="Calibri" w:cs="Times New Roman"/>
        </w:rPr>
      </w:pPr>
    </w:p>
    <w:p w:rsidR="00AC3702" w:rsidRPr="00936E02" w:rsidRDefault="005012CC" w:rsidP="00936E02">
      <w:pPr>
        <w:rPr>
          <w:rFonts w:ascii="Calibri" w:eastAsia="MS Mincho" w:hAnsi="Calibri" w:cs="Times New Roman"/>
          <w:b/>
        </w:rPr>
      </w:pPr>
      <w:r>
        <w:rPr>
          <w:noProof/>
        </w:rPr>
        <w:drawing>
          <wp:inline distT="0" distB="0" distL="0" distR="0" wp14:anchorId="7F1FE215" wp14:editId="05312D67">
            <wp:extent cx="5687695" cy="3715232"/>
            <wp:effectExtent l="0" t="0" r="27305" b="19050"/>
            <wp:docPr id="15" name="Chart 15" title="Figure 10: Number of patients initiating PBS listed medicines for the treatment of HER2 positive breast cancer by stage of disea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7600A" w:rsidRPr="00B87CD5">
        <w:rPr>
          <w:rFonts w:ascii="Calibri" w:eastAsia="MS Mincho" w:hAnsi="Calibri" w:cs="Times New Roman"/>
          <w:b/>
        </w:rPr>
        <w:t>Figure</w:t>
      </w:r>
      <w:r w:rsidR="00385FAC">
        <w:rPr>
          <w:rFonts w:ascii="Calibri" w:eastAsia="MS Mincho" w:hAnsi="Calibri" w:cs="Times New Roman"/>
          <w:b/>
        </w:rPr>
        <w:t xml:space="preserve"> </w:t>
      </w:r>
      <w:r w:rsidR="00C03F10">
        <w:rPr>
          <w:rFonts w:ascii="Calibri" w:eastAsia="MS Mincho" w:hAnsi="Calibri" w:cs="Times New Roman"/>
          <w:b/>
        </w:rPr>
        <w:t>10</w:t>
      </w:r>
      <w:r w:rsidR="0077600A" w:rsidRPr="00B87CD5">
        <w:rPr>
          <w:rFonts w:ascii="Calibri" w:eastAsia="MS Mincho" w:hAnsi="Calibri" w:cs="Times New Roman"/>
          <w:b/>
        </w:rPr>
        <w:t xml:space="preserve">: </w:t>
      </w:r>
      <w:r w:rsidR="00AB4DD2">
        <w:rPr>
          <w:rFonts w:ascii="Calibri" w:eastAsia="MS Mincho" w:hAnsi="Calibri" w:cs="Times New Roman"/>
          <w:b/>
        </w:rPr>
        <w:t>Number of patients i</w:t>
      </w:r>
      <w:r w:rsidR="0077600A">
        <w:rPr>
          <w:rFonts w:ascii="Calibri" w:eastAsia="MS Mincho" w:hAnsi="Calibri" w:cs="Times New Roman"/>
          <w:b/>
        </w:rPr>
        <w:t>ni</w:t>
      </w:r>
      <w:r w:rsidR="00AB4DD2">
        <w:rPr>
          <w:rFonts w:ascii="Calibri" w:eastAsia="MS Mincho" w:hAnsi="Calibri" w:cs="Times New Roman"/>
          <w:b/>
        </w:rPr>
        <w:t>tiating</w:t>
      </w:r>
      <w:r w:rsidR="0077600A">
        <w:rPr>
          <w:rFonts w:ascii="Calibri" w:eastAsia="MS Mincho" w:hAnsi="Calibri" w:cs="Times New Roman"/>
          <w:b/>
        </w:rPr>
        <w:t xml:space="preserve"> PBS listed </w:t>
      </w:r>
      <w:r w:rsidR="00AB4DD2">
        <w:rPr>
          <w:rFonts w:ascii="Calibri" w:eastAsia="MS Mincho" w:hAnsi="Calibri" w:cs="Times New Roman"/>
          <w:b/>
        </w:rPr>
        <w:t xml:space="preserve">medicines </w:t>
      </w:r>
      <w:r w:rsidR="0077600A">
        <w:rPr>
          <w:rFonts w:ascii="Calibri" w:eastAsia="MS Mincho" w:hAnsi="Calibri" w:cs="Times New Roman"/>
          <w:b/>
        </w:rPr>
        <w:t>for th</w:t>
      </w:r>
      <w:r w:rsidR="00936E02">
        <w:rPr>
          <w:rFonts w:ascii="Calibri" w:eastAsia="MS Mincho" w:hAnsi="Calibri" w:cs="Times New Roman"/>
          <w:b/>
        </w:rPr>
        <w:t>e</w:t>
      </w:r>
      <w:r w:rsidR="0077600A">
        <w:rPr>
          <w:rFonts w:ascii="Calibri" w:eastAsia="MS Mincho" w:hAnsi="Calibri" w:cs="Times New Roman"/>
          <w:b/>
        </w:rPr>
        <w:t xml:space="preserve"> treatment of </w:t>
      </w:r>
      <w:r w:rsidR="00AB4DD2">
        <w:rPr>
          <w:rFonts w:ascii="Calibri" w:eastAsia="MS Mincho" w:hAnsi="Calibri" w:cs="Times New Roman"/>
          <w:b/>
        </w:rPr>
        <w:t xml:space="preserve">HER2 positive </w:t>
      </w:r>
      <w:r w:rsidR="0077600A">
        <w:rPr>
          <w:rFonts w:ascii="Calibri" w:eastAsia="MS Mincho" w:hAnsi="Calibri" w:cs="Times New Roman"/>
          <w:b/>
        </w:rPr>
        <w:t>breast cancer by stage of disease</w:t>
      </w:r>
      <w:r w:rsidR="00936E02">
        <w:rPr>
          <w:rFonts w:ascii="Calibri" w:eastAsia="MS Mincho" w:hAnsi="Calibri" w:cs="Times New Roman"/>
          <w:b/>
        </w:rPr>
        <w:t xml:space="preserve">. </w:t>
      </w:r>
      <w:r w:rsidR="00D070B1" w:rsidRPr="00D070B1">
        <w:rPr>
          <w:rFonts w:ascii="Calibri" w:eastAsia="MS Mincho" w:hAnsi="Calibri" w:cs="Times New Roman"/>
          <w:sz w:val="20"/>
        </w:rPr>
        <w:t>Trastuzumab p</w:t>
      </w:r>
      <w:r w:rsidR="00D070B1" w:rsidRPr="002C0601">
        <w:rPr>
          <w:rFonts w:ascii="Calibri" w:eastAsia="MS Mincho" w:hAnsi="Calibri" w:cs="Times New Roman"/>
          <w:sz w:val="20"/>
        </w:rPr>
        <w:t xml:space="preserve">rescriptions for MBC prior to 1 July 2015 (ie. Herceptin Program data) </w:t>
      </w:r>
      <w:r w:rsidR="00D070B1">
        <w:rPr>
          <w:rFonts w:ascii="Calibri" w:eastAsia="MS Mincho" w:hAnsi="Calibri" w:cs="Times New Roman"/>
          <w:sz w:val="20"/>
        </w:rPr>
        <w:t>were</w:t>
      </w:r>
      <w:r w:rsidR="00D070B1" w:rsidRPr="002C0601">
        <w:rPr>
          <w:rFonts w:ascii="Calibri" w:eastAsia="MS Mincho" w:hAnsi="Calibri" w:cs="Times New Roman"/>
          <w:sz w:val="20"/>
        </w:rPr>
        <w:t xml:space="preserve"> not </w:t>
      </w:r>
      <w:r w:rsidR="00D070B1">
        <w:rPr>
          <w:rFonts w:ascii="Calibri" w:eastAsia="MS Mincho" w:hAnsi="Calibri" w:cs="Times New Roman"/>
          <w:sz w:val="20"/>
        </w:rPr>
        <w:t xml:space="preserve">used </w:t>
      </w:r>
      <w:r w:rsidR="00D070B1" w:rsidRPr="002C0601">
        <w:rPr>
          <w:rFonts w:ascii="Calibri" w:eastAsia="MS Mincho" w:hAnsi="Calibri" w:cs="Times New Roman"/>
          <w:sz w:val="20"/>
        </w:rPr>
        <w:t>in this figure</w:t>
      </w:r>
      <w:r w:rsidR="00D070B1" w:rsidRPr="002C0601">
        <w:rPr>
          <w:rFonts w:ascii="Calibri" w:eastAsia="MS Mincho" w:hAnsi="Calibri" w:cs="Times New Roman"/>
          <w:b/>
          <w:sz w:val="20"/>
        </w:rPr>
        <w:t>.</w:t>
      </w:r>
      <w:r w:rsidR="00D070B1">
        <w:rPr>
          <w:rFonts w:ascii="Calibri" w:eastAsia="MS Mincho" w:hAnsi="Calibri" w:cs="Times New Roman"/>
          <w:b/>
          <w:sz w:val="20"/>
        </w:rPr>
        <w:t xml:space="preserve"> </w:t>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13/11/</w:t>
      </w:r>
      <w:r w:rsidR="00904B7E" w:rsidRPr="00B87CD5">
        <w:rPr>
          <w:rFonts w:ascii="Calibri" w:eastAsia="MS Mincho" w:hAnsi="Calibri" w:cs="Times New Roman"/>
          <w:sz w:val="20"/>
        </w:rPr>
        <w:t>201</w:t>
      </w:r>
      <w:r w:rsidR="00904B7E">
        <w:rPr>
          <w:rFonts w:ascii="Calibri" w:eastAsia="MS Mincho" w:hAnsi="Calibri" w:cs="Times New Roman"/>
          <w:sz w:val="20"/>
        </w:rPr>
        <w:t>7)</w:t>
      </w:r>
    </w:p>
    <w:p w:rsidR="00502665" w:rsidRDefault="001F66AA" w:rsidP="00936E02">
      <w:pPr>
        <w:rPr>
          <w:rFonts w:ascii="Calibri" w:eastAsia="MS Mincho" w:hAnsi="Calibri" w:cs="Times New Roman"/>
        </w:rPr>
      </w:pPr>
      <w:r>
        <w:rPr>
          <w:rFonts w:ascii="Calibri" w:eastAsia="MS Mincho" w:hAnsi="Calibri" w:cs="Times New Roman"/>
        </w:rPr>
        <w:t>Patients initiating PBS therapy with trastuzumab includes patients transferring from the non-PBS Herceptin Program. A proportion of patients initiating pertuzumab and T-DM1 will have been treated by non-PBS supplied medicine prior to listing (aka grandfathered patients)</w:t>
      </w:r>
      <w:r w:rsidR="00BE354B">
        <w:rPr>
          <w:rFonts w:ascii="Calibri" w:eastAsia="MS Mincho" w:hAnsi="Calibri" w:cs="Times New Roman"/>
        </w:rPr>
        <w:t xml:space="preserve">. </w:t>
      </w:r>
    </w:p>
    <w:p w:rsidR="0077600A" w:rsidRDefault="00AC3702" w:rsidP="00936E02">
      <w:pPr>
        <w:rPr>
          <w:rFonts w:ascii="Calibri" w:eastAsia="MS Mincho" w:hAnsi="Calibri" w:cs="Times New Roman"/>
        </w:rPr>
      </w:pPr>
      <w:r>
        <w:rPr>
          <w:rFonts w:ascii="Calibri" w:eastAsia="MS Mincho" w:hAnsi="Calibri" w:cs="Times New Roman"/>
        </w:rPr>
        <w:t>F</w:t>
      </w:r>
      <w:r w:rsidR="00502665">
        <w:rPr>
          <w:rFonts w:ascii="Calibri" w:eastAsia="MS Mincho" w:hAnsi="Calibri" w:cs="Times New Roman"/>
        </w:rPr>
        <w:t xml:space="preserve">igure </w:t>
      </w:r>
      <w:r w:rsidR="00DB079E">
        <w:rPr>
          <w:rFonts w:ascii="Calibri" w:eastAsia="MS Mincho" w:hAnsi="Calibri" w:cs="Times New Roman"/>
        </w:rPr>
        <w:t>10</w:t>
      </w:r>
      <w:r w:rsidR="00502665">
        <w:rPr>
          <w:rFonts w:ascii="Calibri" w:eastAsia="MS Mincho" w:hAnsi="Calibri" w:cs="Times New Roman"/>
        </w:rPr>
        <w:t xml:space="preserve"> </w:t>
      </w:r>
      <w:r>
        <w:rPr>
          <w:rFonts w:ascii="Calibri" w:eastAsia="MS Mincho" w:hAnsi="Calibri" w:cs="Times New Roman"/>
        </w:rPr>
        <w:t xml:space="preserve">shows that </w:t>
      </w:r>
      <w:r w:rsidR="00502665">
        <w:rPr>
          <w:rFonts w:ascii="Calibri" w:eastAsia="MS Mincho" w:hAnsi="Calibri" w:cs="Times New Roman"/>
        </w:rPr>
        <w:t xml:space="preserve">from quarter 3 2016 (after </w:t>
      </w:r>
      <w:r w:rsidR="00E448D9">
        <w:rPr>
          <w:rFonts w:ascii="Calibri" w:eastAsia="MS Mincho" w:hAnsi="Calibri" w:cs="Times New Roman"/>
        </w:rPr>
        <w:t>grandfathering</w:t>
      </w:r>
      <w:r w:rsidR="009261FF">
        <w:rPr>
          <w:rFonts w:ascii="Calibri" w:eastAsia="MS Mincho" w:hAnsi="Calibri" w:cs="Times New Roman"/>
        </w:rPr>
        <w:t xml:space="preserve"> patients have commenced PBS-</w:t>
      </w:r>
      <w:r w:rsidR="00502665">
        <w:rPr>
          <w:rFonts w:ascii="Calibri" w:eastAsia="MS Mincho" w:hAnsi="Calibri" w:cs="Times New Roman"/>
        </w:rPr>
        <w:t>listed medicine) a</w:t>
      </w:r>
      <w:r w:rsidR="001F66AA">
        <w:rPr>
          <w:rFonts w:ascii="Calibri" w:eastAsia="MS Mincho" w:hAnsi="Calibri" w:cs="Times New Roman"/>
        </w:rPr>
        <w:t xml:space="preserve">pproximately 150 patients per quarter are commencing treatment with trastuzumab, </w:t>
      </w:r>
      <w:r w:rsidR="00936E02">
        <w:rPr>
          <w:rFonts w:ascii="Calibri" w:eastAsia="MS Mincho" w:hAnsi="Calibri" w:cs="Times New Roman"/>
        </w:rPr>
        <w:t xml:space="preserve">around </w:t>
      </w:r>
      <w:r w:rsidR="001F66AA">
        <w:rPr>
          <w:rFonts w:ascii="Calibri" w:eastAsia="MS Mincho" w:hAnsi="Calibri" w:cs="Times New Roman"/>
        </w:rPr>
        <w:t xml:space="preserve">100 are commencing pertuzumab (presumably with trastuzumab) and around 60 are commencing T-DM1. </w:t>
      </w:r>
    </w:p>
    <w:p w:rsidR="001F66AA" w:rsidRDefault="001F66AA" w:rsidP="00936E02">
      <w:pPr>
        <w:rPr>
          <w:rFonts w:ascii="Calibri" w:eastAsia="MS Mincho" w:hAnsi="Calibri" w:cs="Times New Roman"/>
        </w:rPr>
      </w:pPr>
      <w:r>
        <w:rPr>
          <w:rFonts w:ascii="Calibri" w:eastAsia="MS Mincho" w:hAnsi="Calibri" w:cs="Times New Roman"/>
        </w:rPr>
        <w:t>Therefore around 50 patients are initiating trastuzumab as monotherapy or with other agents.</w:t>
      </w:r>
    </w:p>
    <w:p w:rsidR="007846DE" w:rsidRDefault="008F3257">
      <w:pPr>
        <w:spacing w:line="276" w:lineRule="auto"/>
        <w:rPr>
          <w:rFonts w:ascii="Calibri" w:eastAsia="MS Mincho" w:hAnsi="Calibri" w:cs="Times New Roman"/>
          <w:b/>
          <w:sz w:val="28"/>
        </w:rPr>
      </w:pPr>
      <w:r>
        <w:rPr>
          <w:rFonts w:ascii="Calibri" w:eastAsia="MS Mincho" w:hAnsi="Calibri" w:cs="Times New Roman"/>
          <w:b/>
          <w:sz w:val="28"/>
        </w:rPr>
        <w:t xml:space="preserve"> </w:t>
      </w:r>
      <w:r w:rsidR="007846DE">
        <w:rPr>
          <w:rFonts w:ascii="Calibri" w:eastAsia="MS Mincho" w:hAnsi="Calibri" w:cs="Times New Roman"/>
          <w:b/>
          <w:sz w:val="28"/>
        </w:rPr>
        <w:br w:type="page"/>
      </w:r>
    </w:p>
    <w:p w:rsidR="005C3590" w:rsidRPr="00B87CD5" w:rsidRDefault="005C3590" w:rsidP="005C3590">
      <w:pPr>
        <w:spacing w:before="240"/>
        <w:outlineLvl w:val="1"/>
        <w:rPr>
          <w:rFonts w:ascii="Calibri" w:eastAsia="MS Mincho" w:hAnsi="Calibri" w:cs="Times New Roman"/>
          <w:b/>
          <w:sz w:val="28"/>
        </w:rPr>
      </w:pPr>
      <w:r>
        <w:rPr>
          <w:rFonts w:ascii="Calibri" w:eastAsia="MS Mincho" w:hAnsi="Calibri" w:cs="Times New Roman"/>
          <w:b/>
          <w:sz w:val="28"/>
        </w:rPr>
        <w:t xml:space="preserve">2. </w:t>
      </w:r>
      <w:r w:rsidRPr="00B87CD5">
        <w:rPr>
          <w:rFonts w:ascii="Calibri" w:eastAsia="MS Mincho" w:hAnsi="Calibri" w:cs="Times New Roman"/>
          <w:b/>
          <w:sz w:val="28"/>
        </w:rPr>
        <w:t>Analysis of predicted versus actual utilisation</w:t>
      </w:r>
    </w:p>
    <w:p w:rsidR="004D20AB" w:rsidRPr="00E202A2" w:rsidRDefault="004D20AB" w:rsidP="004D20AB">
      <w:pPr>
        <w:spacing w:after="0" w:line="276" w:lineRule="auto"/>
        <w:rPr>
          <w:rFonts w:ascii="Calibri" w:eastAsia="MS Mincho" w:hAnsi="Calibri" w:cs="Times New Roman"/>
        </w:rPr>
      </w:pPr>
      <w:r w:rsidRPr="00E202A2">
        <w:rPr>
          <w:rFonts w:ascii="Calibri" w:eastAsia="MS Mincho" w:hAnsi="Calibri" w:cs="Times New Roman"/>
        </w:rPr>
        <w:t xml:space="preserve">This analysis compares the predicted and actual use of use of trastuzumab, T-DM1 and pertuzumab for MBC. The predicted use was extracted from final agreed estimates between </w:t>
      </w:r>
      <w:r>
        <w:rPr>
          <w:rFonts w:ascii="Calibri" w:eastAsia="MS Mincho" w:hAnsi="Calibri" w:cs="Times New Roman"/>
        </w:rPr>
        <w:t>Roche</w:t>
      </w:r>
      <w:r w:rsidRPr="00E202A2">
        <w:rPr>
          <w:rFonts w:ascii="Calibri" w:eastAsia="MS Mincho" w:hAnsi="Calibri" w:cs="Times New Roman"/>
        </w:rPr>
        <w:t xml:space="preserve"> and the Department of Health. The PBS items and restriction codes included in this analysis of actual utilisation are specified in Appendix A.</w:t>
      </w:r>
    </w:p>
    <w:p w:rsidR="004D20AB" w:rsidRPr="00E202A2" w:rsidRDefault="004D20AB" w:rsidP="004D20AB">
      <w:pPr>
        <w:spacing w:after="0" w:line="276" w:lineRule="auto"/>
        <w:rPr>
          <w:rFonts w:ascii="Calibri" w:eastAsia="Times New Roman" w:hAnsi="Calibri" w:cs="Times New Roman"/>
          <w:b/>
          <w:iCs/>
          <w:snapToGrid w:val="0"/>
          <w:lang w:eastAsia="en-US"/>
        </w:rPr>
      </w:pPr>
    </w:p>
    <w:p w:rsidR="004D20AB" w:rsidRPr="00E202A2" w:rsidRDefault="004D20AB" w:rsidP="004D20AB">
      <w:pPr>
        <w:spacing w:after="0" w:line="276" w:lineRule="auto"/>
        <w:rPr>
          <w:rFonts w:ascii="Calibri" w:eastAsia="Times New Roman" w:hAnsi="Calibri" w:cs="Times New Roman"/>
          <w:b/>
          <w:iCs/>
          <w:snapToGrid w:val="0"/>
          <w:lang w:eastAsia="en-US"/>
        </w:rPr>
      </w:pPr>
      <w:r w:rsidRPr="00E202A2">
        <w:rPr>
          <w:rFonts w:ascii="Calibri" w:eastAsia="Times New Roman" w:hAnsi="Calibri" w:cs="Times New Roman"/>
          <w:b/>
          <w:iCs/>
          <w:snapToGrid w:val="0"/>
          <w:lang w:eastAsia="en-US"/>
        </w:rPr>
        <w:t xml:space="preserve">Table </w:t>
      </w:r>
      <w:r>
        <w:rPr>
          <w:rFonts w:ascii="Calibri" w:eastAsia="Times New Roman" w:hAnsi="Calibri" w:cs="Times New Roman"/>
          <w:b/>
          <w:iCs/>
          <w:snapToGrid w:val="0"/>
          <w:lang w:eastAsia="en-US"/>
        </w:rPr>
        <w:t>3</w:t>
      </w:r>
      <w:r w:rsidRPr="00E202A2">
        <w:rPr>
          <w:rFonts w:ascii="Calibri" w:eastAsia="Times New Roman" w:hAnsi="Calibri" w:cs="Times New Roman"/>
          <w:b/>
          <w:iCs/>
          <w:snapToGrid w:val="0"/>
          <w:lang w:eastAsia="en-US"/>
        </w:rPr>
        <w:t>: Predicted vs Actual analysis – trastuzumab for MBC</w:t>
      </w:r>
    </w:p>
    <w:tbl>
      <w:tblPr>
        <w:tblW w:w="9060" w:type="dxa"/>
        <w:tblInd w:w="93" w:type="dxa"/>
        <w:tblLook w:val="04A0" w:firstRow="1" w:lastRow="0" w:firstColumn="1" w:lastColumn="0" w:noHBand="0" w:noVBand="1"/>
      </w:tblPr>
      <w:tblGrid>
        <w:gridCol w:w="2960"/>
        <w:gridCol w:w="2180"/>
        <w:gridCol w:w="1960"/>
        <w:gridCol w:w="1960"/>
      </w:tblGrid>
      <w:tr w:rsidR="004D20AB" w:rsidRPr="00E202A2" w:rsidTr="008710B9">
        <w:trPr>
          <w:trHeight w:val="300"/>
        </w:trPr>
        <w:tc>
          <w:tcPr>
            <w:tcW w:w="29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D20AB" w:rsidRPr="00E202A2" w:rsidRDefault="004D20AB" w:rsidP="008710B9">
            <w:pPr>
              <w:spacing w:after="0"/>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 </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Year1</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Year 2</w:t>
            </w:r>
          </w:p>
        </w:tc>
      </w:tr>
      <w:tr w:rsidR="004D20AB" w:rsidRPr="00E202A2" w:rsidTr="008710B9">
        <w:trPr>
          <w:trHeight w:val="300"/>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b/>
                <w:bCs/>
                <w:color w:val="000000"/>
                <w:sz w:val="20"/>
                <w:szCs w:val="20"/>
              </w:rPr>
            </w:pPr>
          </w:p>
        </w:tc>
        <w:tc>
          <w:tcPr>
            <w:tcW w:w="1960" w:type="dxa"/>
            <w:tcBorders>
              <w:top w:val="nil"/>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July 15 to June 16</w:t>
            </w:r>
          </w:p>
        </w:tc>
        <w:tc>
          <w:tcPr>
            <w:tcW w:w="1960" w:type="dxa"/>
            <w:tcBorders>
              <w:top w:val="nil"/>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July 16 to June 17</w:t>
            </w:r>
          </w:p>
        </w:tc>
      </w:tr>
      <w:tr w:rsidR="004D20AB" w:rsidRPr="00E202A2" w:rsidTr="008710B9">
        <w:trPr>
          <w:trHeight w:val="300"/>
        </w:trPr>
        <w:tc>
          <w:tcPr>
            <w:tcW w:w="2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Treated Prevalent patients (PBS &amp; RPBS)</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1,828</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1,834</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xml:space="preserve">Prescriptions </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17,191</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19,337</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Prescriptions per patient</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9.4</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10.5</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R/PBS expenditure (published)</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E202A2" w:rsidRDefault="004D20AB" w:rsidP="008710B9">
            <w:pPr>
              <w:spacing w:after="0"/>
              <w:jc w:val="center"/>
              <w:rPr>
                <w:rFonts w:ascii="Calibri" w:hAnsi="Calibri"/>
                <w:sz w:val="20"/>
                <w:szCs w:val="20"/>
              </w:rPr>
            </w:pPr>
            <w:r w:rsidRPr="00E202A2">
              <w:rPr>
                <w:rFonts w:ascii="Calibri" w:hAnsi="Calibri"/>
                <w:sz w:val="20"/>
                <w:szCs w:val="20"/>
              </w:rPr>
              <w:t>$54,263,546</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E202A2" w:rsidRDefault="004D20AB" w:rsidP="008710B9">
            <w:pPr>
              <w:spacing w:after="0"/>
              <w:jc w:val="center"/>
              <w:rPr>
                <w:rFonts w:ascii="Calibri" w:hAnsi="Calibri"/>
                <w:sz w:val="20"/>
                <w:szCs w:val="20"/>
              </w:rPr>
            </w:pPr>
            <w:r w:rsidRPr="00E202A2">
              <w:rPr>
                <w:rFonts w:ascii="Calibri" w:hAnsi="Calibri"/>
                <w:sz w:val="20"/>
                <w:szCs w:val="20"/>
              </w:rPr>
              <w:t>$59,040,768</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bl>
    <w:p w:rsidR="004D20AB" w:rsidRPr="00844416" w:rsidRDefault="004D20AB" w:rsidP="004D20AB">
      <w:pPr>
        <w:widowControl w:val="0"/>
        <w:rPr>
          <w:rFonts w:ascii="Calibri" w:eastAsia="Times New Roman" w:hAnsi="Calibri" w:cs="Times New Roman"/>
          <w:iCs/>
          <w:snapToGrid w:val="0"/>
          <w:sz w:val="20"/>
          <w:szCs w:val="20"/>
          <w:lang w:eastAsia="en-US"/>
        </w:rPr>
      </w:pPr>
      <w:r w:rsidRPr="00E202A2">
        <w:rPr>
          <w:rFonts w:ascii="Calibri" w:eastAsia="Times New Roman" w:hAnsi="Calibri" w:cs="Times New Roman"/>
          <w:iCs/>
          <w:snapToGrid w:val="0"/>
          <w:sz w:val="20"/>
          <w:szCs w:val="20"/>
          <w:lang w:eastAsia="en-US"/>
        </w:rPr>
        <w:t>Source:</w:t>
      </w:r>
      <w:r>
        <w:rPr>
          <w:rFonts w:ascii="Calibri" w:eastAsia="Times New Roman" w:hAnsi="Calibri" w:cs="Times New Roman"/>
          <w:iCs/>
          <w:snapToGrid w:val="0"/>
          <w:sz w:val="20"/>
          <w:szCs w:val="20"/>
          <w:lang w:eastAsia="en-US"/>
        </w:rPr>
        <w:t xml:space="preserve"> Predicted values - </w:t>
      </w:r>
      <w:r w:rsidRPr="00E202A2">
        <w:rPr>
          <w:rFonts w:ascii="Calibri" w:eastAsia="Times New Roman" w:hAnsi="Calibri" w:cs="Times New Roman"/>
          <w:iCs/>
          <w:snapToGrid w:val="0"/>
          <w:sz w:val="20"/>
          <w:szCs w:val="20"/>
          <w:lang w:eastAsia="en-US"/>
        </w:rPr>
        <w:t>Final agreed estimates</w:t>
      </w:r>
      <w:r>
        <w:rPr>
          <w:rFonts w:ascii="Calibri" w:eastAsia="Times New Roman" w:hAnsi="Calibri" w:cs="Times New Roman"/>
          <w:iCs/>
          <w:snapToGrid w:val="0"/>
          <w:sz w:val="20"/>
          <w:szCs w:val="20"/>
          <w:lang w:eastAsia="en-US"/>
        </w:rPr>
        <w:t xml:space="preserve">; actual values - </w:t>
      </w:r>
      <w:r w:rsidRPr="00B87CD5">
        <w:rPr>
          <w:rFonts w:ascii="Calibri" w:eastAsia="MS Mincho" w:hAnsi="Calibri" w:cs="Times New Roman"/>
          <w:sz w:val="20"/>
        </w:rPr>
        <w:t xml:space="preserve">DHS </w:t>
      </w:r>
      <w:r>
        <w:rPr>
          <w:rFonts w:ascii="Calibri" w:eastAsia="MS Mincho" w:hAnsi="Calibri" w:cs="Times New Roman"/>
          <w:sz w:val="20"/>
        </w:rPr>
        <w:t xml:space="preserve">R/PBS </w:t>
      </w:r>
      <w:r w:rsidRPr="00B87CD5">
        <w:rPr>
          <w:rFonts w:ascii="Calibri" w:eastAsia="MS Mincho" w:hAnsi="Calibri" w:cs="Times New Roman"/>
          <w:sz w:val="20"/>
        </w:rPr>
        <w:t>prescription claims database</w:t>
      </w:r>
      <w:r>
        <w:rPr>
          <w:rFonts w:ascii="Calibri" w:eastAsia="MS Mincho" w:hAnsi="Calibri" w:cs="Times New Roman"/>
          <w:sz w:val="20"/>
        </w:rPr>
        <w:t xml:space="preserve"> </w:t>
      </w:r>
      <w:r w:rsidRPr="00844416">
        <w:rPr>
          <w:rFonts w:ascii="Calibri" w:eastAsia="MS Mincho" w:hAnsi="Calibri" w:cs="Times New Roman"/>
          <w:sz w:val="20"/>
        </w:rPr>
        <w:t>(accessed 13/11/2017)</w:t>
      </w:r>
    </w:p>
    <w:p w:rsidR="00D070B1" w:rsidRDefault="00D070B1" w:rsidP="004D20AB">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 xml:space="preserve">The actuals in Table 3 include </w:t>
      </w:r>
      <w:r w:rsidRPr="00D070B1">
        <w:rPr>
          <w:rFonts w:ascii="Calibri" w:eastAsia="Times New Roman" w:hAnsi="Calibri" w:cs="Times New Roman"/>
          <w:iCs/>
          <w:snapToGrid w:val="0"/>
          <w:lang w:eastAsia="en-US"/>
        </w:rPr>
        <w:t xml:space="preserve">trastuzumab for </w:t>
      </w:r>
      <w:r>
        <w:rPr>
          <w:rFonts w:ascii="Calibri" w:eastAsia="Times New Roman" w:hAnsi="Calibri" w:cs="Times New Roman"/>
          <w:iCs/>
          <w:snapToGrid w:val="0"/>
          <w:lang w:eastAsia="en-US"/>
        </w:rPr>
        <w:t>MBC</w:t>
      </w:r>
      <w:r w:rsidRPr="00D070B1">
        <w:rPr>
          <w:rFonts w:ascii="Calibri" w:eastAsia="Times New Roman" w:hAnsi="Calibri" w:cs="Times New Roman"/>
          <w:iCs/>
          <w:snapToGrid w:val="0"/>
          <w:lang w:eastAsia="en-US"/>
        </w:rPr>
        <w:t xml:space="preserve"> used in combination with pertuzumab as well as for second and subsequent lines.</w:t>
      </w:r>
    </w:p>
    <w:p w:rsidR="004D20AB" w:rsidRPr="00844416" w:rsidRDefault="004D20AB" w:rsidP="004D20AB">
      <w:pPr>
        <w:rPr>
          <w:rFonts w:ascii="Calibri" w:eastAsia="Times New Roman" w:hAnsi="Calibri" w:cs="Times New Roman"/>
          <w:iCs/>
          <w:snapToGrid w:val="0"/>
          <w:lang w:eastAsia="en-US"/>
        </w:rPr>
      </w:pPr>
      <w:r w:rsidRPr="00844416">
        <w:rPr>
          <w:rFonts w:ascii="Calibri" w:eastAsia="Times New Roman" w:hAnsi="Calibri" w:cs="Times New Roman"/>
          <w:iCs/>
          <w:snapToGrid w:val="0"/>
          <w:lang w:eastAsia="en-US"/>
        </w:rPr>
        <w:t xml:space="preserve">The calculations to determine the expected use of trastuzumab incorporated use in first-line patients in combination with pertuzumab (assumed to </w:t>
      </w:r>
      <w:r w:rsidRPr="00D876FE">
        <w:rPr>
          <w:rFonts w:ascii="Calibri" w:eastAsia="Times New Roman" w:hAnsi="Calibri" w:cs="Times New Roman"/>
          <w:iCs/>
          <w:snapToGrid w:val="0"/>
          <w:lang w:eastAsia="en-US"/>
        </w:rPr>
        <w:t>95</w:t>
      </w:r>
      <w:r w:rsidRPr="00844416">
        <w:rPr>
          <w:rFonts w:ascii="Calibri" w:eastAsia="Times New Roman" w:hAnsi="Calibri" w:cs="Times New Roman"/>
          <w:iCs/>
          <w:snapToGrid w:val="0"/>
          <w:lang w:eastAsia="en-US"/>
        </w:rPr>
        <w:t>% of all incident patients with metastatic breast cancer), the remaining use as monotherapy (</w:t>
      </w:r>
      <w:r w:rsidRPr="00D876FE">
        <w:rPr>
          <w:rFonts w:ascii="Calibri" w:eastAsia="Times New Roman" w:hAnsi="Calibri" w:cs="Times New Roman"/>
          <w:iCs/>
          <w:snapToGrid w:val="0"/>
          <w:lang w:eastAsia="en-US"/>
        </w:rPr>
        <w:t>5</w:t>
      </w:r>
      <w:r w:rsidRPr="00844416">
        <w:rPr>
          <w:rFonts w:ascii="Calibri" w:eastAsia="Times New Roman" w:hAnsi="Calibri" w:cs="Times New Roman"/>
          <w:iCs/>
          <w:snapToGrid w:val="0"/>
          <w:lang w:eastAsia="en-US"/>
        </w:rPr>
        <w:t>%), and use in third line in patients whose disease has worsened while on second-line treatment with either lapatinib or T-DM1 or who were receving trastuzumab monotherapy while on the Herceptin Program.</w:t>
      </w:r>
    </w:p>
    <w:p w:rsidR="004D20AB" w:rsidRPr="00844416" w:rsidRDefault="004D20AB" w:rsidP="004D20AB">
      <w:pPr>
        <w:rPr>
          <w:rFonts w:ascii="Calibri" w:eastAsia="Times New Roman" w:hAnsi="Calibri" w:cs="Times New Roman"/>
          <w:iCs/>
          <w:snapToGrid w:val="0"/>
          <w:lang w:eastAsia="en-US"/>
        </w:rPr>
      </w:pPr>
      <w:r w:rsidRPr="00844416">
        <w:rPr>
          <w:rFonts w:ascii="Calibri" w:eastAsia="Times New Roman" w:hAnsi="Calibri" w:cs="Times New Roman"/>
          <w:iCs/>
          <w:snapToGrid w:val="0"/>
          <w:lang w:eastAsia="en-US"/>
        </w:rPr>
        <w:t>Total number of patients and the number of prescriptions supplied was more than predicted. The number of prescriptions per patient was less than predicted: in part this can be attributed to the method of calculation of pertuzumab prescriptions in the predicted estimates (ie. not adequately allowing for patients to commence treatment throughout the year) and the corresponding trastuzumab prescriptions, and some to the slower uptake of T-DM1 resulting in greater use of trastuzumab. In addition this method of calculating the number of prescriptions per patient does ot adjust for time on treatment. Further analysis of duration of treatment is provided later in this report.</w:t>
      </w:r>
    </w:p>
    <w:p w:rsidR="004D20AB" w:rsidRDefault="004D20AB" w:rsidP="004D20AB">
      <w:pPr>
        <w:spacing w:line="276" w:lineRule="auto"/>
        <w:rPr>
          <w:rFonts w:ascii="Calibri" w:eastAsia="Times New Roman" w:hAnsi="Calibri" w:cs="Times New Roman"/>
          <w:b/>
          <w:iCs/>
          <w:snapToGrid w:val="0"/>
          <w:lang w:eastAsia="en-US"/>
        </w:rPr>
      </w:pPr>
      <w:r>
        <w:rPr>
          <w:rFonts w:ascii="Calibri" w:eastAsia="Times New Roman" w:hAnsi="Calibri" w:cs="Times New Roman"/>
          <w:b/>
          <w:iCs/>
          <w:snapToGrid w:val="0"/>
          <w:lang w:eastAsia="en-US"/>
        </w:rPr>
        <w:br w:type="page"/>
      </w:r>
    </w:p>
    <w:p w:rsidR="004D20AB" w:rsidRPr="00E202A2" w:rsidRDefault="004D20AB" w:rsidP="004D20AB">
      <w:pPr>
        <w:spacing w:after="0" w:line="276" w:lineRule="auto"/>
        <w:rPr>
          <w:rFonts w:ascii="Calibri" w:eastAsia="Times New Roman" w:hAnsi="Calibri" w:cs="Times New Roman"/>
          <w:b/>
          <w:iCs/>
          <w:snapToGrid w:val="0"/>
          <w:lang w:eastAsia="en-US"/>
        </w:rPr>
      </w:pPr>
      <w:r w:rsidRPr="00E202A2">
        <w:rPr>
          <w:rFonts w:ascii="Calibri" w:eastAsia="Times New Roman" w:hAnsi="Calibri" w:cs="Times New Roman"/>
          <w:b/>
          <w:iCs/>
          <w:snapToGrid w:val="0"/>
          <w:lang w:eastAsia="en-US"/>
        </w:rPr>
        <w:t xml:space="preserve">Table </w:t>
      </w:r>
      <w:r>
        <w:rPr>
          <w:rFonts w:ascii="Calibri" w:eastAsia="Times New Roman" w:hAnsi="Calibri" w:cs="Times New Roman"/>
          <w:b/>
          <w:iCs/>
          <w:snapToGrid w:val="0"/>
          <w:lang w:eastAsia="en-US"/>
        </w:rPr>
        <w:t>4</w:t>
      </w:r>
      <w:r w:rsidRPr="00E202A2">
        <w:rPr>
          <w:rFonts w:ascii="Calibri" w:eastAsia="Times New Roman" w:hAnsi="Calibri" w:cs="Times New Roman"/>
          <w:b/>
          <w:iCs/>
          <w:snapToGrid w:val="0"/>
          <w:lang w:eastAsia="en-US"/>
        </w:rPr>
        <w:t xml:space="preserve">: </w:t>
      </w:r>
      <w:r>
        <w:rPr>
          <w:rFonts w:ascii="Calibri" w:eastAsia="Times New Roman" w:hAnsi="Calibri" w:cs="Times New Roman"/>
          <w:b/>
          <w:iCs/>
          <w:snapToGrid w:val="0"/>
          <w:lang w:eastAsia="en-US"/>
        </w:rPr>
        <w:t>Predicted vs Actual analysis -</w:t>
      </w:r>
      <w:r w:rsidRPr="00E202A2">
        <w:rPr>
          <w:rFonts w:ascii="Calibri" w:eastAsia="Times New Roman" w:hAnsi="Calibri" w:cs="Times New Roman"/>
          <w:b/>
          <w:iCs/>
          <w:snapToGrid w:val="0"/>
          <w:lang w:eastAsia="en-US"/>
        </w:rPr>
        <w:t xml:space="preserve"> T-DM1 for MBC</w:t>
      </w:r>
    </w:p>
    <w:tbl>
      <w:tblPr>
        <w:tblW w:w="9060" w:type="dxa"/>
        <w:tblInd w:w="93" w:type="dxa"/>
        <w:tblLook w:val="04A0" w:firstRow="1" w:lastRow="0" w:firstColumn="1" w:lastColumn="0" w:noHBand="0" w:noVBand="1"/>
      </w:tblPr>
      <w:tblGrid>
        <w:gridCol w:w="2960"/>
        <w:gridCol w:w="2180"/>
        <w:gridCol w:w="1960"/>
        <w:gridCol w:w="1960"/>
      </w:tblGrid>
      <w:tr w:rsidR="004D20AB" w:rsidRPr="00E202A2" w:rsidTr="008710B9">
        <w:trPr>
          <w:trHeight w:val="300"/>
        </w:trPr>
        <w:tc>
          <w:tcPr>
            <w:tcW w:w="29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D20AB" w:rsidRPr="00E202A2" w:rsidRDefault="004D20AB" w:rsidP="008710B9">
            <w:pPr>
              <w:spacing w:after="0"/>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 </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Year1</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Year 2</w:t>
            </w:r>
          </w:p>
        </w:tc>
      </w:tr>
      <w:tr w:rsidR="004D20AB" w:rsidRPr="00E202A2" w:rsidTr="008710B9">
        <w:trPr>
          <w:trHeight w:val="300"/>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b/>
                <w:bCs/>
                <w:color w:val="000000"/>
                <w:sz w:val="20"/>
                <w:szCs w:val="20"/>
              </w:rPr>
            </w:pPr>
          </w:p>
        </w:tc>
        <w:tc>
          <w:tcPr>
            <w:tcW w:w="1960" w:type="dxa"/>
            <w:tcBorders>
              <w:top w:val="nil"/>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July 15 to June 16</w:t>
            </w:r>
          </w:p>
        </w:tc>
        <w:tc>
          <w:tcPr>
            <w:tcW w:w="1960" w:type="dxa"/>
            <w:tcBorders>
              <w:top w:val="nil"/>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July 16 to June 17</w:t>
            </w:r>
          </w:p>
        </w:tc>
      </w:tr>
      <w:tr w:rsidR="004D20AB" w:rsidRPr="00E202A2" w:rsidTr="008710B9">
        <w:trPr>
          <w:trHeight w:val="300"/>
        </w:trPr>
        <w:tc>
          <w:tcPr>
            <w:tcW w:w="2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Treated Prevalent patients (PBS &amp; RPBS)</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468</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475</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xml:space="preserve">Prescriptions </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3,786</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4,237</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Prescriptions per patient</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8.1</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8.9</w:t>
            </w:r>
          </w:p>
        </w:tc>
      </w:tr>
      <w:tr w:rsidR="004D20AB" w:rsidRPr="00D876FE"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D876FE" w:rsidTr="008710B9">
        <w:trPr>
          <w:trHeight w:val="300"/>
        </w:trPr>
        <w:tc>
          <w:tcPr>
            <w:tcW w:w="2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R/PBS expenditure (published)</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E202A2" w:rsidRDefault="004D20AB" w:rsidP="008710B9">
            <w:pPr>
              <w:spacing w:after="0"/>
              <w:jc w:val="center"/>
              <w:rPr>
                <w:rFonts w:ascii="Calibri" w:hAnsi="Calibri"/>
                <w:sz w:val="20"/>
                <w:szCs w:val="20"/>
              </w:rPr>
            </w:pPr>
            <w:r w:rsidRPr="00E202A2">
              <w:rPr>
                <w:rFonts w:ascii="Calibri" w:hAnsi="Calibri"/>
                <w:sz w:val="20"/>
                <w:szCs w:val="20"/>
              </w:rPr>
              <w:t>$16,615,379</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E202A2" w:rsidRDefault="004D20AB" w:rsidP="008710B9">
            <w:pPr>
              <w:spacing w:after="0"/>
              <w:jc w:val="center"/>
              <w:rPr>
                <w:rFonts w:ascii="Calibri" w:hAnsi="Calibri"/>
                <w:sz w:val="20"/>
                <w:szCs w:val="20"/>
              </w:rPr>
            </w:pPr>
            <w:r w:rsidRPr="00E202A2">
              <w:rPr>
                <w:rFonts w:ascii="Calibri" w:hAnsi="Calibri"/>
                <w:sz w:val="20"/>
                <w:szCs w:val="20"/>
              </w:rPr>
              <w:t>$18,605,819</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bl>
    <w:p w:rsidR="004D20AB" w:rsidRPr="00E202A2" w:rsidRDefault="004D20AB" w:rsidP="004D20AB">
      <w:pPr>
        <w:widowControl w:val="0"/>
        <w:rPr>
          <w:rFonts w:ascii="Calibri" w:eastAsia="Times New Roman" w:hAnsi="Calibri" w:cs="Times New Roman"/>
          <w:iCs/>
          <w:snapToGrid w:val="0"/>
          <w:sz w:val="20"/>
          <w:szCs w:val="20"/>
          <w:lang w:eastAsia="en-US"/>
        </w:rPr>
      </w:pPr>
      <w:r w:rsidRPr="00E202A2">
        <w:rPr>
          <w:rFonts w:ascii="Calibri" w:eastAsia="Times New Roman" w:hAnsi="Calibri" w:cs="Times New Roman"/>
          <w:iCs/>
          <w:snapToGrid w:val="0"/>
          <w:sz w:val="20"/>
          <w:szCs w:val="20"/>
          <w:lang w:eastAsia="en-US"/>
        </w:rPr>
        <w:t>Source:</w:t>
      </w:r>
      <w:r>
        <w:rPr>
          <w:rFonts w:ascii="Calibri" w:eastAsia="Times New Roman" w:hAnsi="Calibri" w:cs="Times New Roman"/>
          <w:iCs/>
          <w:snapToGrid w:val="0"/>
          <w:sz w:val="20"/>
          <w:szCs w:val="20"/>
          <w:lang w:eastAsia="en-US"/>
        </w:rPr>
        <w:t xml:space="preserve"> Predicted values - </w:t>
      </w:r>
      <w:r w:rsidRPr="00E202A2">
        <w:rPr>
          <w:rFonts w:ascii="Calibri" w:eastAsia="Times New Roman" w:hAnsi="Calibri" w:cs="Times New Roman"/>
          <w:iCs/>
          <w:snapToGrid w:val="0"/>
          <w:sz w:val="20"/>
          <w:szCs w:val="20"/>
          <w:lang w:eastAsia="en-US"/>
        </w:rPr>
        <w:t>Final agreed estimates</w:t>
      </w:r>
      <w:r>
        <w:rPr>
          <w:rFonts w:ascii="Calibri" w:eastAsia="Times New Roman" w:hAnsi="Calibri" w:cs="Times New Roman"/>
          <w:iCs/>
          <w:snapToGrid w:val="0"/>
          <w:sz w:val="20"/>
          <w:szCs w:val="20"/>
          <w:lang w:eastAsia="en-US"/>
        </w:rPr>
        <w:t xml:space="preserve">; actual values - </w:t>
      </w:r>
      <w:r w:rsidRPr="00B87CD5">
        <w:rPr>
          <w:rFonts w:ascii="Calibri" w:eastAsia="MS Mincho" w:hAnsi="Calibri" w:cs="Times New Roman"/>
          <w:sz w:val="20"/>
        </w:rPr>
        <w:t xml:space="preserve">DHS </w:t>
      </w:r>
      <w:r>
        <w:rPr>
          <w:rFonts w:ascii="Calibri" w:eastAsia="MS Mincho" w:hAnsi="Calibri" w:cs="Times New Roman"/>
          <w:sz w:val="20"/>
        </w:rPr>
        <w:t xml:space="preserve">R/PBS </w:t>
      </w:r>
      <w:r w:rsidRPr="00B87CD5">
        <w:rPr>
          <w:rFonts w:ascii="Calibri" w:eastAsia="MS Mincho" w:hAnsi="Calibri" w:cs="Times New Roman"/>
          <w:sz w:val="20"/>
        </w:rPr>
        <w:t>prescription claims database</w:t>
      </w:r>
      <w:r>
        <w:rPr>
          <w:rFonts w:ascii="Calibri" w:eastAsia="MS Mincho" w:hAnsi="Calibri" w:cs="Times New Roman"/>
          <w:sz w:val="20"/>
        </w:rPr>
        <w:t xml:space="preserve"> (</w:t>
      </w:r>
      <w:r w:rsidRPr="00B87CD5">
        <w:rPr>
          <w:rFonts w:ascii="Calibri" w:eastAsia="MS Mincho" w:hAnsi="Calibri" w:cs="Times New Roman"/>
          <w:sz w:val="20"/>
        </w:rPr>
        <w:t xml:space="preserve">accessed </w:t>
      </w:r>
      <w:r>
        <w:rPr>
          <w:rFonts w:ascii="Calibri" w:eastAsia="MS Mincho" w:hAnsi="Calibri" w:cs="Times New Roman"/>
          <w:sz w:val="20"/>
        </w:rPr>
        <w:t>13/11/</w:t>
      </w:r>
      <w:r w:rsidRPr="00B87CD5">
        <w:rPr>
          <w:rFonts w:ascii="Calibri" w:eastAsia="MS Mincho" w:hAnsi="Calibri" w:cs="Times New Roman"/>
          <w:sz w:val="20"/>
        </w:rPr>
        <w:t>201</w:t>
      </w:r>
      <w:r>
        <w:rPr>
          <w:rFonts w:ascii="Calibri" w:eastAsia="MS Mincho" w:hAnsi="Calibri" w:cs="Times New Roman"/>
          <w:sz w:val="20"/>
        </w:rPr>
        <w:t>7)</w:t>
      </w:r>
    </w:p>
    <w:p w:rsidR="004D20AB" w:rsidRPr="00844416" w:rsidRDefault="004D20AB" w:rsidP="00D876FE">
      <w:pPr>
        <w:spacing w:after="0"/>
        <w:jc w:val="center"/>
        <w:rPr>
          <w:rFonts w:ascii="Calibri" w:eastAsia="Times New Roman" w:hAnsi="Calibri" w:cs="Times New Roman"/>
          <w:iCs/>
          <w:snapToGrid w:val="0"/>
          <w:lang w:eastAsia="en-US"/>
        </w:rPr>
      </w:pPr>
      <w:r>
        <w:rPr>
          <w:rFonts w:ascii="Calibri" w:eastAsia="Times New Roman" w:hAnsi="Calibri" w:cs="Times New Roman"/>
          <w:iCs/>
          <w:snapToGrid w:val="0"/>
          <w:lang w:eastAsia="en-US"/>
        </w:rPr>
        <w:t>For T-DM1, the number of t</w:t>
      </w:r>
      <w:r w:rsidRPr="00E202A2">
        <w:rPr>
          <w:rFonts w:ascii="Calibri" w:eastAsia="Times New Roman" w:hAnsi="Calibri" w:cs="Times New Roman"/>
          <w:iCs/>
          <w:snapToGrid w:val="0"/>
          <w:lang w:eastAsia="en-US"/>
        </w:rPr>
        <w:t xml:space="preserve">reated patients, </w:t>
      </w:r>
      <w:r>
        <w:rPr>
          <w:rFonts w:ascii="Calibri" w:eastAsia="Times New Roman" w:hAnsi="Calibri" w:cs="Times New Roman"/>
          <w:iCs/>
          <w:snapToGrid w:val="0"/>
          <w:lang w:eastAsia="en-US"/>
        </w:rPr>
        <w:t xml:space="preserve">prescriptions, and </w:t>
      </w:r>
      <w:r w:rsidRPr="00E202A2">
        <w:rPr>
          <w:rFonts w:ascii="Calibri" w:eastAsia="Times New Roman" w:hAnsi="Calibri" w:cs="Times New Roman"/>
          <w:iCs/>
          <w:snapToGrid w:val="0"/>
          <w:lang w:eastAsia="en-US"/>
        </w:rPr>
        <w:t xml:space="preserve">prescriptions per patient were all </w:t>
      </w:r>
      <w:r>
        <w:rPr>
          <w:rFonts w:ascii="Calibri" w:eastAsia="Times New Roman" w:hAnsi="Calibri" w:cs="Times New Roman"/>
          <w:iCs/>
          <w:snapToGrid w:val="0"/>
          <w:lang w:eastAsia="en-US"/>
        </w:rPr>
        <w:t>lower</w:t>
      </w:r>
      <w:r w:rsidRPr="00E202A2">
        <w:rPr>
          <w:rFonts w:ascii="Calibri" w:eastAsia="Times New Roman" w:hAnsi="Calibri" w:cs="Times New Roman"/>
          <w:iCs/>
          <w:snapToGrid w:val="0"/>
          <w:lang w:eastAsia="en-US"/>
        </w:rPr>
        <w:t xml:space="preserve"> than predicted.</w:t>
      </w:r>
      <w:r>
        <w:rPr>
          <w:rFonts w:ascii="Calibri" w:eastAsia="Times New Roman" w:hAnsi="Calibri" w:cs="Times New Roman"/>
          <w:iCs/>
          <w:snapToGrid w:val="0"/>
          <w:lang w:eastAsia="en-US"/>
        </w:rPr>
        <w:t xml:space="preserve"> The patient numbers may reflect slower uptake of this treatment. Possible contributing factors include patients not commencing second line therapy as quickly as expected in the model, fewer patients being considered suitable for </w:t>
      </w:r>
      <w:r w:rsidRPr="00844416">
        <w:rPr>
          <w:rFonts w:ascii="Calibri" w:eastAsia="Times New Roman" w:hAnsi="Calibri" w:cs="Times New Roman"/>
          <w:iCs/>
          <w:snapToGrid w:val="0"/>
          <w:lang w:eastAsia="en-US"/>
        </w:rPr>
        <w:t xml:space="preserve">therapy and more being maintained on trastuzumab monotherapy as second line or other chemotherapy as third or fourth line. </w:t>
      </w:r>
    </w:p>
    <w:p w:rsidR="004D20AB" w:rsidRPr="00E202A2" w:rsidRDefault="004D20AB" w:rsidP="004D20AB">
      <w:pPr>
        <w:spacing w:after="0" w:line="276" w:lineRule="auto"/>
        <w:rPr>
          <w:rFonts w:ascii="Calibri" w:eastAsia="Times New Roman" w:hAnsi="Calibri" w:cs="Times New Roman"/>
          <w:b/>
          <w:iCs/>
          <w:snapToGrid w:val="0"/>
          <w:lang w:eastAsia="en-US"/>
        </w:rPr>
      </w:pPr>
      <w:r w:rsidRPr="00E202A2">
        <w:rPr>
          <w:rFonts w:ascii="Calibri" w:eastAsia="Times New Roman" w:hAnsi="Calibri" w:cs="Times New Roman"/>
          <w:b/>
          <w:iCs/>
          <w:snapToGrid w:val="0"/>
          <w:lang w:eastAsia="en-US"/>
        </w:rPr>
        <w:t xml:space="preserve">Table </w:t>
      </w:r>
      <w:r>
        <w:rPr>
          <w:rFonts w:ascii="Calibri" w:eastAsia="Times New Roman" w:hAnsi="Calibri" w:cs="Times New Roman"/>
          <w:b/>
          <w:iCs/>
          <w:snapToGrid w:val="0"/>
          <w:lang w:eastAsia="en-US"/>
        </w:rPr>
        <w:t>5</w:t>
      </w:r>
      <w:r w:rsidRPr="00E202A2">
        <w:rPr>
          <w:rFonts w:ascii="Calibri" w:eastAsia="Times New Roman" w:hAnsi="Calibri" w:cs="Times New Roman"/>
          <w:b/>
          <w:iCs/>
          <w:snapToGrid w:val="0"/>
          <w:lang w:eastAsia="en-US"/>
        </w:rPr>
        <w:t>: Predicted vs Actual analysis – pertuzumab for MBC</w:t>
      </w:r>
    </w:p>
    <w:tbl>
      <w:tblPr>
        <w:tblW w:w="9060" w:type="dxa"/>
        <w:tblInd w:w="93" w:type="dxa"/>
        <w:tblLook w:val="04A0" w:firstRow="1" w:lastRow="0" w:firstColumn="1" w:lastColumn="0" w:noHBand="0" w:noVBand="1"/>
      </w:tblPr>
      <w:tblGrid>
        <w:gridCol w:w="2960"/>
        <w:gridCol w:w="2180"/>
        <w:gridCol w:w="1960"/>
        <w:gridCol w:w="1960"/>
      </w:tblGrid>
      <w:tr w:rsidR="004D20AB" w:rsidRPr="00D876FE" w:rsidTr="008710B9">
        <w:trPr>
          <w:trHeight w:val="300"/>
        </w:trPr>
        <w:tc>
          <w:tcPr>
            <w:tcW w:w="2960" w:type="dxa"/>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w:t>
            </w:r>
          </w:p>
        </w:tc>
        <w:tc>
          <w:tcPr>
            <w:tcW w:w="21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4D20AB" w:rsidRPr="00E202A2" w:rsidRDefault="004D20AB" w:rsidP="008710B9">
            <w:pPr>
              <w:spacing w:after="0"/>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 </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Year1</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Year 2</w:t>
            </w:r>
          </w:p>
        </w:tc>
      </w:tr>
      <w:tr w:rsidR="004D20AB" w:rsidRPr="00E202A2" w:rsidTr="008710B9">
        <w:trPr>
          <w:trHeight w:val="300"/>
        </w:trPr>
        <w:tc>
          <w:tcPr>
            <w:tcW w:w="2960" w:type="dxa"/>
            <w:vMerge/>
            <w:tcBorders>
              <w:top w:val="single" w:sz="4" w:space="0" w:color="auto"/>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vMerge/>
            <w:tcBorders>
              <w:top w:val="single" w:sz="4" w:space="0" w:color="auto"/>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b/>
                <w:bCs/>
                <w:color w:val="000000"/>
                <w:sz w:val="20"/>
                <w:szCs w:val="20"/>
              </w:rPr>
            </w:pPr>
          </w:p>
        </w:tc>
        <w:tc>
          <w:tcPr>
            <w:tcW w:w="1960" w:type="dxa"/>
            <w:tcBorders>
              <w:top w:val="nil"/>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July 15 to June 16</w:t>
            </w:r>
          </w:p>
        </w:tc>
        <w:tc>
          <w:tcPr>
            <w:tcW w:w="1960" w:type="dxa"/>
            <w:tcBorders>
              <w:top w:val="nil"/>
              <w:left w:val="nil"/>
              <w:bottom w:val="single" w:sz="4" w:space="0" w:color="auto"/>
              <w:right w:val="single" w:sz="4"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July 16 to June 17</w:t>
            </w:r>
          </w:p>
        </w:tc>
      </w:tr>
      <w:tr w:rsidR="004D20AB" w:rsidRPr="00E202A2" w:rsidTr="008710B9">
        <w:trPr>
          <w:trHeight w:val="300"/>
        </w:trPr>
        <w:tc>
          <w:tcPr>
            <w:tcW w:w="2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Treated Prevalent patients (PBS &amp; RPBS)</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781</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976</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xml:space="preserve">Prescriptions </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7,303</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10,509</w:t>
            </w:r>
          </w:p>
        </w:tc>
      </w:tr>
      <w:tr w:rsidR="004D20AB" w:rsidRPr="00E202A2" w:rsidTr="008710B9">
        <w:trPr>
          <w:trHeight w:val="300"/>
        </w:trPr>
        <w:tc>
          <w:tcPr>
            <w:tcW w:w="2960" w:type="dxa"/>
            <w:vMerge/>
            <w:tcBorders>
              <w:top w:val="nil"/>
              <w:left w:val="single" w:sz="4" w:space="0" w:color="auto"/>
              <w:bottom w:val="single" w:sz="4" w:space="0" w:color="auto"/>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Prescriptions per patient</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9.4</w:t>
            </w:r>
          </w:p>
        </w:tc>
        <w:tc>
          <w:tcPr>
            <w:tcW w:w="196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jc w:val="center"/>
              <w:rPr>
                <w:rFonts w:ascii="Calibri" w:hAnsi="Calibri"/>
                <w:color w:val="000000"/>
                <w:sz w:val="20"/>
                <w:szCs w:val="20"/>
              </w:rPr>
            </w:pPr>
            <w:r w:rsidRPr="00E202A2">
              <w:rPr>
                <w:rFonts w:ascii="Calibri" w:hAnsi="Calibri"/>
                <w:color w:val="000000"/>
                <w:sz w:val="20"/>
                <w:szCs w:val="20"/>
              </w:rPr>
              <w:t>10.8</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R/PBS expenditure (published)</w:t>
            </w: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E202A2" w:rsidRDefault="004D20AB" w:rsidP="008710B9">
            <w:pPr>
              <w:spacing w:after="0"/>
              <w:jc w:val="center"/>
              <w:rPr>
                <w:rFonts w:ascii="Calibri" w:hAnsi="Calibri"/>
                <w:sz w:val="20"/>
                <w:szCs w:val="20"/>
              </w:rPr>
            </w:pPr>
            <w:r w:rsidRPr="00E202A2">
              <w:rPr>
                <w:rFonts w:ascii="Calibri" w:hAnsi="Calibri"/>
                <w:sz w:val="20"/>
                <w:szCs w:val="20"/>
              </w:rPr>
              <w:t>$25,062,327</w:t>
            </w:r>
          </w:p>
        </w:tc>
        <w:tc>
          <w:tcPr>
            <w:tcW w:w="1960" w:type="dxa"/>
            <w:tcBorders>
              <w:top w:val="nil"/>
              <w:left w:val="nil"/>
              <w:bottom w:val="single" w:sz="4" w:space="0" w:color="auto"/>
              <w:right w:val="single" w:sz="4" w:space="0" w:color="auto"/>
            </w:tcBorders>
            <w:shd w:val="clear" w:color="auto" w:fill="auto"/>
            <w:noWrap/>
            <w:vAlign w:val="center"/>
            <w:hideMark/>
          </w:tcPr>
          <w:p w:rsidR="004D20AB" w:rsidRPr="00E202A2" w:rsidRDefault="004D20AB" w:rsidP="008710B9">
            <w:pPr>
              <w:spacing w:after="0"/>
              <w:jc w:val="center"/>
              <w:rPr>
                <w:rFonts w:ascii="Calibri" w:hAnsi="Calibri"/>
                <w:sz w:val="20"/>
                <w:szCs w:val="20"/>
              </w:rPr>
            </w:pPr>
            <w:r w:rsidRPr="00E202A2">
              <w:rPr>
                <w:rFonts w:ascii="Calibri" w:hAnsi="Calibri"/>
                <w:sz w:val="20"/>
                <w:szCs w:val="20"/>
              </w:rPr>
              <w:t>$35,003,142</w:t>
            </w:r>
          </w:p>
        </w:tc>
      </w:tr>
      <w:tr w:rsidR="004D20AB" w:rsidRPr="00E202A2" w:rsidTr="008710B9">
        <w:trPr>
          <w:trHeight w:val="300"/>
        </w:trPr>
        <w:tc>
          <w:tcPr>
            <w:tcW w:w="2960" w:type="dxa"/>
            <w:vMerge/>
            <w:tcBorders>
              <w:top w:val="nil"/>
              <w:left w:val="single" w:sz="4" w:space="0" w:color="auto"/>
              <w:bottom w:val="single" w:sz="4" w:space="0" w:color="000000"/>
              <w:right w:val="single" w:sz="4"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180" w:type="dxa"/>
            <w:tcBorders>
              <w:top w:val="nil"/>
              <w:left w:val="nil"/>
              <w:bottom w:val="single" w:sz="4" w:space="0" w:color="auto"/>
              <w:right w:val="single" w:sz="4"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c>
          <w:tcPr>
            <w:tcW w:w="1960" w:type="dxa"/>
            <w:tcBorders>
              <w:top w:val="nil"/>
              <w:left w:val="nil"/>
              <w:bottom w:val="single" w:sz="4" w:space="0" w:color="auto"/>
              <w:right w:val="single" w:sz="4" w:space="0" w:color="auto"/>
            </w:tcBorders>
            <w:shd w:val="clear" w:color="auto" w:fill="auto"/>
            <w:vAlign w:val="center"/>
            <w:hideMark/>
          </w:tcPr>
          <w:p w:rsidR="004D20AB" w:rsidRPr="00192A24" w:rsidRDefault="00192A24" w:rsidP="008710B9">
            <w:pPr>
              <w:spacing w:after="0"/>
              <w:jc w:val="center"/>
              <w:rPr>
                <w:rFonts w:ascii="Calibri" w:hAnsi="Calibri"/>
                <w:color w:val="000000"/>
                <w:sz w:val="20"/>
                <w:szCs w:val="20"/>
                <w:highlight w:val="black"/>
              </w:rPr>
            </w:pPr>
            <w:r>
              <w:rPr>
                <w:rFonts w:ascii="Calibri" w:hAnsi="Calibri"/>
                <w:noProof/>
                <w:color w:val="000000"/>
                <w:sz w:val="20"/>
                <w:szCs w:val="20"/>
                <w:highlight w:val="black"/>
              </w:rPr>
              <w:t>''''''''</w:t>
            </w:r>
          </w:p>
        </w:tc>
      </w:tr>
    </w:tbl>
    <w:p w:rsidR="004D20AB" w:rsidRPr="00E202A2" w:rsidRDefault="004D20AB" w:rsidP="004D20AB">
      <w:pPr>
        <w:widowControl w:val="0"/>
        <w:rPr>
          <w:rFonts w:ascii="Calibri" w:eastAsia="Times New Roman" w:hAnsi="Calibri" w:cs="Times New Roman"/>
          <w:iCs/>
          <w:snapToGrid w:val="0"/>
          <w:sz w:val="20"/>
          <w:szCs w:val="20"/>
          <w:lang w:eastAsia="en-US"/>
        </w:rPr>
      </w:pPr>
      <w:r w:rsidRPr="00E202A2">
        <w:rPr>
          <w:rFonts w:ascii="Calibri" w:eastAsia="Times New Roman" w:hAnsi="Calibri" w:cs="Times New Roman"/>
          <w:iCs/>
          <w:snapToGrid w:val="0"/>
          <w:sz w:val="20"/>
          <w:szCs w:val="20"/>
          <w:lang w:eastAsia="en-US"/>
        </w:rPr>
        <w:t>Source:</w:t>
      </w:r>
      <w:r>
        <w:rPr>
          <w:rFonts w:ascii="Calibri" w:eastAsia="Times New Roman" w:hAnsi="Calibri" w:cs="Times New Roman"/>
          <w:iCs/>
          <w:snapToGrid w:val="0"/>
          <w:sz w:val="20"/>
          <w:szCs w:val="20"/>
          <w:lang w:eastAsia="en-US"/>
        </w:rPr>
        <w:t xml:space="preserve"> Predicted values - </w:t>
      </w:r>
      <w:r w:rsidRPr="00E202A2">
        <w:rPr>
          <w:rFonts w:ascii="Calibri" w:eastAsia="Times New Roman" w:hAnsi="Calibri" w:cs="Times New Roman"/>
          <w:iCs/>
          <w:snapToGrid w:val="0"/>
          <w:sz w:val="20"/>
          <w:szCs w:val="20"/>
          <w:lang w:eastAsia="en-US"/>
        </w:rPr>
        <w:t>Final agreed estimates</w:t>
      </w:r>
      <w:r>
        <w:rPr>
          <w:rFonts w:ascii="Calibri" w:eastAsia="Times New Roman" w:hAnsi="Calibri" w:cs="Times New Roman"/>
          <w:iCs/>
          <w:snapToGrid w:val="0"/>
          <w:sz w:val="20"/>
          <w:szCs w:val="20"/>
          <w:lang w:eastAsia="en-US"/>
        </w:rPr>
        <w:t xml:space="preserve">; actual values - </w:t>
      </w:r>
      <w:r w:rsidRPr="00B87CD5">
        <w:rPr>
          <w:rFonts w:ascii="Calibri" w:eastAsia="MS Mincho" w:hAnsi="Calibri" w:cs="Times New Roman"/>
          <w:sz w:val="20"/>
        </w:rPr>
        <w:t xml:space="preserve">DHS </w:t>
      </w:r>
      <w:r>
        <w:rPr>
          <w:rFonts w:ascii="Calibri" w:eastAsia="MS Mincho" w:hAnsi="Calibri" w:cs="Times New Roman"/>
          <w:sz w:val="20"/>
        </w:rPr>
        <w:t xml:space="preserve">R/PBS </w:t>
      </w:r>
      <w:r w:rsidRPr="00B87CD5">
        <w:rPr>
          <w:rFonts w:ascii="Calibri" w:eastAsia="MS Mincho" w:hAnsi="Calibri" w:cs="Times New Roman"/>
          <w:sz w:val="20"/>
        </w:rPr>
        <w:t>prescription claims database</w:t>
      </w:r>
      <w:r>
        <w:rPr>
          <w:rFonts w:ascii="Calibri" w:eastAsia="MS Mincho" w:hAnsi="Calibri" w:cs="Times New Roman"/>
          <w:sz w:val="20"/>
        </w:rPr>
        <w:t xml:space="preserve"> (</w:t>
      </w:r>
      <w:r w:rsidRPr="00B87CD5">
        <w:rPr>
          <w:rFonts w:ascii="Calibri" w:eastAsia="MS Mincho" w:hAnsi="Calibri" w:cs="Times New Roman"/>
          <w:sz w:val="20"/>
        </w:rPr>
        <w:t xml:space="preserve">accessed </w:t>
      </w:r>
      <w:r>
        <w:rPr>
          <w:rFonts w:ascii="Calibri" w:eastAsia="MS Mincho" w:hAnsi="Calibri" w:cs="Times New Roman"/>
          <w:sz w:val="20"/>
        </w:rPr>
        <w:t>13/11/</w:t>
      </w:r>
      <w:r w:rsidRPr="00B87CD5">
        <w:rPr>
          <w:rFonts w:ascii="Calibri" w:eastAsia="MS Mincho" w:hAnsi="Calibri" w:cs="Times New Roman"/>
          <w:sz w:val="20"/>
        </w:rPr>
        <w:t>201</w:t>
      </w:r>
      <w:r>
        <w:rPr>
          <w:rFonts w:ascii="Calibri" w:eastAsia="MS Mincho" w:hAnsi="Calibri" w:cs="Times New Roman"/>
          <w:sz w:val="20"/>
        </w:rPr>
        <w:t>7)</w:t>
      </w:r>
    </w:p>
    <w:p w:rsidR="004D20AB" w:rsidRPr="00E202A2" w:rsidRDefault="004D20AB" w:rsidP="004D20AB">
      <w:pPr>
        <w:rPr>
          <w:rFonts w:ascii="Calibri" w:eastAsia="Times New Roman" w:hAnsi="Calibri" w:cs="Times New Roman"/>
          <w:iCs/>
          <w:snapToGrid w:val="0"/>
          <w:lang w:eastAsia="en-US"/>
        </w:rPr>
      </w:pPr>
      <w:r w:rsidRPr="00E202A2">
        <w:rPr>
          <w:rFonts w:ascii="Calibri" w:eastAsia="Times New Roman" w:hAnsi="Calibri" w:cs="Times New Roman"/>
          <w:iCs/>
          <w:snapToGrid w:val="0"/>
          <w:lang w:eastAsia="en-US"/>
        </w:rPr>
        <w:t xml:space="preserve">Prescription utilisation of pertuzumab was less than predicted in Year 1 and more than predicted in Year 2. Across the two years prescription utilisation was approximately equal to predicted. </w:t>
      </w:r>
      <w:r>
        <w:rPr>
          <w:rFonts w:ascii="Calibri" w:eastAsia="Times New Roman" w:hAnsi="Calibri" w:cs="Times New Roman"/>
          <w:iCs/>
          <w:snapToGrid w:val="0"/>
          <w:lang w:eastAsia="en-US"/>
        </w:rPr>
        <w:t>T</w:t>
      </w:r>
      <w:r w:rsidRPr="00E202A2">
        <w:rPr>
          <w:rFonts w:ascii="Calibri" w:eastAsia="Times New Roman" w:hAnsi="Calibri" w:cs="Times New Roman"/>
          <w:iCs/>
          <w:snapToGrid w:val="0"/>
          <w:lang w:eastAsia="en-US"/>
        </w:rPr>
        <w:t>he number of patient</w:t>
      </w:r>
      <w:r>
        <w:rPr>
          <w:rFonts w:ascii="Calibri" w:eastAsia="Times New Roman" w:hAnsi="Calibri" w:cs="Times New Roman"/>
          <w:iCs/>
          <w:snapToGrid w:val="0"/>
          <w:lang w:eastAsia="en-US"/>
        </w:rPr>
        <w:t>s</w:t>
      </w:r>
      <w:r w:rsidRPr="00E202A2">
        <w:rPr>
          <w:rFonts w:ascii="Calibri" w:eastAsia="Times New Roman" w:hAnsi="Calibri" w:cs="Times New Roman"/>
          <w:iCs/>
          <w:snapToGrid w:val="0"/>
          <w:lang w:eastAsia="en-US"/>
        </w:rPr>
        <w:t xml:space="preserve"> was greater than predicted</w:t>
      </w:r>
      <w:r w:rsidR="00BE354B">
        <w:rPr>
          <w:rFonts w:ascii="Calibri" w:eastAsia="Times New Roman" w:hAnsi="Calibri" w:cs="Times New Roman"/>
          <w:iCs/>
          <w:snapToGrid w:val="0"/>
          <w:lang w:eastAsia="en-US"/>
        </w:rPr>
        <w:t xml:space="preserve">. </w:t>
      </w:r>
      <w:r>
        <w:rPr>
          <w:rFonts w:ascii="Calibri" w:eastAsia="Times New Roman" w:hAnsi="Calibri" w:cs="Times New Roman"/>
          <w:iCs/>
          <w:snapToGrid w:val="0"/>
          <w:lang w:eastAsia="en-US"/>
        </w:rPr>
        <w:t xml:space="preserve">DUSC considered that uptake of pertuzumab would be around </w:t>
      </w:r>
      <w:r w:rsidRPr="00B91B4E">
        <w:rPr>
          <w:rFonts w:ascii="Calibri" w:eastAsia="Times New Roman" w:hAnsi="Calibri" w:cs="Times New Roman"/>
          <w:iCs/>
          <w:snapToGrid w:val="0"/>
          <w:lang w:eastAsia="en-US"/>
        </w:rPr>
        <w:t>100</w:t>
      </w:r>
      <w:r>
        <w:rPr>
          <w:rFonts w:ascii="Calibri" w:eastAsia="Times New Roman" w:hAnsi="Calibri" w:cs="Times New Roman"/>
          <w:iCs/>
          <w:snapToGrid w:val="0"/>
          <w:lang w:eastAsia="en-US"/>
        </w:rPr>
        <w:t xml:space="preserve">%, although </w:t>
      </w:r>
      <w:r w:rsidRPr="00545BDD">
        <w:rPr>
          <w:rFonts w:ascii="Calibri" w:eastAsia="Times New Roman" w:hAnsi="Calibri" w:cs="Times New Roman"/>
          <w:iCs/>
          <w:snapToGrid w:val="0"/>
          <w:lang w:eastAsia="en-US"/>
        </w:rPr>
        <w:t>95</w:t>
      </w:r>
      <w:r>
        <w:rPr>
          <w:rFonts w:ascii="Calibri" w:eastAsia="Times New Roman" w:hAnsi="Calibri" w:cs="Times New Roman"/>
          <w:iCs/>
          <w:snapToGrid w:val="0"/>
          <w:lang w:eastAsia="en-US"/>
        </w:rPr>
        <w:t>% was used in the model. T</w:t>
      </w:r>
      <w:r w:rsidRPr="00E202A2">
        <w:rPr>
          <w:rFonts w:ascii="Calibri" w:eastAsia="Times New Roman" w:hAnsi="Calibri" w:cs="Times New Roman"/>
          <w:iCs/>
          <w:snapToGrid w:val="0"/>
          <w:lang w:eastAsia="en-US"/>
        </w:rPr>
        <w:t>he number of prescriptions per patient was less than predicted in both years</w:t>
      </w:r>
      <w:r>
        <w:rPr>
          <w:rFonts w:ascii="Calibri" w:eastAsia="Times New Roman" w:hAnsi="Calibri" w:cs="Times New Roman"/>
          <w:iCs/>
          <w:snapToGrid w:val="0"/>
          <w:lang w:eastAsia="en-US"/>
        </w:rPr>
        <w:t xml:space="preserve">. This review identified that the model did not adequately account for patients commencing treatment throughout the year and so the predicted prescriptions per patient and associated costs were a small overestimate. Refer to Section 3 for further information on duration of treatment analysis. </w:t>
      </w:r>
    </w:p>
    <w:p w:rsidR="004D20AB" w:rsidRPr="00E202A2" w:rsidRDefault="004D20AB" w:rsidP="004D20AB">
      <w:pPr>
        <w:spacing w:after="0"/>
      </w:pPr>
      <w:r w:rsidRPr="00E202A2">
        <w:rPr>
          <w:rFonts w:ascii="Calibri" w:eastAsia="Times New Roman" w:hAnsi="Calibri" w:cs="Times New Roman"/>
          <w:b/>
          <w:bCs/>
        </w:rPr>
        <w:t xml:space="preserve">Table </w:t>
      </w:r>
      <w:r>
        <w:rPr>
          <w:rFonts w:ascii="Calibri" w:eastAsia="Times New Roman" w:hAnsi="Calibri" w:cs="Times New Roman"/>
          <w:b/>
          <w:bCs/>
        </w:rPr>
        <w:t>6</w:t>
      </w:r>
      <w:r w:rsidRPr="00E202A2">
        <w:rPr>
          <w:rFonts w:ascii="Calibri" w:eastAsia="Times New Roman" w:hAnsi="Calibri" w:cs="Times New Roman"/>
          <w:b/>
          <w:bCs/>
        </w:rPr>
        <w:t xml:space="preserve">: Combined prescriptions and R/PBS expenditure for </w:t>
      </w:r>
      <w:r w:rsidRPr="00E202A2">
        <w:rPr>
          <w:rFonts w:ascii="Calibri" w:eastAsia="Times New Roman" w:hAnsi="Calibri" w:cs="Times New Roman"/>
          <w:b/>
          <w:iCs/>
          <w:snapToGrid w:val="0"/>
          <w:lang w:eastAsia="en-US"/>
        </w:rPr>
        <w:t xml:space="preserve">trastuzumab, </w:t>
      </w:r>
      <w:r w:rsidRPr="00E202A2">
        <w:rPr>
          <w:rFonts w:ascii="Calibri" w:eastAsia="MS Mincho" w:hAnsi="Calibri" w:cs="Times New Roman"/>
          <w:b/>
        </w:rPr>
        <w:t>T-DM1</w:t>
      </w:r>
      <w:r w:rsidRPr="00E202A2">
        <w:rPr>
          <w:rFonts w:ascii="Calibri" w:eastAsia="Times New Roman" w:hAnsi="Calibri" w:cs="Times New Roman"/>
          <w:b/>
          <w:iCs/>
          <w:snapToGrid w:val="0"/>
          <w:lang w:eastAsia="en-US"/>
        </w:rPr>
        <w:t xml:space="preserve"> and pertuzumab for </w:t>
      </w:r>
      <w:r w:rsidRPr="00E202A2">
        <w:rPr>
          <w:rFonts w:ascii="Calibri" w:eastAsia="Times New Roman" w:hAnsi="Calibri" w:cs="Times New Roman"/>
          <w:b/>
          <w:bCs/>
        </w:rPr>
        <w:t>MBC.</w:t>
      </w:r>
    </w:p>
    <w:tbl>
      <w:tblPr>
        <w:tblW w:w="8745" w:type="dxa"/>
        <w:tblInd w:w="93" w:type="dxa"/>
        <w:tblLook w:val="04A0" w:firstRow="1" w:lastRow="0" w:firstColumn="1" w:lastColumn="0" w:noHBand="0" w:noVBand="1"/>
      </w:tblPr>
      <w:tblGrid>
        <w:gridCol w:w="3005"/>
        <w:gridCol w:w="2098"/>
        <w:gridCol w:w="1936"/>
        <w:gridCol w:w="1706"/>
      </w:tblGrid>
      <w:tr w:rsidR="004D20AB" w:rsidRPr="00E202A2" w:rsidTr="008710B9">
        <w:trPr>
          <w:trHeight w:val="315"/>
        </w:trPr>
        <w:tc>
          <w:tcPr>
            <w:tcW w:w="3005"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w:t>
            </w:r>
          </w:p>
        </w:tc>
        <w:tc>
          <w:tcPr>
            <w:tcW w:w="209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D20AB" w:rsidRPr="00E202A2" w:rsidRDefault="004D20AB" w:rsidP="008710B9">
            <w:pPr>
              <w:spacing w:after="0"/>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 </w:t>
            </w:r>
          </w:p>
        </w:tc>
        <w:tc>
          <w:tcPr>
            <w:tcW w:w="1936" w:type="dxa"/>
            <w:tcBorders>
              <w:top w:val="single" w:sz="8" w:space="0" w:color="auto"/>
              <w:left w:val="nil"/>
              <w:bottom w:val="single" w:sz="8" w:space="0" w:color="auto"/>
              <w:right w:val="single" w:sz="8"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Year1</w:t>
            </w:r>
          </w:p>
        </w:tc>
        <w:tc>
          <w:tcPr>
            <w:tcW w:w="1706" w:type="dxa"/>
            <w:tcBorders>
              <w:top w:val="single" w:sz="8" w:space="0" w:color="auto"/>
              <w:left w:val="nil"/>
              <w:bottom w:val="single" w:sz="8" w:space="0" w:color="auto"/>
              <w:right w:val="single" w:sz="8"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Year 2</w:t>
            </w:r>
          </w:p>
        </w:tc>
      </w:tr>
      <w:tr w:rsidR="004D20AB" w:rsidRPr="00E202A2" w:rsidTr="008710B9">
        <w:trPr>
          <w:trHeight w:val="315"/>
        </w:trPr>
        <w:tc>
          <w:tcPr>
            <w:tcW w:w="3005" w:type="dxa"/>
            <w:vMerge/>
            <w:tcBorders>
              <w:top w:val="single" w:sz="8" w:space="0" w:color="auto"/>
              <w:left w:val="single" w:sz="8" w:space="0" w:color="auto"/>
              <w:bottom w:val="single" w:sz="8" w:space="0" w:color="000000"/>
              <w:right w:val="single" w:sz="8"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098" w:type="dxa"/>
            <w:vMerge/>
            <w:tcBorders>
              <w:top w:val="single" w:sz="8" w:space="0" w:color="auto"/>
              <w:left w:val="single" w:sz="8" w:space="0" w:color="auto"/>
              <w:bottom w:val="single" w:sz="8" w:space="0" w:color="000000"/>
              <w:right w:val="single" w:sz="8" w:space="0" w:color="auto"/>
            </w:tcBorders>
            <w:vAlign w:val="center"/>
            <w:hideMark/>
          </w:tcPr>
          <w:p w:rsidR="004D20AB" w:rsidRPr="00E202A2" w:rsidRDefault="004D20AB" w:rsidP="008710B9">
            <w:pPr>
              <w:spacing w:after="0"/>
              <w:rPr>
                <w:rFonts w:ascii="Calibri" w:eastAsia="Times New Roman" w:hAnsi="Calibri" w:cs="Times New Roman"/>
                <w:b/>
                <w:bCs/>
                <w:color w:val="000000"/>
                <w:sz w:val="20"/>
                <w:szCs w:val="20"/>
              </w:rPr>
            </w:pPr>
          </w:p>
        </w:tc>
        <w:tc>
          <w:tcPr>
            <w:tcW w:w="1936" w:type="dxa"/>
            <w:tcBorders>
              <w:top w:val="nil"/>
              <w:left w:val="nil"/>
              <w:bottom w:val="single" w:sz="8" w:space="0" w:color="auto"/>
              <w:right w:val="single" w:sz="8"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July 15 to June 16</w:t>
            </w:r>
          </w:p>
        </w:tc>
        <w:tc>
          <w:tcPr>
            <w:tcW w:w="1706" w:type="dxa"/>
            <w:tcBorders>
              <w:top w:val="nil"/>
              <w:left w:val="nil"/>
              <w:bottom w:val="single" w:sz="8" w:space="0" w:color="auto"/>
              <w:right w:val="single" w:sz="8" w:space="0" w:color="auto"/>
            </w:tcBorders>
            <w:shd w:val="clear" w:color="000000" w:fill="BFBFBF"/>
            <w:noWrap/>
            <w:vAlign w:val="center"/>
            <w:hideMark/>
          </w:tcPr>
          <w:p w:rsidR="004D20AB" w:rsidRPr="00E202A2" w:rsidRDefault="004D20AB" w:rsidP="008710B9">
            <w:pPr>
              <w:spacing w:after="0"/>
              <w:jc w:val="center"/>
              <w:rPr>
                <w:rFonts w:ascii="Calibri" w:eastAsia="Times New Roman" w:hAnsi="Calibri" w:cs="Times New Roman"/>
                <w:b/>
                <w:bCs/>
                <w:color w:val="000000"/>
                <w:sz w:val="20"/>
                <w:szCs w:val="20"/>
              </w:rPr>
            </w:pPr>
            <w:r w:rsidRPr="00E202A2">
              <w:rPr>
                <w:rFonts w:ascii="Calibri" w:eastAsia="Times New Roman" w:hAnsi="Calibri" w:cs="Times New Roman"/>
                <w:b/>
                <w:bCs/>
                <w:color w:val="000000"/>
                <w:sz w:val="20"/>
                <w:szCs w:val="20"/>
              </w:rPr>
              <w:t>July 16 to June 17</w:t>
            </w:r>
          </w:p>
        </w:tc>
      </w:tr>
      <w:tr w:rsidR="004D20AB" w:rsidRPr="00E202A2" w:rsidTr="008710B9">
        <w:trPr>
          <w:trHeight w:val="315"/>
        </w:trPr>
        <w:tc>
          <w:tcPr>
            <w:tcW w:w="30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xml:space="preserve">Prescriptions </w:t>
            </w:r>
          </w:p>
        </w:tc>
        <w:tc>
          <w:tcPr>
            <w:tcW w:w="2098" w:type="dxa"/>
            <w:tcBorders>
              <w:top w:val="nil"/>
              <w:left w:val="nil"/>
              <w:bottom w:val="single" w:sz="8" w:space="0" w:color="auto"/>
              <w:right w:val="single" w:sz="8"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36" w:type="dxa"/>
            <w:tcBorders>
              <w:top w:val="nil"/>
              <w:left w:val="nil"/>
              <w:bottom w:val="single" w:sz="8" w:space="0" w:color="auto"/>
              <w:right w:val="single" w:sz="8" w:space="0" w:color="auto"/>
            </w:tcBorders>
            <w:shd w:val="clear" w:color="auto" w:fill="auto"/>
            <w:vAlign w:val="center"/>
            <w:hideMark/>
          </w:tcPr>
          <w:p w:rsidR="004D20AB" w:rsidRPr="00192A24" w:rsidRDefault="00192A24" w:rsidP="008710B9">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706" w:type="dxa"/>
            <w:tcBorders>
              <w:top w:val="nil"/>
              <w:left w:val="nil"/>
              <w:bottom w:val="single" w:sz="8" w:space="0" w:color="auto"/>
              <w:right w:val="single" w:sz="8" w:space="0" w:color="auto"/>
            </w:tcBorders>
            <w:shd w:val="clear" w:color="auto" w:fill="auto"/>
            <w:vAlign w:val="center"/>
            <w:hideMark/>
          </w:tcPr>
          <w:p w:rsidR="004D20AB" w:rsidRPr="00192A24" w:rsidRDefault="00192A24" w:rsidP="008710B9">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4D20AB" w:rsidRPr="00E202A2" w:rsidTr="008710B9">
        <w:trPr>
          <w:trHeight w:val="315"/>
        </w:trPr>
        <w:tc>
          <w:tcPr>
            <w:tcW w:w="3005" w:type="dxa"/>
            <w:vMerge/>
            <w:tcBorders>
              <w:top w:val="nil"/>
              <w:left w:val="single" w:sz="8" w:space="0" w:color="auto"/>
              <w:bottom w:val="single" w:sz="8" w:space="0" w:color="000000"/>
              <w:right w:val="single" w:sz="8"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098" w:type="dxa"/>
            <w:tcBorders>
              <w:top w:val="nil"/>
              <w:left w:val="nil"/>
              <w:bottom w:val="single" w:sz="8" w:space="0" w:color="auto"/>
              <w:right w:val="single" w:sz="8"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36" w:type="dxa"/>
            <w:tcBorders>
              <w:top w:val="nil"/>
              <w:left w:val="nil"/>
              <w:bottom w:val="single" w:sz="8" w:space="0" w:color="auto"/>
              <w:right w:val="single" w:sz="8" w:space="0" w:color="auto"/>
            </w:tcBorders>
            <w:shd w:val="clear" w:color="auto" w:fill="auto"/>
            <w:vAlign w:val="center"/>
            <w:hideMark/>
          </w:tcPr>
          <w:p w:rsidR="004D20AB" w:rsidRPr="00E202A2" w:rsidRDefault="004D20AB" w:rsidP="008710B9">
            <w:pPr>
              <w:spacing w:after="0"/>
              <w:jc w:val="center"/>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28,280</w:t>
            </w:r>
          </w:p>
        </w:tc>
        <w:tc>
          <w:tcPr>
            <w:tcW w:w="1706" w:type="dxa"/>
            <w:tcBorders>
              <w:top w:val="nil"/>
              <w:left w:val="nil"/>
              <w:bottom w:val="single" w:sz="8" w:space="0" w:color="auto"/>
              <w:right w:val="single" w:sz="8" w:space="0" w:color="auto"/>
            </w:tcBorders>
            <w:shd w:val="clear" w:color="auto" w:fill="auto"/>
            <w:vAlign w:val="center"/>
            <w:hideMark/>
          </w:tcPr>
          <w:p w:rsidR="004D20AB" w:rsidRPr="00E202A2" w:rsidRDefault="004D20AB" w:rsidP="008710B9">
            <w:pPr>
              <w:spacing w:after="0"/>
              <w:jc w:val="center"/>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34,083</w:t>
            </w:r>
          </w:p>
        </w:tc>
      </w:tr>
      <w:tr w:rsidR="004D20AB" w:rsidRPr="00E202A2" w:rsidTr="008710B9">
        <w:trPr>
          <w:trHeight w:val="315"/>
        </w:trPr>
        <w:tc>
          <w:tcPr>
            <w:tcW w:w="3005" w:type="dxa"/>
            <w:vMerge/>
            <w:tcBorders>
              <w:top w:val="nil"/>
              <w:left w:val="single" w:sz="8" w:space="0" w:color="auto"/>
              <w:bottom w:val="single" w:sz="8" w:space="0" w:color="000000"/>
              <w:right w:val="single" w:sz="8"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098" w:type="dxa"/>
            <w:tcBorders>
              <w:top w:val="nil"/>
              <w:left w:val="nil"/>
              <w:bottom w:val="single" w:sz="8" w:space="0" w:color="auto"/>
              <w:right w:val="single" w:sz="8"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36" w:type="dxa"/>
            <w:tcBorders>
              <w:top w:val="nil"/>
              <w:left w:val="nil"/>
              <w:bottom w:val="single" w:sz="8" w:space="0" w:color="auto"/>
              <w:right w:val="single" w:sz="8" w:space="0" w:color="auto"/>
            </w:tcBorders>
            <w:shd w:val="clear" w:color="auto" w:fill="auto"/>
            <w:vAlign w:val="center"/>
            <w:hideMark/>
          </w:tcPr>
          <w:p w:rsidR="004D20AB" w:rsidRPr="00192A24" w:rsidRDefault="00192A24" w:rsidP="008710B9">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706" w:type="dxa"/>
            <w:tcBorders>
              <w:top w:val="nil"/>
              <w:left w:val="nil"/>
              <w:bottom w:val="single" w:sz="8" w:space="0" w:color="auto"/>
              <w:right w:val="single" w:sz="8" w:space="0" w:color="auto"/>
            </w:tcBorders>
            <w:shd w:val="clear" w:color="auto" w:fill="auto"/>
            <w:vAlign w:val="center"/>
            <w:hideMark/>
          </w:tcPr>
          <w:p w:rsidR="004D20AB" w:rsidRPr="00192A24" w:rsidRDefault="00192A24" w:rsidP="008710B9">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4D20AB" w:rsidRPr="00E202A2" w:rsidTr="008710B9">
        <w:trPr>
          <w:trHeight w:val="315"/>
        </w:trPr>
        <w:tc>
          <w:tcPr>
            <w:tcW w:w="30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R/PBS expenditure (published)</w:t>
            </w:r>
          </w:p>
        </w:tc>
        <w:tc>
          <w:tcPr>
            <w:tcW w:w="2098" w:type="dxa"/>
            <w:tcBorders>
              <w:top w:val="nil"/>
              <w:left w:val="nil"/>
              <w:bottom w:val="single" w:sz="8" w:space="0" w:color="auto"/>
              <w:right w:val="single" w:sz="8"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Predicted (P)</w:t>
            </w:r>
          </w:p>
        </w:tc>
        <w:tc>
          <w:tcPr>
            <w:tcW w:w="1936" w:type="dxa"/>
            <w:tcBorders>
              <w:top w:val="nil"/>
              <w:left w:val="nil"/>
              <w:bottom w:val="single" w:sz="8" w:space="0" w:color="auto"/>
              <w:right w:val="single" w:sz="8" w:space="0" w:color="auto"/>
            </w:tcBorders>
            <w:shd w:val="clear" w:color="auto" w:fill="auto"/>
            <w:noWrap/>
            <w:vAlign w:val="center"/>
            <w:hideMark/>
          </w:tcPr>
          <w:p w:rsidR="004D20AB" w:rsidRPr="00192A24" w:rsidRDefault="00192A24" w:rsidP="008710B9">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706" w:type="dxa"/>
            <w:tcBorders>
              <w:top w:val="nil"/>
              <w:left w:val="nil"/>
              <w:bottom w:val="single" w:sz="8" w:space="0" w:color="auto"/>
              <w:right w:val="single" w:sz="8" w:space="0" w:color="auto"/>
            </w:tcBorders>
            <w:shd w:val="clear" w:color="auto" w:fill="auto"/>
            <w:noWrap/>
            <w:vAlign w:val="center"/>
            <w:hideMark/>
          </w:tcPr>
          <w:p w:rsidR="004D20AB" w:rsidRPr="00192A24" w:rsidRDefault="00192A24" w:rsidP="008710B9">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r w:rsidR="004D20AB" w:rsidRPr="00E202A2" w:rsidTr="008710B9">
        <w:trPr>
          <w:trHeight w:val="315"/>
        </w:trPr>
        <w:tc>
          <w:tcPr>
            <w:tcW w:w="3005" w:type="dxa"/>
            <w:vMerge/>
            <w:tcBorders>
              <w:top w:val="nil"/>
              <w:left w:val="single" w:sz="8" w:space="0" w:color="auto"/>
              <w:bottom w:val="single" w:sz="8" w:space="0" w:color="000000"/>
              <w:right w:val="single" w:sz="8"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098" w:type="dxa"/>
            <w:tcBorders>
              <w:top w:val="nil"/>
              <w:left w:val="nil"/>
              <w:bottom w:val="single" w:sz="8" w:space="0" w:color="auto"/>
              <w:right w:val="single" w:sz="8"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Actual (A)</w:t>
            </w:r>
          </w:p>
        </w:tc>
        <w:tc>
          <w:tcPr>
            <w:tcW w:w="1936" w:type="dxa"/>
            <w:tcBorders>
              <w:top w:val="nil"/>
              <w:left w:val="nil"/>
              <w:bottom w:val="single" w:sz="8" w:space="0" w:color="auto"/>
              <w:right w:val="single" w:sz="8" w:space="0" w:color="auto"/>
            </w:tcBorders>
            <w:shd w:val="clear" w:color="auto" w:fill="auto"/>
            <w:noWrap/>
            <w:vAlign w:val="center"/>
            <w:hideMark/>
          </w:tcPr>
          <w:p w:rsidR="004D20AB" w:rsidRPr="00E202A2" w:rsidRDefault="004D20AB" w:rsidP="008710B9">
            <w:pPr>
              <w:spacing w:after="0"/>
              <w:jc w:val="center"/>
              <w:rPr>
                <w:rFonts w:ascii="Calibri" w:eastAsia="Times New Roman" w:hAnsi="Calibri" w:cs="Times New Roman"/>
                <w:sz w:val="20"/>
                <w:szCs w:val="20"/>
              </w:rPr>
            </w:pPr>
            <w:r w:rsidRPr="00E202A2">
              <w:rPr>
                <w:rFonts w:ascii="Calibri" w:eastAsia="Times New Roman" w:hAnsi="Calibri" w:cs="Times New Roman"/>
                <w:sz w:val="20"/>
                <w:szCs w:val="20"/>
              </w:rPr>
              <w:t>$95,941,252</w:t>
            </w:r>
          </w:p>
        </w:tc>
        <w:tc>
          <w:tcPr>
            <w:tcW w:w="1706" w:type="dxa"/>
            <w:tcBorders>
              <w:top w:val="nil"/>
              <w:left w:val="nil"/>
              <w:bottom w:val="single" w:sz="8" w:space="0" w:color="auto"/>
              <w:right w:val="single" w:sz="8" w:space="0" w:color="auto"/>
            </w:tcBorders>
            <w:shd w:val="clear" w:color="auto" w:fill="auto"/>
            <w:noWrap/>
            <w:vAlign w:val="center"/>
            <w:hideMark/>
          </w:tcPr>
          <w:p w:rsidR="004D20AB" w:rsidRPr="00E202A2" w:rsidRDefault="004D20AB" w:rsidP="008710B9">
            <w:pPr>
              <w:spacing w:after="0"/>
              <w:jc w:val="center"/>
              <w:rPr>
                <w:rFonts w:ascii="Calibri" w:eastAsia="Times New Roman" w:hAnsi="Calibri" w:cs="Times New Roman"/>
                <w:sz w:val="20"/>
                <w:szCs w:val="20"/>
              </w:rPr>
            </w:pPr>
            <w:r w:rsidRPr="00E202A2">
              <w:rPr>
                <w:rFonts w:ascii="Calibri" w:eastAsia="Times New Roman" w:hAnsi="Calibri" w:cs="Times New Roman"/>
                <w:sz w:val="20"/>
                <w:szCs w:val="20"/>
              </w:rPr>
              <w:t>$112,649,729</w:t>
            </w:r>
          </w:p>
        </w:tc>
      </w:tr>
      <w:tr w:rsidR="004D20AB" w:rsidRPr="00E202A2" w:rsidTr="008710B9">
        <w:trPr>
          <w:trHeight w:val="315"/>
        </w:trPr>
        <w:tc>
          <w:tcPr>
            <w:tcW w:w="3005" w:type="dxa"/>
            <w:vMerge/>
            <w:tcBorders>
              <w:top w:val="nil"/>
              <w:left w:val="single" w:sz="8" w:space="0" w:color="auto"/>
              <w:bottom w:val="single" w:sz="8" w:space="0" w:color="000000"/>
              <w:right w:val="single" w:sz="8" w:space="0" w:color="auto"/>
            </w:tcBorders>
            <w:vAlign w:val="center"/>
            <w:hideMark/>
          </w:tcPr>
          <w:p w:rsidR="004D20AB" w:rsidRPr="00E202A2" w:rsidRDefault="004D20AB" w:rsidP="008710B9">
            <w:pPr>
              <w:spacing w:after="0"/>
              <w:rPr>
                <w:rFonts w:ascii="Calibri" w:eastAsia="Times New Roman" w:hAnsi="Calibri" w:cs="Times New Roman"/>
                <w:color w:val="000000"/>
                <w:sz w:val="20"/>
                <w:szCs w:val="20"/>
              </w:rPr>
            </w:pPr>
          </w:p>
        </w:tc>
        <w:tc>
          <w:tcPr>
            <w:tcW w:w="2098" w:type="dxa"/>
            <w:tcBorders>
              <w:top w:val="nil"/>
              <w:left w:val="nil"/>
              <w:bottom w:val="single" w:sz="8" w:space="0" w:color="auto"/>
              <w:right w:val="single" w:sz="8" w:space="0" w:color="auto"/>
            </w:tcBorders>
            <w:shd w:val="clear" w:color="auto" w:fill="auto"/>
            <w:vAlign w:val="center"/>
            <w:hideMark/>
          </w:tcPr>
          <w:p w:rsidR="004D20AB" w:rsidRPr="00E202A2" w:rsidRDefault="004D20AB" w:rsidP="008710B9">
            <w:pPr>
              <w:spacing w:after="0"/>
              <w:rPr>
                <w:rFonts w:ascii="Calibri" w:eastAsia="Times New Roman" w:hAnsi="Calibri" w:cs="Times New Roman"/>
                <w:color w:val="000000"/>
                <w:sz w:val="20"/>
                <w:szCs w:val="20"/>
              </w:rPr>
            </w:pPr>
            <w:r w:rsidRPr="00E202A2">
              <w:rPr>
                <w:rFonts w:ascii="Calibri" w:eastAsia="Times New Roman" w:hAnsi="Calibri" w:cs="Times New Roman"/>
                <w:color w:val="000000"/>
                <w:sz w:val="20"/>
                <w:szCs w:val="20"/>
              </w:rPr>
              <w:t>% Difference (A-P)/P</w:t>
            </w:r>
          </w:p>
        </w:tc>
        <w:tc>
          <w:tcPr>
            <w:tcW w:w="1936" w:type="dxa"/>
            <w:tcBorders>
              <w:top w:val="nil"/>
              <w:left w:val="nil"/>
              <w:bottom w:val="single" w:sz="8" w:space="0" w:color="auto"/>
              <w:right w:val="single" w:sz="8" w:space="0" w:color="auto"/>
            </w:tcBorders>
            <w:shd w:val="clear" w:color="auto" w:fill="auto"/>
            <w:vAlign w:val="center"/>
            <w:hideMark/>
          </w:tcPr>
          <w:p w:rsidR="004D20AB" w:rsidRPr="00192A24" w:rsidRDefault="00192A24" w:rsidP="008710B9">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c>
          <w:tcPr>
            <w:tcW w:w="1706" w:type="dxa"/>
            <w:tcBorders>
              <w:top w:val="nil"/>
              <w:left w:val="nil"/>
              <w:bottom w:val="single" w:sz="8" w:space="0" w:color="auto"/>
              <w:right w:val="single" w:sz="8" w:space="0" w:color="auto"/>
            </w:tcBorders>
            <w:shd w:val="clear" w:color="auto" w:fill="auto"/>
            <w:vAlign w:val="center"/>
            <w:hideMark/>
          </w:tcPr>
          <w:p w:rsidR="004D20AB" w:rsidRPr="00192A24" w:rsidRDefault="00192A24" w:rsidP="008710B9">
            <w:pPr>
              <w:spacing w:after="0"/>
              <w:jc w:val="center"/>
              <w:rPr>
                <w:rFonts w:ascii="Calibri" w:eastAsia="Times New Roman" w:hAnsi="Calibri" w:cs="Times New Roman"/>
                <w:color w:val="000000"/>
                <w:sz w:val="20"/>
                <w:szCs w:val="20"/>
                <w:highlight w:val="black"/>
              </w:rPr>
            </w:pPr>
            <w:r>
              <w:rPr>
                <w:rFonts w:ascii="Calibri" w:eastAsia="Times New Roman" w:hAnsi="Calibri" w:cs="Times New Roman"/>
                <w:noProof/>
                <w:color w:val="000000"/>
                <w:sz w:val="20"/>
                <w:szCs w:val="20"/>
                <w:highlight w:val="black"/>
              </w:rPr>
              <w:t>'''''''''</w:t>
            </w:r>
          </w:p>
        </w:tc>
      </w:tr>
    </w:tbl>
    <w:p w:rsidR="004D20AB" w:rsidRPr="00E202A2" w:rsidRDefault="004D20AB" w:rsidP="004D20AB">
      <w:pPr>
        <w:widowControl w:val="0"/>
        <w:rPr>
          <w:rFonts w:ascii="Calibri" w:eastAsia="Times New Roman" w:hAnsi="Calibri" w:cs="Times New Roman"/>
          <w:iCs/>
          <w:snapToGrid w:val="0"/>
          <w:sz w:val="20"/>
          <w:szCs w:val="20"/>
          <w:lang w:eastAsia="en-US"/>
        </w:rPr>
      </w:pPr>
      <w:r w:rsidRPr="00E202A2">
        <w:rPr>
          <w:rFonts w:ascii="Calibri" w:eastAsia="Times New Roman" w:hAnsi="Calibri" w:cs="Times New Roman"/>
          <w:iCs/>
          <w:snapToGrid w:val="0"/>
          <w:sz w:val="20"/>
          <w:szCs w:val="20"/>
          <w:lang w:eastAsia="en-US"/>
        </w:rPr>
        <w:t>Source:</w:t>
      </w:r>
      <w:r>
        <w:rPr>
          <w:rFonts w:ascii="Calibri" w:eastAsia="Times New Roman" w:hAnsi="Calibri" w:cs="Times New Roman"/>
          <w:iCs/>
          <w:snapToGrid w:val="0"/>
          <w:sz w:val="20"/>
          <w:szCs w:val="20"/>
          <w:lang w:eastAsia="en-US"/>
        </w:rPr>
        <w:t xml:space="preserve"> Predicted values - </w:t>
      </w:r>
      <w:r w:rsidRPr="00E202A2">
        <w:rPr>
          <w:rFonts w:ascii="Calibri" w:eastAsia="Times New Roman" w:hAnsi="Calibri" w:cs="Times New Roman"/>
          <w:iCs/>
          <w:snapToGrid w:val="0"/>
          <w:sz w:val="20"/>
          <w:szCs w:val="20"/>
          <w:lang w:eastAsia="en-US"/>
        </w:rPr>
        <w:t>Final agreed estimates</w:t>
      </w:r>
      <w:r>
        <w:rPr>
          <w:rFonts w:ascii="Calibri" w:eastAsia="Times New Roman" w:hAnsi="Calibri" w:cs="Times New Roman"/>
          <w:iCs/>
          <w:snapToGrid w:val="0"/>
          <w:sz w:val="20"/>
          <w:szCs w:val="20"/>
          <w:lang w:eastAsia="en-US"/>
        </w:rPr>
        <w:t xml:space="preserve">; actual values - </w:t>
      </w:r>
      <w:r w:rsidRPr="00B87CD5">
        <w:rPr>
          <w:rFonts w:ascii="Calibri" w:eastAsia="MS Mincho" w:hAnsi="Calibri" w:cs="Times New Roman"/>
          <w:sz w:val="20"/>
        </w:rPr>
        <w:t xml:space="preserve">DHS </w:t>
      </w:r>
      <w:r>
        <w:rPr>
          <w:rFonts w:ascii="Calibri" w:eastAsia="MS Mincho" w:hAnsi="Calibri" w:cs="Times New Roman"/>
          <w:sz w:val="20"/>
        </w:rPr>
        <w:t xml:space="preserve">R/PBS </w:t>
      </w:r>
      <w:r w:rsidRPr="00B87CD5">
        <w:rPr>
          <w:rFonts w:ascii="Calibri" w:eastAsia="MS Mincho" w:hAnsi="Calibri" w:cs="Times New Roman"/>
          <w:sz w:val="20"/>
        </w:rPr>
        <w:t>prescription claims database</w:t>
      </w:r>
      <w:r>
        <w:rPr>
          <w:rFonts w:ascii="Calibri" w:eastAsia="MS Mincho" w:hAnsi="Calibri" w:cs="Times New Roman"/>
          <w:sz w:val="20"/>
        </w:rPr>
        <w:t xml:space="preserve"> (</w:t>
      </w:r>
      <w:r w:rsidRPr="00B87CD5">
        <w:rPr>
          <w:rFonts w:ascii="Calibri" w:eastAsia="MS Mincho" w:hAnsi="Calibri" w:cs="Times New Roman"/>
          <w:sz w:val="20"/>
        </w:rPr>
        <w:t xml:space="preserve">accessed </w:t>
      </w:r>
      <w:r>
        <w:rPr>
          <w:rFonts w:ascii="Calibri" w:eastAsia="MS Mincho" w:hAnsi="Calibri" w:cs="Times New Roman"/>
          <w:sz w:val="20"/>
        </w:rPr>
        <w:t>13/11/</w:t>
      </w:r>
      <w:r w:rsidRPr="00B87CD5">
        <w:rPr>
          <w:rFonts w:ascii="Calibri" w:eastAsia="MS Mincho" w:hAnsi="Calibri" w:cs="Times New Roman"/>
          <w:sz w:val="20"/>
        </w:rPr>
        <w:t>201</w:t>
      </w:r>
      <w:r>
        <w:rPr>
          <w:rFonts w:ascii="Calibri" w:eastAsia="MS Mincho" w:hAnsi="Calibri" w:cs="Times New Roman"/>
          <w:sz w:val="20"/>
        </w:rPr>
        <w:t>7)</w:t>
      </w:r>
    </w:p>
    <w:p w:rsidR="004D20AB" w:rsidRDefault="004D20AB" w:rsidP="004D20AB">
      <w:r w:rsidRPr="00E202A2">
        <w:t xml:space="preserve">The combined prescription utilisation for the three drugs was </w:t>
      </w:r>
      <w:r w:rsidR="00192A24">
        <w:rPr>
          <w:noProof/>
          <w:color w:val="000000"/>
          <w:highlight w:val="black"/>
        </w:rPr>
        <w:t>''''''''' '''</w:t>
      </w:r>
      <w:r w:rsidRPr="00E202A2">
        <w:t xml:space="preserve">% more than predicted in Year 1. This increased in Year 2 to </w:t>
      </w:r>
      <w:r w:rsidR="00192A24">
        <w:rPr>
          <w:noProof/>
          <w:color w:val="000000"/>
          <w:highlight w:val="black"/>
        </w:rPr>
        <w:t>'''''</w:t>
      </w:r>
      <w:r w:rsidRPr="00E202A2">
        <w:t>% more than predicted. The more than predicted utilisation of trastuzumab is cancelled out to some extent by the less than predicted use of T-DM1.</w:t>
      </w:r>
    </w:p>
    <w:p w:rsidR="004D20AB" w:rsidRPr="00751DCE" w:rsidRDefault="004D20AB" w:rsidP="004D20AB">
      <w:r>
        <w:t xml:space="preserve">The estimates were based on the number of patients treated for metastatic disease on the Herceptin Program using the average increase per annum to impute future patient numbers. As patients are expected to remain on treatment for longer periods of time with the new pharmacotherapies available, the prevalence of treated patients will increase, so the model may have underestimated the increase in prevalence. </w:t>
      </w:r>
    </w:p>
    <w:p w:rsidR="004D20AB" w:rsidRDefault="004D20AB">
      <w:pPr>
        <w:spacing w:line="276" w:lineRule="auto"/>
        <w:rPr>
          <w:rFonts w:ascii="Calibri" w:eastAsia="Times New Roman" w:hAnsi="Calibri" w:cs="Times New Roman"/>
          <w:b/>
          <w:iCs/>
          <w:snapToGrid w:val="0"/>
          <w:sz w:val="28"/>
          <w:lang w:eastAsia="en-US"/>
        </w:rPr>
      </w:pPr>
      <w:r>
        <w:rPr>
          <w:rFonts w:ascii="Calibri" w:eastAsia="Times New Roman" w:hAnsi="Calibri" w:cs="Times New Roman"/>
          <w:b/>
          <w:iCs/>
          <w:snapToGrid w:val="0"/>
          <w:sz w:val="28"/>
          <w:lang w:eastAsia="en-US"/>
        </w:rPr>
        <w:br w:type="page"/>
      </w:r>
    </w:p>
    <w:p w:rsidR="005F4A5A" w:rsidRPr="004B7231" w:rsidRDefault="005F4A5A" w:rsidP="005F4A5A">
      <w:pPr>
        <w:spacing w:line="276" w:lineRule="auto"/>
        <w:rPr>
          <w:rFonts w:ascii="Calibri" w:eastAsia="Times New Roman" w:hAnsi="Calibri" w:cs="Times New Roman"/>
          <w:b/>
          <w:iCs/>
          <w:snapToGrid w:val="0"/>
          <w:sz w:val="28"/>
          <w:lang w:eastAsia="en-US"/>
        </w:rPr>
      </w:pPr>
      <w:r>
        <w:rPr>
          <w:rFonts w:ascii="Calibri" w:eastAsia="Times New Roman" w:hAnsi="Calibri" w:cs="Times New Roman"/>
          <w:b/>
          <w:iCs/>
          <w:snapToGrid w:val="0"/>
          <w:sz w:val="28"/>
          <w:lang w:eastAsia="en-US"/>
        </w:rPr>
        <w:t>3. D</w:t>
      </w:r>
      <w:r w:rsidRPr="004B7231">
        <w:rPr>
          <w:rFonts w:ascii="Calibri" w:eastAsia="Times New Roman" w:hAnsi="Calibri" w:cs="Times New Roman"/>
          <w:b/>
          <w:iCs/>
          <w:snapToGrid w:val="0"/>
          <w:sz w:val="28"/>
          <w:lang w:eastAsia="en-US"/>
        </w:rPr>
        <w:t xml:space="preserve">uration of therapy </w:t>
      </w:r>
    </w:p>
    <w:p w:rsidR="005F4A5A" w:rsidRPr="00CB277B" w:rsidRDefault="005F4A5A" w:rsidP="005F4A5A">
      <w:pPr>
        <w:spacing w:line="276" w:lineRule="auto"/>
        <w:rPr>
          <w:rFonts w:ascii="Calibri" w:eastAsia="Times New Roman" w:hAnsi="Calibri" w:cs="Times New Roman"/>
          <w:b/>
          <w:i/>
          <w:iCs/>
          <w:snapToGrid w:val="0"/>
          <w:lang w:eastAsia="en-US"/>
        </w:rPr>
      </w:pPr>
      <w:r w:rsidRPr="00CB277B">
        <w:rPr>
          <w:rFonts w:ascii="Calibri" w:eastAsia="Times New Roman" w:hAnsi="Calibri" w:cs="Times New Roman"/>
          <w:b/>
          <w:i/>
          <w:iCs/>
          <w:snapToGrid w:val="0"/>
          <w:lang w:eastAsia="en-US"/>
        </w:rPr>
        <w:t xml:space="preserve">Prescriptions per patient </w:t>
      </w:r>
    </w:p>
    <w:p w:rsidR="006247F0" w:rsidRDefault="005F4A5A" w:rsidP="00A6126C">
      <w:pPr>
        <w:rPr>
          <w:rFonts w:ascii="Calibri" w:eastAsia="MS Gothic" w:hAnsi="Calibri" w:cs="Times New Roman"/>
          <w:b/>
          <w:bCs/>
        </w:rPr>
      </w:pPr>
      <w:r>
        <w:rPr>
          <w:noProof/>
        </w:rPr>
        <w:drawing>
          <wp:inline distT="0" distB="0" distL="0" distR="0" wp14:anchorId="4AA77FF1" wp14:editId="16E40AE2">
            <wp:extent cx="5687695" cy="3715232"/>
            <wp:effectExtent l="0" t="0" r="27305" b="19050"/>
            <wp:docPr id="5" name="Chart 5" title="Figure 11: Distribution of the number of pertuzumab prescriptions per patient in the 21 months post initi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5F4A5A">
        <w:rPr>
          <w:rFonts w:ascii="Calibri" w:eastAsia="MS Gothic" w:hAnsi="Calibri" w:cs="Times New Roman"/>
          <w:b/>
          <w:bCs/>
        </w:rPr>
        <w:t>Figure 1</w:t>
      </w:r>
      <w:r w:rsidR="00DB079E">
        <w:rPr>
          <w:rFonts w:ascii="Calibri" w:eastAsia="MS Gothic" w:hAnsi="Calibri" w:cs="Times New Roman"/>
          <w:b/>
          <w:bCs/>
        </w:rPr>
        <w:t>1</w:t>
      </w:r>
      <w:r>
        <w:rPr>
          <w:rFonts w:ascii="Calibri" w:eastAsia="MS Gothic" w:hAnsi="Calibri" w:cs="Times New Roman"/>
          <w:b/>
          <w:bCs/>
        </w:rPr>
        <w:t xml:space="preserve">: Distribution of the number of pertuzumab prescriptions per patient in the 21 months </w:t>
      </w:r>
      <w:r w:rsidR="00A6126C">
        <w:rPr>
          <w:rFonts w:ascii="Calibri" w:eastAsia="MS Gothic" w:hAnsi="Calibri" w:cs="Times New Roman"/>
          <w:b/>
          <w:bCs/>
        </w:rPr>
        <w:t>post initiation.</w:t>
      </w:r>
      <w:r w:rsidR="00904B7E">
        <w:rPr>
          <w:rFonts w:ascii="Calibri" w:eastAsia="MS Gothic" w:hAnsi="Calibri" w:cs="Times New Roman"/>
          <w:b/>
          <w:bCs/>
        </w:rPr>
        <w:t xml:space="preserve"> </w:t>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30/11/</w:t>
      </w:r>
      <w:r w:rsidR="00904B7E" w:rsidRPr="00B87CD5">
        <w:rPr>
          <w:rFonts w:ascii="Calibri" w:eastAsia="MS Mincho" w:hAnsi="Calibri" w:cs="Times New Roman"/>
          <w:sz w:val="20"/>
        </w:rPr>
        <w:t>201</w:t>
      </w:r>
      <w:r w:rsidR="00904B7E">
        <w:rPr>
          <w:rFonts w:ascii="Calibri" w:eastAsia="MS Mincho" w:hAnsi="Calibri" w:cs="Times New Roman"/>
          <w:sz w:val="20"/>
        </w:rPr>
        <w:t>7)</w:t>
      </w:r>
    </w:p>
    <w:p w:rsidR="005F4A5A" w:rsidRDefault="006247F0" w:rsidP="00A6126C">
      <w:pPr>
        <w:rPr>
          <w:rFonts w:ascii="Calibri" w:eastAsia="MS Gothic" w:hAnsi="Calibri" w:cs="Times New Roman"/>
          <w:bCs/>
        </w:rPr>
      </w:pPr>
      <w:r w:rsidRPr="006247F0">
        <w:rPr>
          <w:rFonts w:ascii="Calibri" w:eastAsia="MS Gothic" w:hAnsi="Calibri" w:cs="Times New Roman"/>
          <w:bCs/>
        </w:rPr>
        <w:t xml:space="preserve">As per the </w:t>
      </w:r>
      <w:r>
        <w:rPr>
          <w:rFonts w:ascii="Calibri" w:eastAsia="MS Gothic" w:hAnsi="Calibri" w:cs="Times New Roman"/>
          <w:bCs/>
        </w:rPr>
        <w:t>M</w:t>
      </w:r>
      <w:r w:rsidR="008830F9">
        <w:rPr>
          <w:rFonts w:ascii="Calibri" w:eastAsia="MS Gothic" w:hAnsi="Calibri" w:cs="Times New Roman"/>
          <w:bCs/>
        </w:rPr>
        <w:t xml:space="preserve">ethod section, </w:t>
      </w:r>
      <w:r w:rsidR="00820713">
        <w:rPr>
          <w:rFonts w:ascii="Calibri" w:eastAsia="MS Gothic" w:hAnsi="Calibri" w:cs="Times New Roman"/>
          <w:bCs/>
        </w:rPr>
        <w:t xml:space="preserve">the </w:t>
      </w:r>
      <w:r w:rsidR="00A853B4">
        <w:rPr>
          <w:rFonts w:ascii="Calibri" w:eastAsia="MS Gothic" w:hAnsi="Calibri" w:cs="Times New Roman"/>
          <w:bCs/>
        </w:rPr>
        <w:t>number of pati</w:t>
      </w:r>
      <w:r w:rsidR="008830F9">
        <w:rPr>
          <w:rFonts w:ascii="Calibri" w:eastAsia="MS Gothic" w:hAnsi="Calibri" w:cs="Times New Roman"/>
          <w:bCs/>
        </w:rPr>
        <w:t>e</w:t>
      </w:r>
      <w:r w:rsidR="00A853B4">
        <w:rPr>
          <w:rFonts w:ascii="Calibri" w:eastAsia="MS Gothic" w:hAnsi="Calibri" w:cs="Times New Roman"/>
          <w:bCs/>
        </w:rPr>
        <w:t>n</w:t>
      </w:r>
      <w:r w:rsidR="008830F9">
        <w:rPr>
          <w:rFonts w:ascii="Calibri" w:eastAsia="MS Gothic" w:hAnsi="Calibri" w:cs="Times New Roman"/>
          <w:bCs/>
        </w:rPr>
        <w:t xml:space="preserve">ts in this analysis </w:t>
      </w:r>
      <w:r w:rsidR="00820713">
        <w:rPr>
          <w:rFonts w:ascii="Calibri" w:eastAsia="MS Gothic" w:hAnsi="Calibri" w:cs="Times New Roman"/>
          <w:bCs/>
        </w:rPr>
        <w:t>wa</w:t>
      </w:r>
      <w:r w:rsidR="008830F9">
        <w:rPr>
          <w:rFonts w:ascii="Calibri" w:eastAsia="MS Gothic" w:hAnsi="Calibri" w:cs="Times New Roman"/>
          <w:bCs/>
        </w:rPr>
        <w:t xml:space="preserve">s </w:t>
      </w:r>
      <w:r w:rsidR="00820713">
        <w:rPr>
          <w:rFonts w:ascii="Calibri" w:eastAsia="MS Gothic" w:hAnsi="Calibri" w:cs="Times New Roman"/>
          <w:bCs/>
        </w:rPr>
        <w:t>546</w:t>
      </w:r>
      <w:r w:rsidR="008830F9">
        <w:rPr>
          <w:rFonts w:ascii="Calibri" w:eastAsia="MS Gothic" w:hAnsi="Calibri" w:cs="Times New Roman"/>
          <w:bCs/>
        </w:rPr>
        <w:t xml:space="preserve"> (i</w:t>
      </w:r>
      <w:r w:rsidR="001044F8">
        <w:rPr>
          <w:rFonts w:ascii="Calibri" w:eastAsia="MS Gothic" w:hAnsi="Calibri" w:cs="Times New Roman"/>
          <w:bCs/>
        </w:rPr>
        <w:t>.</w:t>
      </w:r>
      <w:r w:rsidR="008830F9">
        <w:rPr>
          <w:rFonts w:ascii="Calibri" w:eastAsia="MS Gothic" w:hAnsi="Calibri" w:cs="Times New Roman"/>
          <w:bCs/>
        </w:rPr>
        <w:t>e. initiators from July 2015 to the end of December 2015</w:t>
      </w:r>
      <w:r w:rsidR="00072287">
        <w:rPr>
          <w:rFonts w:ascii="Calibri" w:eastAsia="MS Gothic" w:hAnsi="Calibri" w:cs="Times New Roman"/>
          <w:bCs/>
        </w:rPr>
        <w:t>)</w:t>
      </w:r>
      <w:r w:rsidR="008830F9">
        <w:rPr>
          <w:rFonts w:ascii="Calibri" w:eastAsia="MS Gothic" w:hAnsi="Calibri" w:cs="Times New Roman"/>
          <w:bCs/>
        </w:rPr>
        <w:t xml:space="preserve">. </w:t>
      </w:r>
      <w:r w:rsidR="008830F9" w:rsidRPr="00B073A1">
        <w:rPr>
          <w:rFonts w:ascii="Calibri" w:eastAsia="MS Gothic" w:hAnsi="Calibri" w:cs="Times New Roman"/>
          <w:bCs/>
        </w:rPr>
        <w:t xml:space="preserve">It can be </w:t>
      </w:r>
      <w:r w:rsidR="00E448D9" w:rsidRPr="00B073A1">
        <w:rPr>
          <w:rFonts w:ascii="Calibri" w:eastAsia="MS Gothic" w:hAnsi="Calibri" w:cs="Times New Roman"/>
          <w:bCs/>
        </w:rPr>
        <w:t>seen</w:t>
      </w:r>
      <w:r w:rsidR="008830F9" w:rsidRPr="00B073A1">
        <w:rPr>
          <w:rFonts w:ascii="Calibri" w:eastAsia="MS Gothic" w:hAnsi="Calibri" w:cs="Times New Roman"/>
          <w:bCs/>
        </w:rPr>
        <w:t xml:space="preserve"> from Figure </w:t>
      </w:r>
      <w:r w:rsidR="00DB079E" w:rsidRPr="00B073A1">
        <w:rPr>
          <w:rFonts w:ascii="Calibri" w:eastAsia="MS Gothic" w:hAnsi="Calibri" w:cs="Times New Roman"/>
          <w:bCs/>
        </w:rPr>
        <w:t xml:space="preserve">11 </w:t>
      </w:r>
      <w:r w:rsidR="008830F9" w:rsidRPr="00B073A1">
        <w:rPr>
          <w:rFonts w:ascii="Calibri" w:eastAsia="MS Gothic" w:hAnsi="Calibri" w:cs="Times New Roman"/>
          <w:bCs/>
        </w:rPr>
        <w:t>th</w:t>
      </w:r>
      <w:r w:rsidR="001939E3" w:rsidRPr="00B073A1">
        <w:rPr>
          <w:rFonts w:ascii="Calibri" w:eastAsia="MS Gothic" w:hAnsi="Calibri" w:cs="Times New Roman"/>
          <w:bCs/>
        </w:rPr>
        <w:t xml:space="preserve">at a number of patients received more than </w:t>
      </w:r>
      <w:r w:rsidR="00192A24">
        <w:rPr>
          <w:rFonts w:ascii="Calibri" w:eastAsia="MS Gothic" w:hAnsi="Calibri" w:cs="Times New Roman"/>
          <w:bCs/>
          <w:noProof/>
          <w:color w:val="000000"/>
          <w:highlight w:val="black"/>
        </w:rPr>
        <w:t>'''''</w:t>
      </w:r>
      <w:r w:rsidR="001939E3" w:rsidRPr="00B073A1">
        <w:rPr>
          <w:rFonts w:ascii="Calibri" w:eastAsia="MS Gothic" w:hAnsi="Calibri" w:cs="Times New Roman"/>
          <w:bCs/>
        </w:rPr>
        <w:t xml:space="preserve"> prescriptions</w:t>
      </w:r>
      <w:r w:rsidR="008830F9" w:rsidRPr="00B073A1">
        <w:rPr>
          <w:rFonts w:ascii="Calibri" w:eastAsia="MS Gothic" w:hAnsi="Calibri" w:cs="Times New Roman"/>
          <w:bCs/>
        </w:rPr>
        <w:t xml:space="preserve">. </w:t>
      </w:r>
      <w:r w:rsidR="00192A24">
        <w:rPr>
          <w:rFonts w:ascii="Calibri" w:eastAsia="MS Gothic" w:hAnsi="Calibri" w:cs="Times New Roman"/>
          <w:bCs/>
          <w:noProof/>
          <w:color w:val="000000"/>
          <w:highlight w:val="black"/>
        </w:rPr>
        <w:t>''''' ''''''' ''''''' '''' ''''''' ''''''' '''''''''''' '''''''''' ''''''''''''''''''' ''''''' ''''' ''''''''''''</w:t>
      </w:r>
      <w:r w:rsidR="00491331" w:rsidRPr="004E3631">
        <w:rPr>
          <w:rFonts w:ascii="Calibri" w:eastAsia="MS Gothic" w:hAnsi="Calibri" w:cs="Times New Roman"/>
          <w:bCs/>
        </w:rPr>
        <w:t xml:space="preserve"> </w:t>
      </w:r>
      <w:r w:rsidR="00491331" w:rsidRPr="004A2121">
        <w:rPr>
          <w:rFonts w:ascii="Calibri" w:eastAsia="MS Gothic" w:hAnsi="Calibri" w:cs="Times New Roman"/>
          <w:bCs/>
        </w:rPr>
        <w:t xml:space="preserve">Patients with around 31 </w:t>
      </w:r>
      <w:r w:rsidR="00662F69" w:rsidRPr="004A2121">
        <w:rPr>
          <w:rFonts w:ascii="Calibri" w:eastAsia="MS Gothic" w:hAnsi="Calibri" w:cs="Times New Roman"/>
          <w:bCs/>
        </w:rPr>
        <w:t>pre</w:t>
      </w:r>
      <w:r w:rsidR="00491331" w:rsidRPr="004A2121">
        <w:rPr>
          <w:rFonts w:ascii="Calibri" w:eastAsia="MS Gothic" w:hAnsi="Calibri" w:cs="Times New Roman"/>
          <w:bCs/>
        </w:rPr>
        <w:t>script</w:t>
      </w:r>
      <w:r w:rsidR="00662F69" w:rsidRPr="004A2121">
        <w:rPr>
          <w:rFonts w:ascii="Calibri" w:eastAsia="MS Gothic" w:hAnsi="Calibri" w:cs="Times New Roman"/>
          <w:bCs/>
        </w:rPr>
        <w:t>ion</w:t>
      </w:r>
      <w:r w:rsidR="00491331" w:rsidRPr="004A2121">
        <w:rPr>
          <w:rFonts w:ascii="Calibri" w:eastAsia="MS Gothic" w:hAnsi="Calibri" w:cs="Times New Roman"/>
          <w:bCs/>
        </w:rPr>
        <w:t xml:space="preserve">s in the data </w:t>
      </w:r>
      <w:r w:rsidR="001044F8" w:rsidRPr="004A2121">
        <w:rPr>
          <w:rFonts w:ascii="Calibri" w:eastAsia="MS Gothic" w:hAnsi="Calibri" w:cs="Times New Roman"/>
          <w:bCs/>
        </w:rPr>
        <w:t>were</w:t>
      </w:r>
      <w:r w:rsidR="00491331" w:rsidRPr="004A2121">
        <w:rPr>
          <w:rFonts w:ascii="Calibri" w:eastAsia="MS Gothic" w:hAnsi="Calibri" w:cs="Times New Roman"/>
          <w:bCs/>
        </w:rPr>
        <w:t xml:space="preserve"> regarded as continuers </w:t>
      </w:r>
      <w:r w:rsidR="00E448D9" w:rsidRPr="004A2121">
        <w:rPr>
          <w:rFonts w:ascii="Calibri" w:eastAsia="MS Gothic" w:hAnsi="Calibri" w:cs="Times New Roman"/>
          <w:bCs/>
        </w:rPr>
        <w:t>throughout</w:t>
      </w:r>
      <w:r w:rsidR="00491331" w:rsidRPr="004A2121">
        <w:rPr>
          <w:rFonts w:ascii="Calibri" w:eastAsia="MS Gothic" w:hAnsi="Calibri" w:cs="Times New Roman"/>
          <w:bCs/>
        </w:rPr>
        <w:t xml:space="preserve"> the whole 21 months period</w:t>
      </w:r>
      <w:r w:rsidR="00723074" w:rsidRPr="004A2121">
        <w:rPr>
          <w:rFonts w:ascii="Calibri" w:eastAsia="MS Gothic" w:hAnsi="Calibri" w:cs="Times New Roman"/>
          <w:bCs/>
        </w:rPr>
        <w:t xml:space="preserve"> using a 21 day</w:t>
      </w:r>
      <w:r w:rsidR="00491331" w:rsidRPr="004A2121">
        <w:rPr>
          <w:rFonts w:ascii="Calibri" w:eastAsia="MS Gothic" w:hAnsi="Calibri" w:cs="Times New Roman"/>
          <w:bCs/>
        </w:rPr>
        <w:t xml:space="preserve"> cycle</w:t>
      </w:r>
      <w:r w:rsidR="00820713" w:rsidRPr="004A2121">
        <w:rPr>
          <w:rFonts w:ascii="Calibri" w:eastAsia="MS Gothic" w:hAnsi="Calibri" w:cs="Times New Roman"/>
          <w:bCs/>
        </w:rPr>
        <w:t xml:space="preserve"> (i</w:t>
      </w:r>
      <w:r w:rsidR="001044F8" w:rsidRPr="004A2121">
        <w:rPr>
          <w:rFonts w:ascii="Calibri" w:eastAsia="MS Gothic" w:hAnsi="Calibri" w:cs="Times New Roman"/>
          <w:bCs/>
        </w:rPr>
        <w:t>.</w:t>
      </w:r>
      <w:r w:rsidR="00820713" w:rsidRPr="004A2121">
        <w:rPr>
          <w:rFonts w:ascii="Calibri" w:eastAsia="MS Gothic" w:hAnsi="Calibri" w:cs="Times New Roman"/>
          <w:bCs/>
        </w:rPr>
        <w:t xml:space="preserve">e. a patient receiving the original and then a supply every 21 days for 21 months would receive 31 </w:t>
      </w:r>
      <w:r w:rsidR="00E448D9" w:rsidRPr="004A2121">
        <w:rPr>
          <w:rFonts w:ascii="Calibri" w:eastAsia="MS Gothic" w:hAnsi="Calibri" w:cs="Times New Roman"/>
          <w:bCs/>
        </w:rPr>
        <w:t>prescriptions</w:t>
      </w:r>
      <w:r w:rsidR="00820713" w:rsidRPr="004A2121">
        <w:rPr>
          <w:rFonts w:ascii="Calibri" w:eastAsia="MS Gothic" w:hAnsi="Calibri" w:cs="Times New Roman"/>
          <w:bCs/>
        </w:rPr>
        <w:t>)</w:t>
      </w:r>
      <w:r w:rsidR="00491331" w:rsidRPr="004A2121">
        <w:rPr>
          <w:rFonts w:ascii="Calibri" w:eastAsia="MS Gothic" w:hAnsi="Calibri" w:cs="Times New Roman"/>
          <w:bCs/>
        </w:rPr>
        <w:t>.</w:t>
      </w:r>
      <w:r w:rsidR="00820713" w:rsidRPr="004A2121">
        <w:rPr>
          <w:rFonts w:ascii="Calibri" w:eastAsia="MS Gothic" w:hAnsi="Calibri" w:cs="Times New Roman"/>
          <w:bCs/>
        </w:rPr>
        <w:t xml:space="preserve"> There are 197 </w:t>
      </w:r>
      <w:r w:rsidR="00FF0C8F" w:rsidRPr="004A2121">
        <w:rPr>
          <w:rFonts w:ascii="Calibri" w:eastAsia="MS Gothic" w:hAnsi="Calibri" w:cs="Times New Roman"/>
          <w:bCs/>
        </w:rPr>
        <w:t xml:space="preserve">(26.1%) </w:t>
      </w:r>
      <w:r w:rsidR="00820713" w:rsidRPr="004A2121">
        <w:rPr>
          <w:rFonts w:ascii="Calibri" w:eastAsia="MS Gothic" w:hAnsi="Calibri" w:cs="Times New Roman"/>
          <w:bCs/>
        </w:rPr>
        <w:t xml:space="preserve">patients </w:t>
      </w:r>
      <w:r w:rsidR="00A853B4" w:rsidRPr="004A2121">
        <w:rPr>
          <w:rFonts w:ascii="Calibri" w:eastAsia="MS Gothic" w:hAnsi="Calibri" w:cs="Times New Roman"/>
          <w:bCs/>
        </w:rPr>
        <w:t>who were supplied</w:t>
      </w:r>
      <w:r w:rsidR="00FF0C8F" w:rsidRPr="004A2121">
        <w:rPr>
          <w:rFonts w:ascii="Calibri" w:eastAsia="MS Gothic" w:hAnsi="Calibri" w:cs="Times New Roman"/>
          <w:bCs/>
        </w:rPr>
        <w:t xml:space="preserve"> 29 or more prescriptions in the 21 months post initiation. These patients are most likely continuing treatment.</w:t>
      </w:r>
    </w:p>
    <w:p w:rsidR="001939E3" w:rsidRPr="007F0252" w:rsidRDefault="003E0DD9" w:rsidP="00A6126C">
      <w:pPr>
        <w:rPr>
          <w:rFonts w:ascii="Calibri" w:eastAsia="MS Gothic" w:hAnsi="Calibri" w:cs="Times New Roman"/>
          <w:bCs/>
          <w:i/>
        </w:rPr>
      </w:pPr>
      <w:r>
        <w:rPr>
          <w:rFonts w:ascii="Calibri" w:eastAsia="MS Gothic" w:hAnsi="Calibri" w:cs="Times New Roman"/>
          <w:bCs/>
        </w:rPr>
        <w:t>It is not possible from this analysis to determine if this reflects a difference in how pertuzumab is being prescribed in Australian clinical practice compared to the clinical trial. If the longer term use is in patients who have disease progression then this use may not be consistent with the model parameters and inputs that underpin</w:t>
      </w:r>
      <w:r w:rsidR="001044F8">
        <w:rPr>
          <w:rFonts w:ascii="Calibri" w:eastAsia="MS Gothic" w:hAnsi="Calibri" w:cs="Times New Roman"/>
          <w:bCs/>
        </w:rPr>
        <w:t>ned</w:t>
      </w:r>
      <w:r>
        <w:rPr>
          <w:rFonts w:ascii="Calibri" w:eastAsia="MS Gothic" w:hAnsi="Calibri" w:cs="Times New Roman"/>
          <w:bCs/>
        </w:rPr>
        <w:t xml:space="preserve"> the PBAC’s de</w:t>
      </w:r>
      <w:r w:rsidR="00662F69">
        <w:rPr>
          <w:rFonts w:ascii="Calibri" w:eastAsia="MS Gothic" w:hAnsi="Calibri" w:cs="Times New Roman"/>
          <w:bCs/>
        </w:rPr>
        <w:t>cision that pertuzumab was cost-</w:t>
      </w:r>
      <w:r>
        <w:rPr>
          <w:rFonts w:ascii="Calibri" w:eastAsia="MS Gothic" w:hAnsi="Calibri" w:cs="Times New Roman"/>
          <w:bCs/>
        </w:rPr>
        <w:t xml:space="preserve">effective. </w:t>
      </w:r>
      <w:r w:rsidR="0036629F" w:rsidRPr="007F0252">
        <w:rPr>
          <w:rFonts w:ascii="Calibri" w:eastAsia="MS Gothic" w:hAnsi="Calibri" w:cs="Times New Roman"/>
          <w:bCs/>
          <w:i/>
        </w:rPr>
        <w:t xml:space="preserve">Further analysis of the utilisation pattern of pertuzumab </w:t>
      </w:r>
      <w:r w:rsidR="008D2225" w:rsidRPr="007F0252">
        <w:rPr>
          <w:rFonts w:ascii="Calibri" w:eastAsia="MS Gothic" w:hAnsi="Calibri" w:cs="Times New Roman"/>
          <w:bCs/>
          <w:i/>
        </w:rPr>
        <w:t xml:space="preserve">may be </w:t>
      </w:r>
      <w:r w:rsidR="0036629F" w:rsidRPr="007F0252">
        <w:rPr>
          <w:rFonts w:ascii="Calibri" w:eastAsia="MS Gothic" w:hAnsi="Calibri" w:cs="Times New Roman"/>
          <w:bCs/>
          <w:i/>
        </w:rPr>
        <w:t>warranted.</w:t>
      </w:r>
    </w:p>
    <w:p w:rsidR="00723074" w:rsidRPr="005C2944" w:rsidRDefault="007A7E8C" w:rsidP="00723074">
      <w:pPr>
        <w:rPr>
          <w:rFonts w:ascii="Calibri" w:eastAsia="Times New Roman" w:hAnsi="Calibri" w:cs="Times New Roman"/>
          <w:iCs/>
          <w:snapToGrid w:val="0"/>
          <w:lang w:eastAsia="en-US"/>
        </w:rPr>
      </w:pPr>
      <w:r>
        <w:rPr>
          <w:noProof/>
        </w:rPr>
        <w:drawing>
          <wp:inline distT="0" distB="0" distL="0" distR="0" wp14:anchorId="45823AC5" wp14:editId="30157A06">
            <wp:extent cx="5687695" cy="3715232"/>
            <wp:effectExtent l="0" t="0" r="27305" b="19050"/>
            <wp:docPr id="10" name="Chart 10" title="Figure 12: Distribution of the number of T-DM1 prescriptions per patient in the 24 months post initi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723074" w:rsidRPr="005F4A5A">
        <w:rPr>
          <w:rFonts w:ascii="Calibri" w:eastAsia="MS Gothic" w:hAnsi="Calibri" w:cs="Times New Roman"/>
          <w:b/>
          <w:bCs/>
        </w:rPr>
        <w:t xml:space="preserve">Figure </w:t>
      </w:r>
      <w:r w:rsidR="00DB079E" w:rsidRPr="005F4A5A">
        <w:rPr>
          <w:rFonts w:ascii="Calibri" w:eastAsia="MS Gothic" w:hAnsi="Calibri" w:cs="Times New Roman"/>
          <w:b/>
          <w:bCs/>
        </w:rPr>
        <w:t>1</w:t>
      </w:r>
      <w:r w:rsidR="00DB079E">
        <w:rPr>
          <w:rFonts w:ascii="Calibri" w:eastAsia="MS Gothic" w:hAnsi="Calibri" w:cs="Times New Roman"/>
          <w:b/>
          <w:bCs/>
        </w:rPr>
        <w:t>2</w:t>
      </w:r>
      <w:r w:rsidR="00723074">
        <w:rPr>
          <w:rFonts w:ascii="Calibri" w:eastAsia="MS Gothic" w:hAnsi="Calibri" w:cs="Times New Roman"/>
          <w:b/>
          <w:bCs/>
        </w:rPr>
        <w:t>: Distribution of the number of T-DM1 prescriptions per patient in the 2</w:t>
      </w:r>
      <w:r w:rsidR="00F96A30">
        <w:rPr>
          <w:rFonts w:ascii="Calibri" w:eastAsia="MS Gothic" w:hAnsi="Calibri" w:cs="Times New Roman"/>
          <w:b/>
          <w:bCs/>
        </w:rPr>
        <w:t>4</w:t>
      </w:r>
      <w:r w:rsidR="00723074">
        <w:rPr>
          <w:rFonts w:ascii="Calibri" w:eastAsia="MS Gothic" w:hAnsi="Calibri" w:cs="Times New Roman"/>
          <w:b/>
          <w:bCs/>
        </w:rPr>
        <w:t xml:space="preserve"> months post initiation.</w:t>
      </w:r>
      <w:r w:rsidR="00904B7E">
        <w:rPr>
          <w:rFonts w:ascii="Calibri" w:eastAsia="MS Gothic" w:hAnsi="Calibri" w:cs="Times New Roman"/>
          <w:b/>
          <w:bCs/>
        </w:rPr>
        <w:t xml:space="preserve"> </w:t>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30/11/</w:t>
      </w:r>
      <w:r w:rsidR="00904B7E" w:rsidRPr="00B87CD5">
        <w:rPr>
          <w:rFonts w:ascii="Calibri" w:eastAsia="MS Mincho" w:hAnsi="Calibri" w:cs="Times New Roman"/>
          <w:sz w:val="20"/>
        </w:rPr>
        <w:t>201</w:t>
      </w:r>
      <w:r w:rsidR="00904B7E">
        <w:rPr>
          <w:rFonts w:ascii="Calibri" w:eastAsia="MS Mincho" w:hAnsi="Calibri" w:cs="Times New Roman"/>
          <w:sz w:val="20"/>
        </w:rPr>
        <w:t>7)</w:t>
      </w:r>
    </w:p>
    <w:p w:rsidR="00723074" w:rsidRDefault="00723074" w:rsidP="00723074">
      <w:pPr>
        <w:rPr>
          <w:rFonts w:ascii="Calibri" w:eastAsia="MS Gothic" w:hAnsi="Calibri" w:cs="Times New Roman"/>
          <w:bCs/>
        </w:rPr>
      </w:pPr>
      <w:r w:rsidRPr="006247F0">
        <w:rPr>
          <w:rFonts w:ascii="Calibri" w:eastAsia="MS Gothic" w:hAnsi="Calibri" w:cs="Times New Roman"/>
          <w:bCs/>
        </w:rPr>
        <w:t xml:space="preserve">As per the </w:t>
      </w:r>
      <w:r w:rsidR="00A853B4">
        <w:rPr>
          <w:rFonts w:ascii="Calibri" w:eastAsia="MS Gothic" w:hAnsi="Calibri" w:cs="Times New Roman"/>
          <w:bCs/>
        </w:rPr>
        <w:t xml:space="preserve">Method section, </w:t>
      </w:r>
      <w:r w:rsidR="00072287">
        <w:rPr>
          <w:rFonts w:ascii="Calibri" w:eastAsia="MS Gothic" w:hAnsi="Calibri" w:cs="Times New Roman"/>
          <w:bCs/>
        </w:rPr>
        <w:t xml:space="preserve">the </w:t>
      </w:r>
      <w:r w:rsidR="00A853B4">
        <w:rPr>
          <w:rFonts w:ascii="Calibri" w:eastAsia="MS Gothic" w:hAnsi="Calibri" w:cs="Times New Roman"/>
          <w:bCs/>
        </w:rPr>
        <w:t>number of pati</w:t>
      </w:r>
      <w:r>
        <w:rPr>
          <w:rFonts w:ascii="Calibri" w:eastAsia="MS Gothic" w:hAnsi="Calibri" w:cs="Times New Roman"/>
          <w:bCs/>
        </w:rPr>
        <w:t>e</w:t>
      </w:r>
      <w:r w:rsidR="00A853B4">
        <w:rPr>
          <w:rFonts w:ascii="Calibri" w:eastAsia="MS Gothic" w:hAnsi="Calibri" w:cs="Times New Roman"/>
          <w:bCs/>
        </w:rPr>
        <w:t>n</w:t>
      </w:r>
      <w:r>
        <w:rPr>
          <w:rFonts w:ascii="Calibri" w:eastAsia="MS Gothic" w:hAnsi="Calibri" w:cs="Times New Roman"/>
          <w:bCs/>
        </w:rPr>
        <w:t>ts in this analysis is 258 (i</w:t>
      </w:r>
      <w:r w:rsidR="001044F8">
        <w:rPr>
          <w:rFonts w:ascii="Calibri" w:eastAsia="MS Gothic" w:hAnsi="Calibri" w:cs="Times New Roman"/>
          <w:bCs/>
        </w:rPr>
        <w:t>.</w:t>
      </w:r>
      <w:r>
        <w:rPr>
          <w:rFonts w:ascii="Calibri" w:eastAsia="MS Gothic" w:hAnsi="Calibri" w:cs="Times New Roman"/>
          <w:bCs/>
        </w:rPr>
        <w:t xml:space="preserve">e. initiators from July 2015 to the end of </w:t>
      </w:r>
      <w:r w:rsidR="00820713">
        <w:rPr>
          <w:rFonts w:ascii="Calibri" w:eastAsia="MS Gothic" w:hAnsi="Calibri" w:cs="Times New Roman"/>
          <w:bCs/>
        </w:rPr>
        <w:t>S</w:t>
      </w:r>
      <w:r w:rsidR="00523B56">
        <w:rPr>
          <w:rFonts w:ascii="Calibri" w:eastAsia="MS Gothic" w:hAnsi="Calibri" w:cs="Times New Roman"/>
          <w:bCs/>
        </w:rPr>
        <w:t>eptember</w:t>
      </w:r>
      <w:r>
        <w:rPr>
          <w:rFonts w:ascii="Calibri" w:eastAsia="MS Gothic" w:hAnsi="Calibri" w:cs="Times New Roman"/>
          <w:bCs/>
        </w:rPr>
        <w:t xml:space="preserve"> 2015</w:t>
      </w:r>
      <w:r w:rsidR="008B4282">
        <w:rPr>
          <w:rFonts w:ascii="Calibri" w:eastAsia="MS Gothic" w:hAnsi="Calibri" w:cs="Times New Roman"/>
          <w:bCs/>
        </w:rPr>
        <w:t>)</w:t>
      </w:r>
      <w:r>
        <w:rPr>
          <w:rFonts w:ascii="Calibri" w:eastAsia="MS Gothic" w:hAnsi="Calibri" w:cs="Times New Roman"/>
          <w:bCs/>
        </w:rPr>
        <w:t xml:space="preserve">. </w:t>
      </w:r>
      <w:r w:rsidR="00192A24">
        <w:rPr>
          <w:rFonts w:ascii="Calibri" w:eastAsia="MS Gothic" w:hAnsi="Calibri" w:cs="Times New Roman"/>
          <w:bCs/>
          <w:noProof/>
          <w:color w:val="000000"/>
          <w:highlight w:val="black"/>
        </w:rPr>
        <w:t>''''' ''''' ''''''' ''''''' '''''''''''' ''''''''''' ''''''''''''''''' ''''''''''''''''</w:t>
      </w:r>
      <w:r w:rsidRPr="00B073A1">
        <w:rPr>
          <w:rFonts w:ascii="Calibri" w:eastAsia="MS Gothic" w:hAnsi="Calibri" w:cs="Times New Roman"/>
          <w:bCs/>
        </w:rPr>
        <w:t>.</w:t>
      </w:r>
      <w:r w:rsidRPr="004A2121">
        <w:rPr>
          <w:rFonts w:ascii="Calibri" w:eastAsia="MS Gothic" w:hAnsi="Calibri" w:cs="Times New Roman"/>
          <w:bCs/>
          <w:highlight w:val="yellow"/>
        </w:rPr>
        <w:t xml:space="preserve"> </w:t>
      </w:r>
      <w:r w:rsidRPr="004A2121">
        <w:rPr>
          <w:rFonts w:ascii="Calibri" w:eastAsia="MS Gothic" w:hAnsi="Calibri" w:cs="Times New Roman"/>
          <w:bCs/>
        </w:rPr>
        <w:t>Patients with around 3</w:t>
      </w:r>
      <w:r w:rsidR="00523B56" w:rsidRPr="004A2121">
        <w:rPr>
          <w:rFonts w:ascii="Calibri" w:eastAsia="MS Gothic" w:hAnsi="Calibri" w:cs="Times New Roman"/>
          <w:bCs/>
        </w:rPr>
        <w:t>5</w:t>
      </w:r>
      <w:r w:rsidRPr="004A2121">
        <w:rPr>
          <w:rFonts w:ascii="Calibri" w:eastAsia="MS Gothic" w:hAnsi="Calibri" w:cs="Times New Roman"/>
          <w:bCs/>
        </w:rPr>
        <w:t xml:space="preserve"> </w:t>
      </w:r>
      <w:r w:rsidR="00662F69" w:rsidRPr="004A2121">
        <w:rPr>
          <w:rFonts w:ascii="Calibri" w:eastAsia="MS Gothic" w:hAnsi="Calibri" w:cs="Times New Roman"/>
          <w:bCs/>
        </w:rPr>
        <w:t>pre</w:t>
      </w:r>
      <w:r w:rsidRPr="004A2121">
        <w:rPr>
          <w:rFonts w:ascii="Calibri" w:eastAsia="MS Gothic" w:hAnsi="Calibri" w:cs="Times New Roman"/>
          <w:bCs/>
        </w:rPr>
        <w:t>script</w:t>
      </w:r>
      <w:r w:rsidR="00662F69" w:rsidRPr="004A2121">
        <w:rPr>
          <w:rFonts w:ascii="Calibri" w:eastAsia="MS Gothic" w:hAnsi="Calibri" w:cs="Times New Roman"/>
          <w:bCs/>
        </w:rPr>
        <w:t>ion</w:t>
      </w:r>
      <w:r w:rsidRPr="004A2121">
        <w:rPr>
          <w:rFonts w:ascii="Calibri" w:eastAsia="MS Gothic" w:hAnsi="Calibri" w:cs="Times New Roman"/>
          <w:bCs/>
        </w:rPr>
        <w:t>s in the data should be</w:t>
      </w:r>
      <w:r w:rsidR="00662F69" w:rsidRPr="004A2121">
        <w:rPr>
          <w:rFonts w:ascii="Calibri" w:eastAsia="MS Gothic" w:hAnsi="Calibri" w:cs="Times New Roman"/>
          <w:bCs/>
        </w:rPr>
        <w:t xml:space="preserve"> </w:t>
      </w:r>
      <w:r w:rsidR="00523FCC" w:rsidRPr="004A2121">
        <w:rPr>
          <w:rFonts w:ascii="Calibri" w:eastAsia="MS Gothic" w:hAnsi="Calibri" w:cs="Times New Roman"/>
          <w:bCs/>
        </w:rPr>
        <w:t xml:space="preserve">interpreted </w:t>
      </w:r>
      <w:r w:rsidR="00966D7C" w:rsidRPr="004A2121">
        <w:rPr>
          <w:rFonts w:ascii="Calibri" w:eastAsia="MS Gothic" w:hAnsi="Calibri" w:cs="Times New Roman"/>
          <w:bCs/>
        </w:rPr>
        <w:t>as continuers</w:t>
      </w:r>
      <w:r w:rsidRPr="004A2121">
        <w:rPr>
          <w:rFonts w:ascii="Calibri" w:eastAsia="MS Gothic" w:hAnsi="Calibri" w:cs="Times New Roman"/>
          <w:bCs/>
        </w:rPr>
        <w:t xml:space="preserve"> </w:t>
      </w:r>
      <w:r w:rsidR="00E448D9" w:rsidRPr="004A2121">
        <w:rPr>
          <w:rFonts w:ascii="Calibri" w:eastAsia="MS Gothic" w:hAnsi="Calibri" w:cs="Times New Roman"/>
          <w:bCs/>
        </w:rPr>
        <w:t>throughout</w:t>
      </w:r>
      <w:r w:rsidRPr="004A2121">
        <w:rPr>
          <w:rFonts w:ascii="Calibri" w:eastAsia="MS Gothic" w:hAnsi="Calibri" w:cs="Times New Roman"/>
          <w:bCs/>
        </w:rPr>
        <w:t xml:space="preserve"> the whole 2</w:t>
      </w:r>
      <w:r w:rsidR="00523B56" w:rsidRPr="004A2121">
        <w:rPr>
          <w:rFonts w:ascii="Calibri" w:eastAsia="MS Gothic" w:hAnsi="Calibri" w:cs="Times New Roman"/>
          <w:bCs/>
        </w:rPr>
        <w:t>4</w:t>
      </w:r>
      <w:r w:rsidRPr="004A2121">
        <w:rPr>
          <w:rFonts w:ascii="Calibri" w:eastAsia="MS Gothic" w:hAnsi="Calibri" w:cs="Times New Roman"/>
          <w:bCs/>
        </w:rPr>
        <w:t xml:space="preserve"> month period using a 21 day</w:t>
      </w:r>
      <w:r w:rsidR="008B4282" w:rsidRPr="004A2121">
        <w:rPr>
          <w:rFonts w:ascii="Calibri" w:eastAsia="MS Gothic" w:hAnsi="Calibri" w:cs="Times New Roman"/>
          <w:bCs/>
        </w:rPr>
        <w:t xml:space="preserve"> cycle (i</w:t>
      </w:r>
      <w:r w:rsidR="001044F8" w:rsidRPr="004A2121">
        <w:rPr>
          <w:rFonts w:ascii="Calibri" w:eastAsia="MS Gothic" w:hAnsi="Calibri" w:cs="Times New Roman"/>
          <w:bCs/>
        </w:rPr>
        <w:t>.</w:t>
      </w:r>
      <w:r w:rsidR="008B4282" w:rsidRPr="004A2121">
        <w:rPr>
          <w:rFonts w:ascii="Calibri" w:eastAsia="MS Gothic" w:hAnsi="Calibri" w:cs="Times New Roman"/>
          <w:bCs/>
        </w:rPr>
        <w:t>e. a patient receiving the original and then a supply every 21 days for 24 months would receive 35</w:t>
      </w:r>
      <w:r w:rsidR="001044F8" w:rsidRPr="004A2121">
        <w:rPr>
          <w:rFonts w:ascii="Calibri" w:eastAsia="MS Gothic" w:hAnsi="Calibri" w:cs="Times New Roman"/>
          <w:bCs/>
        </w:rPr>
        <w:t> </w:t>
      </w:r>
      <w:r w:rsidR="00E448D9" w:rsidRPr="004A2121">
        <w:rPr>
          <w:rFonts w:ascii="Calibri" w:eastAsia="MS Gothic" w:hAnsi="Calibri" w:cs="Times New Roman"/>
          <w:bCs/>
        </w:rPr>
        <w:t>prescriptions</w:t>
      </w:r>
      <w:r w:rsidR="008B4282" w:rsidRPr="004A2121">
        <w:rPr>
          <w:rFonts w:ascii="Calibri" w:eastAsia="MS Gothic" w:hAnsi="Calibri" w:cs="Times New Roman"/>
          <w:bCs/>
        </w:rPr>
        <w:t>).</w:t>
      </w:r>
      <w:r w:rsidR="003E0DD9">
        <w:rPr>
          <w:rFonts w:ascii="Calibri" w:eastAsia="MS Gothic" w:hAnsi="Calibri" w:cs="Times New Roman"/>
          <w:bCs/>
        </w:rPr>
        <w:t xml:space="preserve"> </w:t>
      </w:r>
    </w:p>
    <w:p w:rsidR="0053375B" w:rsidRDefault="003E0DD9" w:rsidP="00072287">
      <w:pPr>
        <w:rPr>
          <w:rFonts w:ascii="Calibri" w:eastAsia="MS Gothic" w:hAnsi="Calibri" w:cs="Times New Roman"/>
          <w:bCs/>
        </w:rPr>
      </w:pPr>
      <w:r>
        <w:rPr>
          <w:rFonts w:ascii="Calibri" w:eastAsia="MS Gothic" w:hAnsi="Calibri" w:cs="Times New Roman"/>
          <w:bCs/>
        </w:rPr>
        <w:t xml:space="preserve">The pattern of </w:t>
      </w:r>
      <w:r w:rsidR="00130614">
        <w:rPr>
          <w:rFonts w:ascii="Calibri" w:eastAsia="MS Gothic" w:hAnsi="Calibri" w:cs="Times New Roman"/>
          <w:bCs/>
        </w:rPr>
        <w:t>supply</w:t>
      </w:r>
      <w:r w:rsidR="0036629F">
        <w:rPr>
          <w:rFonts w:ascii="Calibri" w:eastAsia="MS Gothic" w:hAnsi="Calibri" w:cs="Times New Roman"/>
          <w:bCs/>
        </w:rPr>
        <w:t xml:space="preserve"> for T-DM1 is different to that for pertuzumab. </w:t>
      </w:r>
      <w:r w:rsidR="00217955">
        <w:rPr>
          <w:rFonts w:ascii="Calibri" w:eastAsia="MS Gothic" w:hAnsi="Calibri" w:cs="Times New Roman"/>
          <w:bCs/>
        </w:rPr>
        <w:t xml:space="preserve">A substantial proportion of patients commencing T-DM1 have 8 or less cycles. </w:t>
      </w:r>
      <w:r w:rsidR="0036629F">
        <w:rPr>
          <w:rFonts w:ascii="Calibri" w:eastAsia="MS Gothic" w:hAnsi="Calibri" w:cs="Times New Roman"/>
          <w:bCs/>
        </w:rPr>
        <w:t>Further investigation into this trend in the future may be warranted.</w:t>
      </w:r>
    </w:p>
    <w:p w:rsidR="0053375B" w:rsidRDefault="0053375B">
      <w:pPr>
        <w:spacing w:line="276" w:lineRule="auto"/>
        <w:rPr>
          <w:rFonts w:ascii="Calibri" w:eastAsia="MS Gothic" w:hAnsi="Calibri" w:cs="Times New Roman"/>
          <w:bCs/>
        </w:rPr>
      </w:pPr>
      <w:r>
        <w:rPr>
          <w:rFonts w:ascii="Calibri" w:eastAsia="MS Gothic" w:hAnsi="Calibri" w:cs="Times New Roman"/>
          <w:bCs/>
        </w:rPr>
        <w:br w:type="page"/>
      </w:r>
    </w:p>
    <w:p w:rsidR="0036629F" w:rsidRPr="00CB277B" w:rsidRDefault="0036629F" w:rsidP="0036629F">
      <w:pPr>
        <w:spacing w:line="276" w:lineRule="auto"/>
        <w:rPr>
          <w:rFonts w:ascii="Calibri" w:eastAsia="Times New Roman" w:hAnsi="Calibri" w:cs="Times New Roman"/>
          <w:b/>
          <w:i/>
          <w:iCs/>
          <w:snapToGrid w:val="0"/>
          <w:lang w:eastAsia="en-US"/>
        </w:rPr>
      </w:pPr>
      <w:r>
        <w:rPr>
          <w:rFonts w:ascii="Calibri" w:eastAsia="Times New Roman" w:hAnsi="Calibri" w:cs="Times New Roman"/>
          <w:b/>
          <w:i/>
          <w:iCs/>
          <w:snapToGrid w:val="0"/>
          <w:lang w:eastAsia="en-US"/>
        </w:rPr>
        <w:t>Time to resupply and length of treatment</w:t>
      </w:r>
    </w:p>
    <w:p w:rsidR="0036629F" w:rsidRPr="00B20C0E" w:rsidRDefault="0036629F" w:rsidP="0036629F">
      <w:pPr>
        <w:rPr>
          <w:rFonts w:ascii="Calibri" w:eastAsia="Times New Roman" w:hAnsi="Calibri" w:cs="Times New Roman"/>
          <w:iCs/>
          <w:snapToGrid w:val="0"/>
          <w:sz w:val="20"/>
          <w:szCs w:val="20"/>
          <w:lang w:eastAsia="en-US"/>
        </w:rPr>
      </w:pPr>
      <w:r>
        <w:rPr>
          <w:noProof/>
        </w:rPr>
        <w:drawing>
          <wp:inline distT="0" distB="0" distL="0" distR="0" wp14:anchorId="42F70595" wp14:editId="199DF0F6">
            <wp:extent cx="5687695" cy="3712801"/>
            <wp:effectExtent l="0" t="0" r="27305" b="21590"/>
            <wp:docPr id="3" name="Chart 3" title="Figure 13: Number of days to prescription resupply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7E1A07">
        <w:rPr>
          <w:rFonts w:ascii="Calibri" w:eastAsia="Times New Roman" w:hAnsi="Calibri" w:cs="Times New Roman"/>
          <w:b/>
          <w:iCs/>
          <w:snapToGrid w:val="0"/>
          <w:lang w:eastAsia="en-US"/>
        </w:rPr>
        <w:t>Figure 1</w:t>
      </w:r>
      <w:r>
        <w:rPr>
          <w:rFonts w:ascii="Calibri" w:eastAsia="Times New Roman" w:hAnsi="Calibri" w:cs="Times New Roman"/>
          <w:b/>
          <w:iCs/>
          <w:snapToGrid w:val="0"/>
          <w:lang w:eastAsia="en-US"/>
        </w:rPr>
        <w:t>3</w:t>
      </w:r>
      <w:r w:rsidRPr="007E1A07">
        <w:rPr>
          <w:rFonts w:ascii="Calibri" w:eastAsia="Times New Roman" w:hAnsi="Calibri" w:cs="Times New Roman"/>
          <w:b/>
          <w:iCs/>
          <w:snapToGrid w:val="0"/>
          <w:lang w:eastAsia="en-US"/>
        </w:rPr>
        <w:t>: Number of days to prescription resupply by drug</w:t>
      </w:r>
      <w:r>
        <w:rPr>
          <w:rFonts w:ascii="Calibri" w:eastAsia="Times New Roman" w:hAnsi="Calibri" w:cs="Times New Roman"/>
          <w:iCs/>
          <w:snapToGrid w:val="0"/>
          <w:lang w:eastAsia="en-US"/>
        </w:rPr>
        <w:br/>
      </w:r>
      <w:r w:rsidRPr="00B20C0E">
        <w:rPr>
          <w:rFonts w:ascii="Calibri" w:eastAsia="Times New Roman" w:hAnsi="Calibri" w:cs="Times New Roman"/>
          <w:iCs/>
          <w:snapToGrid w:val="0"/>
          <w:sz w:val="20"/>
          <w:szCs w:val="20"/>
          <w:lang w:eastAsia="en-US"/>
        </w:rPr>
        <w:t>Note</w:t>
      </w:r>
      <w:r>
        <w:rPr>
          <w:rFonts w:ascii="Calibri" w:eastAsia="Times New Roman" w:hAnsi="Calibri" w:cs="Times New Roman"/>
          <w:iCs/>
          <w:snapToGrid w:val="0"/>
          <w:sz w:val="20"/>
          <w:szCs w:val="20"/>
          <w:lang w:eastAsia="en-US"/>
        </w:rPr>
        <w:t>: does not include prescriptions with no resupply and resupply &gt; 90days</w:t>
      </w:r>
      <w:r w:rsidRPr="00B20C0E">
        <w:rPr>
          <w:rFonts w:ascii="Calibri" w:eastAsia="Times New Roman" w:hAnsi="Calibri" w:cs="Times New Roman"/>
          <w:iCs/>
          <w:snapToGrid w:val="0"/>
          <w:sz w:val="20"/>
          <w:szCs w:val="20"/>
          <w:lang w:eastAsia="en-US"/>
        </w:rPr>
        <w:t xml:space="preserve"> </w:t>
      </w:r>
      <w:r>
        <w:rPr>
          <w:rFonts w:ascii="Calibri" w:eastAsia="Times New Roman" w:hAnsi="Calibri" w:cs="Times New Roman"/>
          <w:iCs/>
          <w:snapToGrid w:val="0"/>
          <w:sz w:val="20"/>
          <w:szCs w:val="20"/>
          <w:lang w:eastAsia="en-US"/>
        </w:rPr>
        <w:br/>
      </w:r>
      <w:r>
        <w:rPr>
          <w:rFonts w:ascii="Calibri" w:eastAsia="MS Mincho" w:hAnsi="Calibri" w:cs="Times New Roman"/>
          <w:sz w:val="20"/>
        </w:rPr>
        <w:t>Source:</w:t>
      </w:r>
      <w:r w:rsidRPr="00AB4293">
        <w:rPr>
          <w:rFonts w:ascii="Calibri" w:eastAsia="MS Mincho" w:hAnsi="Calibri" w:cs="Times New Roman"/>
          <w:sz w:val="20"/>
        </w:rPr>
        <w:t xml:space="preserve"> </w:t>
      </w:r>
      <w:r w:rsidRPr="00B87CD5">
        <w:rPr>
          <w:rFonts w:ascii="Calibri" w:eastAsia="MS Mincho" w:hAnsi="Calibri" w:cs="Times New Roman"/>
          <w:sz w:val="20"/>
        </w:rPr>
        <w:t xml:space="preserve">DHS </w:t>
      </w:r>
      <w:r>
        <w:rPr>
          <w:rFonts w:ascii="Calibri" w:eastAsia="MS Mincho" w:hAnsi="Calibri" w:cs="Times New Roman"/>
          <w:sz w:val="20"/>
        </w:rPr>
        <w:t xml:space="preserve">R/PBS </w:t>
      </w:r>
      <w:r w:rsidRPr="00B87CD5">
        <w:rPr>
          <w:rFonts w:ascii="Calibri" w:eastAsia="MS Mincho" w:hAnsi="Calibri" w:cs="Times New Roman"/>
          <w:sz w:val="20"/>
        </w:rPr>
        <w:t>prescription claims database</w:t>
      </w:r>
      <w:r>
        <w:rPr>
          <w:rFonts w:ascii="Calibri" w:eastAsia="MS Mincho" w:hAnsi="Calibri" w:cs="Times New Roman"/>
          <w:sz w:val="20"/>
        </w:rPr>
        <w:t xml:space="preserve"> (</w:t>
      </w:r>
      <w:r w:rsidRPr="00B87CD5">
        <w:rPr>
          <w:rFonts w:ascii="Calibri" w:eastAsia="MS Mincho" w:hAnsi="Calibri" w:cs="Times New Roman"/>
          <w:sz w:val="20"/>
        </w:rPr>
        <w:t xml:space="preserve">accessed </w:t>
      </w:r>
      <w:r>
        <w:rPr>
          <w:rFonts w:ascii="Calibri" w:eastAsia="MS Mincho" w:hAnsi="Calibri" w:cs="Times New Roman"/>
          <w:sz w:val="20"/>
        </w:rPr>
        <w:t>30/11/</w:t>
      </w:r>
      <w:r w:rsidRPr="00B87CD5">
        <w:rPr>
          <w:rFonts w:ascii="Calibri" w:eastAsia="MS Mincho" w:hAnsi="Calibri" w:cs="Times New Roman"/>
          <w:sz w:val="20"/>
        </w:rPr>
        <w:t>201</w:t>
      </w:r>
      <w:r>
        <w:rPr>
          <w:rFonts w:ascii="Calibri" w:eastAsia="MS Mincho" w:hAnsi="Calibri" w:cs="Times New Roman"/>
          <w:sz w:val="20"/>
        </w:rPr>
        <w:t>7)</w:t>
      </w:r>
    </w:p>
    <w:p w:rsidR="0036629F" w:rsidRDefault="0036629F" w:rsidP="0036629F">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Figure 13 shows that the most common (mode) time to resupply for both drugs was 21</w:t>
      </w:r>
      <w:r w:rsidR="00130614">
        <w:rPr>
          <w:rFonts w:ascii="Calibri" w:eastAsia="Times New Roman" w:hAnsi="Calibri" w:cs="Times New Roman"/>
          <w:iCs/>
          <w:snapToGrid w:val="0"/>
          <w:lang w:eastAsia="en-US"/>
        </w:rPr>
        <w:t> </w:t>
      </w:r>
      <w:r>
        <w:rPr>
          <w:rFonts w:ascii="Calibri" w:eastAsia="Times New Roman" w:hAnsi="Calibri" w:cs="Times New Roman"/>
          <w:iCs/>
          <w:snapToGrid w:val="0"/>
          <w:lang w:eastAsia="en-US"/>
        </w:rPr>
        <w:t xml:space="preserve">days. There were also minor peaks at 28, 35 and 42 days. The median time to resupply for both drugs was 21 days. This </w:t>
      </w:r>
      <w:r w:rsidR="00130614">
        <w:rPr>
          <w:rFonts w:ascii="Calibri" w:eastAsia="Times New Roman" w:hAnsi="Calibri" w:cs="Times New Roman"/>
          <w:iCs/>
          <w:snapToGrid w:val="0"/>
          <w:lang w:eastAsia="en-US"/>
        </w:rPr>
        <w:t>was</w:t>
      </w:r>
      <w:r>
        <w:rPr>
          <w:rFonts w:ascii="Calibri" w:eastAsia="Times New Roman" w:hAnsi="Calibri" w:cs="Times New Roman"/>
          <w:iCs/>
          <w:snapToGrid w:val="0"/>
          <w:lang w:eastAsia="en-US"/>
        </w:rPr>
        <w:t xml:space="preserve"> used in the following length of treatment analysis to determine breaks in treatment (see Methods for details).</w:t>
      </w:r>
    </w:p>
    <w:p w:rsidR="00B20C0E" w:rsidRDefault="00B20C0E" w:rsidP="00723074">
      <w:pPr>
        <w:rPr>
          <w:rFonts w:ascii="Calibri" w:eastAsia="Times New Roman" w:hAnsi="Calibri" w:cs="Times New Roman"/>
          <w:iCs/>
          <w:snapToGrid w:val="0"/>
          <w:lang w:eastAsia="en-US"/>
        </w:rPr>
      </w:pPr>
    </w:p>
    <w:p w:rsidR="00ED5860" w:rsidRDefault="007E1A07" w:rsidP="00723074">
      <w:pPr>
        <w:rPr>
          <w:rFonts w:ascii="Calibri" w:eastAsia="Times New Roman" w:hAnsi="Calibri" w:cs="Times New Roman"/>
          <w:b/>
          <w:iCs/>
          <w:snapToGrid w:val="0"/>
          <w:lang w:eastAsia="en-US"/>
        </w:rPr>
      </w:pPr>
      <w:r>
        <w:rPr>
          <w:noProof/>
        </w:rPr>
        <w:drawing>
          <wp:inline distT="0" distB="0" distL="0" distR="0" wp14:anchorId="5B31B9F3" wp14:editId="1DB77C0A">
            <wp:extent cx="5687695" cy="4265771"/>
            <wp:effectExtent l="0" t="0" r="8255" b="1905"/>
            <wp:docPr id="19" name="Picture 19" descr="img0.png" title="Figure 14: Length of treatment (excluding breaks) by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r w:rsidRPr="007E1A07">
        <w:rPr>
          <w:rFonts w:ascii="Calibri" w:eastAsia="Times New Roman" w:hAnsi="Calibri" w:cs="Times New Roman"/>
          <w:b/>
          <w:iCs/>
          <w:snapToGrid w:val="0"/>
          <w:lang w:eastAsia="en-US"/>
        </w:rPr>
        <w:t>Figu</w:t>
      </w:r>
      <w:r>
        <w:rPr>
          <w:rFonts w:ascii="Calibri" w:eastAsia="Times New Roman" w:hAnsi="Calibri" w:cs="Times New Roman"/>
          <w:b/>
          <w:iCs/>
          <w:snapToGrid w:val="0"/>
          <w:lang w:eastAsia="en-US"/>
        </w:rPr>
        <w:t xml:space="preserve">re </w:t>
      </w:r>
      <w:r w:rsidR="00DB079E">
        <w:rPr>
          <w:rFonts w:ascii="Calibri" w:eastAsia="Times New Roman" w:hAnsi="Calibri" w:cs="Times New Roman"/>
          <w:b/>
          <w:iCs/>
          <w:snapToGrid w:val="0"/>
          <w:lang w:eastAsia="en-US"/>
        </w:rPr>
        <w:t>14</w:t>
      </w:r>
      <w:r w:rsidRPr="007E1A07">
        <w:rPr>
          <w:rFonts w:ascii="Calibri" w:eastAsia="Times New Roman" w:hAnsi="Calibri" w:cs="Times New Roman"/>
          <w:b/>
          <w:iCs/>
          <w:snapToGrid w:val="0"/>
          <w:lang w:eastAsia="en-US"/>
        </w:rPr>
        <w:t xml:space="preserve">: </w:t>
      </w:r>
      <w:r w:rsidR="00E448D9">
        <w:rPr>
          <w:rFonts w:ascii="Calibri" w:eastAsia="Times New Roman" w:hAnsi="Calibri" w:cs="Times New Roman"/>
          <w:b/>
          <w:iCs/>
          <w:snapToGrid w:val="0"/>
          <w:lang w:eastAsia="en-US"/>
        </w:rPr>
        <w:t>Length</w:t>
      </w:r>
      <w:r>
        <w:rPr>
          <w:rFonts w:ascii="Calibri" w:eastAsia="Times New Roman" w:hAnsi="Calibri" w:cs="Times New Roman"/>
          <w:b/>
          <w:iCs/>
          <w:snapToGrid w:val="0"/>
          <w:lang w:eastAsia="en-US"/>
        </w:rPr>
        <w:t xml:space="preserve"> of treatment (excluding breaks) </w:t>
      </w:r>
      <w:r w:rsidRPr="007E1A07">
        <w:rPr>
          <w:rFonts w:ascii="Calibri" w:eastAsia="Times New Roman" w:hAnsi="Calibri" w:cs="Times New Roman"/>
          <w:b/>
          <w:iCs/>
          <w:snapToGrid w:val="0"/>
          <w:lang w:eastAsia="en-US"/>
        </w:rPr>
        <w:t>by drug</w:t>
      </w:r>
      <w:r w:rsidR="00904B7E">
        <w:rPr>
          <w:rFonts w:ascii="Calibri" w:eastAsia="Times New Roman" w:hAnsi="Calibri" w:cs="Times New Roman"/>
          <w:b/>
          <w:iCs/>
          <w:snapToGrid w:val="0"/>
          <w:lang w:eastAsia="en-US"/>
        </w:rPr>
        <w:br/>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30/11/</w:t>
      </w:r>
      <w:r w:rsidR="00904B7E" w:rsidRPr="00B87CD5">
        <w:rPr>
          <w:rFonts w:ascii="Calibri" w:eastAsia="MS Mincho" w:hAnsi="Calibri" w:cs="Times New Roman"/>
          <w:sz w:val="20"/>
        </w:rPr>
        <w:t>201</w:t>
      </w:r>
      <w:r w:rsidR="00904B7E">
        <w:rPr>
          <w:rFonts w:ascii="Calibri" w:eastAsia="MS Mincho" w:hAnsi="Calibri" w:cs="Times New Roman"/>
          <w:sz w:val="20"/>
        </w:rPr>
        <w:t>7)</w:t>
      </w:r>
    </w:p>
    <w:p w:rsidR="00ED5860" w:rsidRDefault="00ED5860" w:rsidP="00ED5860">
      <w:pPr>
        <w:rPr>
          <w:rFonts w:ascii="Calibri" w:eastAsia="Times New Roman" w:hAnsi="Calibri" w:cs="Times New Roman"/>
          <w:iCs/>
          <w:snapToGrid w:val="0"/>
          <w:lang w:eastAsia="en-US"/>
        </w:rPr>
      </w:pPr>
      <w:r>
        <w:rPr>
          <w:rFonts w:ascii="Calibri" w:eastAsia="Times New Roman" w:hAnsi="Calibri" w:cs="Times New Roman"/>
          <w:iCs/>
          <w:snapToGrid w:val="0"/>
          <w:lang w:eastAsia="en-US"/>
        </w:rPr>
        <w:t>The median length of treatment (excluding</w:t>
      </w:r>
      <w:r w:rsidR="00A853B4">
        <w:rPr>
          <w:rFonts w:ascii="Calibri" w:eastAsia="Times New Roman" w:hAnsi="Calibri" w:cs="Times New Roman"/>
          <w:iCs/>
          <w:snapToGrid w:val="0"/>
          <w:lang w:eastAsia="en-US"/>
        </w:rPr>
        <w:t xml:space="preserve"> breaks) on pertuzumab and T-DM</w:t>
      </w:r>
      <w:r>
        <w:rPr>
          <w:rFonts w:ascii="Calibri" w:eastAsia="Times New Roman" w:hAnsi="Calibri" w:cs="Times New Roman"/>
          <w:iCs/>
          <w:snapToGrid w:val="0"/>
          <w:lang w:eastAsia="en-US"/>
        </w:rPr>
        <w:t>1 was 508</w:t>
      </w:r>
      <w:r w:rsidR="00130614">
        <w:rPr>
          <w:rFonts w:ascii="Calibri" w:eastAsia="Times New Roman" w:hAnsi="Calibri" w:cs="Times New Roman"/>
          <w:iCs/>
          <w:snapToGrid w:val="0"/>
          <w:lang w:eastAsia="en-US"/>
        </w:rPr>
        <w:t> </w:t>
      </w:r>
      <w:r>
        <w:rPr>
          <w:rFonts w:ascii="Calibri" w:eastAsia="Times New Roman" w:hAnsi="Calibri" w:cs="Times New Roman"/>
          <w:iCs/>
          <w:snapToGrid w:val="0"/>
          <w:lang w:eastAsia="en-US"/>
        </w:rPr>
        <w:t xml:space="preserve">days (16.7 months) and 237 days (7.8 months) respectively. The length of treatment (including breaks) was also calculated </w:t>
      </w:r>
      <w:r w:rsidR="00130614">
        <w:rPr>
          <w:rFonts w:ascii="Calibri" w:eastAsia="Times New Roman" w:hAnsi="Calibri" w:cs="Times New Roman"/>
          <w:iCs/>
          <w:snapToGrid w:val="0"/>
          <w:lang w:eastAsia="en-US"/>
        </w:rPr>
        <w:t>(</w:t>
      </w:r>
      <w:r>
        <w:rPr>
          <w:rFonts w:ascii="Calibri" w:eastAsia="Times New Roman" w:hAnsi="Calibri" w:cs="Times New Roman"/>
          <w:iCs/>
          <w:snapToGrid w:val="0"/>
          <w:lang w:eastAsia="en-US"/>
        </w:rPr>
        <w:t xml:space="preserve">Figure </w:t>
      </w:r>
      <w:r w:rsidR="00DB079E">
        <w:rPr>
          <w:rFonts w:ascii="Calibri" w:eastAsia="Times New Roman" w:hAnsi="Calibri" w:cs="Times New Roman"/>
          <w:iCs/>
          <w:snapToGrid w:val="0"/>
          <w:lang w:eastAsia="en-US"/>
        </w:rPr>
        <w:t>15</w:t>
      </w:r>
      <w:r w:rsidR="00130614">
        <w:rPr>
          <w:rFonts w:ascii="Calibri" w:eastAsia="Times New Roman" w:hAnsi="Calibri" w:cs="Times New Roman"/>
          <w:iCs/>
          <w:snapToGrid w:val="0"/>
          <w:lang w:eastAsia="en-US"/>
        </w:rPr>
        <w:t>)</w:t>
      </w:r>
      <w:r>
        <w:rPr>
          <w:rFonts w:ascii="Calibri" w:eastAsia="Times New Roman" w:hAnsi="Calibri" w:cs="Times New Roman"/>
          <w:iCs/>
          <w:snapToGrid w:val="0"/>
          <w:lang w:eastAsia="en-US"/>
        </w:rPr>
        <w:t>. The median length of treatment (including</w:t>
      </w:r>
      <w:r w:rsidR="00A853B4">
        <w:rPr>
          <w:rFonts w:ascii="Calibri" w:eastAsia="Times New Roman" w:hAnsi="Calibri" w:cs="Times New Roman"/>
          <w:iCs/>
          <w:snapToGrid w:val="0"/>
          <w:lang w:eastAsia="en-US"/>
        </w:rPr>
        <w:t xml:space="preserve"> breaks) on pertuzumab and T-DM</w:t>
      </w:r>
      <w:r>
        <w:rPr>
          <w:rFonts w:ascii="Calibri" w:eastAsia="Times New Roman" w:hAnsi="Calibri" w:cs="Times New Roman"/>
          <w:iCs/>
          <w:snapToGrid w:val="0"/>
          <w:lang w:eastAsia="en-US"/>
        </w:rPr>
        <w:t>1 was 532 days (17.5 months) and 265 days (8.7 months) respectively. The differences between the medians of the two type</w:t>
      </w:r>
      <w:r w:rsidR="00072287">
        <w:rPr>
          <w:rFonts w:ascii="Calibri" w:eastAsia="Times New Roman" w:hAnsi="Calibri" w:cs="Times New Roman"/>
          <w:iCs/>
          <w:snapToGrid w:val="0"/>
          <w:lang w:eastAsia="en-US"/>
        </w:rPr>
        <w:t>s</w:t>
      </w:r>
      <w:r>
        <w:rPr>
          <w:rFonts w:ascii="Calibri" w:eastAsia="Times New Roman" w:hAnsi="Calibri" w:cs="Times New Roman"/>
          <w:iCs/>
          <w:snapToGrid w:val="0"/>
          <w:lang w:eastAsia="en-US"/>
        </w:rPr>
        <w:t xml:space="preserve"> of length </w:t>
      </w:r>
      <w:r w:rsidR="00966D7C">
        <w:rPr>
          <w:rFonts w:ascii="Calibri" w:eastAsia="Times New Roman" w:hAnsi="Calibri" w:cs="Times New Roman"/>
          <w:iCs/>
          <w:snapToGrid w:val="0"/>
          <w:lang w:eastAsia="en-US"/>
        </w:rPr>
        <w:t>of treatment</w:t>
      </w:r>
      <w:r>
        <w:rPr>
          <w:rFonts w:ascii="Calibri" w:eastAsia="Times New Roman" w:hAnsi="Calibri" w:cs="Times New Roman"/>
          <w:iCs/>
          <w:snapToGrid w:val="0"/>
          <w:lang w:eastAsia="en-US"/>
        </w:rPr>
        <w:t xml:space="preserve"> (including and excluding breaks) were 24 days and </w:t>
      </w:r>
      <w:r w:rsidR="00A853B4">
        <w:rPr>
          <w:rFonts w:ascii="Calibri" w:eastAsia="Times New Roman" w:hAnsi="Calibri" w:cs="Times New Roman"/>
          <w:iCs/>
          <w:snapToGrid w:val="0"/>
          <w:lang w:eastAsia="en-US"/>
        </w:rPr>
        <w:t>28 days for pertuzumab and T-DM</w:t>
      </w:r>
      <w:r>
        <w:rPr>
          <w:rFonts w:ascii="Calibri" w:eastAsia="Times New Roman" w:hAnsi="Calibri" w:cs="Times New Roman"/>
          <w:iCs/>
          <w:snapToGrid w:val="0"/>
          <w:lang w:eastAsia="en-US"/>
        </w:rPr>
        <w:t>1 respectively.</w:t>
      </w:r>
    </w:p>
    <w:p w:rsidR="00843D45" w:rsidRPr="00844416" w:rsidRDefault="00192A24" w:rsidP="00843D45">
      <w:r>
        <w:rPr>
          <w:noProof/>
          <w:color w:val="000000"/>
          <w:highlight w:val="black"/>
        </w:rPr>
        <w:t>'''''</w:t>
      </w:r>
      <w:r w:rsidR="00843D45" w:rsidRPr="00B073A1">
        <w:t xml:space="preserve"> cycles of pertuzumab treatment was estimated in the submission to take </w:t>
      </w:r>
      <w:r>
        <w:rPr>
          <w:noProof/>
          <w:color w:val="000000"/>
          <w:highlight w:val="black"/>
        </w:rPr>
        <w:t>'''''''''</w:t>
      </w:r>
      <w:r w:rsidR="00843D45" w:rsidRPr="00B073A1">
        <w:t xml:space="preserve"> months assuming continuous treatment. Th</w:t>
      </w:r>
      <w:r w:rsidR="00130614" w:rsidRPr="00B073A1">
        <w:t>is</w:t>
      </w:r>
      <w:r w:rsidR="00843D45" w:rsidRPr="00B073A1">
        <w:t xml:space="preserve"> is slightly shorter than the</w:t>
      </w:r>
      <w:r w:rsidR="00843D45" w:rsidRPr="00844416">
        <w:t xml:space="preserve"> actual median 16.7</w:t>
      </w:r>
      <w:r w:rsidR="00130614" w:rsidRPr="00844416">
        <w:t> </w:t>
      </w:r>
      <w:r w:rsidR="00E448D9" w:rsidRPr="00844416">
        <w:t>months’ worth</w:t>
      </w:r>
      <w:r w:rsidR="00843D45" w:rsidRPr="00844416">
        <w:t xml:space="preserve"> of treatment (excluding breaks) measured in this analysis.</w:t>
      </w:r>
      <w:r w:rsidR="003F6EE8" w:rsidRPr="00844416">
        <w:t xml:space="preserve"> However this analysis is affected by the short observation time.</w:t>
      </w:r>
      <w:r w:rsidR="00843D45" w:rsidRPr="00844416">
        <w:t xml:space="preserve"> </w:t>
      </w:r>
    </w:p>
    <w:p w:rsidR="00843D45" w:rsidRDefault="00192A24" w:rsidP="00843D45">
      <w:r>
        <w:rPr>
          <w:noProof/>
          <w:color w:val="000000"/>
          <w:highlight w:val="black"/>
        </w:rPr>
        <w:t>'''''</w:t>
      </w:r>
      <w:r w:rsidR="00A853B4" w:rsidRPr="00B073A1">
        <w:t xml:space="preserve"> cycles of T-DM</w:t>
      </w:r>
      <w:r w:rsidR="00843D45" w:rsidRPr="00B073A1">
        <w:t xml:space="preserve">1 treatment was estimated in the submission to take </w:t>
      </w:r>
      <w:r>
        <w:rPr>
          <w:noProof/>
          <w:color w:val="000000"/>
          <w:highlight w:val="black"/>
        </w:rPr>
        <w:t>'''''''''</w:t>
      </w:r>
      <w:r w:rsidR="00843D45" w:rsidRPr="00B073A1">
        <w:t xml:space="preserve"> months assuming continuous treatment. Th</w:t>
      </w:r>
      <w:r w:rsidR="00130614" w:rsidRPr="00B073A1">
        <w:t>is</w:t>
      </w:r>
      <w:r w:rsidR="00843D45" w:rsidRPr="00B073A1">
        <w:t xml:space="preserve"> is longer than the </w:t>
      </w:r>
      <w:r w:rsidR="00843D45">
        <w:t xml:space="preserve">actual median </w:t>
      </w:r>
      <w:r w:rsidR="00277ACA">
        <w:t>7.8</w:t>
      </w:r>
      <w:r w:rsidR="00843D45">
        <w:t xml:space="preserve"> </w:t>
      </w:r>
      <w:r w:rsidR="00E448D9">
        <w:t>months’ worth</w:t>
      </w:r>
      <w:r w:rsidR="00843D45">
        <w:t xml:space="preserve"> of treatment (excluding breaks) measured in this analysis. </w:t>
      </w:r>
      <w:r w:rsidR="00217955">
        <w:t>This could reflect the clinical characteristics of patients receiving second line treatment or issues of tolerance and toxicity associated with T-DM1.</w:t>
      </w:r>
      <w:r w:rsidR="003F6EE8">
        <w:t xml:space="preserve"> It may also reflect use of T-DM1 as a last resort after multiple lines of treatment with pertuzumab.</w:t>
      </w:r>
    </w:p>
    <w:p w:rsidR="00ED5860" w:rsidRPr="00ED5860" w:rsidRDefault="007E1A07" w:rsidP="00ED5860">
      <w:pPr>
        <w:rPr>
          <w:rFonts w:ascii="Calibri" w:eastAsia="Times New Roman" w:hAnsi="Calibri" w:cs="Times New Roman"/>
          <w:b/>
          <w:iCs/>
          <w:snapToGrid w:val="0"/>
          <w:lang w:eastAsia="en-US"/>
        </w:rPr>
      </w:pPr>
      <w:r>
        <w:rPr>
          <w:noProof/>
        </w:rPr>
        <w:drawing>
          <wp:inline distT="0" distB="0" distL="0" distR="0" wp14:anchorId="231E6087" wp14:editId="5F69ED2A">
            <wp:extent cx="5687695" cy="4265771"/>
            <wp:effectExtent l="0" t="0" r="8255" b="1905"/>
            <wp:docPr id="20" name="Picture 20" descr="img1.png" title="Figure 15: Length of treatment (including breaks) by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7695" cy="4265771"/>
                    </a:xfrm>
                    <a:prstGeom prst="rect">
                      <a:avLst/>
                    </a:prstGeom>
                    <a:noFill/>
                    <a:ln>
                      <a:noFill/>
                    </a:ln>
                  </pic:spPr>
                </pic:pic>
              </a:graphicData>
            </a:graphic>
          </wp:inline>
        </w:drawing>
      </w:r>
      <w:r w:rsidR="00ED5860" w:rsidRPr="007E1A07">
        <w:rPr>
          <w:rFonts w:ascii="Calibri" w:eastAsia="Times New Roman" w:hAnsi="Calibri" w:cs="Times New Roman"/>
          <w:b/>
          <w:iCs/>
          <w:snapToGrid w:val="0"/>
          <w:lang w:eastAsia="en-US"/>
        </w:rPr>
        <w:t>Figu</w:t>
      </w:r>
      <w:r w:rsidR="00ED5860">
        <w:rPr>
          <w:rFonts w:ascii="Calibri" w:eastAsia="Times New Roman" w:hAnsi="Calibri" w:cs="Times New Roman"/>
          <w:b/>
          <w:iCs/>
          <w:snapToGrid w:val="0"/>
          <w:lang w:eastAsia="en-US"/>
        </w:rPr>
        <w:t xml:space="preserve">re </w:t>
      </w:r>
      <w:r w:rsidR="00DB079E">
        <w:rPr>
          <w:rFonts w:ascii="Calibri" w:eastAsia="Times New Roman" w:hAnsi="Calibri" w:cs="Times New Roman"/>
          <w:b/>
          <w:iCs/>
          <w:snapToGrid w:val="0"/>
          <w:lang w:eastAsia="en-US"/>
        </w:rPr>
        <w:t>15</w:t>
      </w:r>
      <w:r w:rsidR="00ED5860" w:rsidRPr="007E1A07">
        <w:rPr>
          <w:rFonts w:ascii="Calibri" w:eastAsia="Times New Roman" w:hAnsi="Calibri" w:cs="Times New Roman"/>
          <w:b/>
          <w:iCs/>
          <w:snapToGrid w:val="0"/>
          <w:lang w:eastAsia="en-US"/>
        </w:rPr>
        <w:t xml:space="preserve">: </w:t>
      </w:r>
      <w:r w:rsidR="00E448D9">
        <w:rPr>
          <w:rFonts w:ascii="Calibri" w:eastAsia="Times New Roman" w:hAnsi="Calibri" w:cs="Times New Roman"/>
          <w:b/>
          <w:iCs/>
          <w:snapToGrid w:val="0"/>
          <w:lang w:eastAsia="en-US"/>
        </w:rPr>
        <w:t>Length</w:t>
      </w:r>
      <w:r w:rsidR="00ED5860">
        <w:rPr>
          <w:rFonts w:ascii="Calibri" w:eastAsia="Times New Roman" w:hAnsi="Calibri" w:cs="Times New Roman"/>
          <w:b/>
          <w:iCs/>
          <w:snapToGrid w:val="0"/>
          <w:lang w:eastAsia="en-US"/>
        </w:rPr>
        <w:t xml:space="preserve"> of treatment (including breaks) </w:t>
      </w:r>
      <w:r w:rsidR="00ED5860" w:rsidRPr="007E1A07">
        <w:rPr>
          <w:rFonts w:ascii="Calibri" w:eastAsia="Times New Roman" w:hAnsi="Calibri" w:cs="Times New Roman"/>
          <w:b/>
          <w:iCs/>
          <w:snapToGrid w:val="0"/>
          <w:lang w:eastAsia="en-US"/>
        </w:rPr>
        <w:t>by drug</w:t>
      </w:r>
      <w:r w:rsidR="00904B7E">
        <w:rPr>
          <w:rFonts w:ascii="Calibri" w:eastAsia="Times New Roman" w:hAnsi="Calibri" w:cs="Times New Roman"/>
          <w:b/>
          <w:iCs/>
          <w:snapToGrid w:val="0"/>
          <w:lang w:eastAsia="en-US"/>
        </w:rPr>
        <w:br/>
      </w:r>
      <w:r w:rsidR="00904B7E">
        <w:rPr>
          <w:rFonts w:ascii="Calibri" w:eastAsia="MS Mincho" w:hAnsi="Calibri" w:cs="Times New Roman"/>
          <w:sz w:val="20"/>
        </w:rPr>
        <w:t>Source:</w:t>
      </w:r>
      <w:r w:rsidR="00904B7E" w:rsidRPr="00AB4293">
        <w:rPr>
          <w:rFonts w:ascii="Calibri" w:eastAsia="MS Mincho" w:hAnsi="Calibri" w:cs="Times New Roman"/>
          <w:sz w:val="20"/>
        </w:rPr>
        <w:t xml:space="preserve"> </w:t>
      </w:r>
      <w:r w:rsidR="00904B7E" w:rsidRPr="00B87CD5">
        <w:rPr>
          <w:rFonts w:ascii="Calibri" w:eastAsia="MS Mincho" w:hAnsi="Calibri" w:cs="Times New Roman"/>
          <w:sz w:val="20"/>
        </w:rPr>
        <w:t xml:space="preserve">DHS </w:t>
      </w:r>
      <w:r w:rsidR="00904B7E">
        <w:rPr>
          <w:rFonts w:ascii="Calibri" w:eastAsia="MS Mincho" w:hAnsi="Calibri" w:cs="Times New Roman"/>
          <w:sz w:val="20"/>
        </w:rPr>
        <w:t xml:space="preserve">R/PBS </w:t>
      </w:r>
      <w:r w:rsidR="00904B7E" w:rsidRPr="00B87CD5">
        <w:rPr>
          <w:rFonts w:ascii="Calibri" w:eastAsia="MS Mincho" w:hAnsi="Calibri" w:cs="Times New Roman"/>
          <w:sz w:val="20"/>
        </w:rPr>
        <w:t>prescription claims database</w:t>
      </w:r>
      <w:r w:rsidR="00904B7E">
        <w:rPr>
          <w:rFonts w:ascii="Calibri" w:eastAsia="MS Mincho" w:hAnsi="Calibri" w:cs="Times New Roman"/>
          <w:sz w:val="20"/>
        </w:rPr>
        <w:t xml:space="preserve"> (</w:t>
      </w:r>
      <w:r w:rsidR="00904B7E" w:rsidRPr="00B87CD5">
        <w:rPr>
          <w:rFonts w:ascii="Calibri" w:eastAsia="MS Mincho" w:hAnsi="Calibri" w:cs="Times New Roman"/>
          <w:sz w:val="20"/>
        </w:rPr>
        <w:t xml:space="preserve">accessed </w:t>
      </w:r>
      <w:r w:rsidR="00904B7E">
        <w:rPr>
          <w:rFonts w:ascii="Calibri" w:eastAsia="MS Mincho" w:hAnsi="Calibri" w:cs="Times New Roman"/>
          <w:sz w:val="20"/>
        </w:rPr>
        <w:t>30/11/</w:t>
      </w:r>
      <w:r w:rsidR="00904B7E" w:rsidRPr="00B87CD5">
        <w:rPr>
          <w:rFonts w:ascii="Calibri" w:eastAsia="MS Mincho" w:hAnsi="Calibri" w:cs="Times New Roman"/>
          <w:sz w:val="20"/>
        </w:rPr>
        <w:t>201</w:t>
      </w:r>
      <w:r w:rsidR="00904B7E">
        <w:rPr>
          <w:rFonts w:ascii="Calibri" w:eastAsia="MS Mincho" w:hAnsi="Calibri" w:cs="Times New Roman"/>
          <w:sz w:val="20"/>
        </w:rPr>
        <w:t>7)</w:t>
      </w:r>
    </w:p>
    <w:p w:rsidR="008710B9" w:rsidRPr="008710B9" w:rsidRDefault="008710B9" w:rsidP="008710B9">
      <w:pPr>
        <w:keepNext/>
        <w:keepLines/>
        <w:spacing w:before="480" w:after="240"/>
        <w:outlineLvl w:val="0"/>
        <w:rPr>
          <w:rFonts w:ascii="Calibri" w:eastAsia="MS Gothic" w:hAnsi="Calibri" w:cs="Times New Roman"/>
          <w:b/>
          <w:bCs/>
          <w:sz w:val="32"/>
          <w:szCs w:val="32"/>
        </w:rPr>
      </w:pPr>
      <w:r w:rsidRPr="008710B9">
        <w:rPr>
          <w:rFonts w:ascii="Calibri" w:eastAsia="MS Gothic" w:hAnsi="Calibri" w:cs="Times New Roman"/>
          <w:b/>
          <w:bCs/>
          <w:sz w:val="32"/>
          <w:szCs w:val="32"/>
        </w:rPr>
        <w:t>DUSC consideration</w:t>
      </w:r>
    </w:p>
    <w:p w:rsidR="008710B9" w:rsidRPr="00B36550" w:rsidRDefault="008710B9" w:rsidP="008710B9">
      <w:r w:rsidRPr="005C5846">
        <w:t>Pertuzumab</w:t>
      </w:r>
      <w:r>
        <w:t xml:space="preserve"> is PBS subsidised </w:t>
      </w:r>
      <w:r w:rsidRPr="00B932A1">
        <w:t>for the treatment of HER2 positive metastatic breast cancer in combination with trastuzumab and a taxane in the first-line setting</w:t>
      </w:r>
      <w:r>
        <w:t>. L</w:t>
      </w:r>
      <w:r w:rsidRPr="005C5846">
        <w:t xml:space="preserve">apatinib and T-DM1 </w:t>
      </w:r>
      <w:r>
        <w:t>are PBS</w:t>
      </w:r>
      <w:r w:rsidRPr="005C5846">
        <w:t xml:space="preserve"> listed for treatment in patients who have progressive disease following first line therapy for metastatic disease.</w:t>
      </w:r>
      <w:r>
        <w:t xml:space="preserve"> Trastuzumab was previously available through the Herceptin Program and since 1 July 2015 has been PBS subsidised for use in any line of therapy for m</w:t>
      </w:r>
      <w:r w:rsidRPr="00B932A1">
        <w:t>etastatic HER2 positive breast cancer</w:t>
      </w:r>
      <w:r>
        <w:t>. The</w:t>
      </w:r>
      <w:r w:rsidRPr="008C283A">
        <w:t xml:space="preserve"> PBAC (November 2014) </w:t>
      </w:r>
      <w:r>
        <w:t>had considered that the restriction for trastuzumab should</w:t>
      </w:r>
      <w:r w:rsidRPr="008C283A">
        <w:t xml:space="preserve"> reflect current evidence and legitimise clinical practice by allowing use of trastuzumab beyond progression and </w:t>
      </w:r>
      <w:r>
        <w:t xml:space="preserve">with </w:t>
      </w:r>
      <w:r w:rsidRPr="008C283A">
        <w:t xml:space="preserve">a </w:t>
      </w:r>
      <w:r w:rsidRPr="00B36550">
        <w:t>range of partner chemotherapy options, with the exception of nab-paclitaxel. DUSC noted that the PBS restrictions for trastuzumab allow for a broad range of co-administered chemotherapy and use as monotherapy in some patients. DUSC also discussed the differing views of clinicians regarding what is a line of therapy</w:t>
      </w:r>
      <w:r w:rsidR="00BE354B">
        <w:t xml:space="preserve">. </w:t>
      </w:r>
      <w:r w:rsidRPr="00B36550">
        <w:t>Clinicians may not consider a change in chemotherapy partner, while maintaining treatment with trastuzumab, to be a change in line of treatment.</w:t>
      </w:r>
    </w:p>
    <w:p w:rsidR="008710B9" w:rsidRPr="00B36550" w:rsidRDefault="008710B9" w:rsidP="008710B9"/>
    <w:p w:rsidR="008710B9" w:rsidRPr="00B36550" w:rsidRDefault="008710B9" w:rsidP="008710B9">
      <w:r w:rsidRPr="00B36550">
        <w:t>The analysis (Figure 10) showed that from the third quarter of 2016 approximately 150 patients each quarter have a first PBS dispensing of trastuzumab for metastatic disease and about 100 patients have a first dispensing of pertuzumab</w:t>
      </w:r>
      <w:r w:rsidR="00BE354B">
        <w:t xml:space="preserve">. </w:t>
      </w:r>
      <w:r w:rsidRPr="00B36550">
        <w:t>DUSC noted that the use of trastuzumab is substantially more than pertuzumab. This difference occurred even though pertuzumab is partnered with trastuzumab in the first line treatment setting</w:t>
      </w:r>
      <w:r w:rsidR="00BE354B">
        <w:t xml:space="preserve">. </w:t>
      </w:r>
      <w:r w:rsidRPr="00B36550">
        <w:t>While some use of trastuzumab without pertuzumab is expected in patients transitioning from the Herceptin Program, for later lines of therapy or patients with metastatic disease remaining classified in the data as having early breast cancer, there is a group of metastatic breast cancer patients who may not be commencing trastuzumab in combination with pertuzumab</w:t>
      </w:r>
      <w:r w:rsidR="00BE354B">
        <w:t xml:space="preserve">. </w:t>
      </w:r>
      <w:r w:rsidRPr="00B36550">
        <w:t>Given the clinical trial results showed significant and important improvements with pertuzumab it is not clear why this would be the case. This is a potential quality use of medicines issue.</w:t>
      </w:r>
    </w:p>
    <w:p w:rsidR="008710B9" w:rsidRPr="00B36550" w:rsidRDefault="008710B9" w:rsidP="008710B9">
      <w:r w:rsidRPr="00B36550">
        <w:t>DUSC considered that the pertuzumab and T-DM1 utilisation data are still immature. Given the relatively small sample of patients who have sufficient time on therapy for a meaningful interpretation of the utilisation data, DUSC did not consider it was possible to confidently assess whether patients are transitioning to other therapies as their disease progresses</w:t>
      </w:r>
      <w:r w:rsidR="00BE354B">
        <w:t xml:space="preserve">. </w:t>
      </w:r>
      <w:r w:rsidRPr="00B36550">
        <w:t xml:space="preserve">The analyses provided in the report showed that </w:t>
      </w:r>
      <w:r w:rsidR="00192A24">
        <w:rPr>
          <w:noProof/>
          <w:color w:val="000000"/>
          <w:highlight w:val="black"/>
        </w:rPr>
        <w:t>'''''</w:t>
      </w:r>
      <w:r w:rsidRPr="00B36550">
        <w:t xml:space="preserve">% of patients receiving pertuzumab exceeded </w:t>
      </w:r>
      <w:r w:rsidR="00192A24">
        <w:rPr>
          <w:noProof/>
          <w:color w:val="000000"/>
          <w:highlight w:val="black"/>
        </w:rPr>
        <w:t>'''''</w:t>
      </w:r>
      <w:r w:rsidRPr="00B36550">
        <w:t xml:space="preserve"> cycles and </w:t>
      </w:r>
      <w:r w:rsidR="00192A24">
        <w:rPr>
          <w:noProof/>
          <w:color w:val="000000"/>
          <w:highlight w:val="black"/>
        </w:rPr>
        <w:t>'''''</w:t>
      </w:r>
      <w:r w:rsidRPr="00B36550">
        <w:t xml:space="preserve">% of patients on T-DM1 exceeded </w:t>
      </w:r>
      <w:r w:rsidR="00192A24">
        <w:rPr>
          <w:noProof/>
          <w:color w:val="000000"/>
          <w:highlight w:val="black"/>
        </w:rPr>
        <w:t>'''''</w:t>
      </w:r>
      <w:r w:rsidRPr="00B36550">
        <w:t xml:space="preserve"> cycles. The Sponsor provided additional information from the TABITHA registry to support their view that patients are not continuing on pertuzumab plus trastuzumab longer than expected. However DUSC noted that the sample size of the TABITHA data was small and the representativeness of the data was unclear. DUSC agreed with the Sponsor that insight into the utilisation of both medicines is immature and treatment regimens are developing. In addition DUSC noted that cohort studies of trastuzumab treated patients in Australia show increasing survival time, longer time on therapy than predicted from clinical trials and preferences for switching chemotherapy partners while remaining on trastuzumab rather than commencing a second line of treatment</w:t>
      </w:r>
      <w:r w:rsidRPr="00B36550">
        <w:rPr>
          <w:vertAlign w:val="superscript"/>
        </w:rPr>
        <w:footnoteReference w:id="7"/>
      </w:r>
      <w:r w:rsidRPr="00B36550">
        <w:t xml:space="preserve">. DUSC also noted that the PBAC had not seen evidence of effectiveness of trastuzumab in a population treated with adjuvant trastuzumab for early breast cancer and subsequently trastuzumab in metastatic breast cancer. An Australian cohort study has shown that 20% of women treated for metastatic disease also had adjuvant treatment with trastuzumab. </w:t>
      </w:r>
      <w:r w:rsidRPr="00B36550">
        <w:rPr>
          <w:vertAlign w:val="superscript"/>
        </w:rPr>
        <w:footnoteReference w:id="8"/>
      </w:r>
    </w:p>
    <w:p w:rsidR="008710B9" w:rsidRPr="00B36550" w:rsidRDefault="008710B9" w:rsidP="008710B9">
      <w:r w:rsidRPr="00B36550">
        <w:t xml:space="preserve">DUSC noted the actual prevalent trastuzumab treated population in each of the two years was reported to be </w:t>
      </w:r>
      <w:r w:rsidRPr="00B073A1">
        <w:t>almost triple</w:t>
      </w:r>
      <w:r w:rsidRPr="00B36550">
        <w:t xml:space="preserve"> that expected. DUSC noted that the trastuzumab utilisation data presented includes trastuzumab used in combination with pertuzumab as well as monotherapy or second and subsequent lines of therapy. DUSC considered that a statement should be added into the report to highlight this. The committee noted that the prevalence estimate was based on the Australian Government Herceptin Program which was considered the most reliable source for counting treated patients. There were some differences between the Herceptin Program and the PBS listing which may account to some extent for a difference in the treated population; in particular the requirement for a scan to demonstrate metastatic disease in the earlier Herceptin Program. Another reason for the underestimate of metastatic prevalent patients was that some may have been treated on the PBS under the early breast cancer indication and so were not part of the Herceptin Program. These patients may have transitioned to PBS supply after trastuzumab was listed for this indication. There was a decline in the early breast cancer utilisation after July 2015 (Figure 9).</w:t>
      </w:r>
    </w:p>
    <w:p w:rsidR="008710B9" w:rsidRPr="00B36550" w:rsidRDefault="008710B9" w:rsidP="008710B9">
      <w:r w:rsidRPr="00B36550">
        <w:t>The prevalent treated population for pertuzumab was slightly higher than predicted, while T-DM1 was slightly less. DUSC advised the PBAC that 100% of eligible patients commencing pertuzumab was a possibility and the committee noted that the final estimate agreed between the Sponsor and the government was 95%: even considering higher uptake the prevalent population was possibly slightly underestimated for pertuzumab.</w:t>
      </w:r>
    </w:p>
    <w:p w:rsidR="008710B9" w:rsidRPr="00B36550" w:rsidRDefault="008710B9" w:rsidP="008710B9">
      <w:r w:rsidRPr="00B36550">
        <w:t xml:space="preserve">For the purposes of ensuring cost effective use, the expected financial expenditure was capped </w:t>
      </w:r>
      <w:r w:rsidR="00192A24">
        <w:rPr>
          <w:noProof/>
          <w:color w:val="000000"/>
          <w:highlight w:val="black"/>
        </w:rPr>
        <w:t>''''' ''''' ''''''''''' '''''' ''''''''''''' '''''' ''''''''''''' '''''''' '''' '''''' '''''''''' '''''' ''''''''''''''' '''''' '''''''''''''''''''''''' ''''''' ''''''''''''''''' ''''''''''''''''''' ''''''''''''' ''''''''' '''''' '''''''' ''''''''' '''''''''' ''''''''''''''' ''''' '''''''''''''''''''' ''''''''''' '''''''''''''''''' '''''''''''''''''''' '''' '''''''''''''''''''''''' ''''''''''' ''''''' ''''''''''''''''''''''' '''' '''''' ''''''''''''' ''''''''' ''''''''''''''''''''''''' '''''''' '''''''''''''''' '''' '''''''''''' ''''''''' ''''''''''''''''''''''''''''''</w:t>
      </w:r>
      <w:r w:rsidRPr="00B36550">
        <w:t xml:space="preserve">. The Sponsor further stated that the purpose of the risk sharing arrangement is to share financial risk and provide budget certainty. </w:t>
      </w:r>
      <w:r w:rsidR="00192A24">
        <w:rPr>
          <w:noProof/>
          <w:color w:val="000000"/>
          <w:highlight w:val="black"/>
        </w:rPr>
        <w:t>'''''''' '''''''''''''''' ''''''''''''''''''' '''''''' '''''' '''''''''''''''''''' '''''''' '''''''''''''''''''''''' ''''''''''' ''''''''' '''''' ''''''''' ''''' '''''''' ''''''''''''' ''''''''''''''''''</w:t>
      </w:r>
    </w:p>
    <w:p w:rsidR="00F06628" w:rsidRPr="00F06628" w:rsidRDefault="00F06628" w:rsidP="00F06628">
      <w:pPr>
        <w:pStyle w:val="Heading4"/>
        <w:rPr>
          <w:i w:val="0"/>
        </w:rPr>
      </w:pPr>
      <w:r w:rsidRPr="00F06628">
        <w:rPr>
          <w:i w:val="0"/>
        </w:rPr>
        <w:t>DUSC actions</w:t>
      </w:r>
    </w:p>
    <w:p w:rsidR="008710B9" w:rsidRPr="00F06628" w:rsidRDefault="008710B9" w:rsidP="00FD4584">
      <w:pPr>
        <w:numPr>
          <w:ilvl w:val="0"/>
          <w:numId w:val="13"/>
        </w:numPr>
        <w:spacing w:line="276" w:lineRule="auto"/>
        <w:ind w:left="709"/>
        <w:contextualSpacing/>
      </w:pPr>
      <w:r w:rsidRPr="00F06628">
        <w:rPr>
          <w:rFonts w:cs="Times New Roman"/>
        </w:rPr>
        <w:t>Further review by DUSC of trastuzumab, pertuzumab and T-DM1 in another 24 months when more data are available. The analyses should also examine the data for any trend in patients continuing to receive trastuzumab monotherapy in early lines of pharmacotherapy for metastatic disease</w:t>
      </w:r>
      <w:r w:rsidR="00BE354B">
        <w:rPr>
          <w:rFonts w:cs="Times New Roman"/>
        </w:rPr>
        <w:t xml:space="preserve">. </w:t>
      </w:r>
    </w:p>
    <w:p w:rsidR="00F06628" w:rsidRPr="00F06628" w:rsidRDefault="00F06628" w:rsidP="00F06628">
      <w:pPr>
        <w:pStyle w:val="Heading4"/>
        <w:rPr>
          <w:i w:val="0"/>
        </w:rPr>
      </w:pPr>
      <w:r w:rsidRPr="00F06628">
        <w:rPr>
          <w:i w:val="0"/>
        </w:rPr>
        <w:t>Context for analysis</w:t>
      </w:r>
    </w:p>
    <w:p w:rsidR="00F06628" w:rsidRDefault="00F06628" w:rsidP="00F06628">
      <w:r>
        <w:t>The DUSC is a Sub Committee of the Pharmaceutical Benefits Advisory Committee (PBAC). The DUSC assesses estimates on projected usage and financial cost of medicines.</w:t>
      </w:r>
    </w:p>
    <w:p w:rsidR="00F06628" w:rsidRDefault="00F06628" w:rsidP="00F06628">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F06628" w:rsidRDefault="00F06628" w:rsidP="00F06628">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F06628" w:rsidRDefault="00F06628" w:rsidP="00F06628">
      <w:r>
        <w:t>The utilisation analysis report was provided to the pharmaceutical sponsors of each drug and comments on the report were provided to DUSC prior to its consideration of the analysis.</w:t>
      </w:r>
    </w:p>
    <w:p w:rsidR="00F06628" w:rsidRPr="00B04C78" w:rsidRDefault="00F06628" w:rsidP="00F06628">
      <w:pPr>
        <w:pStyle w:val="Heading4"/>
        <w:rPr>
          <w:i w:val="0"/>
        </w:rPr>
      </w:pPr>
      <w:r w:rsidRPr="00B04C78">
        <w:rPr>
          <w:i w:val="0"/>
        </w:rPr>
        <w:t>Sponsors’ comments</w:t>
      </w:r>
    </w:p>
    <w:p w:rsidR="008455DE" w:rsidRPr="008455DE" w:rsidRDefault="00AC217D" w:rsidP="00F06628">
      <w:r w:rsidRPr="00B04C78">
        <w:rPr>
          <w:rFonts w:cs="Arial"/>
          <w:bCs/>
          <w:color w:val="222222"/>
          <w:shd w:val="clear" w:color="auto" w:fill="FFFFFF"/>
        </w:rPr>
        <w:t xml:space="preserve">Roche Products Pty Ltd (trastuzumab, pertuzumab and </w:t>
      </w:r>
      <w:r w:rsidRPr="008455DE">
        <w:t>trastuzumab emtansine)</w:t>
      </w:r>
      <w:r w:rsidR="008455DE">
        <w:t xml:space="preserve">: </w:t>
      </w:r>
      <w:r w:rsidR="008455DE" w:rsidRPr="008455DE">
        <w:t>The sponsor has no comment</w:t>
      </w:r>
    </w:p>
    <w:p w:rsidR="00F06628" w:rsidRPr="00F06628" w:rsidRDefault="00F06628" w:rsidP="00F06628">
      <w:pPr>
        <w:pStyle w:val="Heading4"/>
        <w:rPr>
          <w:i w:val="0"/>
        </w:rPr>
      </w:pPr>
      <w:r w:rsidRPr="00F06628">
        <w:rPr>
          <w:i w:val="0"/>
        </w:rPr>
        <w:t>Disclaimer</w:t>
      </w:r>
    </w:p>
    <w:p w:rsidR="00F06628" w:rsidRDefault="00F06628" w:rsidP="00F06628">
      <w:r>
        <w:t>The information provided in this report does not constitute medical advice and is not intended to take the place of professional medical advice or care</w:t>
      </w:r>
      <w:r w:rsidR="00BE354B">
        <w:t xml:space="preserve">. </w:t>
      </w:r>
      <w:r>
        <w:t>It is not intended to define what constitutes reasonable, appropriate or best care for any individual for any given health issue</w:t>
      </w:r>
      <w:r w:rsidR="00BE354B">
        <w:t xml:space="preserve">. </w:t>
      </w:r>
      <w:r>
        <w:t>The information should not be used as a substitute for the judgement and skill of a medical practitioner.</w:t>
      </w:r>
    </w:p>
    <w:p w:rsidR="00F06628" w:rsidRDefault="00F06628" w:rsidP="00F06628">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w:t>
      </w:r>
      <w:r w:rsidR="00BE354B">
        <w:t xml:space="preserve">. </w:t>
      </w:r>
      <w:r>
        <w:t>The context for that information may have changed since publication.</w:t>
      </w:r>
    </w:p>
    <w:p w:rsidR="00F06628" w:rsidRDefault="00F06628" w:rsidP="00F06628">
      <w:r>
        <w:t xml:space="preserve">To the extent provided by law, DoH makes no warranties or representations as to accuracy or completeness of information contained in this report. </w:t>
      </w:r>
    </w:p>
    <w:p w:rsidR="00F06628" w:rsidRDefault="00F06628" w:rsidP="00F06628">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DB6703" w:rsidRPr="00AC52C7" w:rsidRDefault="00DB6703">
      <w:pPr>
        <w:spacing w:line="276" w:lineRule="auto"/>
        <w:rPr>
          <w:rFonts w:ascii="Calibri" w:eastAsia="MS Gothic" w:hAnsi="Calibri" w:cs="Times New Roman"/>
          <w:bCs/>
        </w:rPr>
      </w:pPr>
      <w:r w:rsidRPr="00AC52C7">
        <w:rPr>
          <w:rFonts w:ascii="Calibri" w:eastAsia="MS Gothic" w:hAnsi="Calibri" w:cs="Times New Roman"/>
          <w:bCs/>
        </w:rPr>
        <w:br w:type="page"/>
      </w:r>
    </w:p>
    <w:p w:rsidR="00624AF1" w:rsidRDefault="00DB6703" w:rsidP="003F0749">
      <w:pPr>
        <w:spacing w:line="276" w:lineRule="auto"/>
        <w:rPr>
          <w:rFonts w:ascii="Calibri" w:eastAsia="MS Gothic" w:hAnsi="Calibri" w:cs="Times New Roman"/>
          <w:b/>
          <w:bCs/>
          <w:sz w:val="32"/>
          <w:szCs w:val="32"/>
        </w:rPr>
      </w:pPr>
      <w:r>
        <w:rPr>
          <w:rFonts w:ascii="Calibri" w:eastAsia="MS Gothic" w:hAnsi="Calibri" w:cs="Times New Roman"/>
          <w:b/>
          <w:bCs/>
          <w:sz w:val="32"/>
          <w:szCs w:val="32"/>
        </w:rPr>
        <w:t>A</w:t>
      </w:r>
      <w:r w:rsidR="00624AF1" w:rsidRPr="003F0749">
        <w:rPr>
          <w:rFonts w:ascii="Calibri" w:eastAsia="MS Gothic" w:hAnsi="Calibri" w:cs="Times New Roman"/>
          <w:b/>
          <w:bCs/>
          <w:sz w:val="32"/>
          <w:szCs w:val="32"/>
        </w:rPr>
        <w:t xml:space="preserve">ppendix A: </w:t>
      </w:r>
      <w:r w:rsidR="0087756C">
        <w:rPr>
          <w:rFonts w:ascii="Calibri" w:eastAsia="MS Gothic" w:hAnsi="Calibri" w:cs="Times New Roman"/>
          <w:b/>
          <w:bCs/>
          <w:sz w:val="32"/>
          <w:szCs w:val="32"/>
        </w:rPr>
        <w:t xml:space="preserve">PBS </w:t>
      </w:r>
      <w:r w:rsidR="00E42ECE">
        <w:rPr>
          <w:rFonts w:ascii="Calibri" w:eastAsia="MS Gothic" w:hAnsi="Calibri" w:cs="Times New Roman"/>
          <w:b/>
          <w:bCs/>
          <w:sz w:val="32"/>
          <w:szCs w:val="32"/>
        </w:rPr>
        <w:t>Schedule information (as at 1 October 2017)</w:t>
      </w:r>
    </w:p>
    <w:p w:rsidR="00040BBC" w:rsidRPr="00C2161C" w:rsidRDefault="006D670F" w:rsidP="00040BBC">
      <w:pPr>
        <w:rPr>
          <w:rFonts w:ascii="Calibri" w:eastAsia="MS Mincho" w:hAnsi="Calibri" w:cs="Times New Roman"/>
          <w:b/>
        </w:rPr>
      </w:pPr>
      <w:r w:rsidRPr="00C2161C">
        <w:rPr>
          <w:rFonts w:ascii="Calibri" w:eastAsia="MS Mincho" w:hAnsi="Calibri" w:cs="Times New Roman"/>
          <w:b/>
        </w:rPr>
        <w:t xml:space="preserve">Table A.1: </w:t>
      </w:r>
      <w:r w:rsidR="00C2161C" w:rsidRPr="00C2161C">
        <w:rPr>
          <w:rFonts w:ascii="Calibri" w:eastAsia="MS Mincho" w:hAnsi="Calibri" w:cs="Times New Roman"/>
          <w:b/>
        </w:rPr>
        <w:t xml:space="preserve">PBS </w:t>
      </w:r>
      <w:r w:rsidRPr="00C2161C">
        <w:rPr>
          <w:rFonts w:ascii="Calibri" w:eastAsia="MS Mincho" w:hAnsi="Calibri" w:cs="Times New Roman"/>
          <w:b/>
        </w:rPr>
        <w:t xml:space="preserve">items, restriction code and </w:t>
      </w:r>
      <w:r w:rsidR="00C2161C">
        <w:rPr>
          <w:rFonts w:ascii="Calibri" w:eastAsia="MS Mincho" w:hAnsi="Calibri" w:cs="Times New Roman"/>
          <w:b/>
        </w:rPr>
        <w:t>breast cancer</w:t>
      </w:r>
      <w:r w:rsidRPr="00C2161C">
        <w:rPr>
          <w:rFonts w:ascii="Calibri" w:eastAsia="MS Mincho" w:hAnsi="Calibri" w:cs="Times New Roman"/>
          <w:b/>
        </w:rPr>
        <w:t xml:space="preserve"> stages for </w:t>
      </w:r>
      <w:r w:rsidR="00C2161C" w:rsidRPr="00C2161C">
        <w:rPr>
          <w:rFonts w:ascii="Calibri" w:eastAsia="MS Mincho" w:hAnsi="Calibri" w:cs="Times New Roman"/>
          <w:b/>
        </w:rPr>
        <w:t>trastuzumab, trastuzumab emtansine and pertuzumab</w:t>
      </w:r>
      <w:r w:rsidRPr="00C2161C">
        <w:rPr>
          <w:rFonts w:ascii="Calibri" w:eastAsia="MS Mincho" w:hAnsi="Calibri" w:cs="Times New Roman"/>
          <w:b/>
        </w:rPr>
        <w:t>.</w:t>
      </w:r>
    </w:p>
    <w:tbl>
      <w:tblPr>
        <w:tblW w:w="91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837"/>
        <w:gridCol w:w="2502"/>
        <w:gridCol w:w="1448"/>
        <w:gridCol w:w="1009"/>
        <w:gridCol w:w="1136"/>
        <w:gridCol w:w="1136"/>
      </w:tblGrid>
      <w:tr w:rsidR="00040BBC" w:rsidRPr="000C1143" w:rsidTr="007F4C2F">
        <w:trPr>
          <w:trHeight w:val="510"/>
          <w:tblHeader/>
        </w:trPr>
        <w:tc>
          <w:tcPr>
            <w:tcW w:w="1348" w:type="dxa"/>
            <w:shd w:val="clear" w:color="auto" w:fill="BFBFBF" w:themeFill="background1" w:themeFillShade="BF"/>
            <w:vAlign w:val="center"/>
            <w:hideMark/>
          </w:tcPr>
          <w:p w:rsidR="00040BBC" w:rsidRPr="000C1143" w:rsidRDefault="00040BBC" w:rsidP="00910C80">
            <w:pPr>
              <w:spacing w:after="0"/>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Drug Name</w:t>
            </w:r>
          </w:p>
        </w:tc>
        <w:tc>
          <w:tcPr>
            <w:tcW w:w="850" w:type="dxa"/>
            <w:shd w:val="clear" w:color="auto" w:fill="BFBFBF" w:themeFill="background1" w:themeFillShade="BF"/>
            <w:vAlign w:val="center"/>
            <w:hideMark/>
          </w:tcPr>
          <w:p w:rsidR="00040BBC" w:rsidRPr="000C1143" w:rsidRDefault="00040BBC" w:rsidP="00910C80">
            <w:pPr>
              <w:spacing w:after="0"/>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 xml:space="preserve">Item </w:t>
            </w:r>
            <w:r w:rsidRPr="000C1143">
              <w:rPr>
                <w:rFonts w:ascii="Calibri" w:eastAsia="Times New Roman" w:hAnsi="Calibri" w:cs="Times New Roman"/>
                <w:b/>
                <w:bCs/>
                <w:color w:val="000000"/>
                <w:sz w:val="18"/>
                <w:szCs w:val="18"/>
              </w:rPr>
              <w:t>Code</w:t>
            </w:r>
          </w:p>
        </w:tc>
        <w:tc>
          <w:tcPr>
            <w:tcW w:w="2551" w:type="dxa"/>
            <w:shd w:val="clear" w:color="auto" w:fill="BFBFBF" w:themeFill="background1" w:themeFillShade="BF"/>
            <w:vAlign w:val="center"/>
            <w:hideMark/>
          </w:tcPr>
          <w:p w:rsidR="00040BBC" w:rsidRPr="000C1143" w:rsidRDefault="00040BBC" w:rsidP="00910C80">
            <w:pPr>
              <w:spacing w:after="0"/>
              <w:jc w:val="center"/>
              <w:rPr>
                <w:rFonts w:ascii="Calibri" w:eastAsia="Times New Roman" w:hAnsi="Calibri" w:cs="Times New Roman"/>
                <w:b/>
                <w:bCs/>
                <w:color w:val="000000"/>
                <w:sz w:val="18"/>
                <w:szCs w:val="18"/>
              </w:rPr>
            </w:pPr>
            <w:r>
              <w:rPr>
                <w:rFonts w:ascii="Calibri" w:eastAsia="Times New Roman" w:hAnsi="Calibri" w:cs="Times New Roman"/>
                <w:b/>
                <w:bCs/>
                <w:color w:val="000000"/>
                <w:sz w:val="18"/>
                <w:szCs w:val="18"/>
              </w:rPr>
              <w:t>Form and Strength</w:t>
            </w:r>
          </w:p>
        </w:tc>
        <w:tc>
          <w:tcPr>
            <w:tcW w:w="1474" w:type="dxa"/>
            <w:shd w:val="clear" w:color="auto" w:fill="BFBFBF" w:themeFill="background1" w:themeFillShade="BF"/>
            <w:vAlign w:val="center"/>
            <w:hideMark/>
          </w:tcPr>
          <w:p w:rsidR="00040BBC" w:rsidRPr="000C1143" w:rsidRDefault="00040BBC" w:rsidP="00910C80">
            <w:pPr>
              <w:spacing w:after="0"/>
              <w:jc w:val="center"/>
              <w:rPr>
                <w:rFonts w:ascii="Calibri" w:eastAsia="Times New Roman" w:hAnsi="Calibri" w:cs="Times New Roman"/>
                <w:b/>
                <w:bCs/>
                <w:color w:val="000000"/>
                <w:sz w:val="18"/>
                <w:szCs w:val="18"/>
              </w:rPr>
            </w:pPr>
            <w:r w:rsidRPr="000C1143">
              <w:rPr>
                <w:rFonts w:ascii="Calibri" w:eastAsia="Times New Roman" w:hAnsi="Calibri" w:cs="Times New Roman"/>
                <w:b/>
                <w:bCs/>
                <w:color w:val="000000"/>
                <w:sz w:val="18"/>
                <w:szCs w:val="18"/>
              </w:rPr>
              <w:t>Stage</w:t>
            </w:r>
          </w:p>
        </w:tc>
        <w:tc>
          <w:tcPr>
            <w:tcW w:w="964" w:type="dxa"/>
            <w:shd w:val="clear" w:color="auto" w:fill="BFBFBF" w:themeFill="background1" w:themeFillShade="BF"/>
            <w:vAlign w:val="center"/>
            <w:hideMark/>
          </w:tcPr>
          <w:p w:rsidR="00040BBC" w:rsidRPr="000C1143" w:rsidRDefault="00040BBC" w:rsidP="00910C80">
            <w:pPr>
              <w:spacing w:after="0"/>
              <w:jc w:val="center"/>
              <w:rPr>
                <w:rFonts w:ascii="Calibri" w:eastAsia="Times New Roman" w:hAnsi="Calibri" w:cs="Times New Roman"/>
                <w:b/>
                <w:bCs/>
                <w:color w:val="000000"/>
                <w:sz w:val="18"/>
                <w:szCs w:val="18"/>
              </w:rPr>
            </w:pPr>
            <w:r w:rsidRPr="000C1143">
              <w:rPr>
                <w:rFonts w:ascii="Calibri" w:eastAsia="Times New Roman" w:hAnsi="Calibri" w:cs="Times New Roman"/>
                <w:b/>
                <w:bCs/>
                <w:color w:val="000000"/>
                <w:sz w:val="18"/>
                <w:szCs w:val="18"/>
              </w:rPr>
              <w:t>Restriction</w:t>
            </w:r>
          </w:p>
          <w:p w:rsidR="00040BBC" w:rsidRPr="000C1143" w:rsidRDefault="00040BBC" w:rsidP="00910C80">
            <w:pPr>
              <w:spacing w:after="0"/>
              <w:jc w:val="center"/>
              <w:rPr>
                <w:rFonts w:ascii="Calibri" w:eastAsia="Times New Roman" w:hAnsi="Calibri" w:cs="Times New Roman"/>
                <w:b/>
                <w:bCs/>
                <w:color w:val="000000"/>
                <w:sz w:val="18"/>
                <w:szCs w:val="18"/>
              </w:rPr>
            </w:pPr>
            <w:r w:rsidRPr="000C1143">
              <w:rPr>
                <w:rFonts w:ascii="Calibri" w:eastAsia="Times New Roman" w:hAnsi="Calibri" w:cs="Times New Roman"/>
                <w:b/>
                <w:bCs/>
                <w:color w:val="000000"/>
                <w:sz w:val="18"/>
                <w:szCs w:val="18"/>
              </w:rPr>
              <w:t>Code</w:t>
            </w:r>
          </w:p>
        </w:tc>
        <w:tc>
          <w:tcPr>
            <w:tcW w:w="1020" w:type="dxa"/>
            <w:shd w:val="clear" w:color="auto" w:fill="BFBFBF" w:themeFill="background1" w:themeFillShade="BF"/>
            <w:vAlign w:val="center"/>
            <w:hideMark/>
          </w:tcPr>
          <w:p w:rsidR="00040BBC" w:rsidRPr="000C1143" w:rsidRDefault="00040BBC" w:rsidP="00910C80">
            <w:pPr>
              <w:spacing w:after="0"/>
              <w:jc w:val="center"/>
              <w:rPr>
                <w:rFonts w:ascii="Calibri" w:eastAsia="Times New Roman" w:hAnsi="Calibri" w:cs="Times New Roman"/>
                <w:b/>
                <w:bCs/>
                <w:color w:val="000000"/>
                <w:sz w:val="18"/>
                <w:szCs w:val="18"/>
              </w:rPr>
            </w:pPr>
            <w:r w:rsidRPr="000C1143">
              <w:rPr>
                <w:rFonts w:ascii="Calibri" w:eastAsia="Times New Roman" w:hAnsi="Calibri" w:cs="Times New Roman"/>
                <w:b/>
                <w:bCs/>
                <w:color w:val="000000"/>
                <w:sz w:val="18"/>
                <w:szCs w:val="18"/>
              </w:rPr>
              <w:t>Start Date</w:t>
            </w:r>
            <w:r>
              <w:rPr>
                <w:rFonts w:ascii="Calibri" w:eastAsia="Times New Roman" w:hAnsi="Calibri" w:cs="Times New Roman"/>
                <w:b/>
                <w:bCs/>
                <w:color w:val="000000"/>
                <w:sz w:val="18"/>
                <w:szCs w:val="18"/>
              </w:rPr>
              <w:br/>
              <w:t>(yyyymmdd)</w:t>
            </w:r>
          </w:p>
        </w:tc>
        <w:tc>
          <w:tcPr>
            <w:tcW w:w="964" w:type="dxa"/>
            <w:shd w:val="clear" w:color="auto" w:fill="BFBFBF" w:themeFill="background1" w:themeFillShade="BF"/>
            <w:vAlign w:val="center"/>
            <w:hideMark/>
          </w:tcPr>
          <w:p w:rsidR="00040BBC" w:rsidRPr="000C1143" w:rsidRDefault="00040BBC" w:rsidP="00910C80">
            <w:pPr>
              <w:spacing w:after="0"/>
              <w:jc w:val="center"/>
              <w:rPr>
                <w:rFonts w:ascii="Calibri" w:eastAsia="Times New Roman" w:hAnsi="Calibri" w:cs="Times New Roman"/>
                <w:b/>
                <w:bCs/>
                <w:color w:val="000000"/>
                <w:sz w:val="18"/>
                <w:szCs w:val="18"/>
              </w:rPr>
            </w:pPr>
            <w:r w:rsidRPr="000C1143">
              <w:rPr>
                <w:rFonts w:ascii="Calibri" w:eastAsia="Times New Roman" w:hAnsi="Calibri" w:cs="Times New Roman"/>
                <w:b/>
                <w:bCs/>
                <w:color w:val="000000"/>
                <w:sz w:val="18"/>
                <w:szCs w:val="18"/>
              </w:rPr>
              <w:t>End Date</w:t>
            </w:r>
            <w:r>
              <w:rPr>
                <w:rFonts w:ascii="Calibri" w:eastAsia="Times New Roman" w:hAnsi="Calibri" w:cs="Times New Roman"/>
                <w:b/>
                <w:bCs/>
                <w:color w:val="000000"/>
                <w:sz w:val="18"/>
                <w:szCs w:val="18"/>
              </w:rPr>
              <w:br/>
              <w:t>(yyyymmdd)</w:t>
            </w:r>
          </w:p>
        </w:tc>
      </w:tr>
      <w:tr w:rsidR="00040BBC" w:rsidRPr="000C1143" w:rsidTr="00910C80">
        <w:trPr>
          <w:trHeight w:val="34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TRASTUZUMAB</w:t>
            </w: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04632T</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3927</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4164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4142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04639E</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3929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4156</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4104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04650R</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3926</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4144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4143</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04703M</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3928</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4093</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4083</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06497Y</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150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2419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20061001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2420</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20061001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20071031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2421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20061001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20071031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2422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20061001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20070331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2599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20070401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07264H</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3927</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4164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4142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07265J</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3929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4156</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4104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07266K</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3926</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4144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4143</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07267L</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3928</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4093</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4083</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20121201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09689Y</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150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2419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20100701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20120430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2599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20100701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20120430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09690B</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2419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20110201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20120430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2599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20110201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20120430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09691C</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2419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20110201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2599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20110201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20111231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10269L</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5024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10270M</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5024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10296X</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5032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10324J</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5041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10346M</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5032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10362J</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5041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20150731</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10381J</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5041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20150801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10383L</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5024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20150801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10391X</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5032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20150801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10401K</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5024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20150801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10402L</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5032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20150801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10423N</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60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5041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20150801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10682F</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subcutaneous injection containing trastuzumab 600 mg in 5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5041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20160630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6061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6062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5024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20160630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10721G</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subcutaneous injection containing trastuzumab 600 mg in 5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6059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6060</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5032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20160630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10743K</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subcutaneous injection containing trastuzumab 600 mg in 5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5041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20160630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6061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6062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5024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20160630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10744L</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subcutaneous injection containing trastuzumab 600 mg in 5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Early</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6059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Locally advanced</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6060</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5032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20160630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10798H</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subcutaneous injection containing trastuzumab 600 mg in 5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5032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10803N</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subcutaneous injection containing trastuzumab 600 mg in 5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5024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10811B</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subcutaneous injection containing trastuzumab 600 mg in 5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5032</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10817H</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subcutaneous injection containing trastuzumab 600 mg in 5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5024</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10825R</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subcutaneous injection containing trastuzumab 600 mg in 5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5041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10829Y</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subcutaneous injection containing trastuzumab 600 mg in 5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5041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TRASTUZUMAB EMTANSINE</w:t>
            </w: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10281D</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100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4986</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4978</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4987</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6129</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20160501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10282E</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Powder for I.V. infusion 100 mg</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4986</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4978</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4987</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20160430</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6096</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20160501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PERTUZUMAB</w:t>
            </w: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10267J</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I.V. infusion 420 mg in 14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5013</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10268K</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I.V. infusion 420 mg in 14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5023</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10308M</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I.V. infusion 420 mg in 14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4971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10309N</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I.V. infusion 420 mg in 14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Grandfathering</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5023</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10333W</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I.V. infusion 420 mg in 14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4971</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r w:rsidR="00040BBC" w:rsidRPr="000C1143" w:rsidTr="00910C80">
        <w:trPr>
          <w:trHeight w:val="300"/>
        </w:trPr>
        <w:tc>
          <w:tcPr>
            <w:tcW w:w="1348"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p>
        </w:tc>
        <w:tc>
          <w:tcPr>
            <w:tcW w:w="850"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10334X</w:t>
            </w:r>
          </w:p>
        </w:tc>
        <w:tc>
          <w:tcPr>
            <w:tcW w:w="2551"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Solution for I.V. infusion 420 mg in 14 mL</w:t>
            </w:r>
          </w:p>
        </w:tc>
        <w:tc>
          <w:tcPr>
            <w:tcW w:w="1474" w:type="dxa"/>
            <w:shd w:val="clear" w:color="auto" w:fill="auto"/>
            <w:noWrap/>
            <w:hideMark/>
          </w:tcPr>
          <w:p w:rsidR="00040BBC" w:rsidRPr="000C1143" w:rsidRDefault="00040BBC" w:rsidP="00910C80">
            <w:pPr>
              <w:spacing w:after="0"/>
              <w:rPr>
                <w:rFonts w:ascii="Calibri" w:eastAsia="Times New Roman" w:hAnsi="Calibri" w:cs="Times New Roman"/>
                <w:bCs/>
                <w:color w:val="000000"/>
                <w:sz w:val="18"/>
                <w:szCs w:val="18"/>
              </w:rPr>
            </w:pPr>
            <w:r w:rsidRPr="000C1143">
              <w:rPr>
                <w:rFonts w:ascii="Calibri" w:eastAsia="Times New Roman" w:hAnsi="Calibri" w:cs="Times New Roman"/>
                <w:bCs/>
                <w:color w:val="000000"/>
                <w:sz w:val="18"/>
                <w:szCs w:val="18"/>
              </w:rPr>
              <w:t>Metastatic</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5013</w:t>
            </w:r>
          </w:p>
        </w:tc>
        <w:tc>
          <w:tcPr>
            <w:tcW w:w="1020"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20150701</w:t>
            </w:r>
          </w:p>
        </w:tc>
        <w:tc>
          <w:tcPr>
            <w:tcW w:w="964" w:type="dxa"/>
            <w:shd w:val="clear" w:color="auto" w:fill="auto"/>
            <w:noWrap/>
            <w:hideMark/>
          </w:tcPr>
          <w:p w:rsidR="00040BBC" w:rsidRPr="000C1143" w:rsidRDefault="00040BBC" w:rsidP="00910C80">
            <w:pPr>
              <w:spacing w:after="0"/>
              <w:rPr>
                <w:rFonts w:ascii="Calibri" w:eastAsia="Times New Roman" w:hAnsi="Calibri" w:cs="Times New Roman"/>
                <w:sz w:val="18"/>
                <w:szCs w:val="18"/>
              </w:rPr>
            </w:pPr>
            <w:r w:rsidRPr="000C1143">
              <w:rPr>
                <w:rFonts w:ascii="Calibri" w:eastAsia="Times New Roman" w:hAnsi="Calibri" w:cs="Times New Roman"/>
                <w:sz w:val="18"/>
                <w:szCs w:val="18"/>
              </w:rPr>
              <w:t>99990909</w:t>
            </w:r>
          </w:p>
        </w:tc>
      </w:tr>
    </w:tbl>
    <w:p w:rsidR="00BA1F7F" w:rsidRDefault="00E42ECE" w:rsidP="000F0033">
      <w:pPr>
        <w:spacing w:after="0"/>
        <w:rPr>
          <w:rFonts w:ascii="Calibri" w:eastAsia="MS Mincho" w:hAnsi="Calibri" w:cs="Times New Roman"/>
        </w:rPr>
      </w:pPr>
      <w:r w:rsidRPr="006F6DC9">
        <w:rPr>
          <w:rFonts w:ascii="Calibri" w:eastAsia="Times New Roman" w:hAnsi="Calibri" w:cs="Times New Roman"/>
          <w:sz w:val="18"/>
          <w:szCs w:val="18"/>
        </w:rPr>
        <w:t>Note: 99990909 indicates an open end date (i</w:t>
      </w:r>
      <w:r w:rsidR="00130614">
        <w:rPr>
          <w:rFonts w:ascii="Calibri" w:eastAsia="Times New Roman" w:hAnsi="Calibri" w:cs="Times New Roman"/>
          <w:sz w:val="18"/>
          <w:szCs w:val="18"/>
        </w:rPr>
        <w:t>.</w:t>
      </w:r>
      <w:r w:rsidRPr="006F6DC9">
        <w:rPr>
          <w:rFonts w:ascii="Calibri" w:eastAsia="Times New Roman" w:hAnsi="Calibri" w:cs="Times New Roman"/>
          <w:sz w:val="18"/>
          <w:szCs w:val="18"/>
        </w:rPr>
        <w:t xml:space="preserve">e. restriction code was current in the </w:t>
      </w:r>
      <w:r w:rsidR="006F6DC9">
        <w:rPr>
          <w:rFonts w:ascii="Calibri" w:eastAsia="Times New Roman" w:hAnsi="Calibri" w:cs="Times New Roman"/>
          <w:sz w:val="18"/>
          <w:szCs w:val="18"/>
        </w:rPr>
        <w:t>1 October 2017 PBS Schedule</w:t>
      </w:r>
      <w:r w:rsidR="00130614">
        <w:rPr>
          <w:rFonts w:ascii="Calibri" w:eastAsia="Times New Roman" w:hAnsi="Calibri" w:cs="Times New Roman"/>
          <w:sz w:val="18"/>
          <w:szCs w:val="18"/>
        </w:rPr>
        <w:t>)</w:t>
      </w:r>
      <w:r w:rsidR="000F0033">
        <w:rPr>
          <w:rFonts w:ascii="Calibri" w:eastAsia="MS Mincho" w:hAnsi="Calibri" w:cs="Times New Roman"/>
        </w:rPr>
        <w:t xml:space="preserve"> </w:t>
      </w:r>
    </w:p>
    <w:p w:rsidR="00BA1F7F" w:rsidRDefault="00BA1F7F" w:rsidP="00BA1F7F">
      <w:pPr>
        <w:spacing w:after="0" w:line="300" w:lineRule="atLeast"/>
        <w:rPr>
          <w:b/>
          <w:sz w:val="28"/>
          <w:szCs w:val="28"/>
        </w:rPr>
      </w:pPr>
    </w:p>
    <w:sectPr w:rsidR="00BA1F7F" w:rsidSect="004B7231">
      <w:headerReference w:type="even" r:id="rId24"/>
      <w:footerReference w:type="even" r:id="rId25"/>
      <w:footerReference w:type="default" r:id="rId26"/>
      <w:headerReference w:type="first" r:id="rId27"/>
      <w:footerReference w:type="first" r:id="rId28"/>
      <w:pgSz w:w="11906" w:h="16838"/>
      <w:pgMar w:top="1644" w:right="1361" w:bottom="164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A24" w:rsidRDefault="00192A24" w:rsidP="00821C17">
      <w:pPr>
        <w:spacing w:after="0"/>
      </w:pPr>
      <w:r>
        <w:separator/>
      </w:r>
    </w:p>
  </w:endnote>
  <w:endnote w:type="continuationSeparator" w:id="0">
    <w:p w:rsidR="00192A24" w:rsidRDefault="00192A24" w:rsidP="00821C17">
      <w:pPr>
        <w:spacing w:after="0"/>
      </w:pPr>
      <w:r>
        <w:continuationSeparator/>
      </w:r>
    </w:p>
  </w:endnote>
  <w:endnote w:type="continuationNotice" w:id="1">
    <w:p w:rsidR="00192A24" w:rsidRDefault="00192A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Times New (W1)">
    <w:altName w:val="Cambri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A1" w:rsidRDefault="00B07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768209"/>
      <w:docPartObj>
        <w:docPartGallery w:val="Page Numbers (Bottom of Page)"/>
        <w:docPartUnique/>
      </w:docPartObj>
    </w:sdtPr>
    <w:sdtEndPr/>
    <w:sdtContent>
      <w:sdt>
        <w:sdtPr>
          <w:id w:val="-150597943"/>
          <w:docPartObj>
            <w:docPartGallery w:val="Page Numbers (Top of Page)"/>
            <w:docPartUnique/>
          </w:docPartObj>
        </w:sdtPr>
        <w:sdtEndPr/>
        <w:sdtContent>
          <w:p w:rsidR="00B073A1" w:rsidRPr="000E72C6" w:rsidRDefault="00B073A1" w:rsidP="005425A8">
            <w:pPr>
              <w:pStyle w:val="Footer"/>
              <w:jc w:val="center"/>
              <w:rPr>
                <w:i/>
                <w:sz w:val="20"/>
              </w:rPr>
            </w:pPr>
            <w:r>
              <w:rPr>
                <w:i/>
                <w:sz w:val="20"/>
              </w:rPr>
              <w:t>Committee in Confidence</w:t>
            </w:r>
          </w:p>
          <w:p w:rsidR="00B073A1" w:rsidRPr="008F51E2" w:rsidRDefault="00B073A1" w:rsidP="005425A8">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92A24">
              <w:rPr>
                <w:bCs/>
                <w:i/>
                <w:noProof/>
                <w:sz w:val="20"/>
              </w:rPr>
              <w:t>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92A24">
              <w:rPr>
                <w:bCs/>
                <w:i/>
                <w:noProof/>
                <w:sz w:val="20"/>
              </w:rPr>
              <w:t>39</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A1" w:rsidRDefault="00B07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A24" w:rsidRDefault="00192A24" w:rsidP="00821C17">
      <w:pPr>
        <w:spacing w:after="0"/>
      </w:pPr>
      <w:r>
        <w:separator/>
      </w:r>
    </w:p>
  </w:footnote>
  <w:footnote w:type="continuationSeparator" w:id="0">
    <w:p w:rsidR="00192A24" w:rsidRDefault="00192A24" w:rsidP="00821C17">
      <w:pPr>
        <w:spacing w:after="0"/>
      </w:pPr>
      <w:r>
        <w:continuationSeparator/>
      </w:r>
    </w:p>
  </w:footnote>
  <w:footnote w:type="continuationNotice" w:id="1">
    <w:p w:rsidR="00192A24" w:rsidRDefault="00192A24">
      <w:pPr>
        <w:spacing w:after="0"/>
      </w:pPr>
    </w:p>
  </w:footnote>
  <w:footnote w:id="2">
    <w:p w:rsidR="00B073A1" w:rsidRDefault="00B073A1">
      <w:pPr>
        <w:pStyle w:val="FootnoteText"/>
      </w:pPr>
      <w:r>
        <w:rPr>
          <w:rStyle w:val="FootnoteReference"/>
        </w:rPr>
        <w:footnoteRef/>
      </w:r>
      <w:r>
        <w:t xml:space="preserve"> Herceptin Product Information updated 16 June 2016. Available on the ARTG at </w:t>
      </w:r>
      <w:hyperlink r:id="rId1" w:history="1">
        <w:r w:rsidRPr="00730FF9">
          <w:rPr>
            <w:rStyle w:val="Hyperlink"/>
          </w:rPr>
          <w:t>www.tga.gov.au</w:t>
        </w:r>
      </w:hyperlink>
      <w:r>
        <w:t xml:space="preserve"> accessed 27 November 2017.</w:t>
      </w:r>
    </w:p>
  </w:footnote>
  <w:footnote w:id="3">
    <w:p w:rsidR="00B073A1" w:rsidRDefault="00B073A1">
      <w:pPr>
        <w:pStyle w:val="FootnoteText"/>
      </w:pPr>
      <w:r>
        <w:rPr>
          <w:rStyle w:val="FootnoteReference"/>
        </w:rPr>
        <w:footnoteRef/>
      </w:r>
      <w:r>
        <w:t xml:space="preserve"> Pearson SA, Ringland</w:t>
      </w:r>
      <w:r w:rsidRPr="009E00B8">
        <w:t xml:space="preserve"> </w:t>
      </w:r>
      <w:r>
        <w:t>CL and Ward RL. Trastuzumab and metastatic breast cancer: trastuzumab use in Australia – monitoring the effect of an expensive medicine access program. J Clin Oncol 25:3688-3693 (2007).</w:t>
      </w:r>
    </w:p>
  </w:footnote>
  <w:footnote w:id="4">
    <w:p w:rsidR="00B073A1" w:rsidRDefault="00B073A1">
      <w:pPr>
        <w:pStyle w:val="FootnoteText"/>
      </w:pPr>
      <w:r>
        <w:rPr>
          <w:rStyle w:val="FootnoteReference"/>
        </w:rPr>
        <w:footnoteRef/>
      </w:r>
      <w:r>
        <w:t xml:space="preserve"> Herceptin Program Review Item 9.1 PBAC meeting November 2008</w:t>
      </w:r>
    </w:p>
  </w:footnote>
  <w:footnote w:id="5">
    <w:p w:rsidR="00B073A1" w:rsidRDefault="00B073A1">
      <w:pPr>
        <w:pStyle w:val="FootnoteText"/>
      </w:pPr>
      <w:r>
        <w:rPr>
          <w:rStyle w:val="FootnoteReference"/>
        </w:rPr>
        <w:footnoteRef/>
      </w:r>
      <w:r>
        <w:t xml:space="preserve"> Kadcyla (trastuzumab emtansine) product information. Last update 11 February 2016. Available at tga.gov.au, accessed 1 December 2017.</w:t>
      </w:r>
    </w:p>
  </w:footnote>
  <w:footnote w:id="6">
    <w:p w:rsidR="00B073A1" w:rsidRDefault="00B073A1">
      <w:pPr>
        <w:pStyle w:val="FootnoteText"/>
      </w:pPr>
      <w:r>
        <w:rPr>
          <w:rStyle w:val="FootnoteReference"/>
        </w:rPr>
        <w:footnoteRef/>
      </w:r>
      <w:r>
        <w:t xml:space="preserve"> Perjeta (pertuzumab) product information. Last update 31 August 2016. Available at tga.gov.au, accessed 1 December 2017</w:t>
      </w:r>
    </w:p>
  </w:footnote>
  <w:footnote w:id="7">
    <w:p w:rsidR="00B073A1" w:rsidRDefault="00B073A1" w:rsidP="008710B9">
      <w:pPr>
        <w:pStyle w:val="FootnoteText"/>
      </w:pPr>
      <w:r>
        <w:rPr>
          <w:rStyle w:val="FootnoteReference"/>
        </w:rPr>
        <w:footnoteRef/>
      </w:r>
      <w:r>
        <w:t xml:space="preserve"> Daniels et al Trastuzumab for metastatic breast cancer. Real world outcomes from an Australian whole-of-population cohort (2001-2016) Breast 2017; 38:7-13 doi: 10.1016/j.breast.2017.11.007</w:t>
      </w:r>
    </w:p>
  </w:footnote>
  <w:footnote w:id="8">
    <w:p w:rsidR="00B073A1" w:rsidRDefault="00B073A1" w:rsidP="008710B9">
      <w:pPr>
        <w:pStyle w:val="FootnoteText"/>
      </w:pPr>
      <w:r>
        <w:rPr>
          <w:rStyle w:val="FootnoteReference"/>
        </w:rPr>
        <w:footnoteRef/>
      </w:r>
      <w:r>
        <w:t xml:space="preserve"> Daniels et al. Survival outcomes for Australian women receiving trastuzumab for HER2-postivie metastatic breast cancer following (neo)adjuvant trastuzumab: a national population-based observational study (2006-2014) British Journal of Cancer 2017 doi: 10.1038/bjc.2017.405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A1" w:rsidRDefault="00B07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3A1" w:rsidRDefault="00B07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F64"/>
    <w:multiLevelType w:val="multilevel"/>
    <w:tmpl w:val="FF10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03130"/>
    <w:multiLevelType w:val="multilevel"/>
    <w:tmpl w:val="62C8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432FFB"/>
    <w:multiLevelType w:val="hybridMultilevel"/>
    <w:tmpl w:val="301641B8"/>
    <w:lvl w:ilvl="0" w:tplc="96E8D894">
      <w:numFmt w:val="bullet"/>
      <w:lvlText w:val="•"/>
      <w:lvlJc w:val="left"/>
      <w:pPr>
        <w:ind w:left="720" w:hanging="720"/>
      </w:pPr>
      <w:rPr>
        <w:rFonts w:ascii="Calibri" w:eastAsia="MS Mincho" w:hAnsi="Calibri" w:cs="Times New Roman"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78B66A8"/>
    <w:multiLevelType w:val="multilevel"/>
    <w:tmpl w:val="FB26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776F8"/>
    <w:multiLevelType w:val="hybridMultilevel"/>
    <w:tmpl w:val="2DA0AF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AE14506"/>
    <w:multiLevelType w:val="hybridMultilevel"/>
    <w:tmpl w:val="95A68B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D7D4153"/>
    <w:multiLevelType w:val="hybridMultilevel"/>
    <w:tmpl w:val="A66AB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51416DB1"/>
    <w:multiLevelType w:val="hybridMultilevel"/>
    <w:tmpl w:val="9E522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0AC7BCF"/>
    <w:multiLevelType w:val="hybridMultilevel"/>
    <w:tmpl w:val="F9082ECC"/>
    <w:lvl w:ilvl="0" w:tplc="0C090001">
      <w:start w:val="1"/>
      <w:numFmt w:val="bullet"/>
      <w:lvlText w:val=""/>
      <w:lvlJc w:val="left"/>
      <w:pPr>
        <w:ind w:left="-1036" w:hanging="360"/>
      </w:pPr>
      <w:rPr>
        <w:rFonts w:ascii="Symbol" w:hAnsi="Symbol" w:hint="default"/>
      </w:rPr>
    </w:lvl>
    <w:lvl w:ilvl="1" w:tplc="0C090003" w:tentative="1">
      <w:start w:val="1"/>
      <w:numFmt w:val="bullet"/>
      <w:lvlText w:val="o"/>
      <w:lvlJc w:val="left"/>
      <w:pPr>
        <w:ind w:left="-316" w:hanging="360"/>
      </w:pPr>
      <w:rPr>
        <w:rFonts w:ascii="Courier New" w:hAnsi="Courier New" w:cs="Courier New" w:hint="default"/>
      </w:rPr>
    </w:lvl>
    <w:lvl w:ilvl="2" w:tplc="0C090005" w:tentative="1">
      <w:start w:val="1"/>
      <w:numFmt w:val="bullet"/>
      <w:lvlText w:val=""/>
      <w:lvlJc w:val="left"/>
      <w:pPr>
        <w:ind w:left="404" w:hanging="360"/>
      </w:pPr>
      <w:rPr>
        <w:rFonts w:ascii="Wingdings" w:hAnsi="Wingdings" w:hint="default"/>
      </w:rPr>
    </w:lvl>
    <w:lvl w:ilvl="3" w:tplc="0C090001" w:tentative="1">
      <w:start w:val="1"/>
      <w:numFmt w:val="bullet"/>
      <w:lvlText w:val=""/>
      <w:lvlJc w:val="left"/>
      <w:pPr>
        <w:ind w:left="1124" w:hanging="360"/>
      </w:pPr>
      <w:rPr>
        <w:rFonts w:ascii="Symbol" w:hAnsi="Symbol" w:hint="default"/>
      </w:rPr>
    </w:lvl>
    <w:lvl w:ilvl="4" w:tplc="0C090003" w:tentative="1">
      <w:start w:val="1"/>
      <w:numFmt w:val="bullet"/>
      <w:lvlText w:val="o"/>
      <w:lvlJc w:val="left"/>
      <w:pPr>
        <w:ind w:left="1844" w:hanging="360"/>
      </w:pPr>
      <w:rPr>
        <w:rFonts w:ascii="Courier New" w:hAnsi="Courier New" w:cs="Courier New" w:hint="default"/>
      </w:rPr>
    </w:lvl>
    <w:lvl w:ilvl="5" w:tplc="0C090005" w:tentative="1">
      <w:start w:val="1"/>
      <w:numFmt w:val="bullet"/>
      <w:lvlText w:val=""/>
      <w:lvlJc w:val="left"/>
      <w:pPr>
        <w:ind w:left="2564" w:hanging="360"/>
      </w:pPr>
      <w:rPr>
        <w:rFonts w:ascii="Wingdings" w:hAnsi="Wingdings" w:hint="default"/>
      </w:rPr>
    </w:lvl>
    <w:lvl w:ilvl="6" w:tplc="0C090001" w:tentative="1">
      <w:start w:val="1"/>
      <w:numFmt w:val="bullet"/>
      <w:lvlText w:val=""/>
      <w:lvlJc w:val="left"/>
      <w:pPr>
        <w:ind w:left="3284" w:hanging="360"/>
      </w:pPr>
      <w:rPr>
        <w:rFonts w:ascii="Symbol" w:hAnsi="Symbol" w:hint="default"/>
      </w:rPr>
    </w:lvl>
    <w:lvl w:ilvl="7" w:tplc="0C090003" w:tentative="1">
      <w:start w:val="1"/>
      <w:numFmt w:val="bullet"/>
      <w:lvlText w:val="o"/>
      <w:lvlJc w:val="left"/>
      <w:pPr>
        <w:ind w:left="4004" w:hanging="360"/>
      </w:pPr>
      <w:rPr>
        <w:rFonts w:ascii="Courier New" w:hAnsi="Courier New" w:cs="Courier New" w:hint="default"/>
      </w:rPr>
    </w:lvl>
    <w:lvl w:ilvl="8" w:tplc="0C090005" w:tentative="1">
      <w:start w:val="1"/>
      <w:numFmt w:val="bullet"/>
      <w:lvlText w:val=""/>
      <w:lvlJc w:val="left"/>
      <w:pPr>
        <w:ind w:left="4724" w:hanging="360"/>
      </w:pPr>
      <w:rPr>
        <w:rFonts w:ascii="Wingdings" w:hAnsi="Wingdings" w:hint="default"/>
      </w:rPr>
    </w:lvl>
  </w:abstractNum>
  <w:abstractNum w:abstractNumId="9">
    <w:nsid w:val="636556E5"/>
    <w:multiLevelType w:val="multilevel"/>
    <w:tmpl w:val="A5B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D861FB"/>
    <w:multiLevelType w:val="hybridMultilevel"/>
    <w:tmpl w:val="36C47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BC77407"/>
    <w:multiLevelType w:val="multilevel"/>
    <w:tmpl w:val="DE50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430FAF"/>
    <w:multiLevelType w:val="multilevel"/>
    <w:tmpl w:val="DBBC763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nsid w:val="79A62042"/>
    <w:multiLevelType w:val="hybridMultilevel"/>
    <w:tmpl w:val="680E66CC"/>
    <w:lvl w:ilvl="0" w:tplc="0C090001">
      <w:start w:val="1"/>
      <w:numFmt w:val="bullet"/>
      <w:lvlText w:val=""/>
      <w:lvlJc w:val="left"/>
      <w:pPr>
        <w:ind w:left="360" w:hanging="360"/>
      </w:pPr>
      <w:rPr>
        <w:rFonts w:ascii="Symbol" w:hAnsi="Symbol" w:hint="default"/>
      </w:rPr>
    </w:lvl>
    <w:lvl w:ilvl="1" w:tplc="A3AC82E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10"/>
  </w:num>
  <w:num w:numId="6">
    <w:abstractNumId w:val="2"/>
  </w:num>
  <w:num w:numId="7">
    <w:abstractNumId w:val="1"/>
  </w:num>
  <w:num w:numId="8">
    <w:abstractNumId w:val="11"/>
  </w:num>
  <w:num w:numId="9">
    <w:abstractNumId w:val="12"/>
  </w:num>
  <w:num w:numId="10">
    <w:abstractNumId w:val="3"/>
  </w:num>
  <w:num w:numId="11">
    <w:abstractNumId w:val="0"/>
  </w:num>
  <w:num w:numId="12">
    <w:abstractNumId w:val="9"/>
  </w:num>
  <w:num w:numId="13">
    <w:abstractNumId w:val="8"/>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17"/>
    <w:rsid w:val="00000AC9"/>
    <w:rsid w:val="00001194"/>
    <w:rsid w:val="00001F68"/>
    <w:rsid w:val="00002365"/>
    <w:rsid w:val="00002F40"/>
    <w:rsid w:val="00003D5E"/>
    <w:rsid w:val="000041C2"/>
    <w:rsid w:val="00004F12"/>
    <w:rsid w:val="000059E6"/>
    <w:rsid w:val="00006E62"/>
    <w:rsid w:val="000107C2"/>
    <w:rsid w:val="0001158E"/>
    <w:rsid w:val="00011DD5"/>
    <w:rsid w:val="000126E8"/>
    <w:rsid w:val="000129BF"/>
    <w:rsid w:val="00012F5A"/>
    <w:rsid w:val="00013305"/>
    <w:rsid w:val="00013F2F"/>
    <w:rsid w:val="00014A6F"/>
    <w:rsid w:val="000158A4"/>
    <w:rsid w:val="00017258"/>
    <w:rsid w:val="00021055"/>
    <w:rsid w:val="00021AE6"/>
    <w:rsid w:val="0002290F"/>
    <w:rsid w:val="000229C4"/>
    <w:rsid w:val="00022B82"/>
    <w:rsid w:val="00022D1F"/>
    <w:rsid w:val="000236A3"/>
    <w:rsid w:val="00023B5A"/>
    <w:rsid w:val="000240F2"/>
    <w:rsid w:val="000254BD"/>
    <w:rsid w:val="000257D6"/>
    <w:rsid w:val="00025DC2"/>
    <w:rsid w:val="000268C4"/>
    <w:rsid w:val="00030782"/>
    <w:rsid w:val="00030992"/>
    <w:rsid w:val="000309F5"/>
    <w:rsid w:val="0003155F"/>
    <w:rsid w:val="00031D38"/>
    <w:rsid w:val="000330E8"/>
    <w:rsid w:val="00033741"/>
    <w:rsid w:val="00036400"/>
    <w:rsid w:val="0003660C"/>
    <w:rsid w:val="000366B0"/>
    <w:rsid w:val="000369ED"/>
    <w:rsid w:val="00037EFE"/>
    <w:rsid w:val="00040616"/>
    <w:rsid w:val="0004079C"/>
    <w:rsid w:val="00040BBC"/>
    <w:rsid w:val="00041D11"/>
    <w:rsid w:val="00042FDB"/>
    <w:rsid w:val="00043404"/>
    <w:rsid w:val="00044543"/>
    <w:rsid w:val="00044A34"/>
    <w:rsid w:val="0004648B"/>
    <w:rsid w:val="00046C49"/>
    <w:rsid w:val="000528EB"/>
    <w:rsid w:val="00052F09"/>
    <w:rsid w:val="00053324"/>
    <w:rsid w:val="000542BF"/>
    <w:rsid w:val="00054784"/>
    <w:rsid w:val="00054816"/>
    <w:rsid w:val="00054982"/>
    <w:rsid w:val="000556A2"/>
    <w:rsid w:val="000571FF"/>
    <w:rsid w:val="00060EAC"/>
    <w:rsid w:val="00061910"/>
    <w:rsid w:val="00062535"/>
    <w:rsid w:val="0006344B"/>
    <w:rsid w:val="000644E0"/>
    <w:rsid w:val="000666EB"/>
    <w:rsid w:val="00070329"/>
    <w:rsid w:val="00071BDC"/>
    <w:rsid w:val="00072182"/>
    <w:rsid w:val="00072287"/>
    <w:rsid w:val="00073402"/>
    <w:rsid w:val="000735B2"/>
    <w:rsid w:val="0007377C"/>
    <w:rsid w:val="0007429A"/>
    <w:rsid w:val="00075378"/>
    <w:rsid w:val="000753C1"/>
    <w:rsid w:val="00076BF9"/>
    <w:rsid w:val="00076DD1"/>
    <w:rsid w:val="00077060"/>
    <w:rsid w:val="00080CE6"/>
    <w:rsid w:val="00080EC2"/>
    <w:rsid w:val="00083B81"/>
    <w:rsid w:val="00084558"/>
    <w:rsid w:val="000866A2"/>
    <w:rsid w:val="00086A68"/>
    <w:rsid w:val="00090293"/>
    <w:rsid w:val="000915F5"/>
    <w:rsid w:val="000918F1"/>
    <w:rsid w:val="00091AAB"/>
    <w:rsid w:val="00093666"/>
    <w:rsid w:val="00093CCF"/>
    <w:rsid w:val="00093D30"/>
    <w:rsid w:val="00093EAB"/>
    <w:rsid w:val="00094040"/>
    <w:rsid w:val="00094327"/>
    <w:rsid w:val="00094831"/>
    <w:rsid w:val="00096187"/>
    <w:rsid w:val="0009696B"/>
    <w:rsid w:val="000977B0"/>
    <w:rsid w:val="000A13F5"/>
    <w:rsid w:val="000A28EC"/>
    <w:rsid w:val="000A2FDC"/>
    <w:rsid w:val="000A46B8"/>
    <w:rsid w:val="000A4771"/>
    <w:rsid w:val="000A58E3"/>
    <w:rsid w:val="000A5BFC"/>
    <w:rsid w:val="000A5EDD"/>
    <w:rsid w:val="000A6233"/>
    <w:rsid w:val="000B092E"/>
    <w:rsid w:val="000B1241"/>
    <w:rsid w:val="000B1924"/>
    <w:rsid w:val="000B1947"/>
    <w:rsid w:val="000B1D59"/>
    <w:rsid w:val="000B1DB7"/>
    <w:rsid w:val="000B26A7"/>
    <w:rsid w:val="000B296A"/>
    <w:rsid w:val="000B3EF0"/>
    <w:rsid w:val="000B4328"/>
    <w:rsid w:val="000B50B7"/>
    <w:rsid w:val="000B524D"/>
    <w:rsid w:val="000B5573"/>
    <w:rsid w:val="000B5D26"/>
    <w:rsid w:val="000B6DE1"/>
    <w:rsid w:val="000B6EC8"/>
    <w:rsid w:val="000B6FE0"/>
    <w:rsid w:val="000C1143"/>
    <w:rsid w:val="000C228B"/>
    <w:rsid w:val="000C3E08"/>
    <w:rsid w:val="000C42AE"/>
    <w:rsid w:val="000C47E2"/>
    <w:rsid w:val="000C59E9"/>
    <w:rsid w:val="000C6197"/>
    <w:rsid w:val="000D0C36"/>
    <w:rsid w:val="000D436B"/>
    <w:rsid w:val="000D45F0"/>
    <w:rsid w:val="000D460F"/>
    <w:rsid w:val="000D5F6D"/>
    <w:rsid w:val="000D77CD"/>
    <w:rsid w:val="000E0A13"/>
    <w:rsid w:val="000E29D4"/>
    <w:rsid w:val="000E4136"/>
    <w:rsid w:val="000E4CB3"/>
    <w:rsid w:val="000E5629"/>
    <w:rsid w:val="000E5817"/>
    <w:rsid w:val="000E586E"/>
    <w:rsid w:val="000E6E65"/>
    <w:rsid w:val="000E77FF"/>
    <w:rsid w:val="000E7C76"/>
    <w:rsid w:val="000F0033"/>
    <w:rsid w:val="000F0152"/>
    <w:rsid w:val="000F055C"/>
    <w:rsid w:val="000F1077"/>
    <w:rsid w:val="000F2BAD"/>
    <w:rsid w:val="000F2C43"/>
    <w:rsid w:val="000F3024"/>
    <w:rsid w:val="000F3697"/>
    <w:rsid w:val="000F433A"/>
    <w:rsid w:val="000F531B"/>
    <w:rsid w:val="000F5A5F"/>
    <w:rsid w:val="000F5DD2"/>
    <w:rsid w:val="000F7FEC"/>
    <w:rsid w:val="0010072C"/>
    <w:rsid w:val="00101935"/>
    <w:rsid w:val="0010262E"/>
    <w:rsid w:val="0010414D"/>
    <w:rsid w:val="0010435B"/>
    <w:rsid w:val="001044F8"/>
    <w:rsid w:val="00104605"/>
    <w:rsid w:val="0010596D"/>
    <w:rsid w:val="0010679D"/>
    <w:rsid w:val="001100C8"/>
    <w:rsid w:val="00110513"/>
    <w:rsid w:val="00110D88"/>
    <w:rsid w:val="0011175C"/>
    <w:rsid w:val="00111EB4"/>
    <w:rsid w:val="00112744"/>
    <w:rsid w:val="00112DBE"/>
    <w:rsid w:val="00113F09"/>
    <w:rsid w:val="001141F1"/>
    <w:rsid w:val="001156DF"/>
    <w:rsid w:val="0011588A"/>
    <w:rsid w:val="00117420"/>
    <w:rsid w:val="00117B97"/>
    <w:rsid w:val="001200F4"/>
    <w:rsid w:val="00120736"/>
    <w:rsid w:val="001224C6"/>
    <w:rsid w:val="001225E0"/>
    <w:rsid w:val="00122980"/>
    <w:rsid w:val="0012302D"/>
    <w:rsid w:val="001232F7"/>
    <w:rsid w:val="001249C1"/>
    <w:rsid w:val="00124E13"/>
    <w:rsid w:val="0012529D"/>
    <w:rsid w:val="001253F8"/>
    <w:rsid w:val="00125BF6"/>
    <w:rsid w:val="001268EB"/>
    <w:rsid w:val="001269CE"/>
    <w:rsid w:val="00126D93"/>
    <w:rsid w:val="00126F0F"/>
    <w:rsid w:val="00127BCF"/>
    <w:rsid w:val="00130614"/>
    <w:rsid w:val="00130868"/>
    <w:rsid w:val="00131B8F"/>
    <w:rsid w:val="00132AE8"/>
    <w:rsid w:val="0013377C"/>
    <w:rsid w:val="00134BF3"/>
    <w:rsid w:val="00135483"/>
    <w:rsid w:val="001376F2"/>
    <w:rsid w:val="0014077C"/>
    <w:rsid w:val="00140E3C"/>
    <w:rsid w:val="00141CEB"/>
    <w:rsid w:val="00141D9E"/>
    <w:rsid w:val="0014253B"/>
    <w:rsid w:val="00143DA3"/>
    <w:rsid w:val="00144149"/>
    <w:rsid w:val="0014500E"/>
    <w:rsid w:val="001456FD"/>
    <w:rsid w:val="00147072"/>
    <w:rsid w:val="001501C8"/>
    <w:rsid w:val="0015051C"/>
    <w:rsid w:val="001517BB"/>
    <w:rsid w:val="001521A2"/>
    <w:rsid w:val="00153215"/>
    <w:rsid w:val="001543AF"/>
    <w:rsid w:val="00154F8B"/>
    <w:rsid w:val="00156F32"/>
    <w:rsid w:val="0015798B"/>
    <w:rsid w:val="00157B97"/>
    <w:rsid w:val="001634C1"/>
    <w:rsid w:val="001635B4"/>
    <w:rsid w:val="00163E09"/>
    <w:rsid w:val="0016456E"/>
    <w:rsid w:val="0016506F"/>
    <w:rsid w:val="00165875"/>
    <w:rsid w:val="00165C9C"/>
    <w:rsid w:val="00165E17"/>
    <w:rsid w:val="00167211"/>
    <w:rsid w:val="0016782D"/>
    <w:rsid w:val="00167D50"/>
    <w:rsid w:val="0017132D"/>
    <w:rsid w:val="0017148E"/>
    <w:rsid w:val="00172654"/>
    <w:rsid w:val="0017354A"/>
    <w:rsid w:val="001749CD"/>
    <w:rsid w:val="001756A9"/>
    <w:rsid w:val="00175F9C"/>
    <w:rsid w:val="00177C34"/>
    <w:rsid w:val="0018064E"/>
    <w:rsid w:val="001812CA"/>
    <w:rsid w:val="00183E23"/>
    <w:rsid w:val="00183FBB"/>
    <w:rsid w:val="001864DD"/>
    <w:rsid w:val="00186758"/>
    <w:rsid w:val="00186AE6"/>
    <w:rsid w:val="001871CE"/>
    <w:rsid w:val="00187492"/>
    <w:rsid w:val="0018772B"/>
    <w:rsid w:val="001900DA"/>
    <w:rsid w:val="001908D3"/>
    <w:rsid w:val="00190BFF"/>
    <w:rsid w:val="00192A24"/>
    <w:rsid w:val="00192C0B"/>
    <w:rsid w:val="00193010"/>
    <w:rsid w:val="00193719"/>
    <w:rsid w:val="001939E3"/>
    <w:rsid w:val="00193D1A"/>
    <w:rsid w:val="00194844"/>
    <w:rsid w:val="00195354"/>
    <w:rsid w:val="00195A00"/>
    <w:rsid w:val="00195FD3"/>
    <w:rsid w:val="00196D98"/>
    <w:rsid w:val="001975C4"/>
    <w:rsid w:val="001A0706"/>
    <w:rsid w:val="001A0FB7"/>
    <w:rsid w:val="001A1141"/>
    <w:rsid w:val="001A175C"/>
    <w:rsid w:val="001A3377"/>
    <w:rsid w:val="001A459D"/>
    <w:rsid w:val="001A52EE"/>
    <w:rsid w:val="001A6B2F"/>
    <w:rsid w:val="001B039E"/>
    <w:rsid w:val="001B0587"/>
    <w:rsid w:val="001B06E5"/>
    <w:rsid w:val="001B0858"/>
    <w:rsid w:val="001B08B5"/>
    <w:rsid w:val="001B0BA8"/>
    <w:rsid w:val="001B0CFA"/>
    <w:rsid w:val="001B0E82"/>
    <w:rsid w:val="001B1156"/>
    <w:rsid w:val="001B1D99"/>
    <w:rsid w:val="001B348B"/>
    <w:rsid w:val="001B35DD"/>
    <w:rsid w:val="001B3D42"/>
    <w:rsid w:val="001B42CA"/>
    <w:rsid w:val="001B4303"/>
    <w:rsid w:val="001B62E5"/>
    <w:rsid w:val="001C242F"/>
    <w:rsid w:val="001C27B7"/>
    <w:rsid w:val="001C27E0"/>
    <w:rsid w:val="001C3D67"/>
    <w:rsid w:val="001C414C"/>
    <w:rsid w:val="001C428A"/>
    <w:rsid w:val="001C434C"/>
    <w:rsid w:val="001C5C6B"/>
    <w:rsid w:val="001C6725"/>
    <w:rsid w:val="001C7D9C"/>
    <w:rsid w:val="001D0C6F"/>
    <w:rsid w:val="001D0EA9"/>
    <w:rsid w:val="001D10C9"/>
    <w:rsid w:val="001D2F46"/>
    <w:rsid w:val="001D2FC8"/>
    <w:rsid w:val="001D3239"/>
    <w:rsid w:val="001D3DC7"/>
    <w:rsid w:val="001D49D6"/>
    <w:rsid w:val="001D4A77"/>
    <w:rsid w:val="001D5183"/>
    <w:rsid w:val="001D69C7"/>
    <w:rsid w:val="001D6BF7"/>
    <w:rsid w:val="001D7236"/>
    <w:rsid w:val="001D75D4"/>
    <w:rsid w:val="001E0B96"/>
    <w:rsid w:val="001E0D2A"/>
    <w:rsid w:val="001E1100"/>
    <w:rsid w:val="001E1400"/>
    <w:rsid w:val="001E2346"/>
    <w:rsid w:val="001E2C27"/>
    <w:rsid w:val="001E3E09"/>
    <w:rsid w:val="001E4637"/>
    <w:rsid w:val="001E5648"/>
    <w:rsid w:val="001E6406"/>
    <w:rsid w:val="001E6CE1"/>
    <w:rsid w:val="001E74E6"/>
    <w:rsid w:val="001E765F"/>
    <w:rsid w:val="001E77C6"/>
    <w:rsid w:val="001F06F4"/>
    <w:rsid w:val="001F0B1D"/>
    <w:rsid w:val="001F0D94"/>
    <w:rsid w:val="001F13DF"/>
    <w:rsid w:val="001F22F7"/>
    <w:rsid w:val="001F2FFC"/>
    <w:rsid w:val="001F30D5"/>
    <w:rsid w:val="001F3229"/>
    <w:rsid w:val="001F37C8"/>
    <w:rsid w:val="001F458A"/>
    <w:rsid w:val="001F4774"/>
    <w:rsid w:val="001F4EC9"/>
    <w:rsid w:val="001F6584"/>
    <w:rsid w:val="001F66AA"/>
    <w:rsid w:val="001F7FD5"/>
    <w:rsid w:val="002004E7"/>
    <w:rsid w:val="002017F2"/>
    <w:rsid w:val="00201EC2"/>
    <w:rsid w:val="002031BE"/>
    <w:rsid w:val="002031D5"/>
    <w:rsid w:val="0020339F"/>
    <w:rsid w:val="00203A5B"/>
    <w:rsid w:val="00203EA1"/>
    <w:rsid w:val="00203EB2"/>
    <w:rsid w:val="002047EE"/>
    <w:rsid w:val="002049D8"/>
    <w:rsid w:val="00204C1D"/>
    <w:rsid w:val="002059CA"/>
    <w:rsid w:val="002060B5"/>
    <w:rsid w:val="002064E9"/>
    <w:rsid w:val="00207070"/>
    <w:rsid w:val="002116CD"/>
    <w:rsid w:val="00211A06"/>
    <w:rsid w:val="0021294F"/>
    <w:rsid w:val="002129B0"/>
    <w:rsid w:val="00213581"/>
    <w:rsid w:val="00214079"/>
    <w:rsid w:val="00214337"/>
    <w:rsid w:val="00216C75"/>
    <w:rsid w:val="00217955"/>
    <w:rsid w:val="00217A63"/>
    <w:rsid w:val="00220921"/>
    <w:rsid w:val="00221449"/>
    <w:rsid w:val="00222A88"/>
    <w:rsid w:val="00223085"/>
    <w:rsid w:val="00223640"/>
    <w:rsid w:val="0022457A"/>
    <w:rsid w:val="0022512B"/>
    <w:rsid w:val="00225FB8"/>
    <w:rsid w:val="00226A2C"/>
    <w:rsid w:val="00226A6E"/>
    <w:rsid w:val="002306EA"/>
    <w:rsid w:val="00231530"/>
    <w:rsid w:val="00231AA6"/>
    <w:rsid w:val="00231B4B"/>
    <w:rsid w:val="00231D5F"/>
    <w:rsid w:val="00232CC4"/>
    <w:rsid w:val="0023388D"/>
    <w:rsid w:val="00233A4A"/>
    <w:rsid w:val="00233C36"/>
    <w:rsid w:val="00233C73"/>
    <w:rsid w:val="00234F4B"/>
    <w:rsid w:val="002355CB"/>
    <w:rsid w:val="00235D4B"/>
    <w:rsid w:val="002365DB"/>
    <w:rsid w:val="00236AB2"/>
    <w:rsid w:val="00237B5A"/>
    <w:rsid w:val="002407F2"/>
    <w:rsid w:val="002408C7"/>
    <w:rsid w:val="00240F4E"/>
    <w:rsid w:val="002414D4"/>
    <w:rsid w:val="00241CF9"/>
    <w:rsid w:val="002420EF"/>
    <w:rsid w:val="002427F0"/>
    <w:rsid w:val="00242EAC"/>
    <w:rsid w:val="00243290"/>
    <w:rsid w:val="00243F59"/>
    <w:rsid w:val="002449B5"/>
    <w:rsid w:val="00246AC5"/>
    <w:rsid w:val="00250631"/>
    <w:rsid w:val="00251D3B"/>
    <w:rsid w:val="00251E77"/>
    <w:rsid w:val="0025261C"/>
    <w:rsid w:val="00253C2C"/>
    <w:rsid w:val="00255C93"/>
    <w:rsid w:val="0025606F"/>
    <w:rsid w:val="002561F3"/>
    <w:rsid w:val="00256FE4"/>
    <w:rsid w:val="0026024A"/>
    <w:rsid w:val="002621CA"/>
    <w:rsid w:val="00262CEE"/>
    <w:rsid w:val="002641C5"/>
    <w:rsid w:val="00264BF1"/>
    <w:rsid w:val="00264C57"/>
    <w:rsid w:val="00264FB7"/>
    <w:rsid w:val="0026586A"/>
    <w:rsid w:val="00266485"/>
    <w:rsid w:val="002667C2"/>
    <w:rsid w:val="002679C3"/>
    <w:rsid w:val="00267D02"/>
    <w:rsid w:val="00267E2E"/>
    <w:rsid w:val="0027079D"/>
    <w:rsid w:val="00271D8C"/>
    <w:rsid w:val="002729E4"/>
    <w:rsid w:val="00273BDA"/>
    <w:rsid w:val="00274CCF"/>
    <w:rsid w:val="0027532F"/>
    <w:rsid w:val="002759C1"/>
    <w:rsid w:val="0027673F"/>
    <w:rsid w:val="00276B3D"/>
    <w:rsid w:val="00276EB4"/>
    <w:rsid w:val="00277ACA"/>
    <w:rsid w:val="002810C5"/>
    <w:rsid w:val="0028142C"/>
    <w:rsid w:val="002815BF"/>
    <w:rsid w:val="0028168B"/>
    <w:rsid w:val="00281E38"/>
    <w:rsid w:val="0028222E"/>
    <w:rsid w:val="002822F7"/>
    <w:rsid w:val="00282FD4"/>
    <w:rsid w:val="00283834"/>
    <w:rsid w:val="00284834"/>
    <w:rsid w:val="00285D3C"/>
    <w:rsid w:val="00286878"/>
    <w:rsid w:val="00286E26"/>
    <w:rsid w:val="00287E14"/>
    <w:rsid w:val="00291CF3"/>
    <w:rsid w:val="00291FB0"/>
    <w:rsid w:val="00292E01"/>
    <w:rsid w:val="00293838"/>
    <w:rsid w:val="002941F6"/>
    <w:rsid w:val="00294479"/>
    <w:rsid w:val="002949FC"/>
    <w:rsid w:val="002954C9"/>
    <w:rsid w:val="0029713D"/>
    <w:rsid w:val="002A065C"/>
    <w:rsid w:val="002A139A"/>
    <w:rsid w:val="002A2343"/>
    <w:rsid w:val="002A2684"/>
    <w:rsid w:val="002A3A19"/>
    <w:rsid w:val="002A3A6B"/>
    <w:rsid w:val="002A4100"/>
    <w:rsid w:val="002A4AA7"/>
    <w:rsid w:val="002A57D4"/>
    <w:rsid w:val="002A7ACE"/>
    <w:rsid w:val="002B0D6E"/>
    <w:rsid w:val="002B1E3B"/>
    <w:rsid w:val="002B25F9"/>
    <w:rsid w:val="002B2C83"/>
    <w:rsid w:val="002B2DFF"/>
    <w:rsid w:val="002B3676"/>
    <w:rsid w:val="002B3838"/>
    <w:rsid w:val="002B4A93"/>
    <w:rsid w:val="002B4CB9"/>
    <w:rsid w:val="002B543E"/>
    <w:rsid w:val="002B5C52"/>
    <w:rsid w:val="002B5C8D"/>
    <w:rsid w:val="002B61C2"/>
    <w:rsid w:val="002B64DE"/>
    <w:rsid w:val="002B65E3"/>
    <w:rsid w:val="002B6B25"/>
    <w:rsid w:val="002B7741"/>
    <w:rsid w:val="002C0601"/>
    <w:rsid w:val="002C0C5F"/>
    <w:rsid w:val="002C0FDC"/>
    <w:rsid w:val="002C12F2"/>
    <w:rsid w:val="002C12FC"/>
    <w:rsid w:val="002C1F2E"/>
    <w:rsid w:val="002C363B"/>
    <w:rsid w:val="002C3D0F"/>
    <w:rsid w:val="002C470E"/>
    <w:rsid w:val="002C5C28"/>
    <w:rsid w:val="002C617A"/>
    <w:rsid w:val="002C70DC"/>
    <w:rsid w:val="002C7DE1"/>
    <w:rsid w:val="002D1137"/>
    <w:rsid w:val="002D46DD"/>
    <w:rsid w:val="002D6F33"/>
    <w:rsid w:val="002D719C"/>
    <w:rsid w:val="002D76FF"/>
    <w:rsid w:val="002D7FBB"/>
    <w:rsid w:val="002E00F4"/>
    <w:rsid w:val="002E02FE"/>
    <w:rsid w:val="002E0A88"/>
    <w:rsid w:val="002E2039"/>
    <w:rsid w:val="002E2B3B"/>
    <w:rsid w:val="002E3CB1"/>
    <w:rsid w:val="002E51C2"/>
    <w:rsid w:val="002E5A21"/>
    <w:rsid w:val="002E5B02"/>
    <w:rsid w:val="002E5BA7"/>
    <w:rsid w:val="002E663E"/>
    <w:rsid w:val="002E6649"/>
    <w:rsid w:val="002E6B9F"/>
    <w:rsid w:val="002E7C7E"/>
    <w:rsid w:val="002E7EEA"/>
    <w:rsid w:val="002F10DF"/>
    <w:rsid w:val="002F2365"/>
    <w:rsid w:val="002F2827"/>
    <w:rsid w:val="002F3C10"/>
    <w:rsid w:val="002F5097"/>
    <w:rsid w:val="002F572B"/>
    <w:rsid w:val="002F5F31"/>
    <w:rsid w:val="002F6A96"/>
    <w:rsid w:val="002F6BBC"/>
    <w:rsid w:val="002F7112"/>
    <w:rsid w:val="002F7C57"/>
    <w:rsid w:val="003003F2"/>
    <w:rsid w:val="00300A3C"/>
    <w:rsid w:val="0030131B"/>
    <w:rsid w:val="0030261A"/>
    <w:rsid w:val="003041CA"/>
    <w:rsid w:val="00305433"/>
    <w:rsid w:val="00305F84"/>
    <w:rsid w:val="003063EE"/>
    <w:rsid w:val="00307012"/>
    <w:rsid w:val="00307320"/>
    <w:rsid w:val="00307C16"/>
    <w:rsid w:val="0031000A"/>
    <w:rsid w:val="00310207"/>
    <w:rsid w:val="00313092"/>
    <w:rsid w:val="0031344F"/>
    <w:rsid w:val="0031419C"/>
    <w:rsid w:val="00314ED7"/>
    <w:rsid w:val="00314F6A"/>
    <w:rsid w:val="00315246"/>
    <w:rsid w:val="003157B8"/>
    <w:rsid w:val="003166F2"/>
    <w:rsid w:val="00316882"/>
    <w:rsid w:val="003178D1"/>
    <w:rsid w:val="00320029"/>
    <w:rsid w:val="00320280"/>
    <w:rsid w:val="0032061C"/>
    <w:rsid w:val="003208A4"/>
    <w:rsid w:val="00321767"/>
    <w:rsid w:val="00321A19"/>
    <w:rsid w:val="00321A86"/>
    <w:rsid w:val="00323B30"/>
    <w:rsid w:val="00326A6A"/>
    <w:rsid w:val="00327A9D"/>
    <w:rsid w:val="003303F7"/>
    <w:rsid w:val="003306B3"/>
    <w:rsid w:val="00330B08"/>
    <w:rsid w:val="0033255E"/>
    <w:rsid w:val="00332D6B"/>
    <w:rsid w:val="0033368E"/>
    <w:rsid w:val="003338D3"/>
    <w:rsid w:val="00334F91"/>
    <w:rsid w:val="00335018"/>
    <w:rsid w:val="00335FA5"/>
    <w:rsid w:val="00336872"/>
    <w:rsid w:val="003375DA"/>
    <w:rsid w:val="00341478"/>
    <w:rsid w:val="00341CB1"/>
    <w:rsid w:val="00342128"/>
    <w:rsid w:val="00342650"/>
    <w:rsid w:val="00343228"/>
    <w:rsid w:val="003434F0"/>
    <w:rsid w:val="00343AA2"/>
    <w:rsid w:val="00343EDD"/>
    <w:rsid w:val="00344849"/>
    <w:rsid w:val="003449FE"/>
    <w:rsid w:val="00345597"/>
    <w:rsid w:val="00345CBD"/>
    <w:rsid w:val="00347A04"/>
    <w:rsid w:val="00350208"/>
    <w:rsid w:val="003507AA"/>
    <w:rsid w:val="00350DA0"/>
    <w:rsid w:val="0035137F"/>
    <w:rsid w:val="003527B1"/>
    <w:rsid w:val="00352AE9"/>
    <w:rsid w:val="003547A7"/>
    <w:rsid w:val="00354C76"/>
    <w:rsid w:val="00354CA7"/>
    <w:rsid w:val="00354EC7"/>
    <w:rsid w:val="00355CF3"/>
    <w:rsid w:val="00356A8D"/>
    <w:rsid w:val="00356D4E"/>
    <w:rsid w:val="00357185"/>
    <w:rsid w:val="003572BF"/>
    <w:rsid w:val="00357467"/>
    <w:rsid w:val="00361C95"/>
    <w:rsid w:val="0036211E"/>
    <w:rsid w:val="0036325C"/>
    <w:rsid w:val="0036350E"/>
    <w:rsid w:val="00363927"/>
    <w:rsid w:val="00363C68"/>
    <w:rsid w:val="0036629F"/>
    <w:rsid w:val="003667C9"/>
    <w:rsid w:val="00367808"/>
    <w:rsid w:val="00370894"/>
    <w:rsid w:val="00370898"/>
    <w:rsid w:val="00374A32"/>
    <w:rsid w:val="00380D7C"/>
    <w:rsid w:val="00383C8F"/>
    <w:rsid w:val="00384494"/>
    <w:rsid w:val="003849E9"/>
    <w:rsid w:val="00384D14"/>
    <w:rsid w:val="00385343"/>
    <w:rsid w:val="00385B31"/>
    <w:rsid w:val="00385FAC"/>
    <w:rsid w:val="00386A5C"/>
    <w:rsid w:val="00386D98"/>
    <w:rsid w:val="00386E8D"/>
    <w:rsid w:val="003872FC"/>
    <w:rsid w:val="00390F30"/>
    <w:rsid w:val="00391B11"/>
    <w:rsid w:val="00392B28"/>
    <w:rsid w:val="00392C3C"/>
    <w:rsid w:val="00393FBD"/>
    <w:rsid w:val="00395367"/>
    <w:rsid w:val="003953B1"/>
    <w:rsid w:val="00396157"/>
    <w:rsid w:val="003965CD"/>
    <w:rsid w:val="00396951"/>
    <w:rsid w:val="00397077"/>
    <w:rsid w:val="0039772C"/>
    <w:rsid w:val="00397A11"/>
    <w:rsid w:val="003A1680"/>
    <w:rsid w:val="003A1817"/>
    <w:rsid w:val="003A3136"/>
    <w:rsid w:val="003A367D"/>
    <w:rsid w:val="003A3933"/>
    <w:rsid w:val="003A49D9"/>
    <w:rsid w:val="003A60B7"/>
    <w:rsid w:val="003A7309"/>
    <w:rsid w:val="003A78D3"/>
    <w:rsid w:val="003A7FA3"/>
    <w:rsid w:val="003B1826"/>
    <w:rsid w:val="003B198A"/>
    <w:rsid w:val="003B2FDB"/>
    <w:rsid w:val="003B4553"/>
    <w:rsid w:val="003B4A0E"/>
    <w:rsid w:val="003B4FD3"/>
    <w:rsid w:val="003B5833"/>
    <w:rsid w:val="003B6EC5"/>
    <w:rsid w:val="003B7BFC"/>
    <w:rsid w:val="003C089A"/>
    <w:rsid w:val="003C09B1"/>
    <w:rsid w:val="003C1239"/>
    <w:rsid w:val="003C3B1D"/>
    <w:rsid w:val="003C4609"/>
    <w:rsid w:val="003C4A33"/>
    <w:rsid w:val="003C5A04"/>
    <w:rsid w:val="003C6770"/>
    <w:rsid w:val="003C6B95"/>
    <w:rsid w:val="003C6EE6"/>
    <w:rsid w:val="003C7187"/>
    <w:rsid w:val="003C738B"/>
    <w:rsid w:val="003D0E82"/>
    <w:rsid w:val="003D13DE"/>
    <w:rsid w:val="003D1E1F"/>
    <w:rsid w:val="003D3037"/>
    <w:rsid w:val="003D3138"/>
    <w:rsid w:val="003D4C65"/>
    <w:rsid w:val="003D4D3F"/>
    <w:rsid w:val="003D6E4D"/>
    <w:rsid w:val="003D755B"/>
    <w:rsid w:val="003D7AE0"/>
    <w:rsid w:val="003E02B1"/>
    <w:rsid w:val="003E0437"/>
    <w:rsid w:val="003E0DD9"/>
    <w:rsid w:val="003E1D05"/>
    <w:rsid w:val="003E2351"/>
    <w:rsid w:val="003E2D98"/>
    <w:rsid w:val="003E38DA"/>
    <w:rsid w:val="003E3B52"/>
    <w:rsid w:val="003E3D73"/>
    <w:rsid w:val="003E4757"/>
    <w:rsid w:val="003E63B5"/>
    <w:rsid w:val="003E69ED"/>
    <w:rsid w:val="003E6EF7"/>
    <w:rsid w:val="003E6F55"/>
    <w:rsid w:val="003E79C9"/>
    <w:rsid w:val="003F0749"/>
    <w:rsid w:val="003F0C3F"/>
    <w:rsid w:val="003F153D"/>
    <w:rsid w:val="003F2279"/>
    <w:rsid w:val="003F253E"/>
    <w:rsid w:val="003F2A16"/>
    <w:rsid w:val="003F3918"/>
    <w:rsid w:val="003F3AA2"/>
    <w:rsid w:val="003F432B"/>
    <w:rsid w:val="003F4F07"/>
    <w:rsid w:val="003F5323"/>
    <w:rsid w:val="003F58BC"/>
    <w:rsid w:val="003F608A"/>
    <w:rsid w:val="003F613C"/>
    <w:rsid w:val="003F65D7"/>
    <w:rsid w:val="003F67F5"/>
    <w:rsid w:val="003F6EA1"/>
    <w:rsid w:val="003F6EE8"/>
    <w:rsid w:val="003F75C5"/>
    <w:rsid w:val="00400095"/>
    <w:rsid w:val="00400931"/>
    <w:rsid w:val="004017AD"/>
    <w:rsid w:val="00401BEE"/>
    <w:rsid w:val="004034C1"/>
    <w:rsid w:val="00403C94"/>
    <w:rsid w:val="00404E4F"/>
    <w:rsid w:val="00406603"/>
    <w:rsid w:val="0040702A"/>
    <w:rsid w:val="00410D00"/>
    <w:rsid w:val="004125DC"/>
    <w:rsid w:val="00412A7D"/>
    <w:rsid w:val="00413152"/>
    <w:rsid w:val="0041402C"/>
    <w:rsid w:val="004153D9"/>
    <w:rsid w:val="00415682"/>
    <w:rsid w:val="00417966"/>
    <w:rsid w:val="00417F01"/>
    <w:rsid w:val="0042054F"/>
    <w:rsid w:val="0042060F"/>
    <w:rsid w:val="00421155"/>
    <w:rsid w:val="00421AB0"/>
    <w:rsid w:val="00422329"/>
    <w:rsid w:val="00422E25"/>
    <w:rsid w:val="0042432F"/>
    <w:rsid w:val="0042504D"/>
    <w:rsid w:val="0042576E"/>
    <w:rsid w:val="004260A4"/>
    <w:rsid w:val="00426ECF"/>
    <w:rsid w:val="00427375"/>
    <w:rsid w:val="00430738"/>
    <w:rsid w:val="004315F7"/>
    <w:rsid w:val="00431704"/>
    <w:rsid w:val="00431C78"/>
    <w:rsid w:val="004326C2"/>
    <w:rsid w:val="0043278A"/>
    <w:rsid w:val="00433190"/>
    <w:rsid w:val="00434910"/>
    <w:rsid w:val="00435430"/>
    <w:rsid w:val="004367A3"/>
    <w:rsid w:val="00436FDC"/>
    <w:rsid w:val="00440F42"/>
    <w:rsid w:val="00441630"/>
    <w:rsid w:val="00441FB5"/>
    <w:rsid w:val="00442312"/>
    <w:rsid w:val="004423E3"/>
    <w:rsid w:val="0044250E"/>
    <w:rsid w:val="00443130"/>
    <w:rsid w:val="004433D9"/>
    <w:rsid w:val="00444722"/>
    <w:rsid w:val="004461D6"/>
    <w:rsid w:val="0044652F"/>
    <w:rsid w:val="004466FB"/>
    <w:rsid w:val="00451E8A"/>
    <w:rsid w:val="00453EBE"/>
    <w:rsid w:val="00453EC5"/>
    <w:rsid w:val="00454BAA"/>
    <w:rsid w:val="00454DF6"/>
    <w:rsid w:val="00455CB9"/>
    <w:rsid w:val="00456ABC"/>
    <w:rsid w:val="00456C3B"/>
    <w:rsid w:val="00456D54"/>
    <w:rsid w:val="00457054"/>
    <w:rsid w:val="00457484"/>
    <w:rsid w:val="004601ED"/>
    <w:rsid w:val="00460404"/>
    <w:rsid w:val="004606EE"/>
    <w:rsid w:val="00461276"/>
    <w:rsid w:val="0046155A"/>
    <w:rsid w:val="00461994"/>
    <w:rsid w:val="00462CB6"/>
    <w:rsid w:val="00463681"/>
    <w:rsid w:val="00463762"/>
    <w:rsid w:val="00464313"/>
    <w:rsid w:val="0046454A"/>
    <w:rsid w:val="0046456F"/>
    <w:rsid w:val="00464613"/>
    <w:rsid w:val="00464981"/>
    <w:rsid w:val="0046554D"/>
    <w:rsid w:val="00465CC3"/>
    <w:rsid w:val="00466A17"/>
    <w:rsid w:val="00466AD2"/>
    <w:rsid w:val="00466C70"/>
    <w:rsid w:val="00466DA8"/>
    <w:rsid w:val="004704A2"/>
    <w:rsid w:val="004704F2"/>
    <w:rsid w:val="0047214D"/>
    <w:rsid w:val="0047344E"/>
    <w:rsid w:val="00473E2B"/>
    <w:rsid w:val="00474255"/>
    <w:rsid w:val="00474D88"/>
    <w:rsid w:val="0047510D"/>
    <w:rsid w:val="004755A9"/>
    <w:rsid w:val="00475BAF"/>
    <w:rsid w:val="004766B0"/>
    <w:rsid w:val="00481011"/>
    <w:rsid w:val="0048104D"/>
    <w:rsid w:val="0048108A"/>
    <w:rsid w:val="00481405"/>
    <w:rsid w:val="004818C7"/>
    <w:rsid w:val="00481D26"/>
    <w:rsid w:val="00482199"/>
    <w:rsid w:val="00482B92"/>
    <w:rsid w:val="00483BD9"/>
    <w:rsid w:val="00483C8E"/>
    <w:rsid w:val="00485C75"/>
    <w:rsid w:val="00486408"/>
    <w:rsid w:val="004865E7"/>
    <w:rsid w:val="004866BC"/>
    <w:rsid w:val="00486728"/>
    <w:rsid w:val="00487026"/>
    <w:rsid w:val="004902ED"/>
    <w:rsid w:val="00490AAE"/>
    <w:rsid w:val="00491331"/>
    <w:rsid w:val="00491A4D"/>
    <w:rsid w:val="00491B33"/>
    <w:rsid w:val="004928D6"/>
    <w:rsid w:val="004939F6"/>
    <w:rsid w:val="00493B74"/>
    <w:rsid w:val="0049417C"/>
    <w:rsid w:val="00495079"/>
    <w:rsid w:val="00495ED4"/>
    <w:rsid w:val="004963C2"/>
    <w:rsid w:val="004A195E"/>
    <w:rsid w:val="004A1E00"/>
    <w:rsid w:val="004A2121"/>
    <w:rsid w:val="004A2CD9"/>
    <w:rsid w:val="004A3C45"/>
    <w:rsid w:val="004A4DD8"/>
    <w:rsid w:val="004A592B"/>
    <w:rsid w:val="004A67C7"/>
    <w:rsid w:val="004A7474"/>
    <w:rsid w:val="004A7565"/>
    <w:rsid w:val="004A7A04"/>
    <w:rsid w:val="004A7DC8"/>
    <w:rsid w:val="004A7F9F"/>
    <w:rsid w:val="004B0631"/>
    <w:rsid w:val="004B0837"/>
    <w:rsid w:val="004B0B7F"/>
    <w:rsid w:val="004B0EAC"/>
    <w:rsid w:val="004B1077"/>
    <w:rsid w:val="004B1210"/>
    <w:rsid w:val="004B1721"/>
    <w:rsid w:val="004B26FA"/>
    <w:rsid w:val="004B30CF"/>
    <w:rsid w:val="004B340E"/>
    <w:rsid w:val="004B3E3F"/>
    <w:rsid w:val="004B49E7"/>
    <w:rsid w:val="004B63B3"/>
    <w:rsid w:val="004B6EF7"/>
    <w:rsid w:val="004B70CD"/>
    <w:rsid w:val="004B7223"/>
    <w:rsid w:val="004B7231"/>
    <w:rsid w:val="004B76CC"/>
    <w:rsid w:val="004C0108"/>
    <w:rsid w:val="004C03AC"/>
    <w:rsid w:val="004C2CD5"/>
    <w:rsid w:val="004C32BC"/>
    <w:rsid w:val="004C3B77"/>
    <w:rsid w:val="004C3DCC"/>
    <w:rsid w:val="004C49EB"/>
    <w:rsid w:val="004C5545"/>
    <w:rsid w:val="004C58D1"/>
    <w:rsid w:val="004C5C70"/>
    <w:rsid w:val="004C6001"/>
    <w:rsid w:val="004C7512"/>
    <w:rsid w:val="004D20AB"/>
    <w:rsid w:val="004D2154"/>
    <w:rsid w:val="004D26A1"/>
    <w:rsid w:val="004D282D"/>
    <w:rsid w:val="004D2BBB"/>
    <w:rsid w:val="004D3016"/>
    <w:rsid w:val="004D3637"/>
    <w:rsid w:val="004D4087"/>
    <w:rsid w:val="004D49D8"/>
    <w:rsid w:val="004D5272"/>
    <w:rsid w:val="004D5750"/>
    <w:rsid w:val="004D5952"/>
    <w:rsid w:val="004D6413"/>
    <w:rsid w:val="004D6B7D"/>
    <w:rsid w:val="004D6C8B"/>
    <w:rsid w:val="004D73AB"/>
    <w:rsid w:val="004D7D4C"/>
    <w:rsid w:val="004E00F7"/>
    <w:rsid w:val="004E0486"/>
    <w:rsid w:val="004E0872"/>
    <w:rsid w:val="004E0AEB"/>
    <w:rsid w:val="004E1859"/>
    <w:rsid w:val="004E2857"/>
    <w:rsid w:val="004E3631"/>
    <w:rsid w:val="004E384A"/>
    <w:rsid w:val="004E45B5"/>
    <w:rsid w:val="004E5C17"/>
    <w:rsid w:val="004E6755"/>
    <w:rsid w:val="004E69D8"/>
    <w:rsid w:val="004E70D1"/>
    <w:rsid w:val="004E7435"/>
    <w:rsid w:val="004F0438"/>
    <w:rsid w:val="004F1E12"/>
    <w:rsid w:val="004F2718"/>
    <w:rsid w:val="004F327F"/>
    <w:rsid w:val="004F405D"/>
    <w:rsid w:val="004F4502"/>
    <w:rsid w:val="004F4C42"/>
    <w:rsid w:val="004F5215"/>
    <w:rsid w:val="004F5C27"/>
    <w:rsid w:val="004F5F3C"/>
    <w:rsid w:val="004F7C7D"/>
    <w:rsid w:val="005012CC"/>
    <w:rsid w:val="0050191E"/>
    <w:rsid w:val="00502665"/>
    <w:rsid w:val="00504AA2"/>
    <w:rsid w:val="00505304"/>
    <w:rsid w:val="00506F09"/>
    <w:rsid w:val="00507641"/>
    <w:rsid w:val="00511089"/>
    <w:rsid w:val="005117EA"/>
    <w:rsid w:val="00511BE5"/>
    <w:rsid w:val="00511E87"/>
    <w:rsid w:val="00513CEC"/>
    <w:rsid w:val="00514722"/>
    <w:rsid w:val="00515018"/>
    <w:rsid w:val="0051534B"/>
    <w:rsid w:val="00515A84"/>
    <w:rsid w:val="00515CE4"/>
    <w:rsid w:val="00515D7C"/>
    <w:rsid w:val="00515F3C"/>
    <w:rsid w:val="005168C5"/>
    <w:rsid w:val="00517BE1"/>
    <w:rsid w:val="00517FCA"/>
    <w:rsid w:val="00520FD8"/>
    <w:rsid w:val="00521578"/>
    <w:rsid w:val="005224FC"/>
    <w:rsid w:val="00522E22"/>
    <w:rsid w:val="00522E56"/>
    <w:rsid w:val="00523764"/>
    <w:rsid w:val="00523B56"/>
    <w:rsid w:val="00523FCC"/>
    <w:rsid w:val="00524C29"/>
    <w:rsid w:val="00525746"/>
    <w:rsid w:val="005275EA"/>
    <w:rsid w:val="00527CCA"/>
    <w:rsid w:val="005303E3"/>
    <w:rsid w:val="00530457"/>
    <w:rsid w:val="0053282A"/>
    <w:rsid w:val="00532D87"/>
    <w:rsid w:val="0053375B"/>
    <w:rsid w:val="0053379C"/>
    <w:rsid w:val="005338C8"/>
    <w:rsid w:val="00533A54"/>
    <w:rsid w:val="00533BDE"/>
    <w:rsid w:val="00533E10"/>
    <w:rsid w:val="00533E70"/>
    <w:rsid w:val="0053430C"/>
    <w:rsid w:val="00534D43"/>
    <w:rsid w:val="0053587C"/>
    <w:rsid w:val="005362AB"/>
    <w:rsid w:val="005362DB"/>
    <w:rsid w:val="005362E7"/>
    <w:rsid w:val="00536EA4"/>
    <w:rsid w:val="00537342"/>
    <w:rsid w:val="00537BDB"/>
    <w:rsid w:val="005402C5"/>
    <w:rsid w:val="0054123A"/>
    <w:rsid w:val="00541E0A"/>
    <w:rsid w:val="005425A8"/>
    <w:rsid w:val="0054277E"/>
    <w:rsid w:val="00545B45"/>
    <w:rsid w:val="00545BDD"/>
    <w:rsid w:val="00546EE3"/>
    <w:rsid w:val="00550DB4"/>
    <w:rsid w:val="00551170"/>
    <w:rsid w:val="00551CC5"/>
    <w:rsid w:val="00551CFE"/>
    <w:rsid w:val="00552386"/>
    <w:rsid w:val="0055303D"/>
    <w:rsid w:val="0055354C"/>
    <w:rsid w:val="005545A1"/>
    <w:rsid w:val="00554656"/>
    <w:rsid w:val="00554E45"/>
    <w:rsid w:val="00556653"/>
    <w:rsid w:val="00556A53"/>
    <w:rsid w:val="00560152"/>
    <w:rsid w:val="00560366"/>
    <w:rsid w:val="00560CE5"/>
    <w:rsid w:val="0056164F"/>
    <w:rsid w:val="00561E26"/>
    <w:rsid w:val="00562527"/>
    <w:rsid w:val="005632EF"/>
    <w:rsid w:val="00564096"/>
    <w:rsid w:val="00564685"/>
    <w:rsid w:val="0056596C"/>
    <w:rsid w:val="00565C06"/>
    <w:rsid w:val="005710CC"/>
    <w:rsid w:val="00571154"/>
    <w:rsid w:val="00571621"/>
    <w:rsid w:val="0057247B"/>
    <w:rsid w:val="005724BA"/>
    <w:rsid w:val="005745DA"/>
    <w:rsid w:val="00574FCA"/>
    <w:rsid w:val="005768E6"/>
    <w:rsid w:val="00576C13"/>
    <w:rsid w:val="005770A5"/>
    <w:rsid w:val="00577E17"/>
    <w:rsid w:val="00577EAA"/>
    <w:rsid w:val="0058027B"/>
    <w:rsid w:val="00580A62"/>
    <w:rsid w:val="00580CFD"/>
    <w:rsid w:val="00580EAB"/>
    <w:rsid w:val="00581225"/>
    <w:rsid w:val="0058150A"/>
    <w:rsid w:val="005817EC"/>
    <w:rsid w:val="005826EC"/>
    <w:rsid w:val="00583E02"/>
    <w:rsid w:val="00583F26"/>
    <w:rsid w:val="00583F37"/>
    <w:rsid w:val="00584EDD"/>
    <w:rsid w:val="005860BB"/>
    <w:rsid w:val="00586497"/>
    <w:rsid w:val="00586ED5"/>
    <w:rsid w:val="0058712E"/>
    <w:rsid w:val="005879D4"/>
    <w:rsid w:val="00593014"/>
    <w:rsid w:val="00593241"/>
    <w:rsid w:val="005949C2"/>
    <w:rsid w:val="005949E3"/>
    <w:rsid w:val="005950AC"/>
    <w:rsid w:val="00595210"/>
    <w:rsid w:val="00595629"/>
    <w:rsid w:val="00595804"/>
    <w:rsid w:val="00596A9C"/>
    <w:rsid w:val="005A1C32"/>
    <w:rsid w:val="005A1FCC"/>
    <w:rsid w:val="005A262B"/>
    <w:rsid w:val="005A2880"/>
    <w:rsid w:val="005A328D"/>
    <w:rsid w:val="005A3AC0"/>
    <w:rsid w:val="005A3C05"/>
    <w:rsid w:val="005A4681"/>
    <w:rsid w:val="005A62D5"/>
    <w:rsid w:val="005A6B74"/>
    <w:rsid w:val="005A7073"/>
    <w:rsid w:val="005A7522"/>
    <w:rsid w:val="005B1875"/>
    <w:rsid w:val="005B1D7A"/>
    <w:rsid w:val="005B215B"/>
    <w:rsid w:val="005B297A"/>
    <w:rsid w:val="005B3F0A"/>
    <w:rsid w:val="005B4595"/>
    <w:rsid w:val="005B4648"/>
    <w:rsid w:val="005B5508"/>
    <w:rsid w:val="005B5D82"/>
    <w:rsid w:val="005B66F5"/>
    <w:rsid w:val="005B6C1F"/>
    <w:rsid w:val="005B6C7D"/>
    <w:rsid w:val="005B71FB"/>
    <w:rsid w:val="005B784A"/>
    <w:rsid w:val="005C0C0D"/>
    <w:rsid w:val="005C1883"/>
    <w:rsid w:val="005C2944"/>
    <w:rsid w:val="005C3590"/>
    <w:rsid w:val="005C4E4B"/>
    <w:rsid w:val="005C62A1"/>
    <w:rsid w:val="005C650D"/>
    <w:rsid w:val="005D0030"/>
    <w:rsid w:val="005D22FC"/>
    <w:rsid w:val="005D29E7"/>
    <w:rsid w:val="005D31BE"/>
    <w:rsid w:val="005D35FC"/>
    <w:rsid w:val="005D469A"/>
    <w:rsid w:val="005D4F15"/>
    <w:rsid w:val="005D4FF0"/>
    <w:rsid w:val="005D5342"/>
    <w:rsid w:val="005D5E11"/>
    <w:rsid w:val="005D615A"/>
    <w:rsid w:val="005D6745"/>
    <w:rsid w:val="005D6879"/>
    <w:rsid w:val="005D6A03"/>
    <w:rsid w:val="005D6F30"/>
    <w:rsid w:val="005D6FB6"/>
    <w:rsid w:val="005D787D"/>
    <w:rsid w:val="005E0C8F"/>
    <w:rsid w:val="005E1C1E"/>
    <w:rsid w:val="005E1FAB"/>
    <w:rsid w:val="005E20BB"/>
    <w:rsid w:val="005E3963"/>
    <w:rsid w:val="005E451F"/>
    <w:rsid w:val="005E4AD6"/>
    <w:rsid w:val="005E4D5F"/>
    <w:rsid w:val="005E4D6C"/>
    <w:rsid w:val="005E5383"/>
    <w:rsid w:val="005E5391"/>
    <w:rsid w:val="005E5925"/>
    <w:rsid w:val="005E7E99"/>
    <w:rsid w:val="005F0290"/>
    <w:rsid w:val="005F121A"/>
    <w:rsid w:val="005F1857"/>
    <w:rsid w:val="005F22CA"/>
    <w:rsid w:val="005F241F"/>
    <w:rsid w:val="005F28F8"/>
    <w:rsid w:val="005F2F68"/>
    <w:rsid w:val="005F3232"/>
    <w:rsid w:val="005F438A"/>
    <w:rsid w:val="005F4A5A"/>
    <w:rsid w:val="005F579F"/>
    <w:rsid w:val="005F589C"/>
    <w:rsid w:val="005F5F83"/>
    <w:rsid w:val="005F6223"/>
    <w:rsid w:val="005F6970"/>
    <w:rsid w:val="005F77FC"/>
    <w:rsid w:val="00600AE6"/>
    <w:rsid w:val="006018F6"/>
    <w:rsid w:val="00602B1A"/>
    <w:rsid w:val="00602C63"/>
    <w:rsid w:val="0060328A"/>
    <w:rsid w:val="00603E91"/>
    <w:rsid w:val="00605A05"/>
    <w:rsid w:val="0060638A"/>
    <w:rsid w:val="006113C0"/>
    <w:rsid w:val="00611BF5"/>
    <w:rsid w:val="00612392"/>
    <w:rsid w:val="006123E8"/>
    <w:rsid w:val="006128DF"/>
    <w:rsid w:val="00613153"/>
    <w:rsid w:val="00613F48"/>
    <w:rsid w:val="006140B3"/>
    <w:rsid w:val="00614BCF"/>
    <w:rsid w:val="00615A4D"/>
    <w:rsid w:val="0061695E"/>
    <w:rsid w:val="00617AF6"/>
    <w:rsid w:val="00624200"/>
    <w:rsid w:val="0062460D"/>
    <w:rsid w:val="006247F0"/>
    <w:rsid w:val="00624AF1"/>
    <w:rsid w:val="00626993"/>
    <w:rsid w:val="00626FD2"/>
    <w:rsid w:val="00626FED"/>
    <w:rsid w:val="00627C19"/>
    <w:rsid w:val="006306DF"/>
    <w:rsid w:val="00630D25"/>
    <w:rsid w:val="00630D5B"/>
    <w:rsid w:val="0063110F"/>
    <w:rsid w:val="00631AFC"/>
    <w:rsid w:val="006334FB"/>
    <w:rsid w:val="00634235"/>
    <w:rsid w:val="0063499A"/>
    <w:rsid w:val="00634EF4"/>
    <w:rsid w:val="006353A0"/>
    <w:rsid w:val="006353B4"/>
    <w:rsid w:val="006365E2"/>
    <w:rsid w:val="00637B15"/>
    <w:rsid w:val="00637D27"/>
    <w:rsid w:val="00640424"/>
    <w:rsid w:val="006418C4"/>
    <w:rsid w:val="00641AA7"/>
    <w:rsid w:val="006422EB"/>
    <w:rsid w:val="0064268E"/>
    <w:rsid w:val="006427AF"/>
    <w:rsid w:val="00642A22"/>
    <w:rsid w:val="00643CE9"/>
    <w:rsid w:val="006444FF"/>
    <w:rsid w:val="00645ED8"/>
    <w:rsid w:val="006463F9"/>
    <w:rsid w:val="00646A4C"/>
    <w:rsid w:val="00647340"/>
    <w:rsid w:val="00647F16"/>
    <w:rsid w:val="00651125"/>
    <w:rsid w:val="00651A5F"/>
    <w:rsid w:val="006520F5"/>
    <w:rsid w:val="00652EF2"/>
    <w:rsid w:val="00652FD0"/>
    <w:rsid w:val="0065403B"/>
    <w:rsid w:val="00654F9B"/>
    <w:rsid w:val="00655E6C"/>
    <w:rsid w:val="00656FDE"/>
    <w:rsid w:val="00657685"/>
    <w:rsid w:val="00657DE9"/>
    <w:rsid w:val="00660348"/>
    <w:rsid w:val="006603F0"/>
    <w:rsid w:val="00660798"/>
    <w:rsid w:val="00660BF3"/>
    <w:rsid w:val="0066119E"/>
    <w:rsid w:val="00662DE0"/>
    <w:rsid w:val="00662F69"/>
    <w:rsid w:val="00663189"/>
    <w:rsid w:val="00664623"/>
    <w:rsid w:val="006656B6"/>
    <w:rsid w:val="006663E8"/>
    <w:rsid w:val="00666922"/>
    <w:rsid w:val="00666B21"/>
    <w:rsid w:val="00666D39"/>
    <w:rsid w:val="00670269"/>
    <w:rsid w:val="0067026C"/>
    <w:rsid w:val="00670747"/>
    <w:rsid w:val="0067498B"/>
    <w:rsid w:val="00675ACE"/>
    <w:rsid w:val="00677771"/>
    <w:rsid w:val="00680089"/>
    <w:rsid w:val="00682290"/>
    <w:rsid w:val="0068255A"/>
    <w:rsid w:val="006841C3"/>
    <w:rsid w:val="00684204"/>
    <w:rsid w:val="00684D89"/>
    <w:rsid w:val="0068588A"/>
    <w:rsid w:val="0068653C"/>
    <w:rsid w:val="006865CE"/>
    <w:rsid w:val="00687C09"/>
    <w:rsid w:val="00690116"/>
    <w:rsid w:val="00690939"/>
    <w:rsid w:val="006909B9"/>
    <w:rsid w:val="00691019"/>
    <w:rsid w:val="006912FB"/>
    <w:rsid w:val="00693000"/>
    <w:rsid w:val="006938E5"/>
    <w:rsid w:val="00694102"/>
    <w:rsid w:val="0069443C"/>
    <w:rsid w:val="00694623"/>
    <w:rsid w:val="006954F2"/>
    <w:rsid w:val="00695BEA"/>
    <w:rsid w:val="00697401"/>
    <w:rsid w:val="00697ACF"/>
    <w:rsid w:val="006A0447"/>
    <w:rsid w:val="006A0C1A"/>
    <w:rsid w:val="006A1379"/>
    <w:rsid w:val="006A24BD"/>
    <w:rsid w:val="006A2EDE"/>
    <w:rsid w:val="006A3378"/>
    <w:rsid w:val="006A3DCC"/>
    <w:rsid w:val="006A4649"/>
    <w:rsid w:val="006A5315"/>
    <w:rsid w:val="006A7C6D"/>
    <w:rsid w:val="006A7F9B"/>
    <w:rsid w:val="006B04F2"/>
    <w:rsid w:val="006B060E"/>
    <w:rsid w:val="006B0EBB"/>
    <w:rsid w:val="006B13E6"/>
    <w:rsid w:val="006B1C31"/>
    <w:rsid w:val="006B2C99"/>
    <w:rsid w:val="006B3308"/>
    <w:rsid w:val="006B6468"/>
    <w:rsid w:val="006B6648"/>
    <w:rsid w:val="006B745C"/>
    <w:rsid w:val="006B7F0A"/>
    <w:rsid w:val="006C358F"/>
    <w:rsid w:val="006C4EAC"/>
    <w:rsid w:val="006C58A0"/>
    <w:rsid w:val="006C7433"/>
    <w:rsid w:val="006C7A33"/>
    <w:rsid w:val="006D036B"/>
    <w:rsid w:val="006D099C"/>
    <w:rsid w:val="006D0CC7"/>
    <w:rsid w:val="006D0E60"/>
    <w:rsid w:val="006D25BB"/>
    <w:rsid w:val="006D2A93"/>
    <w:rsid w:val="006D3226"/>
    <w:rsid w:val="006D3597"/>
    <w:rsid w:val="006D39F2"/>
    <w:rsid w:val="006D53F6"/>
    <w:rsid w:val="006D5481"/>
    <w:rsid w:val="006D5720"/>
    <w:rsid w:val="006D5A76"/>
    <w:rsid w:val="006D5ABF"/>
    <w:rsid w:val="006D670F"/>
    <w:rsid w:val="006D7510"/>
    <w:rsid w:val="006D7549"/>
    <w:rsid w:val="006E0351"/>
    <w:rsid w:val="006E13C2"/>
    <w:rsid w:val="006E2901"/>
    <w:rsid w:val="006E30A3"/>
    <w:rsid w:val="006E35E3"/>
    <w:rsid w:val="006E3967"/>
    <w:rsid w:val="006E41D3"/>
    <w:rsid w:val="006E68F9"/>
    <w:rsid w:val="006E711D"/>
    <w:rsid w:val="006E777E"/>
    <w:rsid w:val="006E7A2C"/>
    <w:rsid w:val="006F082B"/>
    <w:rsid w:val="006F0C27"/>
    <w:rsid w:val="006F18B4"/>
    <w:rsid w:val="006F231F"/>
    <w:rsid w:val="006F305D"/>
    <w:rsid w:val="006F3A75"/>
    <w:rsid w:val="006F4443"/>
    <w:rsid w:val="006F5027"/>
    <w:rsid w:val="006F550B"/>
    <w:rsid w:val="006F6DC9"/>
    <w:rsid w:val="006F7774"/>
    <w:rsid w:val="006F7DCB"/>
    <w:rsid w:val="00700AFD"/>
    <w:rsid w:val="00700F6B"/>
    <w:rsid w:val="00701611"/>
    <w:rsid w:val="007019CA"/>
    <w:rsid w:val="00703015"/>
    <w:rsid w:val="0070314A"/>
    <w:rsid w:val="00703D75"/>
    <w:rsid w:val="00704903"/>
    <w:rsid w:val="00705C75"/>
    <w:rsid w:val="00706512"/>
    <w:rsid w:val="00707353"/>
    <w:rsid w:val="007074B7"/>
    <w:rsid w:val="00710969"/>
    <w:rsid w:val="00710F03"/>
    <w:rsid w:val="00711BDA"/>
    <w:rsid w:val="00712363"/>
    <w:rsid w:val="00712441"/>
    <w:rsid w:val="007127C4"/>
    <w:rsid w:val="00713BCD"/>
    <w:rsid w:val="00713C3B"/>
    <w:rsid w:val="007145D8"/>
    <w:rsid w:val="00715BDB"/>
    <w:rsid w:val="007161BE"/>
    <w:rsid w:val="00716916"/>
    <w:rsid w:val="00717CEC"/>
    <w:rsid w:val="00720703"/>
    <w:rsid w:val="007218B2"/>
    <w:rsid w:val="00721B6C"/>
    <w:rsid w:val="00721E22"/>
    <w:rsid w:val="00721FF5"/>
    <w:rsid w:val="00723074"/>
    <w:rsid w:val="00723C80"/>
    <w:rsid w:val="0072421D"/>
    <w:rsid w:val="007247A4"/>
    <w:rsid w:val="00724BF6"/>
    <w:rsid w:val="00724D31"/>
    <w:rsid w:val="007252A1"/>
    <w:rsid w:val="007252A3"/>
    <w:rsid w:val="00725737"/>
    <w:rsid w:val="007259D6"/>
    <w:rsid w:val="00725CBE"/>
    <w:rsid w:val="007260F5"/>
    <w:rsid w:val="007267DB"/>
    <w:rsid w:val="00730458"/>
    <w:rsid w:val="00731449"/>
    <w:rsid w:val="00731730"/>
    <w:rsid w:val="0073226E"/>
    <w:rsid w:val="0073237C"/>
    <w:rsid w:val="00733EB4"/>
    <w:rsid w:val="007345D0"/>
    <w:rsid w:val="007345EF"/>
    <w:rsid w:val="00734C93"/>
    <w:rsid w:val="00734D84"/>
    <w:rsid w:val="00735151"/>
    <w:rsid w:val="007360E9"/>
    <w:rsid w:val="00736377"/>
    <w:rsid w:val="0073795F"/>
    <w:rsid w:val="007402FB"/>
    <w:rsid w:val="00741345"/>
    <w:rsid w:val="007414C7"/>
    <w:rsid w:val="00741E23"/>
    <w:rsid w:val="007421C3"/>
    <w:rsid w:val="0074386F"/>
    <w:rsid w:val="00744056"/>
    <w:rsid w:val="0074421C"/>
    <w:rsid w:val="007447A0"/>
    <w:rsid w:val="00744888"/>
    <w:rsid w:val="0074523F"/>
    <w:rsid w:val="007468F9"/>
    <w:rsid w:val="00746A4C"/>
    <w:rsid w:val="00747717"/>
    <w:rsid w:val="00751467"/>
    <w:rsid w:val="007526B5"/>
    <w:rsid w:val="0075398E"/>
    <w:rsid w:val="00753D44"/>
    <w:rsid w:val="007542F6"/>
    <w:rsid w:val="0075486E"/>
    <w:rsid w:val="00755EC8"/>
    <w:rsid w:val="0075627C"/>
    <w:rsid w:val="00756AA4"/>
    <w:rsid w:val="00757AFF"/>
    <w:rsid w:val="00762112"/>
    <w:rsid w:val="007627EF"/>
    <w:rsid w:val="007631E8"/>
    <w:rsid w:val="007641E3"/>
    <w:rsid w:val="0076501D"/>
    <w:rsid w:val="007655D0"/>
    <w:rsid w:val="0077058D"/>
    <w:rsid w:val="00771432"/>
    <w:rsid w:val="007725EE"/>
    <w:rsid w:val="00773BC6"/>
    <w:rsid w:val="00774B68"/>
    <w:rsid w:val="0077589D"/>
    <w:rsid w:val="0077600A"/>
    <w:rsid w:val="007760EE"/>
    <w:rsid w:val="007769A9"/>
    <w:rsid w:val="00776BC6"/>
    <w:rsid w:val="00776C33"/>
    <w:rsid w:val="00777BC2"/>
    <w:rsid w:val="00780C0A"/>
    <w:rsid w:val="0078147E"/>
    <w:rsid w:val="00783D50"/>
    <w:rsid w:val="007846DE"/>
    <w:rsid w:val="00784898"/>
    <w:rsid w:val="00784ECD"/>
    <w:rsid w:val="00786070"/>
    <w:rsid w:val="00787D4A"/>
    <w:rsid w:val="00791592"/>
    <w:rsid w:val="007915C0"/>
    <w:rsid w:val="00791F30"/>
    <w:rsid w:val="007924D1"/>
    <w:rsid w:val="00793AFE"/>
    <w:rsid w:val="00793E16"/>
    <w:rsid w:val="00796243"/>
    <w:rsid w:val="0079646A"/>
    <w:rsid w:val="00796EDD"/>
    <w:rsid w:val="00797E1F"/>
    <w:rsid w:val="00797F09"/>
    <w:rsid w:val="007A18C5"/>
    <w:rsid w:val="007A247F"/>
    <w:rsid w:val="007A36B4"/>
    <w:rsid w:val="007A4025"/>
    <w:rsid w:val="007A428A"/>
    <w:rsid w:val="007A5121"/>
    <w:rsid w:val="007A5378"/>
    <w:rsid w:val="007A556F"/>
    <w:rsid w:val="007A6318"/>
    <w:rsid w:val="007A72F0"/>
    <w:rsid w:val="007A7E8C"/>
    <w:rsid w:val="007B0032"/>
    <w:rsid w:val="007B0106"/>
    <w:rsid w:val="007B041E"/>
    <w:rsid w:val="007B0996"/>
    <w:rsid w:val="007B1A02"/>
    <w:rsid w:val="007B50AC"/>
    <w:rsid w:val="007B658A"/>
    <w:rsid w:val="007B694D"/>
    <w:rsid w:val="007B6A89"/>
    <w:rsid w:val="007B6AD1"/>
    <w:rsid w:val="007B7060"/>
    <w:rsid w:val="007C00D4"/>
    <w:rsid w:val="007C0A64"/>
    <w:rsid w:val="007C0CBF"/>
    <w:rsid w:val="007C0FD8"/>
    <w:rsid w:val="007C121E"/>
    <w:rsid w:val="007C156A"/>
    <w:rsid w:val="007C1C4D"/>
    <w:rsid w:val="007C2721"/>
    <w:rsid w:val="007C3AED"/>
    <w:rsid w:val="007C4D5A"/>
    <w:rsid w:val="007C4D96"/>
    <w:rsid w:val="007C554A"/>
    <w:rsid w:val="007C559E"/>
    <w:rsid w:val="007C5684"/>
    <w:rsid w:val="007C6631"/>
    <w:rsid w:val="007C6A3F"/>
    <w:rsid w:val="007C7D3B"/>
    <w:rsid w:val="007D0510"/>
    <w:rsid w:val="007D065F"/>
    <w:rsid w:val="007D0BA6"/>
    <w:rsid w:val="007D10CB"/>
    <w:rsid w:val="007D1A02"/>
    <w:rsid w:val="007D29C2"/>
    <w:rsid w:val="007D4350"/>
    <w:rsid w:val="007D4D4A"/>
    <w:rsid w:val="007D5EB9"/>
    <w:rsid w:val="007D69B9"/>
    <w:rsid w:val="007D6F50"/>
    <w:rsid w:val="007D733E"/>
    <w:rsid w:val="007D78E8"/>
    <w:rsid w:val="007E07DD"/>
    <w:rsid w:val="007E1A07"/>
    <w:rsid w:val="007E2122"/>
    <w:rsid w:val="007E26C5"/>
    <w:rsid w:val="007E2E32"/>
    <w:rsid w:val="007E3004"/>
    <w:rsid w:val="007E45BD"/>
    <w:rsid w:val="007E583A"/>
    <w:rsid w:val="007E61D7"/>
    <w:rsid w:val="007E6ABA"/>
    <w:rsid w:val="007E6C91"/>
    <w:rsid w:val="007F0252"/>
    <w:rsid w:val="007F0BEF"/>
    <w:rsid w:val="007F1127"/>
    <w:rsid w:val="007F119A"/>
    <w:rsid w:val="007F15D1"/>
    <w:rsid w:val="007F3DE3"/>
    <w:rsid w:val="007F4C2F"/>
    <w:rsid w:val="007F4E20"/>
    <w:rsid w:val="007F5630"/>
    <w:rsid w:val="007F5792"/>
    <w:rsid w:val="007F57A3"/>
    <w:rsid w:val="007F66F7"/>
    <w:rsid w:val="007F790C"/>
    <w:rsid w:val="007F7A8E"/>
    <w:rsid w:val="00800FEE"/>
    <w:rsid w:val="00801110"/>
    <w:rsid w:val="0080143B"/>
    <w:rsid w:val="008028EE"/>
    <w:rsid w:val="00802937"/>
    <w:rsid w:val="00802E46"/>
    <w:rsid w:val="00803C8B"/>
    <w:rsid w:val="00805235"/>
    <w:rsid w:val="0080693E"/>
    <w:rsid w:val="00806B62"/>
    <w:rsid w:val="00807E22"/>
    <w:rsid w:val="00810A5B"/>
    <w:rsid w:val="00811193"/>
    <w:rsid w:val="00811B75"/>
    <w:rsid w:val="00812101"/>
    <w:rsid w:val="00812222"/>
    <w:rsid w:val="008134FC"/>
    <w:rsid w:val="00813757"/>
    <w:rsid w:val="00813FF0"/>
    <w:rsid w:val="008153B4"/>
    <w:rsid w:val="0081569A"/>
    <w:rsid w:val="008161B6"/>
    <w:rsid w:val="00817489"/>
    <w:rsid w:val="00817C76"/>
    <w:rsid w:val="008202D1"/>
    <w:rsid w:val="008203E4"/>
    <w:rsid w:val="00820713"/>
    <w:rsid w:val="008219AE"/>
    <w:rsid w:val="00821C17"/>
    <w:rsid w:val="00821D85"/>
    <w:rsid w:val="00821E38"/>
    <w:rsid w:val="00822378"/>
    <w:rsid w:val="00822C33"/>
    <w:rsid w:val="00823E6F"/>
    <w:rsid w:val="00823F55"/>
    <w:rsid w:val="008250BC"/>
    <w:rsid w:val="00825A2B"/>
    <w:rsid w:val="00825E47"/>
    <w:rsid w:val="008310AC"/>
    <w:rsid w:val="008319A4"/>
    <w:rsid w:val="00831E8A"/>
    <w:rsid w:val="00834E45"/>
    <w:rsid w:val="0084148E"/>
    <w:rsid w:val="00841796"/>
    <w:rsid w:val="00841C76"/>
    <w:rsid w:val="00841F6E"/>
    <w:rsid w:val="0084313C"/>
    <w:rsid w:val="008432B3"/>
    <w:rsid w:val="00843D45"/>
    <w:rsid w:val="00843E68"/>
    <w:rsid w:val="00844360"/>
    <w:rsid w:val="00844416"/>
    <w:rsid w:val="00844AE8"/>
    <w:rsid w:val="00844E60"/>
    <w:rsid w:val="008455DE"/>
    <w:rsid w:val="00845C81"/>
    <w:rsid w:val="00845ED9"/>
    <w:rsid w:val="00847CF9"/>
    <w:rsid w:val="008501BD"/>
    <w:rsid w:val="008522C7"/>
    <w:rsid w:val="0085284C"/>
    <w:rsid w:val="00852BE3"/>
    <w:rsid w:val="00852ED8"/>
    <w:rsid w:val="00853242"/>
    <w:rsid w:val="00855878"/>
    <w:rsid w:val="00856129"/>
    <w:rsid w:val="00856B66"/>
    <w:rsid w:val="00857816"/>
    <w:rsid w:val="00857CB3"/>
    <w:rsid w:val="008609DF"/>
    <w:rsid w:val="00860F84"/>
    <w:rsid w:val="00861494"/>
    <w:rsid w:val="00861FE6"/>
    <w:rsid w:val="00862715"/>
    <w:rsid w:val="008635D0"/>
    <w:rsid w:val="008636C5"/>
    <w:rsid w:val="00863D87"/>
    <w:rsid w:val="00864F0F"/>
    <w:rsid w:val="00865967"/>
    <w:rsid w:val="00867513"/>
    <w:rsid w:val="008679AE"/>
    <w:rsid w:val="008679CD"/>
    <w:rsid w:val="00870265"/>
    <w:rsid w:val="008708AD"/>
    <w:rsid w:val="008709AC"/>
    <w:rsid w:val="008710B9"/>
    <w:rsid w:val="00872C44"/>
    <w:rsid w:val="00873894"/>
    <w:rsid w:val="00873DBA"/>
    <w:rsid w:val="00874230"/>
    <w:rsid w:val="00874EE3"/>
    <w:rsid w:val="00875B7A"/>
    <w:rsid w:val="008762AD"/>
    <w:rsid w:val="0087698E"/>
    <w:rsid w:val="0087706B"/>
    <w:rsid w:val="0087756C"/>
    <w:rsid w:val="00880094"/>
    <w:rsid w:val="00881368"/>
    <w:rsid w:val="008821CD"/>
    <w:rsid w:val="00882BBC"/>
    <w:rsid w:val="008830F9"/>
    <w:rsid w:val="00883245"/>
    <w:rsid w:val="00885DFB"/>
    <w:rsid w:val="00887495"/>
    <w:rsid w:val="00887ACD"/>
    <w:rsid w:val="00887E85"/>
    <w:rsid w:val="0089046F"/>
    <w:rsid w:val="00890FBB"/>
    <w:rsid w:val="00892A7D"/>
    <w:rsid w:val="00894D4E"/>
    <w:rsid w:val="008958B7"/>
    <w:rsid w:val="00896011"/>
    <w:rsid w:val="008972E2"/>
    <w:rsid w:val="00897660"/>
    <w:rsid w:val="00897ACA"/>
    <w:rsid w:val="00897B50"/>
    <w:rsid w:val="008A0ABA"/>
    <w:rsid w:val="008A0FB9"/>
    <w:rsid w:val="008A10E6"/>
    <w:rsid w:val="008A1585"/>
    <w:rsid w:val="008A19BC"/>
    <w:rsid w:val="008A1F9A"/>
    <w:rsid w:val="008A3A8E"/>
    <w:rsid w:val="008A3FB3"/>
    <w:rsid w:val="008A49AE"/>
    <w:rsid w:val="008A52BF"/>
    <w:rsid w:val="008B0D36"/>
    <w:rsid w:val="008B23EE"/>
    <w:rsid w:val="008B4282"/>
    <w:rsid w:val="008B475C"/>
    <w:rsid w:val="008B525A"/>
    <w:rsid w:val="008B5301"/>
    <w:rsid w:val="008B631B"/>
    <w:rsid w:val="008B64E1"/>
    <w:rsid w:val="008B65B8"/>
    <w:rsid w:val="008C0A97"/>
    <w:rsid w:val="008C0FC5"/>
    <w:rsid w:val="008C311A"/>
    <w:rsid w:val="008C31A1"/>
    <w:rsid w:val="008C336A"/>
    <w:rsid w:val="008C7BD5"/>
    <w:rsid w:val="008D0838"/>
    <w:rsid w:val="008D0D6A"/>
    <w:rsid w:val="008D179F"/>
    <w:rsid w:val="008D2225"/>
    <w:rsid w:val="008D2547"/>
    <w:rsid w:val="008D2597"/>
    <w:rsid w:val="008D31D0"/>
    <w:rsid w:val="008D4569"/>
    <w:rsid w:val="008D4926"/>
    <w:rsid w:val="008D514C"/>
    <w:rsid w:val="008D6906"/>
    <w:rsid w:val="008D75A8"/>
    <w:rsid w:val="008D7A27"/>
    <w:rsid w:val="008E12A9"/>
    <w:rsid w:val="008E13CE"/>
    <w:rsid w:val="008E13DC"/>
    <w:rsid w:val="008E16CA"/>
    <w:rsid w:val="008E1F11"/>
    <w:rsid w:val="008E207D"/>
    <w:rsid w:val="008E4019"/>
    <w:rsid w:val="008E421E"/>
    <w:rsid w:val="008E4291"/>
    <w:rsid w:val="008E466D"/>
    <w:rsid w:val="008E4AAF"/>
    <w:rsid w:val="008E5145"/>
    <w:rsid w:val="008E5907"/>
    <w:rsid w:val="008E7C1B"/>
    <w:rsid w:val="008E7C7C"/>
    <w:rsid w:val="008F0386"/>
    <w:rsid w:val="008F10EA"/>
    <w:rsid w:val="008F1758"/>
    <w:rsid w:val="008F1AAA"/>
    <w:rsid w:val="008F1C32"/>
    <w:rsid w:val="008F2095"/>
    <w:rsid w:val="008F2443"/>
    <w:rsid w:val="008F2621"/>
    <w:rsid w:val="008F3022"/>
    <w:rsid w:val="008F3257"/>
    <w:rsid w:val="008F3826"/>
    <w:rsid w:val="008F4457"/>
    <w:rsid w:val="008F522F"/>
    <w:rsid w:val="008F5F4D"/>
    <w:rsid w:val="008F7B02"/>
    <w:rsid w:val="008F7C0B"/>
    <w:rsid w:val="009002A3"/>
    <w:rsid w:val="00900C7E"/>
    <w:rsid w:val="00901CAD"/>
    <w:rsid w:val="009022AC"/>
    <w:rsid w:val="00902462"/>
    <w:rsid w:val="00902C08"/>
    <w:rsid w:val="00903896"/>
    <w:rsid w:val="00903CF3"/>
    <w:rsid w:val="00904847"/>
    <w:rsid w:val="00904B7E"/>
    <w:rsid w:val="00904D32"/>
    <w:rsid w:val="00905342"/>
    <w:rsid w:val="0090569C"/>
    <w:rsid w:val="00906F33"/>
    <w:rsid w:val="00907990"/>
    <w:rsid w:val="00907EA2"/>
    <w:rsid w:val="0091020D"/>
    <w:rsid w:val="009103A6"/>
    <w:rsid w:val="00910700"/>
    <w:rsid w:val="00910C80"/>
    <w:rsid w:val="009114DB"/>
    <w:rsid w:val="00911F66"/>
    <w:rsid w:val="00912AC3"/>
    <w:rsid w:val="00913207"/>
    <w:rsid w:val="009133BD"/>
    <w:rsid w:val="00913B69"/>
    <w:rsid w:val="009149B4"/>
    <w:rsid w:val="00914C72"/>
    <w:rsid w:val="009153E5"/>
    <w:rsid w:val="00916D2F"/>
    <w:rsid w:val="00917C9C"/>
    <w:rsid w:val="00920507"/>
    <w:rsid w:val="0092090F"/>
    <w:rsid w:val="009216F7"/>
    <w:rsid w:val="00921DA0"/>
    <w:rsid w:val="00922B20"/>
    <w:rsid w:val="00923263"/>
    <w:rsid w:val="00923C64"/>
    <w:rsid w:val="00924BF8"/>
    <w:rsid w:val="00925058"/>
    <w:rsid w:val="0092521F"/>
    <w:rsid w:val="00925444"/>
    <w:rsid w:val="009261FF"/>
    <w:rsid w:val="00926358"/>
    <w:rsid w:val="009275B7"/>
    <w:rsid w:val="00930414"/>
    <w:rsid w:val="009308EA"/>
    <w:rsid w:val="00932A56"/>
    <w:rsid w:val="00934001"/>
    <w:rsid w:val="00935D2A"/>
    <w:rsid w:val="009362FA"/>
    <w:rsid w:val="00936540"/>
    <w:rsid w:val="009368B1"/>
    <w:rsid w:val="00936E02"/>
    <w:rsid w:val="00937014"/>
    <w:rsid w:val="00940732"/>
    <w:rsid w:val="00940D95"/>
    <w:rsid w:val="00941706"/>
    <w:rsid w:val="00942EB7"/>
    <w:rsid w:val="0094344E"/>
    <w:rsid w:val="009440DB"/>
    <w:rsid w:val="00944CF2"/>
    <w:rsid w:val="00944E82"/>
    <w:rsid w:val="00945A4E"/>
    <w:rsid w:val="0094602A"/>
    <w:rsid w:val="00946E5E"/>
    <w:rsid w:val="00946E98"/>
    <w:rsid w:val="0094717F"/>
    <w:rsid w:val="009476E7"/>
    <w:rsid w:val="009529FB"/>
    <w:rsid w:val="009544A7"/>
    <w:rsid w:val="009560E4"/>
    <w:rsid w:val="00956CFC"/>
    <w:rsid w:val="00956FFB"/>
    <w:rsid w:val="0095765D"/>
    <w:rsid w:val="00960154"/>
    <w:rsid w:val="009620B3"/>
    <w:rsid w:val="00963C23"/>
    <w:rsid w:val="00964FDA"/>
    <w:rsid w:val="009650C1"/>
    <w:rsid w:val="00965630"/>
    <w:rsid w:val="009660AA"/>
    <w:rsid w:val="00966D7C"/>
    <w:rsid w:val="009670A7"/>
    <w:rsid w:val="00967DA3"/>
    <w:rsid w:val="00970691"/>
    <w:rsid w:val="00971160"/>
    <w:rsid w:val="00971BF3"/>
    <w:rsid w:val="00972217"/>
    <w:rsid w:val="0097298C"/>
    <w:rsid w:val="00972C44"/>
    <w:rsid w:val="009730C4"/>
    <w:rsid w:val="00974634"/>
    <w:rsid w:val="00974BE2"/>
    <w:rsid w:val="00975331"/>
    <w:rsid w:val="0097613C"/>
    <w:rsid w:val="009761AB"/>
    <w:rsid w:val="00976B32"/>
    <w:rsid w:val="009809C9"/>
    <w:rsid w:val="009814F3"/>
    <w:rsid w:val="00982096"/>
    <w:rsid w:val="009828EF"/>
    <w:rsid w:val="00983118"/>
    <w:rsid w:val="00983E3C"/>
    <w:rsid w:val="0098439D"/>
    <w:rsid w:val="00985174"/>
    <w:rsid w:val="00985627"/>
    <w:rsid w:val="00985C7B"/>
    <w:rsid w:val="00986DCC"/>
    <w:rsid w:val="00987723"/>
    <w:rsid w:val="009900B9"/>
    <w:rsid w:val="00990386"/>
    <w:rsid w:val="00990AFB"/>
    <w:rsid w:val="00991E6F"/>
    <w:rsid w:val="00993DE4"/>
    <w:rsid w:val="00993FCD"/>
    <w:rsid w:val="0099451E"/>
    <w:rsid w:val="009954A3"/>
    <w:rsid w:val="00997756"/>
    <w:rsid w:val="00997DE3"/>
    <w:rsid w:val="00997EA1"/>
    <w:rsid w:val="009A0306"/>
    <w:rsid w:val="009A25E4"/>
    <w:rsid w:val="009A26CD"/>
    <w:rsid w:val="009A2C72"/>
    <w:rsid w:val="009A3D29"/>
    <w:rsid w:val="009A4600"/>
    <w:rsid w:val="009A545C"/>
    <w:rsid w:val="009A5B86"/>
    <w:rsid w:val="009A5BD4"/>
    <w:rsid w:val="009A6D06"/>
    <w:rsid w:val="009B0776"/>
    <w:rsid w:val="009B1574"/>
    <w:rsid w:val="009B17C1"/>
    <w:rsid w:val="009B18AB"/>
    <w:rsid w:val="009B1E01"/>
    <w:rsid w:val="009B2FEE"/>
    <w:rsid w:val="009B30FF"/>
    <w:rsid w:val="009B345D"/>
    <w:rsid w:val="009B486E"/>
    <w:rsid w:val="009B488D"/>
    <w:rsid w:val="009B54CD"/>
    <w:rsid w:val="009B56C2"/>
    <w:rsid w:val="009B5A5A"/>
    <w:rsid w:val="009B5E9C"/>
    <w:rsid w:val="009B6237"/>
    <w:rsid w:val="009B6517"/>
    <w:rsid w:val="009B77C3"/>
    <w:rsid w:val="009B796E"/>
    <w:rsid w:val="009B7B5F"/>
    <w:rsid w:val="009B7CBD"/>
    <w:rsid w:val="009C0239"/>
    <w:rsid w:val="009C0268"/>
    <w:rsid w:val="009C0BEF"/>
    <w:rsid w:val="009C171C"/>
    <w:rsid w:val="009C1728"/>
    <w:rsid w:val="009C1E36"/>
    <w:rsid w:val="009C210C"/>
    <w:rsid w:val="009C2898"/>
    <w:rsid w:val="009C3B6E"/>
    <w:rsid w:val="009C3E4A"/>
    <w:rsid w:val="009C554F"/>
    <w:rsid w:val="009C5744"/>
    <w:rsid w:val="009C57AF"/>
    <w:rsid w:val="009C66AA"/>
    <w:rsid w:val="009C6A3A"/>
    <w:rsid w:val="009C7C84"/>
    <w:rsid w:val="009C7E90"/>
    <w:rsid w:val="009D080E"/>
    <w:rsid w:val="009D087A"/>
    <w:rsid w:val="009D1F54"/>
    <w:rsid w:val="009D20AA"/>
    <w:rsid w:val="009D2883"/>
    <w:rsid w:val="009D30EA"/>
    <w:rsid w:val="009D38DC"/>
    <w:rsid w:val="009D3B97"/>
    <w:rsid w:val="009D4D36"/>
    <w:rsid w:val="009D5232"/>
    <w:rsid w:val="009D5583"/>
    <w:rsid w:val="009D5D18"/>
    <w:rsid w:val="009D6D75"/>
    <w:rsid w:val="009D7066"/>
    <w:rsid w:val="009D76C4"/>
    <w:rsid w:val="009D793E"/>
    <w:rsid w:val="009E18A2"/>
    <w:rsid w:val="009E354F"/>
    <w:rsid w:val="009E5986"/>
    <w:rsid w:val="009E711F"/>
    <w:rsid w:val="009E7B0C"/>
    <w:rsid w:val="009F07D0"/>
    <w:rsid w:val="009F0D2B"/>
    <w:rsid w:val="009F0F06"/>
    <w:rsid w:val="009F17AC"/>
    <w:rsid w:val="009F1C22"/>
    <w:rsid w:val="009F28AE"/>
    <w:rsid w:val="009F3BF9"/>
    <w:rsid w:val="009F518E"/>
    <w:rsid w:val="009F525B"/>
    <w:rsid w:val="009F542A"/>
    <w:rsid w:val="009F5A30"/>
    <w:rsid w:val="009F5D6E"/>
    <w:rsid w:val="009F77FD"/>
    <w:rsid w:val="00A01081"/>
    <w:rsid w:val="00A0284F"/>
    <w:rsid w:val="00A0340E"/>
    <w:rsid w:val="00A03CDE"/>
    <w:rsid w:val="00A0515B"/>
    <w:rsid w:val="00A05A23"/>
    <w:rsid w:val="00A06230"/>
    <w:rsid w:val="00A070C3"/>
    <w:rsid w:val="00A0750E"/>
    <w:rsid w:val="00A102B9"/>
    <w:rsid w:val="00A10466"/>
    <w:rsid w:val="00A11D75"/>
    <w:rsid w:val="00A121C9"/>
    <w:rsid w:val="00A12349"/>
    <w:rsid w:val="00A13DFA"/>
    <w:rsid w:val="00A20114"/>
    <w:rsid w:val="00A21490"/>
    <w:rsid w:val="00A22E69"/>
    <w:rsid w:val="00A231A0"/>
    <w:rsid w:val="00A23FD5"/>
    <w:rsid w:val="00A24D20"/>
    <w:rsid w:val="00A257CF"/>
    <w:rsid w:val="00A2607E"/>
    <w:rsid w:val="00A264C0"/>
    <w:rsid w:val="00A26889"/>
    <w:rsid w:val="00A26DC1"/>
    <w:rsid w:val="00A27149"/>
    <w:rsid w:val="00A27BB7"/>
    <w:rsid w:val="00A30C31"/>
    <w:rsid w:val="00A30F52"/>
    <w:rsid w:val="00A310B7"/>
    <w:rsid w:val="00A32047"/>
    <w:rsid w:val="00A32775"/>
    <w:rsid w:val="00A3386F"/>
    <w:rsid w:val="00A34967"/>
    <w:rsid w:val="00A35CAB"/>
    <w:rsid w:val="00A36E31"/>
    <w:rsid w:val="00A36FBE"/>
    <w:rsid w:val="00A37295"/>
    <w:rsid w:val="00A37BBC"/>
    <w:rsid w:val="00A40BB9"/>
    <w:rsid w:val="00A41B36"/>
    <w:rsid w:val="00A429E9"/>
    <w:rsid w:val="00A42B63"/>
    <w:rsid w:val="00A43C62"/>
    <w:rsid w:val="00A44DF2"/>
    <w:rsid w:val="00A453E9"/>
    <w:rsid w:val="00A45685"/>
    <w:rsid w:val="00A461C5"/>
    <w:rsid w:val="00A467B7"/>
    <w:rsid w:val="00A46F00"/>
    <w:rsid w:val="00A47941"/>
    <w:rsid w:val="00A52F60"/>
    <w:rsid w:val="00A5598E"/>
    <w:rsid w:val="00A55C6F"/>
    <w:rsid w:val="00A564C3"/>
    <w:rsid w:val="00A56C56"/>
    <w:rsid w:val="00A5795B"/>
    <w:rsid w:val="00A606CA"/>
    <w:rsid w:val="00A607EB"/>
    <w:rsid w:val="00A60ACC"/>
    <w:rsid w:val="00A6126C"/>
    <w:rsid w:val="00A61AE3"/>
    <w:rsid w:val="00A61E08"/>
    <w:rsid w:val="00A61E26"/>
    <w:rsid w:val="00A63907"/>
    <w:rsid w:val="00A64F16"/>
    <w:rsid w:val="00A65743"/>
    <w:rsid w:val="00A66E3A"/>
    <w:rsid w:val="00A67AF8"/>
    <w:rsid w:val="00A67B4B"/>
    <w:rsid w:val="00A7030C"/>
    <w:rsid w:val="00A706FF"/>
    <w:rsid w:val="00A70789"/>
    <w:rsid w:val="00A71649"/>
    <w:rsid w:val="00A72ADC"/>
    <w:rsid w:val="00A7368D"/>
    <w:rsid w:val="00A73D90"/>
    <w:rsid w:val="00A7459B"/>
    <w:rsid w:val="00A7471E"/>
    <w:rsid w:val="00A76E20"/>
    <w:rsid w:val="00A7702B"/>
    <w:rsid w:val="00A770EC"/>
    <w:rsid w:val="00A77FDE"/>
    <w:rsid w:val="00A80137"/>
    <w:rsid w:val="00A81696"/>
    <w:rsid w:val="00A8281C"/>
    <w:rsid w:val="00A834FE"/>
    <w:rsid w:val="00A83FB3"/>
    <w:rsid w:val="00A841B3"/>
    <w:rsid w:val="00A84212"/>
    <w:rsid w:val="00A84B5B"/>
    <w:rsid w:val="00A853B4"/>
    <w:rsid w:val="00A85D16"/>
    <w:rsid w:val="00A86F9C"/>
    <w:rsid w:val="00A8734D"/>
    <w:rsid w:val="00A87B6B"/>
    <w:rsid w:val="00A87EED"/>
    <w:rsid w:val="00A907CE"/>
    <w:rsid w:val="00A908E5"/>
    <w:rsid w:val="00A90938"/>
    <w:rsid w:val="00A929F5"/>
    <w:rsid w:val="00A92A06"/>
    <w:rsid w:val="00A92C2A"/>
    <w:rsid w:val="00A93154"/>
    <w:rsid w:val="00A93948"/>
    <w:rsid w:val="00A945FD"/>
    <w:rsid w:val="00A94A73"/>
    <w:rsid w:val="00A95072"/>
    <w:rsid w:val="00A95568"/>
    <w:rsid w:val="00A969F3"/>
    <w:rsid w:val="00AA06D8"/>
    <w:rsid w:val="00AA0EC6"/>
    <w:rsid w:val="00AA1000"/>
    <w:rsid w:val="00AA1291"/>
    <w:rsid w:val="00AA1703"/>
    <w:rsid w:val="00AA1789"/>
    <w:rsid w:val="00AA1807"/>
    <w:rsid w:val="00AA1904"/>
    <w:rsid w:val="00AA21A2"/>
    <w:rsid w:val="00AA2536"/>
    <w:rsid w:val="00AA346A"/>
    <w:rsid w:val="00AA4251"/>
    <w:rsid w:val="00AA530D"/>
    <w:rsid w:val="00AA5DAB"/>
    <w:rsid w:val="00AA6D9D"/>
    <w:rsid w:val="00AA6F7E"/>
    <w:rsid w:val="00AA727E"/>
    <w:rsid w:val="00AA7486"/>
    <w:rsid w:val="00AB01AE"/>
    <w:rsid w:val="00AB0640"/>
    <w:rsid w:val="00AB1355"/>
    <w:rsid w:val="00AB1B8C"/>
    <w:rsid w:val="00AB1E06"/>
    <w:rsid w:val="00AB3527"/>
    <w:rsid w:val="00AB4293"/>
    <w:rsid w:val="00AB4307"/>
    <w:rsid w:val="00AB4939"/>
    <w:rsid w:val="00AB4CE4"/>
    <w:rsid w:val="00AB4DD2"/>
    <w:rsid w:val="00AB4E68"/>
    <w:rsid w:val="00AB509D"/>
    <w:rsid w:val="00AB5789"/>
    <w:rsid w:val="00AB61E4"/>
    <w:rsid w:val="00AB7BAD"/>
    <w:rsid w:val="00AC0771"/>
    <w:rsid w:val="00AC097C"/>
    <w:rsid w:val="00AC217D"/>
    <w:rsid w:val="00AC2CCD"/>
    <w:rsid w:val="00AC3084"/>
    <w:rsid w:val="00AC3702"/>
    <w:rsid w:val="00AC3A80"/>
    <w:rsid w:val="00AC52C7"/>
    <w:rsid w:val="00AC5CA9"/>
    <w:rsid w:val="00AC6593"/>
    <w:rsid w:val="00AC6951"/>
    <w:rsid w:val="00AC762A"/>
    <w:rsid w:val="00AD009A"/>
    <w:rsid w:val="00AD0F83"/>
    <w:rsid w:val="00AD2975"/>
    <w:rsid w:val="00AD2F7D"/>
    <w:rsid w:val="00AD3B19"/>
    <w:rsid w:val="00AD3DA9"/>
    <w:rsid w:val="00AD3E07"/>
    <w:rsid w:val="00AD42C3"/>
    <w:rsid w:val="00AD4DDE"/>
    <w:rsid w:val="00AD6046"/>
    <w:rsid w:val="00AD6594"/>
    <w:rsid w:val="00AD6932"/>
    <w:rsid w:val="00AE07E7"/>
    <w:rsid w:val="00AE0CD6"/>
    <w:rsid w:val="00AE0CE0"/>
    <w:rsid w:val="00AE122F"/>
    <w:rsid w:val="00AE1A59"/>
    <w:rsid w:val="00AE2D24"/>
    <w:rsid w:val="00AE34D0"/>
    <w:rsid w:val="00AE4BB5"/>
    <w:rsid w:val="00AE73BD"/>
    <w:rsid w:val="00AF1343"/>
    <w:rsid w:val="00AF158B"/>
    <w:rsid w:val="00AF213B"/>
    <w:rsid w:val="00AF2779"/>
    <w:rsid w:val="00AF36EC"/>
    <w:rsid w:val="00AF4DE9"/>
    <w:rsid w:val="00AF7239"/>
    <w:rsid w:val="00AF7BBD"/>
    <w:rsid w:val="00B00D55"/>
    <w:rsid w:val="00B019C9"/>
    <w:rsid w:val="00B01FE7"/>
    <w:rsid w:val="00B02068"/>
    <w:rsid w:val="00B02077"/>
    <w:rsid w:val="00B02848"/>
    <w:rsid w:val="00B04C78"/>
    <w:rsid w:val="00B063DA"/>
    <w:rsid w:val="00B071B8"/>
    <w:rsid w:val="00B073A1"/>
    <w:rsid w:val="00B10215"/>
    <w:rsid w:val="00B10D34"/>
    <w:rsid w:val="00B118B0"/>
    <w:rsid w:val="00B12443"/>
    <w:rsid w:val="00B13C09"/>
    <w:rsid w:val="00B142F1"/>
    <w:rsid w:val="00B1462D"/>
    <w:rsid w:val="00B1510A"/>
    <w:rsid w:val="00B15394"/>
    <w:rsid w:val="00B15797"/>
    <w:rsid w:val="00B1611E"/>
    <w:rsid w:val="00B16C50"/>
    <w:rsid w:val="00B175F8"/>
    <w:rsid w:val="00B20C0E"/>
    <w:rsid w:val="00B21276"/>
    <w:rsid w:val="00B22723"/>
    <w:rsid w:val="00B22E8C"/>
    <w:rsid w:val="00B23658"/>
    <w:rsid w:val="00B23D0F"/>
    <w:rsid w:val="00B250FB"/>
    <w:rsid w:val="00B25842"/>
    <w:rsid w:val="00B302F9"/>
    <w:rsid w:val="00B305E3"/>
    <w:rsid w:val="00B30959"/>
    <w:rsid w:val="00B31D81"/>
    <w:rsid w:val="00B32E37"/>
    <w:rsid w:val="00B3315E"/>
    <w:rsid w:val="00B33624"/>
    <w:rsid w:val="00B3429B"/>
    <w:rsid w:val="00B346B6"/>
    <w:rsid w:val="00B35A89"/>
    <w:rsid w:val="00B36550"/>
    <w:rsid w:val="00B37071"/>
    <w:rsid w:val="00B37880"/>
    <w:rsid w:val="00B37937"/>
    <w:rsid w:val="00B42048"/>
    <w:rsid w:val="00B4305D"/>
    <w:rsid w:val="00B430D8"/>
    <w:rsid w:val="00B43511"/>
    <w:rsid w:val="00B440FE"/>
    <w:rsid w:val="00B44419"/>
    <w:rsid w:val="00B4500A"/>
    <w:rsid w:val="00B455E6"/>
    <w:rsid w:val="00B47561"/>
    <w:rsid w:val="00B47E76"/>
    <w:rsid w:val="00B506FB"/>
    <w:rsid w:val="00B50A05"/>
    <w:rsid w:val="00B50F43"/>
    <w:rsid w:val="00B510D7"/>
    <w:rsid w:val="00B517A4"/>
    <w:rsid w:val="00B52B42"/>
    <w:rsid w:val="00B52F69"/>
    <w:rsid w:val="00B53E63"/>
    <w:rsid w:val="00B56C7E"/>
    <w:rsid w:val="00B60240"/>
    <w:rsid w:val="00B604C5"/>
    <w:rsid w:val="00B6102E"/>
    <w:rsid w:val="00B63036"/>
    <w:rsid w:val="00B63D70"/>
    <w:rsid w:val="00B64FF4"/>
    <w:rsid w:val="00B6524D"/>
    <w:rsid w:val="00B65598"/>
    <w:rsid w:val="00B6699E"/>
    <w:rsid w:val="00B7047B"/>
    <w:rsid w:val="00B709A2"/>
    <w:rsid w:val="00B70A8B"/>
    <w:rsid w:val="00B70C48"/>
    <w:rsid w:val="00B73014"/>
    <w:rsid w:val="00B73725"/>
    <w:rsid w:val="00B74867"/>
    <w:rsid w:val="00B75259"/>
    <w:rsid w:val="00B7592F"/>
    <w:rsid w:val="00B75E36"/>
    <w:rsid w:val="00B75EA3"/>
    <w:rsid w:val="00B76C9B"/>
    <w:rsid w:val="00B7745E"/>
    <w:rsid w:val="00B80335"/>
    <w:rsid w:val="00B8096C"/>
    <w:rsid w:val="00B81283"/>
    <w:rsid w:val="00B81E04"/>
    <w:rsid w:val="00B82787"/>
    <w:rsid w:val="00B82D75"/>
    <w:rsid w:val="00B82D98"/>
    <w:rsid w:val="00B82E91"/>
    <w:rsid w:val="00B8426A"/>
    <w:rsid w:val="00B84642"/>
    <w:rsid w:val="00B85976"/>
    <w:rsid w:val="00B85AEE"/>
    <w:rsid w:val="00B8611B"/>
    <w:rsid w:val="00B87CD5"/>
    <w:rsid w:val="00B87F3D"/>
    <w:rsid w:val="00B90857"/>
    <w:rsid w:val="00B90E7A"/>
    <w:rsid w:val="00B91B4E"/>
    <w:rsid w:val="00B92E47"/>
    <w:rsid w:val="00B93A29"/>
    <w:rsid w:val="00B93C2B"/>
    <w:rsid w:val="00B956FD"/>
    <w:rsid w:val="00B95F17"/>
    <w:rsid w:val="00BA157E"/>
    <w:rsid w:val="00BA1EDD"/>
    <w:rsid w:val="00BA1F7F"/>
    <w:rsid w:val="00BA21CD"/>
    <w:rsid w:val="00BA3705"/>
    <w:rsid w:val="00BA41C7"/>
    <w:rsid w:val="00BA498C"/>
    <w:rsid w:val="00BA4BB8"/>
    <w:rsid w:val="00BA4C68"/>
    <w:rsid w:val="00BA4FD0"/>
    <w:rsid w:val="00BA54B3"/>
    <w:rsid w:val="00BA56C1"/>
    <w:rsid w:val="00BA618B"/>
    <w:rsid w:val="00BA6524"/>
    <w:rsid w:val="00BA6892"/>
    <w:rsid w:val="00BA7183"/>
    <w:rsid w:val="00BA777E"/>
    <w:rsid w:val="00BA785F"/>
    <w:rsid w:val="00BA7A6D"/>
    <w:rsid w:val="00BB0211"/>
    <w:rsid w:val="00BB03D1"/>
    <w:rsid w:val="00BB14C3"/>
    <w:rsid w:val="00BB195F"/>
    <w:rsid w:val="00BB39DE"/>
    <w:rsid w:val="00BB40E7"/>
    <w:rsid w:val="00BB6F7C"/>
    <w:rsid w:val="00BB7878"/>
    <w:rsid w:val="00BB7928"/>
    <w:rsid w:val="00BC13B3"/>
    <w:rsid w:val="00BC287B"/>
    <w:rsid w:val="00BC2C6F"/>
    <w:rsid w:val="00BC3176"/>
    <w:rsid w:val="00BC3C20"/>
    <w:rsid w:val="00BC4AD4"/>
    <w:rsid w:val="00BC4EBA"/>
    <w:rsid w:val="00BC546D"/>
    <w:rsid w:val="00BC643F"/>
    <w:rsid w:val="00BC6AB9"/>
    <w:rsid w:val="00BC6FF6"/>
    <w:rsid w:val="00BC75ED"/>
    <w:rsid w:val="00BD0A27"/>
    <w:rsid w:val="00BD118B"/>
    <w:rsid w:val="00BD2127"/>
    <w:rsid w:val="00BD2A2A"/>
    <w:rsid w:val="00BD2B04"/>
    <w:rsid w:val="00BD40CB"/>
    <w:rsid w:val="00BD49D2"/>
    <w:rsid w:val="00BD5AB4"/>
    <w:rsid w:val="00BD7604"/>
    <w:rsid w:val="00BD7828"/>
    <w:rsid w:val="00BD7F12"/>
    <w:rsid w:val="00BE1876"/>
    <w:rsid w:val="00BE1D3B"/>
    <w:rsid w:val="00BE2789"/>
    <w:rsid w:val="00BE354B"/>
    <w:rsid w:val="00BE385A"/>
    <w:rsid w:val="00BE3E66"/>
    <w:rsid w:val="00BE4159"/>
    <w:rsid w:val="00BE4C52"/>
    <w:rsid w:val="00BE5ED5"/>
    <w:rsid w:val="00BE6192"/>
    <w:rsid w:val="00BE6DE3"/>
    <w:rsid w:val="00BE6F7D"/>
    <w:rsid w:val="00BE76C4"/>
    <w:rsid w:val="00BE795B"/>
    <w:rsid w:val="00BE7C09"/>
    <w:rsid w:val="00BF03D4"/>
    <w:rsid w:val="00BF1BCD"/>
    <w:rsid w:val="00BF2514"/>
    <w:rsid w:val="00BF3012"/>
    <w:rsid w:val="00BF3830"/>
    <w:rsid w:val="00BF39CD"/>
    <w:rsid w:val="00BF5796"/>
    <w:rsid w:val="00BF674F"/>
    <w:rsid w:val="00BF7FDC"/>
    <w:rsid w:val="00C0011C"/>
    <w:rsid w:val="00C006CA"/>
    <w:rsid w:val="00C01084"/>
    <w:rsid w:val="00C02482"/>
    <w:rsid w:val="00C024E4"/>
    <w:rsid w:val="00C02A66"/>
    <w:rsid w:val="00C033DA"/>
    <w:rsid w:val="00C03EF8"/>
    <w:rsid w:val="00C03F10"/>
    <w:rsid w:val="00C04827"/>
    <w:rsid w:val="00C04D2C"/>
    <w:rsid w:val="00C04E60"/>
    <w:rsid w:val="00C059C9"/>
    <w:rsid w:val="00C06192"/>
    <w:rsid w:val="00C06F1F"/>
    <w:rsid w:val="00C06F3C"/>
    <w:rsid w:val="00C10CB0"/>
    <w:rsid w:val="00C110EC"/>
    <w:rsid w:val="00C11398"/>
    <w:rsid w:val="00C11B88"/>
    <w:rsid w:val="00C1216B"/>
    <w:rsid w:val="00C1252D"/>
    <w:rsid w:val="00C12687"/>
    <w:rsid w:val="00C12A14"/>
    <w:rsid w:val="00C13C15"/>
    <w:rsid w:val="00C1484B"/>
    <w:rsid w:val="00C14B23"/>
    <w:rsid w:val="00C14DEC"/>
    <w:rsid w:val="00C1525A"/>
    <w:rsid w:val="00C15704"/>
    <w:rsid w:val="00C164C5"/>
    <w:rsid w:val="00C17B81"/>
    <w:rsid w:val="00C21381"/>
    <w:rsid w:val="00C2161C"/>
    <w:rsid w:val="00C2181D"/>
    <w:rsid w:val="00C21EAD"/>
    <w:rsid w:val="00C2227D"/>
    <w:rsid w:val="00C22B8C"/>
    <w:rsid w:val="00C22BBA"/>
    <w:rsid w:val="00C2581B"/>
    <w:rsid w:val="00C26170"/>
    <w:rsid w:val="00C270D8"/>
    <w:rsid w:val="00C2756C"/>
    <w:rsid w:val="00C326DF"/>
    <w:rsid w:val="00C33917"/>
    <w:rsid w:val="00C33AE1"/>
    <w:rsid w:val="00C352B1"/>
    <w:rsid w:val="00C3533C"/>
    <w:rsid w:val="00C3598C"/>
    <w:rsid w:val="00C35A84"/>
    <w:rsid w:val="00C35FCB"/>
    <w:rsid w:val="00C36088"/>
    <w:rsid w:val="00C36737"/>
    <w:rsid w:val="00C37995"/>
    <w:rsid w:val="00C40499"/>
    <w:rsid w:val="00C40AE0"/>
    <w:rsid w:val="00C41C7C"/>
    <w:rsid w:val="00C41E73"/>
    <w:rsid w:val="00C438C4"/>
    <w:rsid w:val="00C43969"/>
    <w:rsid w:val="00C445F3"/>
    <w:rsid w:val="00C45327"/>
    <w:rsid w:val="00C45BCF"/>
    <w:rsid w:val="00C45D5C"/>
    <w:rsid w:val="00C46DA2"/>
    <w:rsid w:val="00C471AA"/>
    <w:rsid w:val="00C471CE"/>
    <w:rsid w:val="00C501AE"/>
    <w:rsid w:val="00C5042B"/>
    <w:rsid w:val="00C5072E"/>
    <w:rsid w:val="00C50B93"/>
    <w:rsid w:val="00C50EF8"/>
    <w:rsid w:val="00C5113C"/>
    <w:rsid w:val="00C5164D"/>
    <w:rsid w:val="00C52588"/>
    <w:rsid w:val="00C52645"/>
    <w:rsid w:val="00C52AF3"/>
    <w:rsid w:val="00C53251"/>
    <w:rsid w:val="00C540B0"/>
    <w:rsid w:val="00C579CC"/>
    <w:rsid w:val="00C60295"/>
    <w:rsid w:val="00C6088F"/>
    <w:rsid w:val="00C61936"/>
    <w:rsid w:val="00C61BC7"/>
    <w:rsid w:val="00C61F6E"/>
    <w:rsid w:val="00C62DE3"/>
    <w:rsid w:val="00C63556"/>
    <w:rsid w:val="00C6389D"/>
    <w:rsid w:val="00C63D35"/>
    <w:rsid w:val="00C6458C"/>
    <w:rsid w:val="00C654BB"/>
    <w:rsid w:val="00C655C8"/>
    <w:rsid w:val="00C65AC8"/>
    <w:rsid w:val="00C66517"/>
    <w:rsid w:val="00C6679A"/>
    <w:rsid w:val="00C66CEA"/>
    <w:rsid w:val="00C66EF7"/>
    <w:rsid w:val="00C67251"/>
    <w:rsid w:val="00C67266"/>
    <w:rsid w:val="00C700E4"/>
    <w:rsid w:val="00C71E38"/>
    <w:rsid w:val="00C71E83"/>
    <w:rsid w:val="00C74F1D"/>
    <w:rsid w:val="00C758D5"/>
    <w:rsid w:val="00C763A3"/>
    <w:rsid w:val="00C7650C"/>
    <w:rsid w:val="00C80F19"/>
    <w:rsid w:val="00C80F2A"/>
    <w:rsid w:val="00C81C37"/>
    <w:rsid w:val="00C823A5"/>
    <w:rsid w:val="00C8250E"/>
    <w:rsid w:val="00C84342"/>
    <w:rsid w:val="00C84711"/>
    <w:rsid w:val="00C85FCD"/>
    <w:rsid w:val="00C8762E"/>
    <w:rsid w:val="00C90200"/>
    <w:rsid w:val="00C9095D"/>
    <w:rsid w:val="00C912CA"/>
    <w:rsid w:val="00C91F24"/>
    <w:rsid w:val="00C921C8"/>
    <w:rsid w:val="00C945C3"/>
    <w:rsid w:val="00C9464B"/>
    <w:rsid w:val="00C948D8"/>
    <w:rsid w:val="00C95DFA"/>
    <w:rsid w:val="00C967D9"/>
    <w:rsid w:val="00C973BC"/>
    <w:rsid w:val="00C97ABA"/>
    <w:rsid w:val="00C97E41"/>
    <w:rsid w:val="00C97FEA"/>
    <w:rsid w:val="00CA01B5"/>
    <w:rsid w:val="00CA02E6"/>
    <w:rsid w:val="00CA0AB0"/>
    <w:rsid w:val="00CA0E5A"/>
    <w:rsid w:val="00CA209B"/>
    <w:rsid w:val="00CA345E"/>
    <w:rsid w:val="00CA465D"/>
    <w:rsid w:val="00CA6E98"/>
    <w:rsid w:val="00CA753C"/>
    <w:rsid w:val="00CB06B3"/>
    <w:rsid w:val="00CB0850"/>
    <w:rsid w:val="00CB12A0"/>
    <w:rsid w:val="00CB1904"/>
    <w:rsid w:val="00CB1911"/>
    <w:rsid w:val="00CB191A"/>
    <w:rsid w:val="00CB2349"/>
    <w:rsid w:val="00CB245F"/>
    <w:rsid w:val="00CB277B"/>
    <w:rsid w:val="00CB354F"/>
    <w:rsid w:val="00CB75BF"/>
    <w:rsid w:val="00CC0130"/>
    <w:rsid w:val="00CC0841"/>
    <w:rsid w:val="00CC0ABC"/>
    <w:rsid w:val="00CC1084"/>
    <w:rsid w:val="00CC1944"/>
    <w:rsid w:val="00CC3195"/>
    <w:rsid w:val="00CC44D5"/>
    <w:rsid w:val="00CC516E"/>
    <w:rsid w:val="00CC5609"/>
    <w:rsid w:val="00CC6C89"/>
    <w:rsid w:val="00CD224B"/>
    <w:rsid w:val="00CD2445"/>
    <w:rsid w:val="00CD2AF7"/>
    <w:rsid w:val="00CD3078"/>
    <w:rsid w:val="00CD3313"/>
    <w:rsid w:val="00CD376C"/>
    <w:rsid w:val="00CD4E5E"/>
    <w:rsid w:val="00CE003C"/>
    <w:rsid w:val="00CE094B"/>
    <w:rsid w:val="00CE261B"/>
    <w:rsid w:val="00CE2EF1"/>
    <w:rsid w:val="00CE2FAA"/>
    <w:rsid w:val="00CE3665"/>
    <w:rsid w:val="00CE392E"/>
    <w:rsid w:val="00CE4F51"/>
    <w:rsid w:val="00CE518D"/>
    <w:rsid w:val="00CE583D"/>
    <w:rsid w:val="00CE58B0"/>
    <w:rsid w:val="00CE58F3"/>
    <w:rsid w:val="00CE7FBD"/>
    <w:rsid w:val="00CF0F68"/>
    <w:rsid w:val="00CF1434"/>
    <w:rsid w:val="00CF3114"/>
    <w:rsid w:val="00CF3C03"/>
    <w:rsid w:val="00CF4971"/>
    <w:rsid w:val="00CF4FF7"/>
    <w:rsid w:val="00CF595C"/>
    <w:rsid w:val="00CF6330"/>
    <w:rsid w:val="00CF7B24"/>
    <w:rsid w:val="00D0080F"/>
    <w:rsid w:val="00D010A8"/>
    <w:rsid w:val="00D01614"/>
    <w:rsid w:val="00D01900"/>
    <w:rsid w:val="00D03440"/>
    <w:rsid w:val="00D03D06"/>
    <w:rsid w:val="00D04690"/>
    <w:rsid w:val="00D04B7C"/>
    <w:rsid w:val="00D04C1E"/>
    <w:rsid w:val="00D06F06"/>
    <w:rsid w:val="00D070B1"/>
    <w:rsid w:val="00D07159"/>
    <w:rsid w:val="00D10774"/>
    <w:rsid w:val="00D12230"/>
    <w:rsid w:val="00D12341"/>
    <w:rsid w:val="00D13F52"/>
    <w:rsid w:val="00D158DE"/>
    <w:rsid w:val="00D15B2D"/>
    <w:rsid w:val="00D16037"/>
    <w:rsid w:val="00D161B8"/>
    <w:rsid w:val="00D161C7"/>
    <w:rsid w:val="00D17E49"/>
    <w:rsid w:val="00D20437"/>
    <w:rsid w:val="00D20816"/>
    <w:rsid w:val="00D21BA5"/>
    <w:rsid w:val="00D21DE3"/>
    <w:rsid w:val="00D2256D"/>
    <w:rsid w:val="00D23879"/>
    <w:rsid w:val="00D23F3F"/>
    <w:rsid w:val="00D25117"/>
    <w:rsid w:val="00D25822"/>
    <w:rsid w:val="00D260B4"/>
    <w:rsid w:val="00D26F56"/>
    <w:rsid w:val="00D276BA"/>
    <w:rsid w:val="00D30636"/>
    <w:rsid w:val="00D31E2D"/>
    <w:rsid w:val="00D3265E"/>
    <w:rsid w:val="00D328F1"/>
    <w:rsid w:val="00D329C5"/>
    <w:rsid w:val="00D33124"/>
    <w:rsid w:val="00D3367A"/>
    <w:rsid w:val="00D347EE"/>
    <w:rsid w:val="00D3562F"/>
    <w:rsid w:val="00D35BEA"/>
    <w:rsid w:val="00D36842"/>
    <w:rsid w:val="00D373A9"/>
    <w:rsid w:val="00D402A6"/>
    <w:rsid w:val="00D4044A"/>
    <w:rsid w:val="00D40523"/>
    <w:rsid w:val="00D415A3"/>
    <w:rsid w:val="00D41808"/>
    <w:rsid w:val="00D41CDC"/>
    <w:rsid w:val="00D4292B"/>
    <w:rsid w:val="00D429D6"/>
    <w:rsid w:val="00D43154"/>
    <w:rsid w:val="00D43CB5"/>
    <w:rsid w:val="00D443A8"/>
    <w:rsid w:val="00D4542C"/>
    <w:rsid w:val="00D4546A"/>
    <w:rsid w:val="00D463F1"/>
    <w:rsid w:val="00D46949"/>
    <w:rsid w:val="00D4760B"/>
    <w:rsid w:val="00D47A8E"/>
    <w:rsid w:val="00D47EFC"/>
    <w:rsid w:val="00D47F00"/>
    <w:rsid w:val="00D50074"/>
    <w:rsid w:val="00D50204"/>
    <w:rsid w:val="00D5311E"/>
    <w:rsid w:val="00D532D1"/>
    <w:rsid w:val="00D54061"/>
    <w:rsid w:val="00D542EA"/>
    <w:rsid w:val="00D54329"/>
    <w:rsid w:val="00D55152"/>
    <w:rsid w:val="00D55E21"/>
    <w:rsid w:val="00D5621D"/>
    <w:rsid w:val="00D56A25"/>
    <w:rsid w:val="00D56BF5"/>
    <w:rsid w:val="00D577DE"/>
    <w:rsid w:val="00D57A00"/>
    <w:rsid w:val="00D57BAF"/>
    <w:rsid w:val="00D57E8D"/>
    <w:rsid w:val="00D60242"/>
    <w:rsid w:val="00D61971"/>
    <w:rsid w:val="00D62A9F"/>
    <w:rsid w:val="00D62B59"/>
    <w:rsid w:val="00D62F9B"/>
    <w:rsid w:val="00D63EA0"/>
    <w:rsid w:val="00D64098"/>
    <w:rsid w:val="00D64BD9"/>
    <w:rsid w:val="00D64CDB"/>
    <w:rsid w:val="00D65259"/>
    <w:rsid w:val="00D652B8"/>
    <w:rsid w:val="00D6535E"/>
    <w:rsid w:val="00D659D5"/>
    <w:rsid w:val="00D65ED6"/>
    <w:rsid w:val="00D66625"/>
    <w:rsid w:val="00D6677E"/>
    <w:rsid w:val="00D67302"/>
    <w:rsid w:val="00D708F6"/>
    <w:rsid w:val="00D70BED"/>
    <w:rsid w:val="00D7213B"/>
    <w:rsid w:val="00D730C7"/>
    <w:rsid w:val="00D738B8"/>
    <w:rsid w:val="00D73ABB"/>
    <w:rsid w:val="00D746A6"/>
    <w:rsid w:val="00D74A55"/>
    <w:rsid w:val="00D74F47"/>
    <w:rsid w:val="00D75228"/>
    <w:rsid w:val="00D76674"/>
    <w:rsid w:val="00D76F54"/>
    <w:rsid w:val="00D77AC8"/>
    <w:rsid w:val="00D77F6F"/>
    <w:rsid w:val="00D81036"/>
    <w:rsid w:val="00D82DD3"/>
    <w:rsid w:val="00D82F92"/>
    <w:rsid w:val="00D86398"/>
    <w:rsid w:val="00D86638"/>
    <w:rsid w:val="00D87213"/>
    <w:rsid w:val="00D8733D"/>
    <w:rsid w:val="00D876FE"/>
    <w:rsid w:val="00D87CA6"/>
    <w:rsid w:val="00D87DF7"/>
    <w:rsid w:val="00D90373"/>
    <w:rsid w:val="00D90D17"/>
    <w:rsid w:val="00D92343"/>
    <w:rsid w:val="00D93BAB"/>
    <w:rsid w:val="00D93E3A"/>
    <w:rsid w:val="00D941E4"/>
    <w:rsid w:val="00D957CA"/>
    <w:rsid w:val="00D958E8"/>
    <w:rsid w:val="00D95AD5"/>
    <w:rsid w:val="00D969F9"/>
    <w:rsid w:val="00D96AE3"/>
    <w:rsid w:val="00D97FB3"/>
    <w:rsid w:val="00DA019A"/>
    <w:rsid w:val="00DA0E19"/>
    <w:rsid w:val="00DA13E4"/>
    <w:rsid w:val="00DA1F88"/>
    <w:rsid w:val="00DA4701"/>
    <w:rsid w:val="00DA4A1A"/>
    <w:rsid w:val="00DA5239"/>
    <w:rsid w:val="00DA5B1D"/>
    <w:rsid w:val="00DA5FEF"/>
    <w:rsid w:val="00DA67CF"/>
    <w:rsid w:val="00DA7087"/>
    <w:rsid w:val="00DA751C"/>
    <w:rsid w:val="00DA7671"/>
    <w:rsid w:val="00DA785B"/>
    <w:rsid w:val="00DB0067"/>
    <w:rsid w:val="00DB05B6"/>
    <w:rsid w:val="00DB0613"/>
    <w:rsid w:val="00DB079E"/>
    <w:rsid w:val="00DB0987"/>
    <w:rsid w:val="00DB121E"/>
    <w:rsid w:val="00DB23ED"/>
    <w:rsid w:val="00DB2DC1"/>
    <w:rsid w:val="00DB3716"/>
    <w:rsid w:val="00DB3D98"/>
    <w:rsid w:val="00DB449B"/>
    <w:rsid w:val="00DB4570"/>
    <w:rsid w:val="00DB4EEE"/>
    <w:rsid w:val="00DB55A1"/>
    <w:rsid w:val="00DB5F47"/>
    <w:rsid w:val="00DB6703"/>
    <w:rsid w:val="00DB6AD5"/>
    <w:rsid w:val="00DB7084"/>
    <w:rsid w:val="00DC14C5"/>
    <w:rsid w:val="00DC1F4B"/>
    <w:rsid w:val="00DC23CA"/>
    <w:rsid w:val="00DC2911"/>
    <w:rsid w:val="00DC48B6"/>
    <w:rsid w:val="00DC51B4"/>
    <w:rsid w:val="00DC5228"/>
    <w:rsid w:val="00DC541E"/>
    <w:rsid w:val="00DC5781"/>
    <w:rsid w:val="00DC6133"/>
    <w:rsid w:val="00DC6D0E"/>
    <w:rsid w:val="00DC6ECE"/>
    <w:rsid w:val="00DC6EE1"/>
    <w:rsid w:val="00DC7ACF"/>
    <w:rsid w:val="00DC7D93"/>
    <w:rsid w:val="00DD108C"/>
    <w:rsid w:val="00DD16E3"/>
    <w:rsid w:val="00DD1BD9"/>
    <w:rsid w:val="00DD4277"/>
    <w:rsid w:val="00DD450C"/>
    <w:rsid w:val="00DD47D7"/>
    <w:rsid w:val="00DD53A7"/>
    <w:rsid w:val="00DD64FD"/>
    <w:rsid w:val="00DD722A"/>
    <w:rsid w:val="00DD76A0"/>
    <w:rsid w:val="00DE1AEF"/>
    <w:rsid w:val="00DE1CF1"/>
    <w:rsid w:val="00DE1FA0"/>
    <w:rsid w:val="00DE232E"/>
    <w:rsid w:val="00DE4106"/>
    <w:rsid w:val="00DE4259"/>
    <w:rsid w:val="00DE42D8"/>
    <w:rsid w:val="00DE4731"/>
    <w:rsid w:val="00DE5A42"/>
    <w:rsid w:val="00DE5F07"/>
    <w:rsid w:val="00DE6E0D"/>
    <w:rsid w:val="00DE717E"/>
    <w:rsid w:val="00DE7813"/>
    <w:rsid w:val="00DF01D3"/>
    <w:rsid w:val="00DF0310"/>
    <w:rsid w:val="00DF066B"/>
    <w:rsid w:val="00DF11EF"/>
    <w:rsid w:val="00DF1F8C"/>
    <w:rsid w:val="00DF3223"/>
    <w:rsid w:val="00DF4DF7"/>
    <w:rsid w:val="00DF53B0"/>
    <w:rsid w:val="00DF6136"/>
    <w:rsid w:val="00DF77E6"/>
    <w:rsid w:val="00DF789F"/>
    <w:rsid w:val="00DF7AD7"/>
    <w:rsid w:val="00DF7CC5"/>
    <w:rsid w:val="00E003A0"/>
    <w:rsid w:val="00E004F1"/>
    <w:rsid w:val="00E00F99"/>
    <w:rsid w:val="00E01CE8"/>
    <w:rsid w:val="00E02B64"/>
    <w:rsid w:val="00E030E2"/>
    <w:rsid w:val="00E03644"/>
    <w:rsid w:val="00E03DDF"/>
    <w:rsid w:val="00E04DBB"/>
    <w:rsid w:val="00E05653"/>
    <w:rsid w:val="00E06A39"/>
    <w:rsid w:val="00E07917"/>
    <w:rsid w:val="00E07A91"/>
    <w:rsid w:val="00E1147A"/>
    <w:rsid w:val="00E127D9"/>
    <w:rsid w:val="00E12C69"/>
    <w:rsid w:val="00E12E06"/>
    <w:rsid w:val="00E14EBC"/>
    <w:rsid w:val="00E14F97"/>
    <w:rsid w:val="00E15595"/>
    <w:rsid w:val="00E16124"/>
    <w:rsid w:val="00E1624E"/>
    <w:rsid w:val="00E1644F"/>
    <w:rsid w:val="00E16C6F"/>
    <w:rsid w:val="00E172BF"/>
    <w:rsid w:val="00E17AEB"/>
    <w:rsid w:val="00E17E93"/>
    <w:rsid w:val="00E202A2"/>
    <w:rsid w:val="00E21259"/>
    <w:rsid w:val="00E212AE"/>
    <w:rsid w:val="00E21BA4"/>
    <w:rsid w:val="00E21D6F"/>
    <w:rsid w:val="00E22166"/>
    <w:rsid w:val="00E23E5F"/>
    <w:rsid w:val="00E2466B"/>
    <w:rsid w:val="00E24767"/>
    <w:rsid w:val="00E24B25"/>
    <w:rsid w:val="00E25760"/>
    <w:rsid w:val="00E25904"/>
    <w:rsid w:val="00E25B27"/>
    <w:rsid w:val="00E25DF3"/>
    <w:rsid w:val="00E25F97"/>
    <w:rsid w:val="00E26DA1"/>
    <w:rsid w:val="00E27147"/>
    <w:rsid w:val="00E27308"/>
    <w:rsid w:val="00E311A6"/>
    <w:rsid w:val="00E31552"/>
    <w:rsid w:val="00E31EE5"/>
    <w:rsid w:val="00E336C4"/>
    <w:rsid w:val="00E3379C"/>
    <w:rsid w:val="00E36D44"/>
    <w:rsid w:val="00E3725E"/>
    <w:rsid w:val="00E37770"/>
    <w:rsid w:val="00E37864"/>
    <w:rsid w:val="00E37999"/>
    <w:rsid w:val="00E40BA3"/>
    <w:rsid w:val="00E41388"/>
    <w:rsid w:val="00E417D2"/>
    <w:rsid w:val="00E42241"/>
    <w:rsid w:val="00E4274E"/>
    <w:rsid w:val="00E42C55"/>
    <w:rsid w:val="00E42ECE"/>
    <w:rsid w:val="00E42EE3"/>
    <w:rsid w:val="00E430DA"/>
    <w:rsid w:val="00E43239"/>
    <w:rsid w:val="00E43908"/>
    <w:rsid w:val="00E439CA"/>
    <w:rsid w:val="00E44232"/>
    <w:rsid w:val="00E448D9"/>
    <w:rsid w:val="00E45428"/>
    <w:rsid w:val="00E45F90"/>
    <w:rsid w:val="00E51FF9"/>
    <w:rsid w:val="00E536C7"/>
    <w:rsid w:val="00E54407"/>
    <w:rsid w:val="00E556EB"/>
    <w:rsid w:val="00E55749"/>
    <w:rsid w:val="00E57083"/>
    <w:rsid w:val="00E576BE"/>
    <w:rsid w:val="00E57E21"/>
    <w:rsid w:val="00E60262"/>
    <w:rsid w:val="00E60495"/>
    <w:rsid w:val="00E605A8"/>
    <w:rsid w:val="00E61CFF"/>
    <w:rsid w:val="00E62CC4"/>
    <w:rsid w:val="00E638CB"/>
    <w:rsid w:val="00E647FA"/>
    <w:rsid w:val="00E6485D"/>
    <w:rsid w:val="00E66071"/>
    <w:rsid w:val="00E664EB"/>
    <w:rsid w:val="00E67737"/>
    <w:rsid w:val="00E67856"/>
    <w:rsid w:val="00E67EB4"/>
    <w:rsid w:val="00E70BC5"/>
    <w:rsid w:val="00E72845"/>
    <w:rsid w:val="00E72B9A"/>
    <w:rsid w:val="00E73608"/>
    <w:rsid w:val="00E73D5F"/>
    <w:rsid w:val="00E74905"/>
    <w:rsid w:val="00E756EB"/>
    <w:rsid w:val="00E761E9"/>
    <w:rsid w:val="00E76570"/>
    <w:rsid w:val="00E775A7"/>
    <w:rsid w:val="00E77D0F"/>
    <w:rsid w:val="00E80195"/>
    <w:rsid w:val="00E802EF"/>
    <w:rsid w:val="00E812B9"/>
    <w:rsid w:val="00E8179D"/>
    <w:rsid w:val="00E8194B"/>
    <w:rsid w:val="00E81C29"/>
    <w:rsid w:val="00E82A5B"/>
    <w:rsid w:val="00E82C99"/>
    <w:rsid w:val="00E831B4"/>
    <w:rsid w:val="00E83FF8"/>
    <w:rsid w:val="00E8407B"/>
    <w:rsid w:val="00E84EAC"/>
    <w:rsid w:val="00E85300"/>
    <w:rsid w:val="00E85529"/>
    <w:rsid w:val="00E865DF"/>
    <w:rsid w:val="00E868D6"/>
    <w:rsid w:val="00E87A1E"/>
    <w:rsid w:val="00E87D4D"/>
    <w:rsid w:val="00E90C4F"/>
    <w:rsid w:val="00E916C9"/>
    <w:rsid w:val="00E91843"/>
    <w:rsid w:val="00E923BA"/>
    <w:rsid w:val="00E926E1"/>
    <w:rsid w:val="00E92829"/>
    <w:rsid w:val="00E92B8A"/>
    <w:rsid w:val="00E93A2A"/>
    <w:rsid w:val="00E93C5C"/>
    <w:rsid w:val="00E94DA2"/>
    <w:rsid w:val="00E94DFB"/>
    <w:rsid w:val="00E9612F"/>
    <w:rsid w:val="00E9627A"/>
    <w:rsid w:val="00E9698D"/>
    <w:rsid w:val="00E977F5"/>
    <w:rsid w:val="00E97A42"/>
    <w:rsid w:val="00E97F94"/>
    <w:rsid w:val="00EA074D"/>
    <w:rsid w:val="00EA1304"/>
    <w:rsid w:val="00EA2557"/>
    <w:rsid w:val="00EA489A"/>
    <w:rsid w:val="00EA4B8B"/>
    <w:rsid w:val="00EA4DB8"/>
    <w:rsid w:val="00EA4EF4"/>
    <w:rsid w:val="00EA531B"/>
    <w:rsid w:val="00EA5587"/>
    <w:rsid w:val="00EA7552"/>
    <w:rsid w:val="00EB0301"/>
    <w:rsid w:val="00EB0B39"/>
    <w:rsid w:val="00EB1928"/>
    <w:rsid w:val="00EB1C3C"/>
    <w:rsid w:val="00EB2913"/>
    <w:rsid w:val="00EB2D88"/>
    <w:rsid w:val="00EB30AF"/>
    <w:rsid w:val="00EB49B1"/>
    <w:rsid w:val="00EB51CD"/>
    <w:rsid w:val="00EB599F"/>
    <w:rsid w:val="00EB733F"/>
    <w:rsid w:val="00EC0788"/>
    <w:rsid w:val="00EC0FC7"/>
    <w:rsid w:val="00EC13B1"/>
    <w:rsid w:val="00EC2534"/>
    <w:rsid w:val="00EC35C8"/>
    <w:rsid w:val="00EC3781"/>
    <w:rsid w:val="00EC3E28"/>
    <w:rsid w:val="00EC438C"/>
    <w:rsid w:val="00EC4B7F"/>
    <w:rsid w:val="00EC4E72"/>
    <w:rsid w:val="00EC5555"/>
    <w:rsid w:val="00EC5977"/>
    <w:rsid w:val="00EC5BCB"/>
    <w:rsid w:val="00EC7B8A"/>
    <w:rsid w:val="00EC7FA4"/>
    <w:rsid w:val="00ED0B4B"/>
    <w:rsid w:val="00ED0E02"/>
    <w:rsid w:val="00ED121A"/>
    <w:rsid w:val="00ED1B20"/>
    <w:rsid w:val="00ED2346"/>
    <w:rsid w:val="00ED32CF"/>
    <w:rsid w:val="00ED4184"/>
    <w:rsid w:val="00ED418E"/>
    <w:rsid w:val="00ED5659"/>
    <w:rsid w:val="00ED5860"/>
    <w:rsid w:val="00ED5D03"/>
    <w:rsid w:val="00ED621D"/>
    <w:rsid w:val="00ED7947"/>
    <w:rsid w:val="00EE077D"/>
    <w:rsid w:val="00EE151A"/>
    <w:rsid w:val="00EE1EF6"/>
    <w:rsid w:val="00EE20E0"/>
    <w:rsid w:val="00EE2706"/>
    <w:rsid w:val="00EE3199"/>
    <w:rsid w:val="00EE3EDF"/>
    <w:rsid w:val="00EE42DE"/>
    <w:rsid w:val="00EE4BD0"/>
    <w:rsid w:val="00EE7554"/>
    <w:rsid w:val="00EE7808"/>
    <w:rsid w:val="00EF1DC4"/>
    <w:rsid w:val="00EF2516"/>
    <w:rsid w:val="00EF37B4"/>
    <w:rsid w:val="00EF4BE5"/>
    <w:rsid w:val="00EF6827"/>
    <w:rsid w:val="00EF6DF4"/>
    <w:rsid w:val="00EF76E7"/>
    <w:rsid w:val="00EF79EC"/>
    <w:rsid w:val="00F00C55"/>
    <w:rsid w:val="00F01E74"/>
    <w:rsid w:val="00F04763"/>
    <w:rsid w:val="00F06628"/>
    <w:rsid w:val="00F067BF"/>
    <w:rsid w:val="00F070B4"/>
    <w:rsid w:val="00F070C3"/>
    <w:rsid w:val="00F07371"/>
    <w:rsid w:val="00F07C46"/>
    <w:rsid w:val="00F10172"/>
    <w:rsid w:val="00F10C78"/>
    <w:rsid w:val="00F11FE4"/>
    <w:rsid w:val="00F12140"/>
    <w:rsid w:val="00F123BF"/>
    <w:rsid w:val="00F12700"/>
    <w:rsid w:val="00F12B20"/>
    <w:rsid w:val="00F12D81"/>
    <w:rsid w:val="00F131A3"/>
    <w:rsid w:val="00F1328B"/>
    <w:rsid w:val="00F14D73"/>
    <w:rsid w:val="00F15F4F"/>
    <w:rsid w:val="00F1741E"/>
    <w:rsid w:val="00F17633"/>
    <w:rsid w:val="00F20D47"/>
    <w:rsid w:val="00F2177D"/>
    <w:rsid w:val="00F21C29"/>
    <w:rsid w:val="00F24598"/>
    <w:rsid w:val="00F24778"/>
    <w:rsid w:val="00F25631"/>
    <w:rsid w:val="00F26935"/>
    <w:rsid w:val="00F26A17"/>
    <w:rsid w:val="00F26A26"/>
    <w:rsid w:val="00F27A1F"/>
    <w:rsid w:val="00F27DF2"/>
    <w:rsid w:val="00F3032E"/>
    <w:rsid w:val="00F3042B"/>
    <w:rsid w:val="00F31258"/>
    <w:rsid w:val="00F3132F"/>
    <w:rsid w:val="00F32741"/>
    <w:rsid w:val="00F33665"/>
    <w:rsid w:val="00F3422A"/>
    <w:rsid w:val="00F34551"/>
    <w:rsid w:val="00F3764E"/>
    <w:rsid w:val="00F3770B"/>
    <w:rsid w:val="00F41226"/>
    <w:rsid w:val="00F41BD0"/>
    <w:rsid w:val="00F4346B"/>
    <w:rsid w:val="00F43926"/>
    <w:rsid w:val="00F43B3C"/>
    <w:rsid w:val="00F45D2C"/>
    <w:rsid w:val="00F464A1"/>
    <w:rsid w:val="00F47ECC"/>
    <w:rsid w:val="00F47EDD"/>
    <w:rsid w:val="00F506BF"/>
    <w:rsid w:val="00F50EFE"/>
    <w:rsid w:val="00F51D30"/>
    <w:rsid w:val="00F53150"/>
    <w:rsid w:val="00F532D2"/>
    <w:rsid w:val="00F534CA"/>
    <w:rsid w:val="00F537A1"/>
    <w:rsid w:val="00F5384A"/>
    <w:rsid w:val="00F54C06"/>
    <w:rsid w:val="00F55148"/>
    <w:rsid w:val="00F5528E"/>
    <w:rsid w:val="00F55A79"/>
    <w:rsid w:val="00F55CD5"/>
    <w:rsid w:val="00F55E90"/>
    <w:rsid w:val="00F56812"/>
    <w:rsid w:val="00F5681B"/>
    <w:rsid w:val="00F578E3"/>
    <w:rsid w:val="00F57D3A"/>
    <w:rsid w:val="00F60F27"/>
    <w:rsid w:val="00F628A3"/>
    <w:rsid w:val="00F63272"/>
    <w:rsid w:val="00F635AC"/>
    <w:rsid w:val="00F63AFD"/>
    <w:rsid w:val="00F64A2A"/>
    <w:rsid w:val="00F64ABD"/>
    <w:rsid w:val="00F64AC3"/>
    <w:rsid w:val="00F64C53"/>
    <w:rsid w:val="00F65505"/>
    <w:rsid w:val="00F662F1"/>
    <w:rsid w:val="00F67205"/>
    <w:rsid w:val="00F67589"/>
    <w:rsid w:val="00F70A07"/>
    <w:rsid w:val="00F71779"/>
    <w:rsid w:val="00F71A7E"/>
    <w:rsid w:val="00F71A9F"/>
    <w:rsid w:val="00F7245D"/>
    <w:rsid w:val="00F7249D"/>
    <w:rsid w:val="00F737CE"/>
    <w:rsid w:val="00F73CE9"/>
    <w:rsid w:val="00F74268"/>
    <w:rsid w:val="00F74530"/>
    <w:rsid w:val="00F74605"/>
    <w:rsid w:val="00F749C1"/>
    <w:rsid w:val="00F74BB4"/>
    <w:rsid w:val="00F751BE"/>
    <w:rsid w:val="00F75B18"/>
    <w:rsid w:val="00F76104"/>
    <w:rsid w:val="00F778E9"/>
    <w:rsid w:val="00F77B4F"/>
    <w:rsid w:val="00F77DA8"/>
    <w:rsid w:val="00F8001F"/>
    <w:rsid w:val="00F801F4"/>
    <w:rsid w:val="00F80EF5"/>
    <w:rsid w:val="00F81D84"/>
    <w:rsid w:val="00F81F38"/>
    <w:rsid w:val="00F8205E"/>
    <w:rsid w:val="00F829E4"/>
    <w:rsid w:val="00F82C0F"/>
    <w:rsid w:val="00F84444"/>
    <w:rsid w:val="00F845D5"/>
    <w:rsid w:val="00F85130"/>
    <w:rsid w:val="00F85392"/>
    <w:rsid w:val="00F8604D"/>
    <w:rsid w:val="00F871CF"/>
    <w:rsid w:val="00F8749B"/>
    <w:rsid w:val="00F87E0B"/>
    <w:rsid w:val="00F90DEB"/>
    <w:rsid w:val="00F91F9D"/>
    <w:rsid w:val="00F92322"/>
    <w:rsid w:val="00F92F11"/>
    <w:rsid w:val="00F94357"/>
    <w:rsid w:val="00F9468A"/>
    <w:rsid w:val="00F966F2"/>
    <w:rsid w:val="00F96A30"/>
    <w:rsid w:val="00F96DCB"/>
    <w:rsid w:val="00F97255"/>
    <w:rsid w:val="00F97378"/>
    <w:rsid w:val="00F97DCE"/>
    <w:rsid w:val="00FA0E83"/>
    <w:rsid w:val="00FA1A87"/>
    <w:rsid w:val="00FA2928"/>
    <w:rsid w:val="00FA29EA"/>
    <w:rsid w:val="00FA2E77"/>
    <w:rsid w:val="00FA3DDC"/>
    <w:rsid w:val="00FA644D"/>
    <w:rsid w:val="00FA73D9"/>
    <w:rsid w:val="00FA7E71"/>
    <w:rsid w:val="00FA7E7C"/>
    <w:rsid w:val="00FB099C"/>
    <w:rsid w:val="00FB1044"/>
    <w:rsid w:val="00FB11F1"/>
    <w:rsid w:val="00FB221C"/>
    <w:rsid w:val="00FB4897"/>
    <w:rsid w:val="00FB4984"/>
    <w:rsid w:val="00FB4F29"/>
    <w:rsid w:val="00FB5B0F"/>
    <w:rsid w:val="00FB7563"/>
    <w:rsid w:val="00FB7B76"/>
    <w:rsid w:val="00FC0312"/>
    <w:rsid w:val="00FC0711"/>
    <w:rsid w:val="00FC07E1"/>
    <w:rsid w:val="00FC08F4"/>
    <w:rsid w:val="00FC113F"/>
    <w:rsid w:val="00FC1450"/>
    <w:rsid w:val="00FC18FC"/>
    <w:rsid w:val="00FC2673"/>
    <w:rsid w:val="00FC26FE"/>
    <w:rsid w:val="00FC3473"/>
    <w:rsid w:val="00FC3708"/>
    <w:rsid w:val="00FC40A3"/>
    <w:rsid w:val="00FC474B"/>
    <w:rsid w:val="00FC51D8"/>
    <w:rsid w:val="00FC5786"/>
    <w:rsid w:val="00FC5ADE"/>
    <w:rsid w:val="00FC5C16"/>
    <w:rsid w:val="00FC62BB"/>
    <w:rsid w:val="00FC74AD"/>
    <w:rsid w:val="00FC768A"/>
    <w:rsid w:val="00FD050F"/>
    <w:rsid w:val="00FD23B1"/>
    <w:rsid w:val="00FD28B5"/>
    <w:rsid w:val="00FD2EA6"/>
    <w:rsid w:val="00FD355D"/>
    <w:rsid w:val="00FD4584"/>
    <w:rsid w:val="00FD5478"/>
    <w:rsid w:val="00FD742F"/>
    <w:rsid w:val="00FD7DE4"/>
    <w:rsid w:val="00FE16A4"/>
    <w:rsid w:val="00FE1D1E"/>
    <w:rsid w:val="00FE2068"/>
    <w:rsid w:val="00FE2625"/>
    <w:rsid w:val="00FE2988"/>
    <w:rsid w:val="00FE2ED1"/>
    <w:rsid w:val="00FE3CAF"/>
    <w:rsid w:val="00FE47BC"/>
    <w:rsid w:val="00FE4DCD"/>
    <w:rsid w:val="00FE5452"/>
    <w:rsid w:val="00FE6756"/>
    <w:rsid w:val="00FF015C"/>
    <w:rsid w:val="00FF0C8F"/>
    <w:rsid w:val="00FF1B8F"/>
    <w:rsid w:val="00FF25BF"/>
    <w:rsid w:val="00FF27F9"/>
    <w:rsid w:val="00FF32E5"/>
    <w:rsid w:val="00FF35CB"/>
    <w:rsid w:val="00FF41AC"/>
    <w:rsid w:val="00FF4FB6"/>
    <w:rsid w:val="00FF59B4"/>
    <w:rsid w:val="00FF5CFC"/>
    <w:rsid w:val="00FF5E4A"/>
    <w:rsid w:val="00FF609F"/>
    <w:rsid w:val="00FF78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93"/>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unhideWhenUsed/>
    <w:rsid w:val="00821C17"/>
    <w:rPr>
      <w:sz w:val="20"/>
      <w:szCs w:val="20"/>
    </w:rPr>
  </w:style>
  <w:style w:type="character" w:customStyle="1" w:styleId="CommentTextChar">
    <w:name w:val="Comment Text Char"/>
    <w:basedOn w:val="DefaultParagraphFont"/>
    <w:link w:val="CommentText"/>
    <w:uiPriority w:val="99"/>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aliases w:val="Summary box"/>
    <w:basedOn w:val="TableNormal"/>
    <w:uiPriority w:val="59"/>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link w:val="TablewritingChar"/>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nhideWhenUsed/>
    <w:rsid w:val="00821C17"/>
    <w:pPr>
      <w:spacing w:after="0"/>
    </w:pPr>
    <w:rPr>
      <w:sz w:val="18"/>
      <w:szCs w:val="20"/>
    </w:rPr>
  </w:style>
  <w:style w:type="character" w:customStyle="1" w:styleId="FootnoteTextChar">
    <w:name w:val="Footnote Text Char"/>
    <w:basedOn w:val="DefaultParagraphFont"/>
    <w:link w:val="FootnoteText"/>
    <w:rsid w:val="00821C17"/>
    <w:rPr>
      <w:rFonts w:asciiTheme="minorHAnsi" w:eastAsiaTheme="minorEastAsia" w:hAnsiTheme="minorHAnsi"/>
      <w:sz w:val="18"/>
      <w:szCs w:val="20"/>
      <w:lang w:eastAsia="en-AU"/>
    </w:rPr>
  </w:style>
  <w:style w:type="character" w:styleId="FootnoteReference">
    <w:name w:val="footnote reference"/>
    <w:basedOn w:val="DefaultParagraphFont"/>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link w:val="TableTextChar"/>
    <w:qFormat/>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abbreviation">
    <w:name w:val="abbreviation"/>
    <w:basedOn w:val="DefaultParagraphFont"/>
    <w:rsid w:val="009C1E36"/>
  </w:style>
  <w:style w:type="paragraph" w:customStyle="1" w:styleId="li21">
    <w:name w:val="li2_1"/>
    <w:basedOn w:val="Normal"/>
    <w:rsid w:val="009C1E36"/>
    <w:pPr>
      <w:spacing w:before="100" w:beforeAutospacing="1" w:after="100" w:afterAutospacing="1"/>
    </w:pPr>
    <w:rPr>
      <w:rFonts w:ascii="Times New Roman" w:eastAsia="Times New Roman" w:hAnsi="Times New Roman" w:cs="Times New Roman"/>
    </w:rPr>
  </w:style>
  <w:style w:type="paragraph" w:customStyle="1" w:styleId="BodyText1">
    <w:name w:val="Body Text1"/>
    <w:basedOn w:val="Normal"/>
    <w:uiPriority w:val="1"/>
    <w:qFormat/>
    <w:rsid w:val="000254BD"/>
    <w:pPr>
      <w:spacing w:after="120" w:line="276" w:lineRule="auto"/>
    </w:pPr>
    <w:rPr>
      <w:rFonts w:ascii="Cambria" w:eastAsia="Times New Roman" w:hAnsi="Cambria" w:cs="Calibri"/>
      <w:noProof/>
      <w:lang w:eastAsia="en-US"/>
    </w:rPr>
  </w:style>
  <w:style w:type="character" w:customStyle="1" w:styleId="TablewritingChar">
    <w:name w:val="Table writing Char"/>
    <w:link w:val="Tablewriting"/>
    <w:rsid w:val="000254BD"/>
    <w:rPr>
      <w:rFonts w:asciiTheme="minorHAnsi" w:eastAsiaTheme="minorEastAsia" w:hAnsiTheme="minorHAnsi" w:cs="Calibri"/>
      <w:color w:val="000000"/>
      <w:sz w:val="20"/>
      <w:szCs w:val="20"/>
      <w:lang w:eastAsia="en-AU"/>
    </w:rPr>
  </w:style>
  <w:style w:type="character" w:customStyle="1" w:styleId="TableTextChar">
    <w:name w:val="Table Text Char"/>
    <w:link w:val="TableText0"/>
    <w:rsid w:val="006D3226"/>
    <w:rPr>
      <w:rFonts w:ascii="Arial" w:eastAsia="Times New Roman" w:hAnsi="Arial" w:cs="Times New Roman"/>
      <w:sz w:val="18"/>
      <w:szCs w:val="20"/>
      <w:lang w:eastAsia="en-AU"/>
    </w:rPr>
  </w:style>
  <w:style w:type="paragraph" w:styleId="Caption">
    <w:name w:val="caption"/>
    <w:aliases w:val="Bayer Caption,IB Caption,Medical Caption,Caption Char1 Char Char,Caption Char Char Char Char,Caption Char1 Char,Caption Char Char Char Char Char,Caption Char Char,Caption Char Char Char Char1,Caption Char1 Char1,Caption Char Char Char,c"/>
    <w:basedOn w:val="Normal"/>
    <w:next w:val="Normal"/>
    <w:link w:val="CaptionChar"/>
    <w:qFormat/>
    <w:rsid w:val="00912AC3"/>
    <w:pPr>
      <w:spacing w:before="120" w:after="120" w:line="360" w:lineRule="auto"/>
      <w:jc w:val="both"/>
    </w:pPr>
    <w:rPr>
      <w:rFonts w:ascii="Times New Roman" w:eastAsia="SimSun" w:hAnsi="Times New Roman" w:cs="Times New Roman"/>
      <w:b/>
      <w:bCs/>
      <w:sz w:val="22"/>
      <w:szCs w:val="20"/>
      <w:lang w:eastAsia="zh-CN"/>
    </w:rPr>
  </w:style>
  <w:style w:type="character" w:customStyle="1" w:styleId="CaptionChar">
    <w:name w:val="Caption Char"/>
    <w:aliases w:val="Bayer Caption Char,IB Caption Char,Medical Caption Char,Caption Char1 Char Char Char,Caption Char Char Char Char Char1,Caption Char1 Char Char1,Caption Char Char Char Char Char Char,Caption Char Char Char1,Caption Char Char Char Char1 Char"/>
    <w:basedOn w:val="DefaultParagraphFont"/>
    <w:link w:val="Caption"/>
    <w:rsid w:val="00912AC3"/>
    <w:rPr>
      <w:rFonts w:eastAsia="SimSun" w:cs="Times New Roman"/>
      <w:b/>
      <w:bCs/>
      <w:sz w:val="22"/>
      <w:szCs w:val="20"/>
      <w:lang w:eastAsia="zh-CN"/>
    </w:rPr>
  </w:style>
  <w:style w:type="paragraph" w:styleId="Revision">
    <w:name w:val="Revision"/>
    <w:hidden/>
    <w:uiPriority w:val="99"/>
    <w:semiHidden/>
    <w:rsid w:val="000E0A13"/>
    <w:pPr>
      <w:spacing w:after="0" w:line="240" w:lineRule="auto"/>
    </w:pPr>
    <w:rPr>
      <w:rFonts w:asciiTheme="minorHAnsi" w:eastAsiaTheme="minorEastAsia" w:hAnsiTheme="minorHAnsi"/>
      <w:szCs w:val="24"/>
      <w:lang w:eastAsia="en-AU"/>
    </w:rPr>
  </w:style>
  <w:style w:type="numbering" w:customStyle="1" w:styleId="NoList1">
    <w:name w:val="No List1"/>
    <w:next w:val="NoList"/>
    <w:uiPriority w:val="99"/>
    <w:semiHidden/>
    <w:unhideWhenUsed/>
    <w:rsid w:val="00B87CD5"/>
  </w:style>
  <w:style w:type="table" w:customStyle="1" w:styleId="TableGrid1">
    <w:name w:val="Table Grid1"/>
    <w:basedOn w:val="TableNormal"/>
    <w:next w:val="TableGrid"/>
    <w:uiPriority w:val="59"/>
    <w:rsid w:val="00B87CD5"/>
    <w:pPr>
      <w:spacing w:after="0" w:line="240" w:lineRule="auto"/>
    </w:pPr>
    <w:rPr>
      <w:rFonts w:ascii="Calibri" w:eastAsia="MS Mincho" w:hAnsi="Calibr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Heading1"/>
    <w:link w:val="Title2Char"/>
    <w:qFormat/>
    <w:rsid w:val="00B87CD5"/>
    <w:rPr>
      <w:szCs w:val="32"/>
    </w:rPr>
  </w:style>
  <w:style w:type="paragraph" w:customStyle="1" w:styleId="Meetingdate">
    <w:name w:val="Meeting date"/>
    <w:basedOn w:val="Heading4"/>
    <w:link w:val="MeetingdateChar"/>
    <w:qFormat/>
    <w:rsid w:val="00B87CD5"/>
  </w:style>
  <w:style w:type="character" w:customStyle="1" w:styleId="Title2Char">
    <w:name w:val="Title 2 Char"/>
    <w:basedOn w:val="Heading1Char"/>
    <w:link w:val="Title2"/>
    <w:rsid w:val="00B87CD5"/>
    <w:rPr>
      <w:rFonts w:asciiTheme="minorHAnsi" w:eastAsiaTheme="majorEastAsia" w:hAnsiTheme="minorHAnsi" w:cstheme="majorBidi"/>
      <w:b/>
      <w:bCs/>
      <w:sz w:val="40"/>
      <w:szCs w:val="32"/>
      <w:lang w:eastAsia="en-AU"/>
    </w:rPr>
  </w:style>
  <w:style w:type="character" w:customStyle="1" w:styleId="MeetingdateChar">
    <w:name w:val="Meeting date Char"/>
    <w:basedOn w:val="Heading4Char"/>
    <w:link w:val="Meetingdate"/>
    <w:rsid w:val="00B87CD5"/>
    <w:rPr>
      <w:rFonts w:asciiTheme="minorHAnsi" w:eastAsiaTheme="minorEastAsia" w:hAnsiTheme="minorHAnsi"/>
      <w:b/>
      <w:i/>
      <w:sz w:val="32"/>
      <w:szCs w:val="32"/>
      <w:lang w:eastAsia="en-AU"/>
    </w:rPr>
  </w:style>
  <w:style w:type="paragraph" w:customStyle="1" w:styleId="Default">
    <w:name w:val="Default"/>
    <w:basedOn w:val="Normal"/>
    <w:rsid w:val="00B87CD5"/>
    <w:pPr>
      <w:autoSpaceDE w:val="0"/>
      <w:autoSpaceDN w:val="0"/>
      <w:spacing w:after="0"/>
    </w:pPr>
    <w:rPr>
      <w:rFonts w:ascii="Calibri" w:eastAsia="Calibri" w:hAnsi="Calibri" w:cs="Times New Roman"/>
      <w:color w:val="000000"/>
      <w:lang w:eastAsia="en-US"/>
    </w:rPr>
  </w:style>
  <w:style w:type="character" w:customStyle="1" w:styleId="prod-title">
    <w:name w:val="prod-title"/>
    <w:basedOn w:val="DefaultParagraphFont"/>
    <w:rsid w:val="00B87CD5"/>
  </w:style>
  <w:style w:type="character" w:customStyle="1" w:styleId="published-date">
    <w:name w:val="published-date"/>
    <w:basedOn w:val="DefaultParagraphFont"/>
    <w:rsid w:val="00B87CD5"/>
  </w:style>
  <w:style w:type="character" w:customStyle="1" w:styleId="item-code">
    <w:name w:val="item-code"/>
    <w:basedOn w:val="DefaultParagraphFont"/>
    <w:rsid w:val="00B87CD5"/>
  </w:style>
  <w:style w:type="character" w:customStyle="1" w:styleId="legend-item">
    <w:name w:val="legend-item"/>
    <w:basedOn w:val="DefaultParagraphFont"/>
    <w:rsid w:val="00B87CD5"/>
  </w:style>
  <w:style w:type="character" w:customStyle="1" w:styleId="drug-name">
    <w:name w:val="drug-name"/>
    <w:basedOn w:val="DefaultParagraphFont"/>
    <w:rsid w:val="00B87CD5"/>
  </w:style>
  <w:style w:type="character" w:customStyle="1" w:styleId="form-strength">
    <w:name w:val="form-strength"/>
    <w:basedOn w:val="DefaultParagraphFont"/>
    <w:rsid w:val="00B87CD5"/>
  </w:style>
  <w:style w:type="paragraph" w:customStyle="1" w:styleId="Tabletext1">
    <w:name w:val="Table text"/>
    <w:basedOn w:val="Normal"/>
    <w:link w:val="TabletextChar1"/>
    <w:qFormat/>
    <w:rsid w:val="00B87CD5"/>
    <w:pPr>
      <w:spacing w:after="0"/>
    </w:pPr>
    <w:rPr>
      <w:rFonts w:ascii="Arial" w:eastAsia="Times New Roman" w:hAnsi="Arial" w:cs="Times New Roman"/>
      <w:sz w:val="20"/>
      <w:szCs w:val="20"/>
      <w:lang w:val="x-none" w:eastAsia="en-US"/>
    </w:rPr>
  </w:style>
  <w:style w:type="paragraph" w:customStyle="1" w:styleId="Tablenotes">
    <w:name w:val="Table notes"/>
    <w:basedOn w:val="Normal"/>
    <w:link w:val="TablenotesChar"/>
    <w:qFormat/>
    <w:rsid w:val="00B87CD5"/>
    <w:pPr>
      <w:widowControl w:val="0"/>
      <w:spacing w:after="240"/>
      <w:contextualSpacing/>
      <w:jc w:val="both"/>
    </w:pPr>
    <w:rPr>
      <w:rFonts w:ascii="Arial" w:eastAsia="Times New Roman" w:hAnsi="Arial" w:cs="Times New Roman"/>
      <w:snapToGrid w:val="0"/>
      <w:sz w:val="20"/>
      <w:szCs w:val="20"/>
      <w:lang w:val="x-none" w:eastAsia="en-US"/>
    </w:rPr>
  </w:style>
  <w:style w:type="character" w:customStyle="1" w:styleId="TablenotesChar">
    <w:name w:val="Table notes Char"/>
    <w:link w:val="Tablenotes"/>
    <w:rsid w:val="00B87CD5"/>
    <w:rPr>
      <w:rFonts w:ascii="Arial" w:eastAsia="Times New Roman" w:hAnsi="Arial" w:cs="Times New Roman"/>
      <w:snapToGrid w:val="0"/>
      <w:sz w:val="20"/>
      <w:szCs w:val="20"/>
      <w:lang w:val="x-none"/>
    </w:rPr>
  </w:style>
  <w:style w:type="character" w:customStyle="1" w:styleId="TabletextChar1">
    <w:name w:val="Table text Char1"/>
    <w:link w:val="Tabletext1"/>
    <w:rsid w:val="00B87CD5"/>
    <w:rPr>
      <w:rFonts w:ascii="Arial" w:eastAsia="Times New Roman" w:hAnsi="Arial" w:cs="Times New Roman"/>
      <w:sz w:val="20"/>
      <w:szCs w:val="20"/>
      <w:lang w:val="x-none"/>
    </w:rPr>
  </w:style>
  <w:style w:type="paragraph" w:customStyle="1" w:styleId="acthead5">
    <w:name w:val="acthead5"/>
    <w:basedOn w:val="Normal"/>
    <w:rsid w:val="001D69C7"/>
    <w:pPr>
      <w:spacing w:before="100" w:beforeAutospacing="1" w:after="100" w:afterAutospacing="1"/>
    </w:pPr>
    <w:rPr>
      <w:rFonts w:ascii="Times New Roman" w:eastAsia="Times New Roman" w:hAnsi="Times New Roman" w:cs="Times New Roman"/>
    </w:rPr>
  </w:style>
  <w:style w:type="character" w:customStyle="1" w:styleId="charsectno">
    <w:name w:val="charsectno"/>
    <w:basedOn w:val="DefaultParagraphFont"/>
    <w:rsid w:val="001D69C7"/>
  </w:style>
  <w:style w:type="paragraph" w:customStyle="1" w:styleId="subsection">
    <w:name w:val="subsection"/>
    <w:basedOn w:val="Normal"/>
    <w:rsid w:val="001D69C7"/>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D69C7"/>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F57D3A"/>
    <w:pPr>
      <w:spacing w:before="100" w:beforeAutospacing="1" w:after="100" w:afterAutospacing="1"/>
    </w:pPr>
    <w:rPr>
      <w:rFonts w:ascii="Times New Roman" w:eastAsia="Times New Roman" w:hAnsi="Times New Roman" w:cs="Times New Roman"/>
    </w:rPr>
  </w:style>
  <w:style w:type="paragraph" w:customStyle="1" w:styleId="Char">
    <w:name w:val="Char"/>
    <w:basedOn w:val="Normal"/>
    <w:rsid w:val="00C700E4"/>
    <w:pPr>
      <w:spacing w:after="160" w:line="240" w:lineRule="exact"/>
    </w:pPr>
    <w:rPr>
      <w:rFonts w:ascii="Verdana" w:eastAsia="MS Mincho"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D93"/>
    <w:pPr>
      <w:spacing w:line="240" w:lineRule="auto"/>
    </w:pPr>
    <w:rPr>
      <w:rFonts w:asciiTheme="minorHAnsi" w:eastAsiaTheme="minorEastAsia" w:hAnsiTheme="minorHAnsi"/>
      <w:szCs w:val="24"/>
      <w:lang w:eastAsia="en-AU"/>
    </w:rPr>
  </w:style>
  <w:style w:type="paragraph" w:styleId="Heading1">
    <w:name w:val="heading 1"/>
    <w:basedOn w:val="Normal"/>
    <w:next w:val="Normal"/>
    <w:link w:val="Heading1Char"/>
    <w:uiPriority w:val="9"/>
    <w:qFormat/>
    <w:rsid w:val="00821C17"/>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821C17"/>
    <w:pPr>
      <w:outlineLvl w:val="1"/>
    </w:pPr>
    <w:rPr>
      <w:i w:val="0"/>
      <w:sz w:val="24"/>
      <w:szCs w:val="24"/>
    </w:rPr>
  </w:style>
  <w:style w:type="paragraph" w:styleId="Heading3">
    <w:name w:val="heading 3"/>
    <w:basedOn w:val="Normal"/>
    <w:next w:val="Normal"/>
    <w:link w:val="Heading3Char"/>
    <w:uiPriority w:val="9"/>
    <w:unhideWhenUsed/>
    <w:qFormat/>
    <w:rsid w:val="00821C17"/>
    <w:pPr>
      <w:spacing w:before="240"/>
      <w:outlineLvl w:val="2"/>
    </w:pPr>
    <w:rPr>
      <w:b/>
      <w:i/>
      <w:szCs w:val="28"/>
    </w:rPr>
  </w:style>
  <w:style w:type="paragraph" w:styleId="Heading4">
    <w:name w:val="heading 4"/>
    <w:basedOn w:val="Heading3"/>
    <w:next w:val="Normal"/>
    <w:link w:val="Heading4Char"/>
    <w:uiPriority w:val="9"/>
    <w:unhideWhenUsed/>
    <w:qFormat/>
    <w:rsid w:val="00821C17"/>
    <w:pPr>
      <w:outlineLvl w:val="3"/>
    </w:pPr>
    <w:rPr>
      <w:sz w:val="32"/>
      <w:szCs w:val="32"/>
    </w:rPr>
  </w:style>
  <w:style w:type="paragraph" w:styleId="Heading5">
    <w:name w:val="heading 5"/>
    <w:basedOn w:val="Normal"/>
    <w:next w:val="Normal"/>
    <w:link w:val="Heading5Char"/>
    <w:uiPriority w:val="9"/>
    <w:unhideWhenUsed/>
    <w:qFormat/>
    <w:rsid w:val="00821C17"/>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821C17"/>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17"/>
    <w:rPr>
      <w:rFonts w:asciiTheme="minorHAnsi" w:eastAsiaTheme="majorEastAsia" w:hAnsiTheme="minorHAnsi" w:cstheme="majorBidi"/>
      <w:b/>
      <w:bCs/>
      <w:sz w:val="40"/>
      <w:szCs w:val="28"/>
      <w:lang w:eastAsia="en-AU"/>
    </w:rPr>
  </w:style>
  <w:style w:type="character" w:customStyle="1" w:styleId="Heading2Char">
    <w:name w:val="Heading 2 Char"/>
    <w:basedOn w:val="DefaultParagraphFont"/>
    <w:link w:val="Heading2"/>
    <w:uiPriority w:val="9"/>
    <w:rsid w:val="00821C17"/>
    <w:rPr>
      <w:rFonts w:asciiTheme="minorHAnsi" w:eastAsiaTheme="minorEastAsia" w:hAnsiTheme="minorHAnsi"/>
      <w:b/>
      <w:szCs w:val="24"/>
      <w:lang w:eastAsia="en-AU"/>
    </w:rPr>
  </w:style>
  <w:style w:type="character" w:customStyle="1" w:styleId="Heading3Char">
    <w:name w:val="Heading 3 Char"/>
    <w:basedOn w:val="DefaultParagraphFont"/>
    <w:link w:val="Heading3"/>
    <w:uiPriority w:val="9"/>
    <w:rsid w:val="00821C17"/>
    <w:rPr>
      <w:rFonts w:asciiTheme="minorHAnsi" w:eastAsiaTheme="minorEastAsia" w:hAnsiTheme="minorHAnsi"/>
      <w:b/>
      <w:i/>
      <w:szCs w:val="28"/>
      <w:lang w:eastAsia="en-AU"/>
    </w:rPr>
  </w:style>
  <w:style w:type="character" w:customStyle="1" w:styleId="Heading4Char">
    <w:name w:val="Heading 4 Char"/>
    <w:basedOn w:val="DefaultParagraphFont"/>
    <w:link w:val="Heading4"/>
    <w:uiPriority w:val="9"/>
    <w:rsid w:val="00821C17"/>
    <w:rPr>
      <w:rFonts w:asciiTheme="minorHAnsi" w:eastAsiaTheme="minorEastAsia" w:hAnsiTheme="minorHAnsi"/>
      <w:b/>
      <w:i/>
      <w:sz w:val="32"/>
      <w:szCs w:val="32"/>
      <w:lang w:eastAsia="en-AU"/>
    </w:rPr>
  </w:style>
  <w:style w:type="character" w:customStyle="1" w:styleId="Heading5Char">
    <w:name w:val="Heading 5 Char"/>
    <w:basedOn w:val="DefaultParagraphFont"/>
    <w:link w:val="Heading5"/>
    <w:uiPriority w:val="9"/>
    <w:rsid w:val="00821C17"/>
    <w:rPr>
      <w:rFonts w:asciiTheme="minorHAnsi" w:eastAsiaTheme="majorEastAsia" w:hAnsiTheme="minorHAnsi" w:cstheme="majorBidi"/>
      <w:szCs w:val="24"/>
      <w:lang w:eastAsia="en-AU"/>
    </w:rPr>
  </w:style>
  <w:style w:type="character" w:customStyle="1" w:styleId="Heading6Char">
    <w:name w:val="Heading 6 Char"/>
    <w:basedOn w:val="DefaultParagraphFont"/>
    <w:link w:val="Heading6"/>
    <w:uiPriority w:val="9"/>
    <w:rsid w:val="00821C17"/>
    <w:rPr>
      <w:rFonts w:asciiTheme="majorHAnsi" w:eastAsiaTheme="majorEastAsia" w:hAnsiTheme="majorHAnsi" w:cstheme="majorBidi"/>
      <w:i/>
      <w:iCs/>
      <w:color w:val="243F60" w:themeColor="accent1" w:themeShade="7F"/>
      <w:sz w:val="22"/>
    </w:rPr>
  </w:style>
  <w:style w:type="paragraph" w:styleId="BalloonText">
    <w:name w:val="Balloon Text"/>
    <w:basedOn w:val="Normal"/>
    <w:link w:val="BalloonTextChar"/>
    <w:uiPriority w:val="99"/>
    <w:semiHidden/>
    <w:unhideWhenUsed/>
    <w:rsid w:val="00821C1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17"/>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821C17"/>
    <w:rPr>
      <w:sz w:val="16"/>
      <w:szCs w:val="16"/>
    </w:rPr>
  </w:style>
  <w:style w:type="paragraph" w:styleId="CommentText">
    <w:name w:val="annotation text"/>
    <w:basedOn w:val="Normal"/>
    <w:link w:val="CommentTextChar"/>
    <w:uiPriority w:val="99"/>
    <w:unhideWhenUsed/>
    <w:rsid w:val="00821C17"/>
    <w:rPr>
      <w:sz w:val="20"/>
      <w:szCs w:val="20"/>
    </w:rPr>
  </w:style>
  <w:style w:type="character" w:customStyle="1" w:styleId="CommentTextChar">
    <w:name w:val="Comment Text Char"/>
    <w:basedOn w:val="DefaultParagraphFont"/>
    <w:link w:val="CommentText"/>
    <w:uiPriority w:val="99"/>
    <w:rsid w:val="00821C17"/>
    <w:rPr>
      <w:rFonts w:asciiTheme="minorHAnsi" w:eastAsiaTheme="minorEastAsia" w:hAnsiTheme="minorHAnsi"/>
      <w:sz w:val="20"/>
      <w:szCs w:val="20"/>
      <w:lang w:eastAsia="en-AU"/>
    </w:rPr>
  </w:style>
  <w:style w:type="paragraph" w:styleId="CommentSubject">
    <w:name w:val="annotation subject"/>
    <w:basedOn w:val="CommentText"/>
    <w:next w:val="CommentText"/>
    <w:link w:val="CommentSubjectChar"/>
    <w:uiPriority w:val="99"/>
    <w:semiHidden/>
    <w:unhideWhenUsed/>
    <w:rsid w:val="00821C17"/>
    <w:rPr>
      <w:b/>
      <w:bCs/>
    </w:rPr>
  </w:style>
  <w:style w:type="character" w:customStyle="1" w:styleId="CommentSubjectChar">
    <w:name w:val="Comment Subject Char"/>
    <w:basedOn w:val="CommentTextChar"/>
    <w:link w:val="CommentSubject"/>
    <w:uiPriority w:val="99"/>
    <w:semiHidden/>
    <w:rsid w:val="00821C17"/>
    <w:rPr>
      <w:rFonts w:asciiTheme="minorHAnsi" w:eastAsiaTheme="minorEastAsia" w:hAnsiTheme="minorHAnsi"/>
      <w:b/>
      <w:bCs/>
      <w:sz w:val="20"/>
      <w:szCs w:val="20"/>
      <w:lang w:eastAsia="en-AU"/>
    </w:rPr>
  </w:style>
  <w:style w:type="paragraph" w:styleId="Title">
    <w:name w:val="Title"/>
    <w:basedOn w:val="Normal"/>
    <w:next w:val="Normal"/>
    <w:link w:val="TitleChar"/>
    <w:uiPriority w:val="10"/>
    <w:qFormat/>
    <w:rsid w:val="00821C17"/>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21C17"/>
    <w:rPr>
      <w:rFonts w:asciiTheme="minorHAnsi" w:eastAsiaTheme="majorEastAsia" w:hAnsiTheme="minorHAnsi" w:cstheme="majorBidi"/>
      <w:b/>
      <w:spacing w:val="5"/>
      <w:kern w:val="28"/>
      <w:sz w:val="52"/>
      <w:szCs w:val="52"/>
      <w:lang w:eastAsia="en-AU"/>
    </w:rPr>
  </w:style>
  <w:style w:type="paragraph" w:styleId="Footer">
    <w:name w:val="footer"/>
    <w:basedOn w:val="Normal"/>
    <w:link w:val="FooterChar"/>
    <w:uiPriority w:val="99"/>
    <w:unhideWhenUsed/>
    <w:rsid w:val="00821C17"/>
    <w:pPr>
      <w:tabs>
        <w:tab w:val="center" w:pos="4320"/>
        <w:tab w:val="right" w:pos="8640"/>
      </w:tabs>
      <w:spacing w:after="0"/>
    </w:pPr>
  </w:style>
  <w:style w:type="character" w:customStyle="1" w:styleId="FooterChar">
    <w:name w:val="Footer Char"/>
    <w:basedOn w:val="DefaultParagraphFont"/>
    <w:link w:val="Footer"/>
    <w:uiPriority w:val="99"/>
    <w:rsid w:val="00821C17"/>
    <w:rPr>
      <w:rFonts w:asciiTheme="minorHAnsi" w:eastAsiaTheme="minorEastAsia" w:hAnsiTheme="minorHAnsi"/>
      <w:szCs w:val="24"/>
      <w:lang w:eastAsia="en-AU"/>
    </w:rPr>
  </w:style>
  <w:style w:type="character" w:styleId="PageNumber">
    <w:name w:val="page number"/>
    <w:basedOn w:val="DefaultParagraphFont"/>
    <w:uiPriority w:val="99"/>
    <w:semiHidden/>
    <w:unhideWhenUsed/>
    <w:rsid w:val="00821C17"/>
  </w:style>
  <w:style w:type="paragraph" w:styleId="Header">
    <w:name w:val="header"/>
    <w:basedOn w:val="Normal"/>
    <w:link w:val="HeaderChar"/>
    <w:uiPriority w:val="99"/>
    <w:unhideWhenUsed/>
    <w:rsid w:val="00821C17"/>
    <w:pPr>
      <w:tabs>
        <w:tab w:val="center" w:pos="4320"/>
        <w:tab w:val="right" w:pos="8640"/>
      </w:tabs>
      <w:spacing w:after="0"/>
    </w:pPr>
  </w:style>
  <w:style w:type="character" w:customStyle="1" w:styleId="HeaderChar">
    <w:name w:val="Header Char"/>
    <w:basedOn w:val="DefaultParagraphFont"/>
    <w:link w:val="Header"/>
    <w:uiPriority w:val="99"/>
    <w:rsid w:val="00821C17"/>
    <w:rPr>
      <w:rFonts w:asciiTheme="minorHAnsi" w:eastAsiaTheme="minorEastAsia" w:hAnsiTheme="minorHAnsi"/>
      <w:szCs w:val="24"/>
      <w:lang w:eastAsia="en-AU"/>
    </w:rPr>
  </w:style>
  <w:style w:type="paragraph" w:styleId="DocumentMap">
    <w:name w:val="Document Map"/>
    <w:basedOn w:val="Normal"/>
    <w:link w:val="DocumentMapChar"/>
    <w:uiPriority w:val="99"/>
    <w:semiHidden/>
    <w:unhideWhenUsed/>
    <w:rsid w:val="00821C17"/>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21C17"/>
    <w:rPr>
      <w:rFonts w:ascii="Lucida Grande" w:eastAsiaTheme="minorEastAsia" w:hAnsi="Lucida Grande" w:cs="Lucida Grande"/>
      <w:szCs w:val="24"/>
      <w:lang w:eastAsia="en-AU"/>
    </w:rPr>
  </w:style>
  <w:style w:type="table" w:styleId="TableGrid">
    <w:name w:val="Table Grid"/>
    <w:aliases w:val="Summary box"/>
    <w:basedOn w:val="TableNormal"/>
    <w:uiPriority w:val="59"/>
    <w:rsid w:val="00821C17"/>
    <w:pPr>
      <w:spacing w:after="0" w:line="240" w:lineRule="auto"/>
    </w:pPr>
    <w:rPr>
      <w:rFonts w:asciiTheme="minorHAnsi" w:eastAsiaTheme="minorEastAsia" w:hAnsiTheme="minorHAns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link w:val="TablewritingChar"/>
    <w:qFormat/>
    <w:rsid w:val="00821C17"/>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821C17"/>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821C17"/>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821C17"/>
    <w:rPr>
      <w:rFonts w:cs="Baskerville"/>
      <w:sz w:val="20"/>
      <w:szCs w:val="20"/>
    </w:rPr>
  </w:style>
  <w:style w:type="paragraph" w:customStyle="1" w:styleId="Tabletitle">
    <w:name w:val="Table title"/>
    <w:basedOn w:val="Heading4"/>
    <w:link w:val="TabletitleChar"/>
    <w:qFormat/>
    <w:rsid w:val="00821C17"/>
    <w:pPr>
      <w:spacing w:after="20"/>
    </w:pPr>
    <w:rPr>
      <w:szCs w:val="24"/>
    </w:rPr>
  </w:style>
  <w:style w:type="paragraph" w:customStyle="1" w:styleId="Figurecaption">
    <w:name w:val="Figure caption"/>
    <w:basedOn w:val="Normal"/>
    <w:link w:val="FigurecaptionChar"/>
    <w:qFormat/>
    <w:rsid w:val="00821C17"/>
    <w:pPr>
      <w:spacing w:before="60" w:after="60"/>
    </w:pPr>
    <w:rPr>
      <w:sz w:val="20"/>
      <w:szCs w:val="20"/>
      <w:lang w:eastAsia="en-US"/>
    </w:rPr>
  </w:style>
  <w:style w:type="character" w:customStyle="1" w:styleId="FigurecaptionChar">
    <w:name w:val="Figure caption Char"/>
    <w:basedOn w:val="DefaultParagraphFont"/>
    <w:link w:val="Figurecaption"/>
    <w:rsid w:val="00821C17"/>
    <w:rPr>
      <w:rFonts w:asciiTheme="minorHAnsi" w:eastAsiaTheme="minorEastAsia" w:hAnsiTheme="minorHAnsi"/>
      <w:sz w:val="20"/>
      <w:szCs w:val="20"/>
    </w:rPr>
  </w:style>
  <w:style w:type="paragraph" w:styleId="FootnoteText">
    <w:name w:val="footnote text"/>
    <w:basedOn w:val="Normal"/>
    <w:link w:val="FootnoteTextChar"/>
    <w:unhideWhenUsed/>
    <w:rsid w:val="00821C17"/>
    <w:pPr>
      <w:spacing w:after="0"/>
    </w:pPr>
    <w:rPr>
      <w:sz w:val="18"/>
      <w:szCs w:val="20"/>
    </w:rPr>
  </w:style>
  <w:style w:type="character" w:customStyle="1" w:styleId="FootnoteTextChar">
    <w:name w:val="Footnote Text Char"/>
    <w:basedOn w:val="DefaultParagraphFont"/>
    <w:link w:val="FootnoteText"/>
    <w:rsid w:val="00821C17"/>
    <w:rPr>
      <w:rFonts w:asciiTheme="minorHAnsi" w:eastAsiaTheme="minorEastAsia" w:hAnsiTheme="minorHAnsi"/>
      <w:sz w:val="18"/>
      <w:szCs w:val="20"/>
      <w:lang w:eastAsia="en-AU"/>
    </w:rPr>
  </w:style>
  <w:style w:type="character" w:styleId="FootnoteReference">
    <w:name w:val="footnote reference"/>
    <w:basedOn w:val="DefaultParagraphFont"/>
    <w:unhideWhenUsed/>
    <w:rsid w:val="00821C17"/>
    <w:rPr>
      <w:vertAlign w:val="superscript"/>
    </w:rPr>
  </w:style>
  <w:style w:type="character" w:customStyle="1" w:styleId="TabletitleChar">
    <w:name w:val="Table title Char"/>
    <w:basedOn w:val="Heading4Char"/>
    <w:link w:val="Tabletitle"/>
    <w:rsid w:val="00821C17"/>
    <w:rPr>
      <w:rFonts w:asciiTheme="minorHAnsi" w:eastAsiaTheme="minorEastAsia" w:hAnsiTheme="minorHAnsi"/>
      <w:b/>
      <w:i/>
      <w:sz w:val="32"/>
      <w:szCs w:val="24"/>
      <w:lang w:eastAsia="en-AU"/>
    </w:rPr>
  </w:style>
  <w:style w:type="paragraph" w:customStyle="1" w:styleId="Figuretitle">
    <w:name w:val="Figure title"/>
    <w:basedOn w:val="Tabletitle"/>
    <w:link w:val="FiguretitleChar"/>
    <w:qFormat/>
    <w:rsid w:val="00821C17"/>
    <w:pPr>
      <w:spacing w:before="60" w:after="60"/>
    </w:pPr>
    <w:rPr>
      <w:i w:val="0"/>
      <w:lang w:val="en-US"/>
    </w:rPr>
  </w:style>
  <w:style w:type="character" w:customStyle="1" w:styleId="FiguretitleChar">
    <w:name w:val="Figure title Char"/>
    <w:basedOn w:val="TabletitleChar"/>
    <w:link w:val="Figuretitle"/>
    <w:rsid w:val="00821C17"/>
    <w:rPr>
      <w:rFonts w:asciiTheme="minorHAnsi" w:eastAsiaTheme="minorEastAsia" w:hAnsiTheme="minorHAnsi"/>
      <w:b/>
      <w:i w:val="0"/>
      <w:sz w:val="32"/>
      <w:szCs w:val="24"/>
      <w:lang w:val="en-US" w:eastAsia="en-AU"/>
    </w:rPr>
  </w:style>
  <w:style w:type="paragraph" w:styleId="NoSpacing">
    <w:name w:val="No Spacing"/>
    <w:uiPriority w:val="1"/>
    <w:qFormat/>
    <w:rsid w:val="00821C17"/>
    <w:pPr>
      <w:spacing w:after="0" w:line="240" w:lineRule="auto"/>
    </w:pPr>
    <w:rPr>
      <w:rFonts w:asciiTheme="minorHAnsi" w:eastAsiaTheme="minorEastAsia" w:hAnsiTheme="minorHAnsi"/>
      <w:szCs w:val="24"/>
      <w:lang w:eastAsia="en-AU"/>
    </w:rPr>
  </w:style>
  <w:style w:type="paragraph" w:styleId="ListParagraph">
    <w:name w:val="List Paragraph"/>
    <w:basedOn w:val="Normal"/>
    <w:uiPriority w:val="34"/>
    <w:qFormat/>
    <w:rsid w:val="00821C17"/>
    <w:pPr>
      <w:ind w:left="720"/>
      <w:contextualSpacing/>
    </w:pPr>
  </w:style>
  <w:style w:type="character" w:styleId="Hyperlink">
    <w:name w:val="Hyperlink"/>
    <w:basedOn w:val="DefaultParagraphFont"/>
    <w:uiPriority w:val="99"/>
    <w:unhideWhenUsed/>
    <w:rsid w:val="00821C17"/>
    <w:rPr>
      <w:color w:val="0000FF" w:themeColor="hyperlink"/>
      <w:u w:val="single"/>
    </w:rPr>
  </w:style>
  <w:style w:type="character" w:styleId="FollowedHyperlink">
    <w:name w:val="FollowedHyperlink"/>
    <w:basedOn w:val="DefaultParagraphFont"/>
    <w:uiPriority w:val="99"/>
    <w:semiHidden/>
    <w:unhideWhenUsed/>
    <w:rsid w:val="00821C17"/>
    <w:rPr>
      <w:color w:val="800080" w:themeColor="followedHyperlink"/>
      <w:u w:val="single"/>
    </w:rPr>
  </w:style>
  <w:style w:type="paragraph" w:customStyle="1" w:styleId="Table-bodytext">
    <w:name w:val="Table - body text"/>
    <w:basedOn w:val="Normal"/>
    <w:link w:val="Table-bodytextChar"/>
    <w:rsid w:val="00821C17"/>
    <w:pPr>
      <w:spacing w:after="0"/>
      <w:jc w:val="center"/>
    </w:pPr>
    <w:rPr>
      <w:rFonts w:ascii="Times New Roman" w:eastAsia="Times New Roman" w:hAnsi="Times New Roman" w:cs="Arial"/>
      <w:sz w:val="20"/>
      <w:lang w:eastAsia="en-US"/>
    </w:rPr>
  </w:style>
  <w:style w:type="character" w:customStyle="1" w:styleId="Table-bodytextChar">
    <w:name w:val="Table - body text Char"/>
    <w:basedOn w:val="DefaultParagraphFont"/>
    <w:link w:val="Table-bodytext"/>
    <w:rsid w:val="00821C17"/>
    <w:rPr>
      <w:rFonts w:eastAsia="Times New Roman" w:cs="Arial"/>
      <w:sz w:val="20"/>
      <w:szCs w:val="24"/>
    </w:rPr>
  </w:style>
  <w:style w:type="paragraph" w:customStyle="1" w:styleId="Table-columnheadings">
    <w:name w:val="Table - column headings"/>
    <w:basedOn w:val="Table-bodytext"/>
    <w:rsid w:val="00821C17"/>
    <w:pPr>
      <w:keepNext/>
    </w:pPr>
    <w:rPr>
      <w:b/>
      <w:bCs/>
    </w:rPr>
  </w:style>
  <w:style w:type="paragraph" w:customStyle="1" w:styleId="Tabletext">
    <w:name w:val="Tabletext"/>
    <w:basedOn w:val="Normal"/>
    <w:rsid w:val="00821C17"/>
    <w:pPr>
      <w:spacing w:after="0"/>
    </w:pPr>
    <w:rPr>
      <w:rFonts w:ascii="Times New Roman" w:eastAsia="Times New Roman" w:hAnsi="Times New Roman" w:cs="Times New Roman"/>
      <w:sz w:val="20"/>
      <w:lang w:eastAsia="en-US"/>
    </w:rPr>
  </w:style>
  <w:style w:type="character" w:customStyle="1" w:styleId="apple-converted-space">
    <w:name w:val="apple-converted-space"/>
    <w:basedOn w:val="DefaultParagraphFont"/>
    <w:rsid w:val="00821C17"/>
  </w:style>
  <w:style w:type="character" w:customStyle="1" w:styleId="ref-journal">
    <w:name w:val="ref-journal"/>
    <w:basedOn w:val="DefaultParagraphFont"/>
    <w:rsid w:val="00821C17"/>
  </w:style>
  <w:style w:type="character" w:customStyle="1" w:styleId="ref-vol">
    <w:name w:val="ref-vol"/>
    <w:basedOn w:val="DefaultParagraphFont"/>
    <w:rsid w:val="00821C17"/>
  </w:style>
  <w:style w:type="paragraph" w:styleId="NormalWeb">
    <w:name w:val="Normal (Web)"/>
    <w:basedOn w:val="Normal"/>
    <w:uiPriority w:val="99"/>
    <w:semiHidden/>
    <w:unhideWhenUsed/>
    <w:rsid w:val="00821C17"/>
    <w:pPr>
      <w:spacing w:before="100" w:beforeAutospacing="1" w:after="100" w:afterAutospacing="1"/>
    </w:pPr>
    <w:rPr>
      <w:rFonts w:ascii="Times New Roman" w:eastAsiaTheme="minorHAnsi" w:hAnsi="Times New Roman" w:cs="Times New Roman"/>
    </w:rPr>
  </w:style>
  <w:style w:type="character" w:styleId="PlaceholderText">
    <w:name w:val="Placeholder Text"/>
    <w:basedOn w:val="DefaultParagraphFont"/>
    <w:uiPriority w:val="99"/>
    <w:semiHidden/>
    <w:rsid w:val="001E4637"/>
    <w:rPr>
      <w:color w:val="808080"/>
    </w:rPr>
  </w:style>
  <w:style w:type="paragraph" w:customStyle="1" w:styleId="TableText0">
    <w:name w:val="Table Text"/>
    <w:basedOn w:val="Normal"/>
    <w:link w:val="TableTextChar"/>
    <w:qFormat/>
    <w:rsid w:val="00125BF6"/>
    <w:pPr>
      <w:spacing w:before="60" w:after="60"/>
    </w:pPr>
    <w:rPr>
      <w:rFonts w:ascii="Arial" w:eastAsia="Times New Roman" w:hAnsi="Arial" w:cs="Times New Roman"/>
      <w:sz w:val="18"/>
      <w:szCs w:val="20"/>
    </w:rPr>
  </w:style>
  <w:style w:type="paragraph" w:customStyle="1" w:styleId="Quote1">
    <w:name w:val="Quote1"/>
    <w:basedOn w:val="Normal"/>
    <w:autoRedefine/>
    <w:rsid w:val="008D7A27"/>
    <w:pPr>
      <w:autoSpaceDE w:val="0"/>
      <w:autoSpaceDN w:val="0"/>
      <w:adjustRightInd w:val="0"/>
      <w:spacing w:after="0"/>
      <w:ind w:left="432"/>
    </w:pPr>
    <w:rPr>
      <w:rFonts w:ascii="Times New (W1)" w:eastAsia="Times New Roman" w:hAnsi="Times New (W1)" w:cs="Times New Roman"/>
      <w:i/>
      <w:sz w:val="22"/>
      <w:lang w:val="en-US" w:eastAsia="en-US"/>
    </w:rPr>
  </w:style>
  <w:style w:type="character" w:styleId="Strong">
    <w:name w:val="Strong"/>
    <w:basedOn w:val="DefaultParagraphFont"/>
    <w:uiPriority w:val="22"/>
    <w:qFormat/>
    <w:rsid w:val="007260F5"/>
    <w:rPr>
      <w:b/>
      <w:bCs/>
    </w:rPr>
  </w:style>
  <w:style w:type="character" w:customStyle="1" w:styleId="cit">
    <w:name w:val="cit"/>
    <w:basedOn w:val="DefaultParagraphFont"/>
    <w:rsid w:val="00F55148"/>
  </w:style>
  <w:style w:type="character" w:customStyle="1" w:styleId="doi">
    <w:name w:val="doi"/>
    <w:basedOn w:val="DefaultParagraphFont"/>
    <w:rsid w:val="00F55148"/>
  </w:style>
  <w:style w:type="character" w:customStyle="1" w:styleId="fm-reuse">
    <w:name w:val="fm-reuse"/>
    <w:basedOn w:val="DefaultParagraphFont"/>
    <w:rsid w:val="00F55148"/>
  </w:style>
  <w:style w:type="paragraph" w:customStyle="1" w:styleId="contribs">
    <w:name w:val="contribs"/>
    <w:basedOn w:val="Normal"/>
    <w:rsid w:val="00F55148"/>
    <w:pPr>
      <w:spacing w:before="100" w:beforeAutospacing="1" w:after="100" w:afterAutospacing="1"/>
    </w:pPr>
    <w:rPr>
      <w:rFonts w:ascii="Times New Roman" w:eastAsia="Times New Roman" w:hAnsi="Times New Roman" w:cs="Times New Roman"/>
    </w:rPr>
  </w:style>
  <w:style w:type="character" w:customStyle="1" w:styleId="fm-role">
    <w:name w:val="fm-role"/>
    <w:basedOn w:val="DefaultParagraphFont"/>
    <w:rsid w:val="00F55148"/>
  </w:style>
  <w:style w:type="paragraph" w:customStyle="1" w:styleId="fm-aai">
    <w:name w:val="fm-aai"/>
    <w:basedOn w:val="Normal"/>
    <w:rsid w:val="00F55148"/>
    <w:pPr>
      <w:spacing w:before="100" w:beforeAutospacing="1" w:after="100" w:afterAutospacing="1"/>
    </w:pPr>
    <w:rPr>
      <w:rFonts w:ascii="Times New Roman" w:eastAsia="Times New Roman" w:hAnsi="Times New Roman" w:cs="Times New Roman"/>
    </w:rPr>
  </w:style>
  <w:style w:type="paragraph" w:customStyle="1" w:styleId="p">
    <w:name w:val="p"/>
    <w:basedOn w:val="Normal"/>
    <w:rsid w:val="00F55148"/>
    <w:pPr>
      <w:spacing w:before="100" w:beforeAutospacing="1" w:after="100" w:afterAutospacing="1"/>
    </w:pPr>
    <w:rPr>
      <w:rFonts w:ascii="Times New Roman" w:eastAsia="Times New Roman" w:hAnsi="Times New Roman" w:cs="Times New Roman"/>
    </w:rPr>
  </w:style>
  <w:style w:type="character" w:customStyle="1" w:styleId="kwd-text">
    <w:name w:val="kwd-text"/>
    <w:basedOn w:val="DefaultParagraphFont"/>
    <w:rsid w:val="00F55148"/>
  </w:style>
  <w:style w:type="character" w:customStyle="1" w:styleId="underline">
    <w:name w:val="underline"/>
    <w:basedOn w:val="DefaultParagraphFont"/>
    <w:rsid w:val="00F55148"/>
  </w:style>
  <w:style w:type="character" w:styleId="Emphasis">
    <w:name w:val="Emphasis"/>
    <w:basedOn w:val="DefaultParagraphFont"/>
    <w:uiPriority w:val="20"/>
    <w:qFormat/>
    <w:rsid w:val="00F55148"/>
    <w:rPr>
      <w:i/>
      <w:iCs/>
    </w:rPr>
  </w:style>
  <w:style w:type="character" w:customStyle="1" w:styleId="figpopup-sensitive-area">
    <w:name w:val="figpopup-sensitive-area"/>
    <w:basedOn w:val="DefaultParagraphFont"/>
    <w:rsid w:val="00F55148"/>
  </w:style>
  <w:style w:type="paragraph" w:customStyle="1" w:styleId="fn">
    <w:name w:val="fn"/>
    <w:basedOn w:val="Normal"/>
    <w:rsid w:val="00F55148"/>
    <w:pPr>
      <w:spacing w:before="100" w:beforeAutospacing="1" w:after="100" w:afterAutospacing="1"/>
    </w:pPr>
    <w:rPr>
      <w:rFonts w:ascii="Times New Roman" w:eastAsia="Times New Roman" w:hAnsi="Times New Roman" w:cs="Times New Roman"/>
    </w:rPr>
  </w:style>
  <w:style w:type="character" w:customStyle="1" w:styleId="fm-affl">
    <w:name w:val="fm-affl"/>
    <w:basedOn w:val="DefaultParagraphFont"/>
    <w:rsid w:val="00F55148"/>
  </w:style>
  <w:style w:type="character" w:customStyle="1" w:styleId="fm-citation-ids-label">
    <w:name w:val="fm-citation-ids-label"/>
    <w:basedOn w:val="DefaultParagraphFont"/>
    <w:rsid w:val="00F55148"/>
  </w:style>
  <w:style w:type="character" w:customStyle="1" w:styleId="contrib-email">
    <w:name w:val="contrib-email"/>
    <w:basedOn w:val="DefaultParagraphFont"/>
    <w:rsid w:val="00F55148"/>
  </w:style>
  <w:style w:type="character" w:customStyle="1" w:styleId="element-citation">
    <w:name w:val="element-citation"/>
    <w:basedOn w:val="DefaultParagraphFont"/>
    <w:rsid w:val="00F55148"/>
  </w:style>
  <w:style w:type="character" w:customStyle="1" w:styleId="nowrap">
    <w:name w:val="nowrap"/>
    <w:basedOn w:val="DefaultParagraphFont"/>
    <w:rsid w:val="00F55148"/>
  </w:style>
  <w:style w:type="paragraph" w:styleId="EndnoteText">
    <w:name w:val="endnote text"/>
    <w:basedOn w:val="Normal"/>
    <w:link w:val="EndnoteTextChar"/>
    <w:uiPriority w:val="99"/>
    <w:semiHidden/>
    <w:unhideWhenUsed/>
    <w:rsid w:val="00C2756C"/>
    <w:pPr>
      <w:spacing w:after="0"/>
    </w:pPr>
    <w:rPr>
      <w:sz w:val="20"/>
      <w:szCs w:val="20"/>
    </w:rPr>
  </w:style>
  <w:style w:type="character" w:customStyle="1" w:styleId="EndnoteTextChar">
    <w:name w:val="Endnote Text Char"/>
    <w:basedOn w:val="DefaultParagraphFont"/>
    <w:link w:val="EndnoteText"/>
    <w:uiPriority w:val="99"/>
    <w:semiHidden/>
    <w:rsid w:val="00C2756C"/>
    <w:rPr>
      <w:rFonts w:asciiTheme="minorHAnsi" w:eastAsiaTheme="minorEastAsia" w:hAnsiTheme="minorHAnsi"/>
      <w:sz w:val="20"/>
      <w:szCs w:val="20"/>
      <w:lang w:eastAsia="en-AU"/>
    </w:rPr>
  </w:style>
  <w:style w:type="character" w:styleId="EndnoteReference">
    <w:name w:val="endnote reference"/>
    <w:basedOn w:val="DefaultParagraphFont"/>
    <w:uiPriority w:val="99"/>
    <w:semiHidden/>
    <w:unhideWhenUsed/>
    <w:rsid w:val="00C2756C"/>
    <w:rPr>
      <w:vertAlign w:val="superscript"/>
    </w:rPr>
  </w:style>
  <w:style w:type="character" w:customStyle="1" w:styleId="abbreviation">
    <w:name w:val="abbreviation"/>
    <w:basedOn w:val="DefaultParagraphFont"/>
    <w:rsid w:val="009C1E36"/>
  </w:style>
  <w:style w:type="paragraph" w:customStyle="1" w:styleId="li21">
    <w:name w:val="li2_1"/>
    <w:basedOn w:val="Normal"/>
    <w:rsid w:val="009C1E36"/>
    <w:pPr>
      <w:spacing w:before="100" w:beforeAutospacing="1" w:after="100" w:afterAutospacing="1"/>
    </w:pPr>
    <w:rPr>
      <w:rFonts w:ascii="Times New Roman" w:eastAsia="Times New Roman" w:hAnsi="Times New Roman" w:cs="Times New Roman"/>
    </w:rPr>
  </w:style>
  <w:style w:type="paragraph" w:customStyle="1" w:styleId="BodyText1">
    <w:name w:val="Body Text1"/>
    <w:basedOn w:val="Normal"/>
    <w:uiPriority w:val="1"/>
    <w:qFormat/>
    <w:rsid w:val="000254BD"/>
    <w:pPr>
      <w:spacing w:after="120" w:line="276" w:lineRule="auto"/>
    </w:pPr>
    <w:rPr>
      <w:rFonts w:ascii="Cambria" w:eastAsia="Times New Roman" w:hAnsi="Cambria" w:cs="Calibri"/>
      <w:noProof/>
      <w:lang w:eastAsia="en-US"/>
    </w:rPr>
  </w:style>
  <w:style w:type="character" w:customStyle="1" w:styleId="TablewritingChar">
    <w:name w:val="Table writing Char"/>
    <w:link w:val="Tablewriting"/>
    <w:rsid w:val="000254BD"/>
    <w:rPr>
      <w:rFonts w:asciiTheme="minorHAnsi" w:eastAsiaTheme="minorEastAsia" w:hAnsiTheme="minorHAnsi" w:cs="Calibri"/>
      <w:color w:val="000000"/>
      <w:sz w:val="20"/>
      <w:szCs w:val="20"/>
      <w:lang w:eastAsia="en-AU"/>
    </w:rPr>
  </w:style>
  <w:style w:type="character" w:customStyle="1" w:styleId="TableTextChar">
    <w:name w:val="Table Text Char"/>
    <w:link w:val="TableText0"/>
    <w:rsid w:val="006D3226"/>
    <w:rPr>
      <w:rFonts w:ascii="Arial" w:eastAsia="Times New Roman" w:hAnsi="Arial" w:cs="Times New Roman"/>
      <w:sz w:val="18"/>
      <w:szCs w:val="20"/>
      <w:lang w:eastAsia="en-AU"/>
    </w:rPr>
  </w:style>
  <w:style w:type="paragraph" w:styleId="Caption">
    <w:name w:val="caption"/>
    <w:aliases w:val="Bayer Caption,IB Caption,Medical Caption,Caption Char1 Char Char,Caption Char Char Char Char,Caption Char1 Char,Caption Char Char Char Char Char,Caption Char Char,Caption Char Char Char Char1,Caption Char1 Char1,Caption Char Char Char,c"/>
    <w:basedOn w:val="Normal"/>
    <w:next w:val="Normal"/>
    <w:link w:val="CaptionChar"/>
    <w:qFormat/>
    <w:rsid w:val="00912AC3"/>
    <w:pPr>
      <w:spacing w:before="120" w:after="120" w:line="360" w:lineRule="auto"/>
      <w:jc w:val="both"/>
    </w:pPr>
    <w:rPr>
      <w:rFonts w:ascii="Times New Roman" w:eastAsia="SimSun" w:hAnsi="Times New Roman" w:cs="Times New Roman"/>
      <w:b/>
      <w:bCs/>
      <w:sz w:val="22"/>
      <w:szCs w:val="20"/>
      <w:lang w:eastAsia="zh-CN"/>
    </w:rPr>
  </w:style>
  <w:style w:type="character" w:customStyle="1" w:styleId="CaptionChar">
    <w:name w:val="Caption Char"/>
    <w:aliases w:val="Bayer Caption Char,IB Caption Char,Medical Caption Char,Caption Char1 Char Char Char,Caption Char Char Char Char Char1,Caption Char1 Char Char1,Caption Char Char Char Char Char Char,Caption Char Char Char1,Caption Char Char Char Char1 Char"/>
    <w:basedOn w:val="DefaultParagraphFont"/>
    <w:link w:val="Caption"/>
    <w:rsid w:val="00912AC3"/>
    <w:rPr>
      <w:rFonts w:eastAsia="SimSun" w:cs="Times New Roman"/>
      <w:b/>
      <w:bCs/>
      <w:sz w:val="22"/>
      <w:szCs w:val="20"/>
      <w:lang w:eastAsia="zh-CN"/>
    </w:rPr>
  </w:style>
  <w:style w:type="paragraph" w:styleId="Revision">
    <w:name w:val="Revision"/>
    <w:hidden/>
    <w:uiPriority w:val="99"/>
    <w:semiHidden/>
    <w:rsid w:val="000E0A13"/>
    <w:pPr>
      <w:spacing w:after="0" w:line="240" w:lineRule="auto"/>
    </w:pPr>
    <w:rPr>
      <w:rFonts w:asciiTheme="minorHAnsi" w:eastAsiaTheme="minorEastAsia" w:hAnsiTheme="minorHAnsi"/>
      <w:szCs w:val="24"/>
      <w:lang w:eastAsia="en-AU"/>
    </w:rPr>
  </w:style>
  <w:style w:type="numbering" w:customStyle="1" w:styleId="NoList1">
    <w:name w:val="No List1"/>
    <w:next w:val="NoList"/>
    <w:uiPriority w:val="99"/>
    <w:semiHidden/>
    <w:unhideWhenUsed/>
    <w:rsid w:val="00B87CD5"/>
  </w:style>
  <w:style w:type="table" w:customStyle="1" w:styleId="TableGrid1">
    <w:name w:val="Table Grid1"/>
    <w:basedOn w:val="TableNormal"/>
    <w:next w:val="TableGrid"/>
    <w:uiPriority w:val="59"/>
    <w:rsid w:val="00B87CD5"/>
    <w:pPr>
      <w:spacing w:after="0" w:line="240" w:lineRule="auto"/>
    </w:pPr>
    <w:rPr>
      <w:rFonts w:ascii="Calibri" w:eastAsia="MS Mincho" w:hAnsi="Calibri"/>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Heading1"/>
    <w:link w:val="Title2Char"/>
    <w:qFormat/>
    <w:rsid w:val="00B87CD5"/>
    <w:rPr>
      <w:szCs w:val="32"/>
    </w:rPr>
  </w:style>
  <w:style w:type="paragraph" w:customStyle="1" w:styleId="Meetingdate">
    <w:name w:val="Meeting date"/>
    <w:basedOn w:val="Heading4"/>
    <w:link w:val="MeetingdateChar"/>
    <w:qFormat/>
    <w:rsid w:val="00B87CD5"/>
  </w:style>
  <w:style w:type="character" w:customStyle="1" w:styleId="Title2Char">
    <w:name w:val="Title 2 Char"/>
    <w:basedOn w:val="Heading1Char"/>
    <w:link w:val="Title2"/>
    <w:rsid w:val="00B87CD5"/>
    <w:rPr>
      <w:rFonts w:asciiTheme="minorHAnsi" w:eastAsiaTheme="majorEastAsia" w:hAnsiTheme="minorHAnsi" w:cstheme="majorBidi"/>
      <w:b/>
      <w:bCs/>
      <w:sz w:val="40"/>
      <w:szCs w:val="32"/>
      <w:lang w:eastAsia="en-AU"/>
    </w:rPr>
  </w:style>
  <w:style w:type="character" w:customStyle="1" w:styleId="MeetingdateChar">
    <w:name w:val="Meeting date Char"/>
    <w:basedOn w:val="Heading4Char"/>
    <w:link w:val="Meetingdate"/>
    <w:rsid w:val="00B87CD5"/>
    <w:rPr>
      <w:rFonts w:asciiTheme="minorHAnsi" w:eastAsiaTheme="minorEastAsia" w:hAnsiTheme="minorHAnsi"/>
      <w:b/>
      <w:i/>
      <w:sz w:val="32"/>
      <w:szCs w:val="32"/>
      <w:lang w:eastAsia="en-AU"/>
    </w:rPr>
  </w:style>
  <w:style w:type="paragraph" w:customStyle="1" w:styleId="Default">
    <w:name w:val="Default"/>
    <w:basedOn w:val="Normal"/>
    <w:rsid w:val="00B87CD5"/>
    <w:pPr>
      <w:autoSpaceDE w:val="0"/>
      <w:autoSpaceDN w:val="0"/>
      <w:spacing w:after="0"/>
    </w:pPr>
    <w:rPr>
      <w:rFonts w:ascii="Calibri" w:eastAsia="Calibri" w:hAnsi="Calibri" w:cs="Times New Roman"/>
      <w:color w:val="000000"/>
      <w:lang w:eastAsia="en-US"/>
    </w:rPr>
  </w:style>
  <w:style w:type="character" w:customStyle="1" w:styleId="prod-title">
    <w:name w:val="prod-title"/>
    <w:basedOn w:val="DefaultParagraphFont"/>
    <w:rsid w:val="00B87CD5"/>
  </w:style>
  <w:style w:type="character" w:customStyle="1" w:styleId="published-date">
    <w:name w:val="published-date"/>
    <w:basedOn w:val="DefaultParagraphFont"/>
    <w:rsid w:val="00B87CD5"/>
  </w:style>
  <w:style w:type="character" w:customStyle="1" w:styleId="item-code">
    <w:name w:val="item-code"/>
    <w:basedOn w:val="DefaultParagraphFont"/>
    <w:rsid w:val="00B87CD5"/>
  </w:style>
  <w:style w:type="character" w:customStyle="1" w:styleId="legend-item">
    <w:name w:val="legend-item"/>
    <w:basedOn w:val="DefaultParagraphFont"/>
    <w:rsid w:val="00B87CD5"/>
  </w:style>
  <w:style w:type="character" w:customStyle="1" w:styleId="drug-name">
    <w:name w:val="drug-name"/>
    <w:basedOn w:val="DefaultParagraphFont"/>
    <w:rsid w:val="00B87CD5"/>
  </w:style>
  <w:style w:type="character" w:customStyle="1" w:styleId="form-strength">
    <w:name w:val="form-strength"/>
    <w:basedOn w:val="DefaultParagraphFont"/>
    <w:rsid w:val="00B87CD5"/>
  </w:style>
  <w:style w:type="paragraph" w:customStyle="1" w:styleId="Tabletext1">
    <w:name w:val="Table text"/>
    <w:basedOn w:val="Normal"/>
    <w:link w:val="TabletextChar1"/>
    <w:qFormat/>
    <w:rsid w:val="00B87CD5"/>
    <w:pPr>
      <w:spacing w:after="0"/>
    </w:pPr>
    <w:rPr>
      <w:rFonts w:ascii="Arial" w:eastAsia="Times New Roman" w:hAnsi="Arial" w:cs="Times New Roman"/>
      <w:sz w:val="20"/>
      <w:szCs w:val="20"/>
      <w:lang w:val="x-none" w:eastAsia="en-US"/>
    </w:rPr>
  </w:style>
  <w:style w:type="paragraph" w:customStyle="1" w:styleId="Tablenotes">
    <w:name w:val="Table notes"/>
    <w:basedOn w:val="Normal"/>
    <w:link w:val="TablenotesChar"/>
    <w:qFormat/>
    <w:rsid w:val="00B87CD5"/>
    <w:pPr>
      <w:widowControl w:val="0"/>
      <w:spacing w:after="240"/>
      <w:contextualSpacing/>
      <w:jc w:val="both"/>
    </w:pPr>
    <w:rPr>
      <w:rFonts w:ascii="Arial" w:eastAsia="Times New Roman" w:hAnsi="Arial" w:cs="Times New Roman"/>
      <w:snapToGrid w:val="0"/>
      <w:sz w:val="20"/>
      <w:szCs w:val="20"/>
      <w:lang w:val="x-none" w:eastAsia="en-US"/>
    </w:rPr>
  </w:style>
  <w:style w:type="character" w:customStyle="1" w:styleId="TablenotesChar">
    <w:name w:val="Table notes Char"/>
    <w:link w:val="Tablenotes"/>
    <w:rsid w:val="00B87CD5"/>
    <w:rPr>
      <w:rFonts w:ascii="Arial" w:eastAsia="Times New Roman" w:hAnsi="Arial" w:cs="Times New Roman"/>
      <w:snapToGrid w:val="0"/>
      <w:sz w:val="20"/>
      <w:szCs w:val="20"/>
      <w:lang w:val="x-none"/>
    </w:rPr>
  </w:style>
  <w:style w:type="character" w:customStyle="1" w:styleId="TabletextChar1">
    <w:name w:val="Table text Char1"/>
    <w:link w:val="Tabletext1"/>
    <w:rsid w:val="00B87CD5"/>
    <w:rPr>
      <w:rFonts w:ascii="Arial" w:eastAsia="Times New Roman" w:hAnsi="Arial" w:cs="Times New Roman"/>
      <w:sz w:val="20"/>
      <w:szCs w:val="20"/>
      <w:lang w:val="x-none"/>
    </w:rPr>
  </w:style>
  <w:style w:type="paragraph" w:customStyle="1" w:styleId="acthead5">
    <w:name w:val="acthead5"/>
    <w:basedOn w:val="Normal"/>
    <w:rsid w:val="001D69C7"/>
    <w:pPr>
      <w:spacing w:before="100" w:beforeAutospacing="1" w:after="100" w:afterAutospacing="1"/>
    </w:pPr>
    <w:rPr>
      <w:rFonts w:ascii="Times New Roman" w:eastAsia="Times New Roman" w:hAnsi="Times New Roman" w:cs="Times New Roman"/>
    </w:rPr>
  </w:style>
  <w:style w:type="character" w:customStyle="1" w:styleId="charsectno">
    <w:name w:val="charsectno"/>
    <w:basedOn w:val="DefaultParagraphFont"/>
    <w:rsid w:val="001D69C7"/>
  </w:style>
  <w:style w:type="paragraph" w:customStyle="1" w:styleId="subsection">
    <w:name w:val="subsection"/>
    <w:basedOn w:val="Normal"/>
    <w:rsid w:val="001D69C7"/>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1D69C7"/>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F57D3A"/>
    <w:pPr>
      <w:spacing w:before="100" w:beforeAutospacing="1" w:after="100" w:afterAutospacing="1"/>
    </w:pPr>
    <w:rPr>
      <w:rFonts w:ascii="Times New Roman" w:eastAsia="Times New Roman" w:hAnsi="Times New Roman" w:cs="Times New Roman"/>
    </w:rPr>
  </w:style>
  <w:style w:type="paragraph" w:customStyle="1" w:styleId="Char">
    <w:name w:val="Char"/>
    <w:basedOn w:val="Normal"/>
    <w:rsid w:val="00C700E4"/>
    <w:pPr>
      <w:spacing w:after="160" w:line="240" w:lineRule="exact"/>
    </w:pPr>
    <w:rPr>
      <w:rFonts w:ascii="Verdana" w:eastAsia="MS Mincho"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877">
      <w:bodyDiv w:val="1"/>
      <w:marLeft w:val="0"/>
      <w:marRight w:val="0"/>
      <w:marTop w:val="0"/>
      <w:marBottom w:val="0"/>
      <w:divBdr>
        <w:top w:val="none" w:sz="0" w:space="0" w:color="auto"/>
        <w:left w:val="none" w:sz="0" w:space="0" w:color="auto"/>
        <w:bottom w:val="none" w:sz="0" w:space="0" w:color="auto"/>
        <w:right w:val="none" w:sz="0" w:space="0" w:color="auto"/>
      </w:divBdr>
    </w:div>
    <w:div w:id="40370622">
      <w:bodyDiv w:val="1"/>
      <w:marLeft w:val="0"/>
      <w:marRight w:val="0"/>
      <w:marTop w:val="0"/>
      <w:marBottom w:val="0"/>
      <w:divBdr>
        <w:top w:val="none" w:sz="0" w:space="0" w:color="auto"/>
        <w:left w:val="none" w:sz="0" w:space="0" w:color="auto"/>
        <w:bottom w:val="none" w:sz="0" w:space="0" w:color="auto"/>
        <w:right w:val="none" w:sz="0" w:space="0" w:color="auto"/>
      </w:divBdr>
    </w:div>
    <w:div w:id="100882748">
      <w:bodyDiv w:val="1"/>
      <w:marLeft w:val="0"/>
      <w:marRight w:val="0"/>
      <w:marTop w:val="0"/>
      <w:marBottom w:val="0"/>
      <w:divBdr>
        <w:top w:val="none" w:sz="0" w:space="0" w:color="auto"/>
        <w:left w:val="none" w:sz="0" w:space="0" w:color="auto"/>
        <w:bottom w:val="none" w:sz="0" w:space="0" w:color="auto"/>
        <w:right w:val="none" w:sz="0" w:space="0" w:color="auto"/>
      </w:divBdr>
    </w:div>
    <w:div w:id="112865301">
      <w:bodyDiv w:val="1"/>
      <w:marLeft w:val="0"/>
      <w:marRight w:val="0"/>
      <w:marTop w:val="0"/>
      <w:marBottom w:val="0"/>
      <w:divBdr>
        <w:top w:val="none" w:sz="0" w:space="0" w:color="auto"/>
        <w:left w:val="none" w:sz="0" w:space="0" w:color="auto"/>
        <w:bottom w:val="none" w:sz="0" w:space="0" w:color="auto"/>
        <w:right w:val="none" w:sz="0" w:space="0" w:color="auto"/>
      </w:divBdr>
    </w:div>
    <w:div w:id="113208616">
      <w:bodyDiv w:val="1"/>
      <w:marLeft w:val="0"/>
      <w:marRight w:val="0"/>
      <w:marTop w:val="0"/>
      <w:marBottom w:val="0"/>
      <w:divBdr>
        <w:top w:val="none" w:sz="0" w:space="0" w:color="auto"/>
        <w:left w:val="none" w:sz="0" w:space="0" w:color="auto"/>
        <w:bottom w:val="none" w:sz="0" w:space="0" w:color="auto"/>
        <w:right w:val="none" w:sz="0" w:space="0" w:color="auto"/>
      </w:divBdr>
    </w:div>
    <w:div w:id="122771577">
      <w:bodyDiv w:val="1"/>
      <w:marLeft w:val="0"/>
      <w:marRight w:val="0"/>
      <w:marTop w:val="0"/>
      <w:marBottom w:val="0"/>
      <w:divBdr>
        <w:top w:val="none" w:sz="0" w:space="0" w:color="auto"/>
        <w:left w:val="none" w:sz="0" w:space="0" w:color="auto"/>
        <w:bottom w:val="none" w:sz="0" w:space="0" w:color="auto"/>
        <w:right w:val="none" w:sz="0" w:space="0" w:color="auto"/>
      </w:divBdr>
    </w:div>
    <w:div w:id="138232259">
      <w:bodyDiv w:val="1"/>
      <w:marLeft w:val="0"/>
      <w:marRight w:val="0"/>
      <w:marTop w:val="0"/>
      <w:marBottom w:val="0"/>
      <w:divBdr>
        <w:top w:val="none" w:sz="0" w:space="0" w:color="auto"/>
        <w:left w:val="none" w:sz="0" w:space="0" w:color="auto"/>
        <w:bottom w:val="none" w:sz="0" w:space="0" w:color="auto"/>
        <w:right w:val="none" w:sz="0" w:space="0" w:color="auto"/>
      </w:divBdr>
    </w:div>
    <w:div w:id="170753780">
      <w:bodyDiv w:val="1"/>
      <w:marLeft w:val="0"/>
      <w:marRight w:val="0"/>
      <w:marTop w:val="0"/>
      <w:marBottom w:val="0"/>
      <w:divBdr>
        <w:top w:val="none" w:sz="0" w:space="0" w:color="auto"/>
        <w:left w:val="none" w:sz="0" w:space="0" w:color="auto"/>
        <w:bottom w:val="none" w:sz="0" w:space="0" w:color="auto"/>
        <w:right w:val="none" w:sz="0" w:space="0" w:color="auto"/>
      </w:divBdr>
    </w:div>
    <w:div w:id="203450520">
      <w:bodyDiv w:val="1"/>
      <w:marLeft w:val="0"/>
      <w:marRight w:val="0"/>
      <w:marTop w:val="0"/>
      <w:marBottom w:val="0"/>
      <w:divBdr>
        <w:top w:val="none" w:sz="0" w:space="0" w:color="auto"/>
        <w:left w:val="none" w:sz="0" w:space="0" w:color="auto"/>
        <w:bottom w:val="none" w:sz="0" w:space="0" w:color="auto"/>
        <w:right w:val="none" w:sz="0" w:space="0" w:color="auto"/>
      </w:divBdr>
    </w:div>
    <w:div w:id="218519426">
      <w:bodyDiv w:val="1"/>
      <w:marLeft w:val="0"/>
      <w:marRight w:val="0"/>
      <w:marTop w:val="0"/>
      <w:marBottom w:val="0"/>
      <w:divBdr>
        <w:top w:val="none" w:sz="0" w:space="0" w:color="auto"/>
        <w:left w:val="none" w:sz="0" w:space="0" w:color="auto"/>
        <w:bottom w:val="none" w:sz="0" w:space="0" w:color="auto"/>
        <w:right w:val="none" w:sz="0" w:space="0" w:color="auto"/>
      </w:divBdr>
    </w:div>
    <w:div w:id="240408527">
      <w:bodyDiv w:val="1"/>
      <w:marLeft w:val="0"/>
      <w:marRight w:val="0"/>
      <w:marTop w:val="0"/>
      <w:marBottom w:val="0"/>
      <w:divBdr>
        <w:top w:val="none" w:sz="0" w:space="0" w:color="auto"/>
        <w:left w:val="none" w:sz="0" w:space="0" w:color="auto"/>
        <w:bottom w:val="none" w:sz="0" w:space="0" w:color="auto"/>
        <w:right w:val="none" w:sz="0" w:space="0" w:color="auto"/>
      </w:divBdr>
    </w:div>
    <w:div w:id="250549072">
      <w:bodyDiv w:val="1"/>
      <w:marLeft w:val="0"/>
      <w:marRight w:val="0"/>
      <w:marTop w:val="0"/>
      <w:marBottom w:val="0"/>
      <w:divBdr>
        <w:top w:val="none" w:sz="0" w:space="0" w:color="auto"/>
        <w:left w:val="none" w:sz="0" w:space="0" w:color="auto"/>
        <w:bottom w:val="none" w:sz="0" w:space="0" w:color="auto"/>
        <w:right w:val="none" w:sz="0" w:space="0" w:color="auto"/>
      </w:divBdr>
    </w:div>
    <w:div w:id="286856068">
      <w:bodyDiv w:val="1"/>
      <w:marLeft w:val="0"/>
      <w:marRight w:val="0"/>
      <w:marTop w:val="0"/>
      <w:marBottom w:val="0"/>
      <w:divBdr>
        <w:top w:val="none" w:sz="0" w:space="0" w:color="auto"/>
        <w:left w:val="none" w:sz="0" w:space="0" w:color="auto"/>
        <w:bottom w:val="none" w:sz="0" w:space="0" w:color="auto"/>
        <w:right w:val="none" w:sz="0" w:space="0" w:color="auto"/>
      </w:divBdr>
    </w:div>
    <w:div w:id="323896919">
      <w:bodyDiv w:val="1"/>
      <w:marLeft w:val="0"/>
      <w:marRight w:val="0"/>
      <w:marTop w:val="0"/>
      <w:marBottom w:val="0"/>
      <w:divBdr>
        <w:top w:val="none" w:sz="0" w:space="0" w:color="auto"/>
        <w:left w:val="none" w:sz="0" w:space="0" w:color="auto"/>
        <w:bottom w:val="none" w:sz="0" w:space="0" w:color="auto"/>
        <w:right w:val="none" w:sz="0" w:space="0" w:color="auto"/>
      </w:divBdr>
    </w:div>
    <w:div w:id="345641895">
      <w:bodyDiv w:val="1"/>
      <w:marLeft w:val="0"/>
      <w:marRight w:val="0"/>
      <w:marTop w:val="0"/>
      <w:marBottom w:val="0"/>
      <w:divBdr>
        <w:top w:val="none" w:sz="0" w:space="0" w:color="auto"/>
        <w:left w:val="none" w:sz="0" w:space="0" w:color="auto"/>
        <w:bottom w:val="none" w:sz="0" w:space="0" w:color="auto"/>
        <w:right w:val="none" w:sz="0" w:space="0" w:color="auto"/>
      </w:divBdr>
    </w:div>
    <w:div w:id="352195757">
      <w:bodyDiv w:val="1"/>
      <w:marLeft w:val="0"/>
      <w:marRight w:val="0"/>
      <w:marTop w:val="0"/>
      <w:marBottom w:val="0"/>
      <w:divBdr>
        <w:top w:val="none" w:sz="0" w:space="0" w:color="auto"/>
        <w:left w:val="none" w:sz="0" w:space="0" w:color="auto"/>
        <w:bottom w:val="none" w:sz="0" w:space="0" w:color="auto"/>
        <w:right w:val="none" w:sz="0" w:space="0" w:color="auto"/>
      </w:divBdr>
    </w:div>
    <w:div w:id="352920874">
      <w:bodyDiv w:val="1"/>
      <w:marLeft w:val="0"/>
      <w:marRight w:val="0"/>
      <w:marTop w:val="0"/>
      <w:marBottom w:val="0"/>
      <w:divBdr>
        <w:top w:val="none" w:sz="0" w:space="0" w:color="auto"/>
        <w:left w:val="none" w:sz="0" w:space="0" w:color="auto"/>
        <w:bottom w:val="none" w:sz="0" w:space="0" w:color="auto"/>
        <w:right w:val="none" w:sz="0" w:space="0" w:color="auto"/>
      </w:divBdr>
    </w:div>
    <w:div w:id="367989791">
      <w:bodyDiv w:val="1"/>
      <w:marLeft w:val="0"/>
      <w:marRight w:val="0"/>
      <w:marTop w:val="0"/>
      <w:marBottom w:val="0"/>
      <w:divBdr>
        <w:top w:val="none" w:sz="0" w:space="0" w:color="auto"/>
        <w:left w:val="none" w:sz="0" w:space="0" w:color="auto"/>
        <w:bottom w:val="none" w:sz="0" w:space="0" w:color="auto"/>
        <w:right w:val="none" w:sz="0" w:space="0" w:color="auto"/>
      </w:divBdr>
    </w:div>
    <w:div w:id="428544070">
      <w:bodyDiv w:val="1"/>
      <w:marLeft w:val="0"/>
      <w:marRight w:val="0"/>
      <w:marTop w:val="0"/>
      <w:marBottom w:val="0"/>
      <w:divBdr>
        <w:top w:val="none" w:sz="0" w:space="0" w:color="auto"/>
        <w:left w:val="none" w:sz="0" w:space="0" w:color="auto"/>
        <w:bottom w:val="none" w:sz="0" w:space="0" w:color="auto"/>
        <w:right w:val="none" w:sz="0" w:space="0" w:color="auto"/>
      </w:divBdr>
    </w:div>
    <w:div w:id="476722670">
      <w:bodyDiv w:val="1"/>
      <w:marLeft w:val="0"/>
      <w:marRight w:val="0"/>
      <w:marTop w:val="0"/>
      <w:marBottom w:val="0"/>
      <w:divBdr>
        <w:top w:val="none" w:sz="0" w:space="0" w:color="auto"/>
        <w:left w:val="none" w:sz="0" w:space="0" w:color="auto"/>
        <w:bottom w:val="none" w:sz="0" w:space="0" w:color="auto"/>
        <w:right w:val="none" w:sz="0" w:space="0" w:color="auto"/>
      </w:divBdr>
    </w:div>
    <w:div w:id="483204375">
      <w:bodyDiv w:val="1"/>
      <w:marLeft w:val="0"/>
      <w:marRight w:val="0"/>
      <w:marTop w:val="0"/>
      <w:marBottom w:val="0"/>
      <w:divBdr>
        <w:top w:val="none" w:sz="0" w:space="0" w:color="auto"/>
        <w:left w:val="none" w:sz="0" w:space="0" w:color="auto"/>
        <w:bottom w:val="none" w:sz="0" w:space="0" w:color="auto"/>
        <w:right w:val="none" w:sz="0" w:space="0" w:color="auto"/>
      </w:divBdr>
    </w:div>
    <w:div w:id="489100045">
      <w:bodyDiv w:val="1"/>
      <w:marLeft w:val="0"/>
      <w:marRight w:val="0"/>
      <w:marTop w:val="0"/>
      <w:marBottom w:val="0"/>
      <w:divBdr>
        <w:top w:val="none" w:sz="0" w:space="0" w:color="auto"/>
        <w:left w:val="none" w:sz="0" w:space="0" w:color="auto"/>
        <w:bottom w:val="none" w:sz="0" w:space="0" w:color="auto"/>
        <w:right w:val="none" w:sz="0" w:space="0" w:color="auto"/>
      </w:divBdr>
    </w:div>
    <w:div w:id="491874914">
      <w:bodyDiv w:val="1"/>
      <w:marLeft w:val="0"/>
      <w:marRight w:val="0"/>
      <w:marTop w:val="0"/>
      <w:marBottom w:val="0"/>
      <w:divBdr>
        <w:top w:val="none" w:sz="0" w:space="0" w:color="auto"/>
        <w:left w:val="none" w:sz="0" w:space="0" w:color="auto"/>
        <w:bottom w:val="none" w:sz="0" w:space="0" w:color="auto"/>
        <w:right w:val="none" w:sz="0" w:space="0" w:color="auto"/>
      </w:divBdr>
      <w:divsChild>
        <w:div w:id="1126044359">
          <w:marLeft w:val="0"/>
          <w:marRight w:val="0"/>
          <w:marTop w:val="0"/>
          <w:marBottom w:val="0"/>
          <w:divBdr>
            <w:top w:val="none" w:sz="0" w:space="0" w:color="auto"/>
            <w:left w:val="none" w:sz="0" w:space="0" w:color="auto"/>
            <w:bottom w:val="none" w:sz="0" w:space="0" w:color="auto"/>
            <w:right w:val="none" w:sz="0" w:space="0" w:color="auto"/>
          </w:divBdr>
          <w:divsChild>
            <w:div w:id="1004548151">
              <w:marLeft w:val="0"/>
              <w:marRight w:val="0"/>
              <w:marTop w:val="0"/>
              <w:marBottom w:val="0"/>
              <w:divBdr>
                <w:top w:val="none" w:sz="0" w:space="0" w:color="auto"/>
                <w:left w:val="none" w:sz="0" w:space="0" w:color="auto"/>
                <w:bottom w:val="none" w:sz="0" w:space="0" w:color="auto"/>
                <w:right w:val="none" w:sz="0" w:space="0" w:color="auto"/>
              </w:divBdr>
              <w:divsChild>
                <w:div w:id="760445809">
                  <w:marLeft w:val="0"/>
                  <w:marRight w:val="0"/>
                  <w:marTop w:val="0"/>
                  <w:marBottom w:val="0"/>
                  <w:divBdr>
                    <w:top w:val="none" w:sz="0" w:space="0" w:color="auto"/>
                    <w:left w:val="none" w:sz="0" w:space="0" w:color="auto"/>
                    <w:bottom w:val="none" w:sz="0" w:space="0" w:color="auto"/>
                    <w:right w:val="none" w:sz="0" w:space="0" w:color="auto"/>
                  </w:divBdr>
                  <w:divsChild>
                    <w:div w:id="766777810">
                      <w:marLeft w:val="0"/>
                      <w:marRight w:val="0"/>
                      <w:marTop w:val="0"/>
                      <w:marBottom w:val="0"/>
                      <w:divBdr>
                        <w:top w:val="none" w:sz="0" w:space="0" w:color="auto"/>
                        <w:left w:val="none" w:sz="0" w:space="0" w:color="auto"/>
                        <w:bottom w:val="none" w:sz="0" w:space="0" w:color="auto"/>
                        <w:right w:val="none" w:sz="0" w:space="0" w:color="auto"/>
                      </w:divBdr>
                      <w:divsChild>
                        <w:div w:id="1651904457">
                          <w:marLeft w:val="384"/>
                          <w:marRight w:val="384"/>
                          <w:marTop w:val="0"/>
                          <w:marBottom w:val="0"/>
                          <w:divBdr>
                            <w:top w:val="none" w:sz="0" w:space="0" w:color="auto"/>
                            <w:left w:val="none" w:sz="0" w:space="0" w:color="auto"/>
                            <w:bottom w:val="none" w:sz="0" w:space="0" w:color="auto"/>
                            <w:right w:val="none" w:sz="0" w:space="0" w:color="auto"/>
                          </w:divBdr>
                          <w:divsChild>
                            <w:div w:id="1072237228">
                              <w:marLeft w:val="0"/>
                              <w:marRight w:val="0"/>
                              <w:marTop w:val="0"/>
                              <w:marBottom w:val="0"/>
                              <w:divBdr>
                                <w:top w:val="none" w:sz="0" w:space="0" w:color="auto"/>
                                <w:left w:val="none" w:sz="0" w:space="0" w:color="auto"/>
                                <w:bottom w:val="none" w:sz="0" w:space="0" w:color="auto"/>
                                <w:right w:val="none" w:sz="0" w:space="0" w:color="auto"/>
                              </w:divBdr>
                              <w:divsChild>
                                <w:div w:id="1606889106">
                                  <w:marLeft w:val="0"/>
                                  <w:marRight w:val="0"/>
                                  <w:marTop w:val="0"/>
                                  <w:marBottom w:val="0"/>
                                  <w:divBdr>
                                    <w:top w:val="none" w:sz="0" w:space="0" w:color="auto"/>
                                    <w:left w:val="none" w:sz="0" w:space="0" w:color="auto"/>
                                    <w:bottom w:val="none" w:sz="0" w:space="0" w:color="auto"/>
                                    <w:right w:val="none" w:sz="0" w:space="0" w:color="auto"/>
                                  </w:divBdr>
                                  <w:divsChild>
                                    <w:div w:id="130221589">
                                      <w:marLeft w:val="0"/>
                                      <w:marRight w:val="0"/>
                                      <w:marTop w:val="332"/>
                                      <w:marBottom w:val="332"/>
                                      <w:divBdr>
                                        <w:top w:val="none" w:sz="0" w:space="0" w:color="auto"/>
                                        <w:left w:val="none" w:sz="0" w:space="0" w:color="auto"/>
                                        <w:bottom w:val="none" w:sz="0" w:space="0" w:color="auto"/>
                                        <w:right w:val="none" w:sz="0" w:space="0" w:color="auto"/>
                                      </w:divBdr>
                                      <w:divsChild>
                                        <w:div w:id="122963029">
                                          <w:marLeft w:val="0"/>
                                          <w:marRight w:val="0"/>
                                          <w:marTop w:val="0"/>
                                          <w:marBottom w:val="0"/>
                                          <w:divBdr>
                                            <w:top w:val="none" w:sz="0" w:space="0" w:color="auto"/>
                                            <w:left w:val="none" w:sz="0" w:space="0" w:color="auto"/>
                                            <w:bottom w:val="none" w:sz="0" w:space="0" w:color="auto"/>
                                            <w:right w:val="none" w:sz="0" w:space="0" w:color="auto"/>
                                          </w:divBdr>
                                        </w:div>
                                        <w:div w:id="2103060282">
                                          <w:marLeft w:val="0"/>
                                          <w:marRight w:val="0"/>
                                          <w:marTop w:val="0"/>
                                          <w:marBottom w:val="0"/>
                                          <w:divBdr>
                                            <w:top w:val="none" w:sz="0" w:space="0" w:color="auto"/>
                                            <w:left w:val="none" w:sz="0" w:space="0" w:color="auto"/>
                                            <w:bottom w:val="none" w:sz="0" w:space="0" w:color="auto"/>
                                            <w:right w:val="none" w:sz="0" w:space="0" w:color="auto"/>
                                          </w:divBdr>
                                        </w:div>
                                      </w:divsChild>
                                    </w:div>
                                    <w:div w:id="565724985">
                                      <w:marLeft w:val="0"/>
                                      <w:marRight w:val="0"/>
                                      <w:marTop w:val="166"/>
                                      <w:marBottom w:val="166"/>
                                      <w:divBdr>
                                        <w:top w:val="none" w:sz="0" w:space="0" w:color="auto"/>
                                        <w:left w:val="none" w:sz="0" w:space="0" w:color="auto"/>
                                        <w:bottom w:val="none" w:sz="0" w:space="0" w:color="auto"/>
                                        <w:right w:val="none" w:sz="0" w:space="0" w:color="auto"/>
                                      </w:divBdr>
                                      <w:divsChild>
                                        <w:div w:id="404375881">
                                          <w:marLeft w:val="0"/>
                                          <w:marRight w:val="0"/>
                                          <w:marTop w:val="0"/>
                                          <w:marBottom w:val="0"/>
                                          <w:divBdr>
                                            <w:top w:val="none" w:sz="0" w:space="0" w:color="auto"/>
                                            <w:left w:val="none" w:sz="0" w:space="0" w:color="auto"/>
                                            <w:bottom w:val="none" w:sz="0" w:space="0" w:color="auto"/>
                                            <w:right w:val="none" w:sz="0" w:space="0" w:color="auto"/>
                                          </w:divBdr>
                                          <w:divsChild>
                                            <w:div w:id="654189741">
                                              <w:marLeft w:val="240"/>
                                              <w:marRight w:val="0"/>
                                              <w:marTop w:val="0"/>
                                              <w:marBottom w:val="0"/>
                                              <w:divBdr>
                                                <w:top w:val="none" w:sz="0" w:space="0" w:color="auto"/>
                                                <w:left w:val="none" w:sz="0" w:space="0" w:color="auto"/>
                                                <w:bottom w:val="none" w:sz="0" w:space="0" w:color="auto"/>
                                                <w:right w:val="none" w:sz="0" w:space="0" w:color="auto"/>
                                              </w:divBdr>
                                              <w:divsChild>
                                                <w:div w:id="1718434581">
                                                  <w:marLeft w:val="0"/>
                                                  <w:marRight w:val="0"/>
                                                  <w:marTop w:val="0"/>
                                                  <w:marBottom w:val="0"/>
                                                  <w:divBdr>
                                                    <w:top w:val="none" w:sz="0" w:space="0" w:color="auto"/>
                                                    <w:left w:val="none" w:sz="0" w:space="0" w:color="auto"/>
                                                    <w:bottom w:val="none" w:sz="0" w:space="0" w:color="auto"/>
                                                    <w:right w:val="none" w:sz="0" w:space="0" w:color="auto"/>
                                                  </w:divBdr>
                                                </w:div>
                                              </w:divsChild>
                                            </w:div>
                                            <w:div w:id="12159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155994">
                              <w:marLeft w:val="0"/>
                              <w:marRight w:val="0"/>
                              <w:marTop w:val="332"/>
                              <w:marBottom w:val="332"/>
                              <w:divBdr>
                                <w:top w:val="none" w:sz="0" w:space="0" w:color="auto"/>
                                <w:left w:val="none" w:sz="0" w:space="0" w:color="auto"/>
                                <w:bottom w:val="none" w:sz="0" w:space="0" w:color="auto"/>
                                <w:right w:val="none" w:sz="0" w:space="0" w:color="auto"/>
                              </w:divBdr>
                              <w:divsChild>
                                <w:div w:id="8373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917433">
      <w:bodyDiv w:val="1"/>
      <w:marLeft w:val="0"/>
      <w:marRight w:val="0"/>
      <w:marTop w:val="0"/>
      <w:marBottom w:val="0"/>
      <w:divBdr>
        <w:top w:val="none" w:sz="0" w:space="0" w:color="auto"/>
        <w:left w:val="none" w:sz="0" w:space="0" w:color="auto"/>
        <w:bottom w:val="none" w:sz="0" w:space="0" w:color="auto"/>
        <w:right w:val="none" w:sz="0" w:space="0" w:color="auto"/>
      </w:divBdr>
    </w:div>
    <w:div w:id="546648255">
      <w:bodyDiv w:val="1"/>
      <w:marLeft w:val="0"/>
      <w:marRight w:val="0"/>
      <w:marTop w:val="0"/>
      <w:marBottom w:val="0"/>
      <w:divBdr>
        <w:top w:val="none" w:sz="0" w:space="0" w:color="auto"/>
        <w:left w:val="none" w:sz="0" w:space="0" w:color="auto"/>
        <w:bottom w:val="none" w:sz="0" w:space="0" w:color="auto"/>
        <w:right w:val="none" w:sz="0" w:space="0" w:color="auto"/>
      </w:divBdr>
    </w:div>
    <w:div w:id="566034725">
      <w:bodyDiv w:val="1"/>
      <w:marLeft w:val="0"/>
      <w:marRight w:val="0"/>
      <w:marTop w:val="0"/>
      <w:marBottom w:val="0"/>
      <w:divBdr>
        <w:top w:val="none" w:sz="0" w:space="0" w:color="auto"/>
        <w:left w:val="none" w:sz="0" w:space="0" w:color="auto"/>
        <w:bottom w:val="none" w:sz="0" w:space="0" w:color="auto"/>
        <w:right w:val="none" w:sz="0" w:space="0" w:color="auto"/>
      </w:divBdr>
      <w:divsChild>
        <w:div w:id="718628807">
          <w:marLeft w:val="0"/>
          <w:marRight w:val="0"/>
          <w:marTop w:val="0"/>
          <w:marBottom w:val="0"/>
          <w:divBdr>
            <w:top w:val="none" w:sz="0" w:space="0" w:color="auto"/>
            <w:left w:val="none" w:sz="0" w:space="0" w:color="auto"/>
            <w:bottom w:val="none" w:sz="0" w:space="0" w:color="auto"/>
            <w:right w:val="none" w:sz="0" w:space="0" w:color="auto"/>
          </w:divBdr>
          <w:divsChild>
            <w:div w:id="1260257635">
              <w:marLeft w:val="120"/>
              <w:marRight w:val="120"/>
              <w:marTop w:val="120"/>
              <w:marBottom w:val="120"/>
              <w:divBdr>
                <w:top w:val="none" w:sz="0" w:space="0" w:color="auto"/>
                <w:left w:val="none" w:sz="0" w:space="0" w:color="auto"/>
                <w:bottom w:val="none" w:sz="0" w:space="0" w:color="auto"/>
                <w:right w:val="none" w:sz="0" w:space="0" w:color="auto"/>
              </w:divBdr>
              <w:divsChild>
                <w:div w:id="1987005664">
                  <w:marLeft w:val="0"/>
                  <w:marRight w:val="0"/>
                  <w:marTop w:val="0"/>
                  <w:marBottom w:val="0"/>
                  <w:divBdr>
                    <w:top w:val="none" w:sz="0" w:space="0" w:color="auto"/>
                    <w:left w:val="none" w:sz="0" w:space="0" w:color="auto"/>
                    <w:bottom w:val="none" w:sz="0" w:space="0" w:color="auto"/>
                    <w:right w:val="none" w:sz="0" w:space="0" w:color="auto"/>
                  </w:divBdr>
                  <w:divsChild>
                    <w:div w:id="1413819972">
                      <w:marLeft w:val="0"/>
                      <w:marRight w:val="0"/>
                      <w:marTop w:val="0"/>
                      <w:marBottom w:val="0"/>
                      <w:divBdr>
                        <w:top w:val="none" w:sz="0" w:space="0" w:color="auto"/>
                        <w:left w:val="none" w:sz="0" w:space="0" w:color="auto"/>
                        <w:bottom w:val="none" w:sz="0" w:space="0" w:color="auto"/>
                        <w:right w:val="none" w:sz="0" w:space="0" w:color="auto"/>
                      </w:divBdr>
                      <w:divsChild>
                        <w:div w:id="1065758475">
                          <w:marLeft w:val="0"/>
                          <w:marRight w:val="0"/>
                          <w:marTop w:val="0"/>
                          <w:marBottom w:val="0"/>
                          <w:divBdr>
                            <w:top w:val="none" w:sz="0" w:space="0" w:color="auto"/>
                            <w:left w:val="none" w:sz="0" w:space="0" w:color="auto"/>
                            <w:bottom w:val="none" w:sz="0" w:space="0" w:color="auto"/>
                            <w:right w:val="none" w:sz="0" w:space="0" w:color="auto"/>
                          </w:divBdr>
                        </w:div>
                        <w:div w:id="163644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75218">
          <w:marLeft w:val="0"/>
          <w:marRight w:val="0"/>
          <w:marTop w:val="0"/>
          <w:marBottom w:val="0"/>
          <w:divBdr>
            <w:top w:val="none" w:sz="0" w:space="0" w:color="auto"/>
            <w:left w:val="single" w:sz="48" w:space="0" w:color="auto"/>
            <w:bottom w:val="none" w:sz="0" w:space="0" w:color="auto"/>
            <w:right w:val="single" w:sz="48" w:space="0" w:color="auto"/>
          </w:divBdr>
          <w:divsChild>
            <w:div w:id="74979127">
              <w:marLeft w:val="0"/>
              <w:marRight w:val="0"/>
              <w:marTop w:val="0"/>
              <w:marBottom w:val="0"/>
              <w:divBdr>
                <w:top w:val="none" w:sz="0" w:space="0" w:color="auto"/>
                <w:left w:val="none" w:sz="0" w:space="0" w:color="auto"/>
                <w:bottom w:val="none" w:sz="0" w:space="0" w:color="auto"/>
                <w:right w:val="none" w:sz="0" w:space="0" w:color="auto"/>
              </w:divBdr>
              <w:divsChild>
                <w:div w:id="2035302214">
                  <w:marLeft w:val="0"/>
                  <w:marRight w:val="0"/>
                  <w:marTop w:val="0"/>
                  <w:marBottom w:val="0"/>
                  <w:divBdr>
                    <w:top w:val="none" w:sz="0" w:space="0" w:color="auto"/>
                    <w:left w:val="none" w:sz="0" w:space="0" w:color="auto"/>
                    <w:bottom w:val="none" w:sz="0" w:space="0" w:color="auto"/>
                    <w:right w:val="none" w:sz="0" w:space="0" w:color="auto"/>
                  </w:divBdr>
                  <w:divsChild>
                    <w:div w:id="48461451">
                      <w:marLeft w:val="0"/>
                      <w:marRight w:val="0"/>
                      <w:marTop w:val="256"/>
                      <w:marBottom w:val="256"/>
                      <w:divBdr>
                        <w:top w:val="none" w:sz="0" w:space="0" w:color="auto"/>
                        <w:left w:val="none" w:sz="0" w:space="0" w:color="auto"/>
                        <w:bottom w:val="none" w:sz="0" w:space="0" w:color="auto"/>
                        <w:right w:val="none" w:sz="0" w:space="0" w:color="auto"/>
                      </w:divBdr>
                      <w:divsChild>
                        <w:div w:id="1799303405">
                          <w:marLeft w:val="0"/>
                          <w:marRight w:val="0"/>
                          <w:marTop w:val="0"/>
                          <w:marBottom w:val="0"/>
                          <w:divBdr>
                            <w:top w:val="none" w:sz="0" w:space="0" w:color="auto"/>
                            <w:left w:val="none" w:sz="0" w:space="0" w:color="auto"/>
                            <w:bottom w:val="none" w:sz="0" w:space="0" w:color="auto"/>
                            <w:right w:val="none" w:sz="0" w:space="0" w:color="auto"/>
                          </w:divBdr>
                          <w:divsChild>
                            <w:div w:id="866135495">
                              <w:marLeft w:val="0"/>
                              <w:marRight w:val="0"/>
                              <w:marTop w:val="0"/>
                              <w:marBottom w:val="0"/>
                              <w:divBdr>
                                <w:top w:val="none" w:sz="0" w:space="0" w:color="auto"/>
                                <w:left w:val="none" w:sz="0" w:space="0" w:color="auto"/>
                                <w:bottom w:val="none" w:sz="0" w:space="0" w:color="auto"/>
                                <w:right w:val="none" w:sz="0" w:space="0" w:color="auto"/>
                              </w:divBdr>
                              <w:divsChild>
                                <w:div w:id="314456753">
                                  <w:marLeft w:val="240"/>
                                  <w:marRight w:val="0"/>
                                  <w:marTop w:val="0"/>
                                  <w:marBottom w:val="0"/>
                                  <w:divBdr>
                                    <w:top w:val="none" w:sz="0" w:space="0" w:color="auto"/>
                                    <w:left w:val="none" w:sz="0" w:space="0" w:color="auto"/>
                                    <w:bottom w:val="none" w:sz="0" w:space="0" w:color="auto"/>
                                    <w:right w:val="none" w:sz="0" w:space="0" w:color="auto"/>
                                  </w:divBdr>
                                  <w:divsChild>
                                    <w:div w:id="1771395129">
                                      <w:marLeft w:val="0"/>
                                      <w:marRight w:val="0"/>
                                      <w:marTop w:val="0"/>
                                      <w:marBottom w:val="0"/>
                                      <w:divBdr>
                                        <w:top w:val="none" w:sz="0" w:space="0" w:color="auto"/>
                                        <w:left w:val="none" w:sz="0" w:space="0" w:color="auto"/>
                                        <w:bottom w:val="none" w:sz="0" w:space="0" w:color="auto"/>
                                        <w:right w:val="none" w:sz="0" w:space="0" w:color="auto"/>
                                      </w:divBdr>
                                    </w:div>
                                  </w:divsChild>
                                </w:div>
                                <w:div w:id="1280992866">
                                  <w:marLeft w:val="0"/>
                                  <w:marRight w:val="0"/>
                                  <w:marTop w:val="0"/>
                                  <w:marBottom w:val="0"/>
                                  <w:divBdr>
                                    <w:top w:val="none" w:sz="0" w:space="0" w:color="auto"/>
                                    <w:left w:val="none" w:sz="0" w:space="0" w:color="auto"/>
                                    <w:bottom w:val="none" w:sz="0" w:space="0" w:color="auto"/>
                                    <w:right w:val="none" w:sz="0" w:space="0" w:color="auto"/>
                                  </w:divBdr>
                                </w:div>
                                <w:div w:id="1397505884">
                                  <w:marLeft w:val="0"/>
                                  <w:marRight w:val="0"/>
                                  <w:marTop w:val="0"/>
                                  <w:marBottom w:val="0"/>
                                  <w:divBdr>
                                    <w:top w:val="none" w:sz="0" w:space="0" w:color="auto"/>
                                    <w:left w:val="none" w:sz="0" w:space="0" w:color="auto"/>
                                    <w:bottom w:val="none" w:sz="0" w:space="0" w:color="auto"/>
                                    <w:right w:val="none" w:sz="0" w:space="0" w:color="auto"/>
                                  </w:divBdr>
                                </w:div>
                              </w:divsChild>
                            </w:div>
                            <w:div w:id="1617515946">
                              <w:marLeft w:val="0"/>
                              <w:marRight w:val="0"/>
                              <w:marTop w:val="0"/>
                              <w:marBottom w:val="0"/>
                              <w:divBdr>
                                <w:top w:val="none" w:sz="0" w:space="0" w:color="auto"/>
                                <w:left w:val="none" w:sz="0" w:space="0" w:color="auto"/>
                                <w:bottom w:val="none" w:sz="0" w:space="0" w:color="auto"/>
                                <w:right w:val="none" w:sz="0" w:space="0" w:color="auto"/>
                              </w:divBdr>
                              <w:divsChild>
                                <w:div w:id="450588569">
                                  <w:marLeft w:val="0"/>
                                  <w:marRight w:val="0"/>
                                  <w:marTop w:val="0"/>
                                  <w:marBottom w:val="0"/>
                                  <w:divBdr>
                                    <w:top w:val="none" w:sz="0" w:space="0" w:color="auto"/>
                                    <w:left w:val="none" w:sz="0" w:space="0" w:color="auto"/>
                                    <w:bottom w:val="none" w:sz="0" w:space="0" w:color="auto"/>
                                    <w:right w:val="none" w:sz="0" w:space="0" w:color="auto"/>
                                  </w:divBdr>
                                </w:div>
                                <w:div w:id="12613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8037">
                      <w:marLeft w:val="0"/>
                      <w:marRight w:val="0"/>
                      <w:marTop w:val="256"/>
                      <w:marBottom w:val="256"/>
                      <w:divBdr>
                        <w:top w:val="none" w:sz="0" w:space="0" w:color="auto"/>
                        <w:left w:val="none" w:sz="0" w:space="0" w:color="auto"/>
                        <w:bottom w:val="none" w:sz="0" w:space="0" w:color="auto"/>
                        <w:right w:val="none" w:sz="0" w:space="0" w:color="auto"/>
                      </w:divBdr>
                      <w:divsChild>
                        <w:div w:id="1100878821">
                          <w:marLeft w:val="0"/>
                          <w:marRight w:val="0"/>
                          <w:marTop w:val="256"/>
                          <w:marBottom w:val="256"/>
                          <w:divBdr>
                            <w:top w:val="none" w:sz="0" w:space="0" w:color="auto"/>
                            <w:left w:val="none" w:sz="0" w:space="0" w:color="auto"/>
                            <w:bottom w:val="none" w:sz="0" w:space="0" w:color="auto"/>
                            <w:right w:val="none" w:sz="0" w:space="0" w:color="auto"/>
                          </w:divBdr>
                          <w:divsChild>
                            <w:div w:id="476265488">
                              <w:marLeft w:val="0"/>
                              <w:marRight w:val="0"/>
                              <w:marTop w:val="0"/>
                              <w:marBottom w:val="0"/>
                              <w:divBdr>
                                <w:top w:val="none" w:sz="0" w:space="0" w:color="auto"/>
                                <w:left w:val="none" w:sz="0" w:space="0" w:color="auto"/>
                                <w:bottom w:val="none" w:sz="0" w:space="0" w:color="auto"/>
                                <w:right w:val="none" w:sz="0" w:space="0" w:color="auto"/>
                              </w:divBdr>
                            </w:div>
                            <w:div w:id="961955750">
                              <w:marLeft w:val="0"/>
                              <w:marRight w:val="0"/>
                              <w:marTop w:val="0"/>
                              <w:marBottom w:val="0"/>
                              <w:divBdr>
                                <w:top w:val="none" w:sz="0" w:space="0" w:color="auto"/>
                                <w:left w:val="none" w:sz="0" w:space="0" w:color="auto"/>
                                <w:bottom w:val="none" w:sz="0" w:space="0" w:color="auto"/>
                                <w:right w:val="none" w:sz="0" w:space="0" w:color="auto"/>
                              </w:divBdr>
                            </w:div>
                            <w:div w:id="1066220628">
                              <w:marLeft w:val="0"/>
                              <w:marRight w:val="0"/>
                              <w:marTop w:val="0"/>
                              <w:marBottom w:val="0"/>
                              <w:divBdr>
                                <w:top w:val="none" w:sz="0" w:space="0" w:color="auto"/>
                                <w:left w:val="none" w:sz="0" w:space="0" w:color="auto"/>
                                <w:bottom w:val="none" w:sz="0" w:space="0" w:color="auto"/>
                                <w:right w:val="none" w:sz="0" w:space="0" w:color="auto"/>
                              </w:divBdr>
                            </w:div>
                            <w:div w:id="1858538645">
                              <w:marLeft w:val="0"/>
                              <w:marRight w:val="0"/>
                              <w:marTop w:val="0"/>
                              <w:marBottom w:val="0"/>
                              <w:divBdr>
                                <w:top w:val="none" w:sz="0" w:space="0" w:color="auto"/>
                                <w:left w:val="none" w:sz="0" w:space="0" w:color="auto"/>
                                <w:bottom w:val="none" w:sz="0" w:space="0" w:color="auto"/>
                                <w:right w:val="none" w:sz="0" w:space="0" w:color="auto"/>
                              </w:divBdr>
                            </w:div>
                          </w:divsChild>
                        </w:div>
                        <w:div w:id="2040008826">
                          <w:marLeft w:val="0"/>
                          <w:marRight w:val="0"/>
                          <w:marTop w:val="256"/>
                          <w:marBottom w:val="256"/>
                          <w:divBdr>
                            <w:top w:val="none" w:sz="0" w:space="0" w:color="auto"/>
                            <w:left w:val="none" w:sz="0" w:space="0" w:color="auto"/>
                            <w:bottom w:val="none" w:sz="0" w:space="0" w:color="auto"/>
                            <w:right w:val="none" w:sz="0" w:space="0" w:color="auto"/>
                          </w:divBdr>
                          <w:divsChild>
                            <w:div w:id="876117084">
                              <w:marLeft w:val="0"/>
                              <w:marRight w:val="0"/>
                              <w:marTop w:val="0"/>
                              <w:marBottom w:val="0"/>
                              <w:divBdr>
                                <w:top w:val="none" w:sz="0" w:space="0" w:color="auto"/>
                                <w:left w:val="none" w:sz="0" w:space="0" w:color="auto"/>
                                <w:bottom w:val="none" w:sz="0" w:space="0" w:color="auto"/>
                                <w:right w:val="none" w:sz="0" w:space="0" w:color="auto"/>
                              </w:divBdr>
                            </w:div>
                            <w:div w:id="12419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7086">
                      <w:marLeft w:val="0"/>
                      <w:marRight w:val="0"/>
                      <w:marTop w:val="0"/>
                      <w:marBottom w:val="0"/>
                      <w:divBdr>
                        <w:top w:val="none" w:sz="0" w:space="0" w:color="auto"/>
                        <w:left w:val="none" w:sz="0" w:space="0" w:color="auto"/>
                        <w:bottom w:val="none" w:sz="0" w:space="0" w:color="auto"/>
                        <w:right w:val="none" w:sz="0" w:space="0" w:color="auto"/>
                      </w:divBdr>
                      <w:divsChild>
                        <w:div w:id="1272784403">
                          <w:marLeft w:val="0"/>
                          <w:marRight w:val="0"/>
                          <w:marTop w:val="256"/>
                          <w:marBottom w:val="256"/>
                          <w:divBdr>
                            <w:top w:val="none" w:sz="0" w:space="0" w:color="auto"/>
                            <w:left w:val="none" w:sz="0" w:space="0" w:color="auto"/>
                            <w:bottom w:val="none" w:sz="0" w:space="0" w:color="auto"/>
                            <w:right w:val="none" w:sz="0" w:space="0" w:color="auto"/>
                          </w:divBdr>
                        </w:div>
                      </w:divsChild>
                    </w:div>
                    <w:div w:id="1652054085">
                      <w:marLeft w:val="0"/>
                      <w:marRight w:val="0"/>
                      <w:marTop w:val="256"/>
                      <w:marBottom w:val="256"/>
                      <w:divBdr>
                        <w:top w:val="none" w:sz="0" w:space="0" w:color="auto"/>
                        <w:left w:val="none" w:sz="0" w:space="0" w:color="auto"/>
                        <w:bottom w:val="none" w:sz="0" w:space="0" w:color="auto"/>
                        <w:right w:val="none" w:sz="0" w:space="0" w:color="auto"/>
                      </w:divBdr>
                      <w:divsChild>
                        <w:div w:id="873351422">
                          <w:marLeft w:val="0"/>
                          <w:marRight w:val="0"/>
                          <w:marTop w:val="0"/>
                          <w:marBottom w:val="0"/>
                          <w:divBdr>
                            <w:top w:val="none" w:sz="0" w:space="0" w:color="auto"/>
                            <w:left w:val="none" w:sz="0" w:space="0" w:color="auto"/>
                            <w:bottom w:val="none" w:sz="0" w:space="0" w:color="auto"/>
                            <w:right w:val="none" w:sz="0" w:space="0" w:color="auto"/>
                          </w:divBdr>
                          <w:divsChild>
                            <w:div w:id="366296314">
                              <w:marLeft w:val="0"/>
                              <w:marRight w:val="0"/>
                              <w:marTop w:val="0"/>
                              <w:marBottom w:val="0"/>
                              <w:divBdr>
                                <w:top w:val="none" w:sz="0" w:space="0" w:color="auto"/>
                                <w:left w:val="none" w:sz="0" w:space="0" w:color="auto"/>
                                <w:bottom w:val="none" w:sz="0" w:space="0" w:color="auto"/>
                                <w:right w:val="none" w:sz="0" w:space="0" w:color="auto"/>
                              </w:divBdr>
                            </w:div>
                            <w:div w:id="13152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7165">
              <w:marLeft w:val="0"/>
              <w:marRight w:val="0"/>
              <w:marTop w:val="0"/>
              <w:marBottom w:val="0"/>
              <w:divBdr>
                <w:top w:val="none" w:sz="0" w:space="0" w:color="auto"/>
                <w:left w:val="none" w:sz="0" w:space="0" w:color="auto"/>
                <w:bottom w:val="none" w:sz="0" w:space="0" w:color="auto"/>
                <w:right w:val="none" w:sz="0" w:space="0" w:color="auto"/>
              </w:divBdr>
            </w:div>
            <w:div w:id="410811505">
              <w:marLeft w:val="0"/>
              <w:marRight w:val="0"/>
              <w:marTop w:val="0"/>
              <w:marBottom w:val="0"/>
              <w:divBdr>
                <w:top w:val="none" w:sz="0" w:space="0" w:color="auto"/>
                <w:left w:val="none" w:sz="0" w:space="0" w:color="auto"/>
                <w:bottom w:val="none" w:sz="0" w:space="0" w:color="auto"/>
                <w:right w:val="none" w:sz="0" w:space="0" w:color="auto"/>
              </w:divBdr>
            </w:div>
            <w:div w:id="451365605">
              <w:marLeft w:val="0"/>
              <w:marRight w:val="0"/>
              <w:marTop w:val="0"/>
              <w:marBottom w:val="0"/>
              <w:divBdr>
                <w:top w:val="none" w:sz="0" w:space="0" w:color="auto"/>
                <w:left w:val="none" w:sz="0" w:space="0" w:color="auto"/>
                <w:bottom w:val="none" w:sz="0" w:space="0" w:color="auto"/>
                <w:right w:val="none" w:sz="0" w:space="0" w:color="auto"/>
              </w:divBdr>
              <w:divsChild>
                <w:div w:id="343824421">
                  <w:marLeft w:val="0"/>
                  <w:marRight w:val="0"/>
                  <w:marTop w:val="0"/>
                  <w:marBottom w:val="0"/>
                  <w:divBdr>
                    <w:top w:val="none" w:sz="0" w:space="0" w:color="auto"/>
                    <w:left w:val="none" w:sz="0" w:space="0" w:color="auto"/>
                    <w:bottom w:val="none" w:sz="0" w:space="0" w:color="auto"/>
                    <w:right w:val="none" w:sz="0" w:space="0" w:color="auto"/>
                  </w:divBdr>
                  <w:divsChild>
                    <w:div w:id="102264039">
                      <w:marLeft w:val="0"/>
                      <w:marRight w:val="0"/>
                      <w:marTop w:val="0"/>
                      <w:marBottom w:val="0"/>
                      <w:divBdr>
                        <w:top w:val="none" w:sz="0" w:space="0" w:color="auto"/>
                        <w:left w:val="none" w:sz="0" w:space="0" w:color="auto"/>
                        <w:bottom w:val="none" w:sz="0" w:space="0" w:color="auto"/>
                        <w:right w:val="none" w:sz="0" w:space="0" w:color="auto"/>
                      </w:divBdr>
                      <w:divsChild>
                        <w:div w:id="48967246">
                          <w:marLeft w:val="0"/>
                          <w:marRight w:val="0"/>
                          <w:marTop w:val="0"/>
                          <w:marBottom w:val="0"/>
                          <w:divBdr>
                            <w:top w:val="none" w:sz="0" w:space="0" w:color="auto"/>
                            <w:left w:val="none" w:sz="0" w:space="0" w:color="auto"/>
                            <w:bottom w:val="none" w:sz="0" w:space="0" w:color="auto"/>
                            <w:right w:val="none" w:sz="0" w:space="0" w:color="auto"/>
                          </w:divBdr>
                        </w:div>
                        <w:div w:id="339115885">
                          <w:marLeft w:val="0"/>
                          <w:marRight w:val="0"/>
                          <w:marTop w:val="0"/>
                          <w:marBottom w:val="0"/>
                          <w:divBdr>
                            <w:top w:val="none" w:sz="0" w:space="0" w:color="auto"/>
                            <w:left w:val="none" w:sz="0" w:space="0" w:color="auto"/>
                            <w:bottom w:val="none" w:sz="0" w:space="0" w:color="auto"/>
                            <w:right w:val="none" w:sz="0" w:space="0" w:color="auto"/>
                          </w:divBdr>
                        </w:div>
                        <w:div w:id="584147238">
                          <w:marLeft w:val="0"/>
                          <w:marRight w:val="0"/>
                          <w:marTop w:val="0"/>
                          <w:marBottom w:val="0"/>
                          <w:divBdr>
                            <w:top w:val="none" w:sz="0" w:space="0" w:color="auto"/>
                            <w:left w:val="none" w:sz="0" w:space="0" w:color="auto"/>
                            <w:bottom w:val="none" w:sz="0" w:space="0" w:color="auto"/>
                            <w:right w:val="none" w:sz="0" w:space="0" w:color="auto"/>
                          </w:divBdr>
                        </w:div>
                        <w:div w:id="638656391">
                          <w:marLeft w:val="0"/>
                          <w:marRight w:val="0"/>
                          <w:marTop w:val="0"/>
                          <w:marBottom w:val="0"/>
                          <w:divBdr>
                            <w:top w:val="none" w:sz="0" w:space="0" w:color="auto"/>
                            <w:left w:val="none" w:sz="0" w:space="0" w:color="auto"/>
                            <w:bottom w:val="none" w:sz="0" w:space="0" w:color="auto"/>
                            <w:right w:val="none" w:sz="0" w:space="0" w:color="auto"/>
                          </w:divBdr>
                        </w:div>
                        <w:div w:id="1680162474">
                          <w:marLeft w:val="0"/>
                          <w:marRight w:val="0"/>
                          <w:marTop w:val="0"/>
                          <w:marBottom w:val="0"/>
                          <w:divBdr>
                            <w:top w:val="none" w:sz="0" w:space="0" w:color="auto"/>
                            <w:left w:val="none" w:sz="0" w:space="0" w:color="auto"/>
                            <w:bottom w:val="none" w:sz="0" w:space="0" w:color="auto"/>
                            <w:right w:val="none" w:sz="0" w:space="0" w:color="auto"/>
                          </w:divBdr>
                        </w:div>
                        <w:div w:id="2096591049">
                          <w:marLeft w:val="0"/>
                          <w:marRight w:val="0"/>
                          <w:marTop w:val="0"/>
                          <w:marBottom w:val="0"/>
                          <w:divBdr>
                            <w:top w:val="none" w:sz="0" w:space="0" w:color="auto"/>
                            <w:left w:val="none" w:sz="0" w:space="0" w:color="auto"/>
                            <w:bottom w:val="none" w:sz="0" w:space="0" w:color="auto"/>
                            <w:right w:val="none" w:sz="0" w:space="0" w:color="auto"/>
                          </w:divBdr>
                        </w:div>
                      </w:divsChild>
                    </w:div>
                    <w:div w:id="897939858">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7431770">
                          <w:marLeft w:val="0"/>
                          <w:marRight w:val="0"/>
                          <w:marTop w:val="0"/>
                          <w:marBottom w:val="0"/>
                          <w:divBdr>
                            <w:top w:val="none" w:sz="0" w:space="0" w:color="auto"/>
                            <w:left w:val="none" w:sz="0" w:space="0" w:color="auto"/>
                            <w:bottom w:val="none" w:sz="0" w:space="0" w:color="auto"/>
                            <w:right w:val="none" w:sz="0" w:space="0" w:color="auto"/>
                          </w:divBdr>
                          <w:divsChild>
                            <w:div w:id="571937079">
                              <w:marLeft w:val="0"/>
                              <w:marRight w:val="0"/>
                              <w:marTop w:val="0"/>
                              <w:marBottom w:val="0"/>
                              <w:divBdr>
                                <w:top w:val="none" w:sz="0" w:space="0" w:color="auto"/>
                                <w:left w:val="none" w:sz="0" w:space="0" w:color="auto"/>
                                <w:bottom w:val="none" w:sz="0" w:space="0" w:color="auto"/>
                                <w:right w:val="none" w:sz="0" w:space="0" w:color="auto"/>
                              </w:divBdr>
                            </w:div>
                            <w:div w:id="17835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48878">
              <w:marLeft w:val="0"/>
              <w:marRight w:val="0"/>
              <w:marTop w:val="0"/>
              <w:marBottom w:val="0"/>
              <w:divBdr>
                <w:top w:val="none" w:sz="0" w:space="0" w:color="auto"/>
                <w:left w:val="none" w:sz="0" w:space="0" w:color="auto"/>
                <w:bottom w:val="none" w:sz="0" w:space="0" w:color="auto"/>
                <w:right w:val="none" w:sz="0" w:space="0" w:color="auto"/>
              </w:divBdr>
            </w:div>
            <w:div w:id="902567828">
              <w:marLeft w:val="0"/>
              <w:marRight w:val="0"/>
              <w:marTop w:val="0"/>
              <w:marBottom w:val="0"/>
              <w:divBdr>
                <w:top w:val="none" w:sz="0" w:space="0" w:color="auto"/>
                <w:left w:val="none" w:sz="0" w:space="0" w:color="auto"/>
                <w:bottom w:val="none" w:sz="0" w:space="0" w:color="auto"/>
                <w:right w:val="none" w:sz="0" w:space="0" w:color="auto"/>
              </w:divBdr>
              <w:divsChild>
                <w:div w:id="399596678">
                  <w:marLeft w:val="0"/>
                  <w:marRight w:val="0"/>
                  <w:marTop w:val="0"/>
                  <w:marBottom w:val="0"/>
                  <w:divBdr>
                    <w:top w:val="none" w:sz="0" w:space="0" w:color="auto"/>
                    <w:left w:val="none" w:sz="0" w:space="0" w:color="auto"/>
                    <w:bottom w:val="none" w:sz="0" w:space="0" w:color="auto"/>
                    <w:right w:val="none" w:sz="0" w:space="0" w:color="auto"/>
                  </w:divBdr>
                </w:div>
                <w:div w:id="1648634160">
                  <w:marLeft w:val="0"/>
                  <w:marRight w:val="0"/>
                  <w:marTop w:val="0"/>
                  <w:marBottom w:val="0"/>
                  <w:divBdr>
                    <w:top w:val="none" w:sz="0" w:space="0" w:color="auto"/>
                    <w:left w:val="none" w:sz="0" w:space="0" w:color="auto"/>
                    <w:bottom w:val="none" w:sz="0" w:space="0" w:color="auto"/>
                    <w:right w:val="none" w:sz="0" w:space="0" w:color="auto"/>
                  </w:divBdr>
                </w:div>
              </w:divsChild>
            </w:div>
            <w:div w:id="1125388646">
              <w:marLeft w:val="0"/>
              <w:marRight w:val="0"/>
              <w:marTop w:val="0"/>
              <w:marBottom w:val="0"/>
              <w:divBdr>
                <w:top w:val="none" w:sz="0" w:space="0" w:color="auto"/>
                <w:left w:val="none" w:sz="0" w:space="0" w:color="auto"/>
                <w:bottom w:val="none" w:sz="0" w:space="0" w:color="auto"/>
                <w:right w:val="none" w:sz="0" w:space="0" w:color="auto"/>
              </w:divBdr>
            </w:div>
            <w:div w:id="1195383065">
              <w:marLeft w:val="0"/>
              <w:marRight w:val="0"/>
              <w:marTop w:val="0"/>
              <w:marBottom w:val="0"/>
              <w:divBdr>
                <w:top w:val="none" w:sz="0" w:space="0" w:color="auto"/>
                <w:left w:val="none" w:sz="0" w:space="0" w:color="auto"/>
                <w:bottom w:val="none" w:sz="0" w:space="0" w:color="auto"/>
                <w:right w:val="none" w:sz="0" w:space="0" w:color="auto"/>
              </w:divBdr>
              <w:divsChild>
                <w:div w:id="601108731">
                  <w:marLeft w:val="0"/>
                  <w:marRight w:val="0"/>
                  <w:marTop w:val="0"/>
                  <w:marBottom w:val="0"/>
                  <w:divBdr>
                    <w:top w:val="none" w:sz="0" w:space="0" w:color="auto"/>
                    <w:left w:val="none" w:sz="0" w:space="0" w:color="auto"/>
                    <w:bottom w:val="none" w:sz="0" w:space="0" w:color="auto"/>
                    <w:right w:val="none" w:sz="0" w:space="0" w:color="auto"/>
                  </w:divBdr>
                  <w:divsChild>
                    <w:div w:id="98497057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6859188">
                          <w:marLeft w:val="0"/>
                          <w:marRight w:val="0"/>
                          <w:marTop w:val="0"/>
                          <w:marBottom w:val="0"/>
                          <w:divBdr>
                            <w:top w:val="none" w:sz="0" w:space="0" w:color="auto"/>
                            <w:left w:val="none" w:sz="0" w:space="0" w:color="auto"/>
                            <w:bottom w:val="none" w:sz="0" w:space="0" w:color="auto"/>
                            <w:right w:val="none" w:sz="0" w:space="0" w:color="auto"/>
                          </w:divBdr>
                          <w:divsChild>
                            <w:div w:id="533151567">
                              <w:marLeft w:val="0"/>
                              <w:marRight w:val="0"/>
                              <w:marTop w:val="0"/>
                              <w:marBottom w:val="0"/>
                              <w:divBdr>
                                <w:top w:val="none" w:sz="0" w:space="0" w:color="auto"/>
                                <w:left w:val="none" w:sz="0" w:space="0" w:color="auto"/>
                                <w:bottom w:val="none" w:sz="0" w:space="0" w:color="auto"/>
                                <w:right w:val="none" w:sz="0" w:space="0" w:color="auto"/>
                              </w:divBdr>
                            </w:div>
                            <w:div w:id="16858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70382">
                  <w:marLeft w:val="0"/>
                  <w:marRight w:val="0"/>
                  <w:marTop w:val="0"/>
                  <w:marBottom w:val="0"/>
                  <w:divBdr>
                    <w:top w:val="none" w:sz="0" w:space="0" w:color="auto"/>
                    <w:left w:val="none" w:sz="0" w:space="0" w:color="auto"/>
                    <w:bottom w:val="none" w:sz="0" w:space="0" w:color="auto"/>
                    <w:right w:val="none" w:sz="0" w:space="0" w:color="auto"/>
                  </w:divBdr>
                </w:div>
              </w:divsChild>
            </w:div>
            <w:div w:id="1459254031">
              <w:marLeft w:val="0"/>
              <w:marRight w:val="0"/>
              <w:marTop w:val="0"/>
              <w:marBottom w:val="0"/>
              <w:divBdr>
                <w:top w:val="none" w:sz="0" w:space="0" w:color="auto"/>
                <w:left w:val="none" w:sz="0" w:space="0" w:color="auto"/>
                <w:bottom w:val="none" w:sz="0" w:space="0" w:color="auto"/>
                <w:right w:val="none" w:sz="0" w:space="0" w:color="auto"/>
              </w:divBdr>
              <w:divsChild>
                <w:div w:id="126318412">
                  <w:marLeft w:val="0"/>
                  <w:marRight w:val="0"/>
                  <w:marTop w:val="0"/>
                  <w:marBottom w:val="0"/>
                  <w:divBdr>
                    <w:top w:val="none" w:sz="0" w:space="0" w:color="auto"/>
                    <w:left w:val="none" w:sz="0" w:space="0" w:color="auto"/>
                    <w:bottom w:val="none" w:sz="0" w:space="0" w:color="auto"/>
                    <w:right w:val="none" w:sz="0" w:space="0" w:color="auto"/>
                  </w:divBdr>
                  <w:divsChild>
                    <w:div w:id="714819422">
                      <w:marLeft w:val="0"/>
                      <w:marRight w:val="0"/>
                      <w:marTop w:val="0"/>
                      <w:marBottom w:val="0"/>
                      <w:divBdr>
                        <w:top w:val="none" w:sz="0" w:space="0" w:color="auto"/>
                        <w:left w:val="none" w:sz="0" w:space="0" w:color="auto"/>
                        <w:bottom w:val="none" w:sz="0" w:space="0" w:color="auto"/>
                        <w:right w:val="none" w:sz="0" w:space="0" w:color="auto"/>
                      </w:divBdr>
                      <w:divsChild>
                        <w:div w:id="54337016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317466144">
                              <w:marLeft w:val="0"/>
                              <w:marRight w:val="0"/>
                              <w:marTop w:val="0"/>
                              <w:marBottom w:val="0"/>
                              <w:divBdr>
                                <w:top w:val="none" w:sz="0" w:space="0" w:color="auto"/>
                                <w:left w:val="none" w:sz="0" w:space="0" w:color="auto"/>
                                <w:bottom w:val="none" w:sz="0" w:space="0" w:color="auto"/>
                                <w:right w:val="none" w:sz="0" w:space="0" w:color="auto"/>
                              </w:divBdr>
                              <w:divsChild>
                                <w:div w:id="94984742">
                                  <w:marLeft w:val="0"/>
                                  <w:marRight w:val="0"/>
                                  <w:marTop w:val="0"/>
                                  <w:marBottom w:val="0"/>
                                  <w:divBdr>
                                    <w:top w:val="none" w:sz="0" w:space="0" w:color="auto"/>
                                    <w:left w:val="none" w:sz="0" w:space="0" w:color="auto"/>
                                    <w:bottom w:val="none" w:sz="0" w:space="0" w:color="auto"/>
                                    <w:right w:val="none" w:sz="0" w:space="0" w:color="auto"/>
                                  </w:divBdr>
                                </w:div>
                                <w:div w:id="16247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750949">
                      <w:marLeft w:val="0"/>
                      <w:marRight w:val="0"/>
                      <w:marTop w:val="0"/>
                      <w:marBottom w:val="0"/>
                      <w:divBdr>
                        <w:top w:val="none" w:sz="0" w:space="0" w:color="auto"/>
                        <w:left w:val="none" w:sz="0" w:space="0" w:color="auto"/>
                        <w:bottom w:val="none" w:sz="0" w:space="0" w:color="auto"/>
                        <w:right w:val="none" w:sz="0" w:space="0" w:color="auto"/>
                      </w:divBdr>
                    </w:div>
                    <w:div w:id="1996714973">
                      <w:marLeft w:val="0"/>
                      <w:marRight w:val="0"/>
                      <w:marTop w:val="0"/>
                      <w:marBottom w:val="0"/>
                      <w:divBdr>
                        <w:top w:val="none" w:sz="0" w:space="0" w:color="auto"/>
                        <w:left w:val="none" w:sz="0" w:space="0" w:color="auto"/>
                        <w:bottom w:val="none" w:sz="0" w:space="0" w:color="auto"/>
                        <w:right w:val="none" w:sz="0" w:space="0" w:color="auto"/>
                      </w:divBdr>
                    </w:div>
                  </w:divsChild>
                </w:div>
                <w:div w:id="167451220">
                  <w:marLeft w:val="0"/>
                  <w:marRight w:val="0"/>
                  <w:marTop w:val="0"/>
                  <w:marBottom w:val="0"/>
                  <w:divBdr>
                    <w:top w:val="none" w:sz="0" w:space="0" w:color="auto"/>
                    <w:left w:val="none" w:sz="0" w:space="0" w:color="auto"/>
                    <w:bottom w:val="none" w:sz="0" w:space="0" w:color="auto"/>
                    <w:right w:val="none" w:sz="0" w:space="0" w:color="auto"/>
                  </w:divBdr>
                  <w:divsChild>
                    <w:div w:id="338312760">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206722455">
                          <w:marLeft w:val="0"/>
                          <w:marRight w:val="0"/>
                          <w:marTop w:val="0"/>
                          <w:marBottom w:val="0"/>
                          <w:divBdr>
                            <w:top w:val="none" w:sz="0" w:space="0" w:color="auto"/>
                            <w:left w:val="none" w:sz="0" w:space="0" w:color="auto"/>
                            <w:bottom w:val="none" w:sz="0" w:space="0" w:color="auto"/>
                            <w:right w:val="none" w:sz="0" w:space="0" w:color="auto"/>
                          </w:divBdr>
                          <w:divsChild>
                            <w:div w:id="1389643201">
                              <w:marLeft w:val="0"/>
                              <w:marRight w:val="0"/>
                              <w:marTop w:val="0"/>
                              <w:marBottom w:val="0"/>
                              <w:divBdr>
                                <w:top w:val="none" w:sz="0" w:space="0" w:color="auto"/>
                                <w:left w:val="none" w:sz="0" w:space="0" w:color="auto"/>
                                <w:bottom w:val="none" w:sz="0" w:space="0" w:color="auto"/>
                                <w:right w:val="none" w:sz="0" w:space="0" w:color="auto"/>
                              </w:divBdr>
                            </w:div>
                            <w:div w:id="20139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0391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825001879">
                          <w:marLeft w:val="0"/>
                          <w:marRight w:val="0"/>
                          <w:marTop w:val="0"/>
                          <w:marBottom w:val="0"/>
                          <w:divBdr>
                            <w:top w:val="none" w:sz="0" w:space="0" w:color="auto"/>
                            <w:left w:val="none" w:sz="0" w:space="0" w:color="auto"/>
                            <w:bottom w:val="none" w:sz="0" w:space="0" w:color="auto"/>
                            <w:right w:val="none" w:sz="0" w:space="0" w:color="auto"/>
                          </w:divBdr>
                          <w:divsChild>
                            <w:div w:id="1098526763">
                              <w:marLeft w:val="0"/>
                              <w:marRight w:val="0"/>
                              <w:marTop w:val="0"/>
                              <w:marBottom w:val="0"/>
                              <w:divBdr>
                                <w:top w:val="none" w:sz="0" w:space="0" w:color="auto"/>
                                <w:left w:val="none" w:sz="0" w:space="0" w:color="auto"/>
                                <w:bottom w:val="none" w:sz="0" w:space="0" w:color="auto"/>
                                <w:right w:val="none" w:sz="0" w:space="0" w:color="auto"/>
                              </w:divBdr>
                            </w:div>
                            <w:div w:id="15853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3220">
                  <w:marLeft w:val="0"/>
                  <w:marRight w:val="0"/>
                  <w:marTop w:val="0"/>
                  <w:marBottom w:val="0"/>
                  <w:divBdr>
                    <w:top w:val="none" w:sz="0" w:space="0" w:color="auto"/>
                    <w:left w:val="none" w:sz="0" w:space="0" w:color="auto"/>
                    <w:bottom w:val="none" w:sz="0" w:space="0" w:color="auto"/>
                    <w:right w:val="none" w:sz="0" w:space="0" w:color="auto"/>
                  </w:divBdr>
                </w:div>
                <w:div w:id="250626380">
                  <w:marLeft w:val="0"/>
                  <w:marRight w:val="0"/>
                  <w:marTop w:val="0"/>
                  <w:marBottom w:val="0"/>
                  <w:divBdr>
                    <w:top w:val="none" w:sz="0" w:space="0" w:color="auto"/>
                    <w:left w:val="none" w:sz="0" w:space="0" w:color="auto"/>
                    <w:bottom w:val="none" w:sz="0" w:space="0" w:color="auto"/>
                    <w:right w:val="none" w:sz="0" w:space="0" w:color="auto"/>
                  </w:divBdr>
                  <w:divsChild>
                    <w:div w:id="65886508">
                      <w:marLeft w:val="0"/>
                      <w:marRight w:val="0"/>
                      <w:marTop w:val="0"/>
                      <w:marBottom w:val="0"/>
                      <w:divBdr>
                        <w:top w:val="none" w:sz="0" w:space="0" w:color="auto"/>
                        <w:left w:val="none" w:sz="0" w:space="0" w:color="auto"/>
                        <w:bottom w:val="none" w:sz="0" w:space="0" w:color="auto"/>
                        <w:right w:val="none" w:sz="0" w:space="0" w:color="auto"/>
                      </w:divBdr>
                      <w:divsChild>
                        <w:div w:id="1630280142">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94973860">
                              <w:marLeft w:val="0"/>
                              <w:marRight w:val="0"/>
                              <w:marTop w:val="0"/>
                              <w:marBottom w:val="0"/>
                              <w:divBdr>
                                <w:top w:val="none" w:sz="0" w:space="0" w:color="auto"/>
                                <w:left w:val="none" w:sz="0" w:space="0" w:color="auto"/>
                                <w:bottom w:val="none" w:sz="0" w:space="0" w:color="auto"/>
                                <w:right w:val="none" w:sz="0" w:space="0" w:color="auto"/>
                              </w:divBdr>
                              <w:divsChild>
                                <w:div w:id="13655532">
                                  <w:marLeft w:val="0"/>
                                  <w:marRight w:val="0"/>
                                  <w:marTop w:val="0"/>
                                  <w:marBottom w:val="0"/>
                                  <w:divBdr>
                                    <w:top w:val="none" w:sz="0" w:space="0" w:color="auto"/>
                                    <w:left w:val="none" w:sz="0" w:space="0" w:color="auto"/>
                                    <w:bottom w:val="none" w:sz="0" w:space="0" w:color="auto"/>
                                    <w:right w:val="none" w:sz="0" w:space="0" w:color="auto"/>
                                  </w:divBdr>
                                </w:div>
                                <w:div w:id="13625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81858">
                      <w:marLeft w:val="0"/>
                      <w:marRight w:val="0"/>
                      <w:marTop w:val="0"/>
                      <w:marBottom w:val="0"/>
                      <w:divBdr>
                        <w:top w:val="none" w:sz="0" w:space="0" w:color="auto"/>
                        <w:left w:val="none" w:sz="0" w:space="0" w:color="auto"/>
                        <w:bottom w:val="none" w:sz="0" w:space="0" w:color="auto"/>
                        <w:right w:val="none" w:sz="0" w:space="0" w:color="auto"/>
                      </w:divBdr>
                      <w:divsChild>
                        <w:div w:id="256526059">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250390381">
                              <w:marLeft w:val="0"/>
                              <w:marRight w:val="0"/>
                              <w:marTop w:val="0"/>
                              <w:marBottom w:val="0"/>
                              <w:divBdr>
                                <w:top w:val="none" w:sz="0" w:space="0" w:color="auto"/>
                                <w:left w:val="none" w:sz="0" w:space="0" w:color="auto"/>
                                <w:bottom w:val="none" w:sz="0" w:space="0" w:color="auto"/>
                                <w:right w:val="none" w:sz="0" w:space="0" w:color="auto"/>
                              </w:divBdr>
                              <w:divsChild>
                                <w:div w:id="118766606">
                                  <w:marLeft w:val="0"/>
                                  <w:marRight w:val="0"/>
                                  <w:marTop w:val="0"/>
                                  <w:marBottom w:val="0"/>
                                  <w:divBdr>
                                    <w:top w:val="none" w:sz="0" w:space="0" w:color="auto"/>
                                    <w:left w:val="none" w:sz="0" w:space="0" w:color="auto"/>
                                    <w:bottom w:val="none" w:sz="0" w:space="0" w:color="auto"/>
                                    <w:right w:val="none" w:sz="0" w:space="0" w:color="auto"/>
                                  </w:divBdr>
                                </w:div>
                                <w:div w:id="2863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7031">
                  <w:marLeft w:val="0"/>
                  <w:marRight w:val="0"/>
                  <w:marTop w:val="0"/>
                  <w:marBottom w:val="0"/>
                  <w:divBdr>
                    <w:top w:val="none" w:sz="0" w:space="0" w:color="auto"/>
                    <w:left w:val="none" w:sz="0" w:space="0" w:color="auto"/>
                    <w:bottom w:val="none" w:sz="0" w:space="0" w:color="auto"/>
                    <w:right w:val="none" w:sz="0" w:space="0" w:color="auto"/>
                  </w:divBdr>
                </w:div>
                <w:div w:id="439224241">
                  <w:marLeft w:val="0"/>
                  <w:marRight w:val="0"/>
                  <w:marTop w:val="0"/>
                  <w:marBottom w:val="0"/>
                  <w:divBdr>
                    <w:top w:val="none" w:sz="0" w:space="0" w:color="auto"/>
                    <w:left w:val="none" w:sz="0" w:space="0" w:color="auto"/>
                    <w:bottom w:val="none" w:sz="0" w:space="0" w:color="auto"/>
                    <w:right w:val="none" w:sz="0" w:space="0" w:color="auto"/>
                  </w:divBdr>
                  <w:divsChild>
                    <w:div w:id="1299458270">
                      <w:marLeft w:val="0"/>
                      <w:marRight w:val="0"/>
                      <w:marTop w:val="0"/>
                      <w:marBottom w:val="0"/>
                      <w:divBdr>
                        <w:top w:val="none" w:sz="0" w:space="0" w:color="auto"/>
                        <w:left w:val="none" w:sz="0" w:space="0" w:color="auto"/>
                        <w:bottom w:val="none" w:sz="0" w:space="0" w:color="auto"/>
                        <w:right w:val="none" w:sz="0" w:space="0" w:color="auto"/>
                      </w:divBdr>
                      <w:divsChild>
                        <w:div w:id="935939807">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742827609">
                              <w:marLeft w:val="0"/>
                              <w:marRight w:val="0"/>
                              <w:marTop w:val="0"/>
                              <w:marBottom w:val="0"/>
                              <w:divBdr>
                                <w:top w:val="none" w:sz="0" w:space="0" w:color="auto"/>
                                <w:left w:val="none" w:sz="0" w:space="0" w:color="auto"/>
                                <w:bottom w:val="none" w:sz="0" w:space="0" w:color="auto"/>
                                <w:right w:val="none" w:sz="0" w:space="0" w:color="auto"/>
                              </w:divBdr>
                              <w:divsChild>
                                <w:div w:id="1119422550">
                                  <w:marLeft w:val="0"/>
                                  <w:marRight w:val="0"/>
                                  <w:marTop w:val="0"/>
                                  <w:marBottom w:val="0"/>
                                  <w:divBdr>
                                    <w:top w:val="none" w:sz="0" w:space="0" w:color="auto"/>
                                    <w:left w:val="none" w:sz="0" w:space="0" w:color="auto"/>
                                    <w:bottom w:val="none" w:sz="0" w:space="0" w:color="auto"/>
                                    <w:right w:val="none" w:sz="0" w:space="0" w:color="auto"/>
                                  </w:divBdr>
                                </w:div>
                                <w:div w:id="180322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191466">
                      <w:marLeft w:val="0"/>
                      <w:marRight w:val="0"/>
                      <w:marTop w:val="0"/>
                      <w:marBottom w:val="0"/>
                      <w:divBdr>
                        <w:top w:val="none" w:sz="0" w:space="0" w:color="auto"/>
                        <w:left w:val="none" w:sz="0" w:space="0" w:color="auto"/>
                        <w:bottom w:val="none" w:sz="0" w:space="0" w:color="auto"/>
                        <w:right w:val="none" w:sz="0" w:space="0" w:color="auto"/>
                      </w:divBdr>
                    </w:div>
                  </w:divsChild>
                </w:div>
                <w:div w:id="512453383">
                  <w:marLeft w:val="0"/>
                  <w:marRight w:val="0"/>
                  <w:marTop w:val="0"/>
                  <w:marBottom w:val="0"/>
                  <w:divBdr>
                    <w:top w:val="none" w:sz="0" w:space="0" w:color="auto"/>
                    <w:left w:val="none" w:sz="0" w:space="0" w:color="auto"/>
                    <w:bottom w:val="none" w:sz="0" w:space="0" w:color="auto"/>
                    <w:right w:val="none" w:sz="0" w:space="0" w:color="auto"/>
                  </w:divBdr>
                </w:div>
                <w:div w:id="722562539">
                  <w:marLeft w:val="0"/>
                  <w:marRight w:val="0"/>
                  <w:marTop w:val="0"/>
                  <w:marBottom w:val="0"/>
                  <w:divBdr>
                    <w:top w:val="none" w:sz="0" w:space="0" w:color="auto"/>
                    <w:left w:val="none" w:sz="0" w:space="0" w:color="auto"/>
                    <w:bottom w:val="none" w:sz="0" w:space="0" w:color="auto"/>
                    <w:right w:val="none" w:sz="0" w:space="0" w:color="auto"/>
                  </w:divBdr>
                </w:div>
                <w:div w:id="1037005564">
                  <w:marLeft w:val="0"/>
                  <w:marRight w:val="0"/>
                  <w:marTop w:val="0"/>
                  <w:marBottom w:val="0"/>
                  <w:divBdr>
                    <w:top w:val="none" w:sz="0" w:space="0" w:color="auto"/>
                    <w:left w:val="none" w:sz="0" w:space="0" w:color="auto"/>
                    <w:bottom w:val="none" w:sz="0" w:space="0" w:color="auto"/>
                    <w:right w:val="none" w:sz="0" w:space="0" w:color="auto"/>
                  </w:divBdr>
                  <w:divsChild>
                    <w:div w:id="189804375">
                      <w:marLeft w:val="0"/>
                      <w:marRight w:val="0"/>
                      <w:marTop w:val="0"/>
                      <w:marBottom w:val="0"/>
                      <w:divBdr>
                        <w:top w:val="none" w:sz="0" w:space="0" w:color="auto"/>
                        <w:left w:val="none" w:sz="0" w:space="0" w:color="auto"/>
                        <w:bottom w:val="none" w:sz="0" w:space="0" w:color="auto"/>
                        <w:right w:val="none" w:sz="0" w:space="0" w:color="auto"/>
                      </w:divBdr>
                    </w:div>
                    <w:div w:id="1907568427">
                      <w:marLeft w:val="0"/>
                      <w:marRight w:val="0"/>
                      <w:marTop w:val="0"/>
                      <w:marBottom w:val="0"/>
                      <w:divBdr>
                        <w:top w:val="none" w:sz="0" w:space="0" w:color="auto"/>
                        <w:left w:val="none" w:sz="0" w:space="0" w:color="auto"/>
                        <w:bottom w:val="none" w:sz="0" w:space="0" w:color="auto"/>
                        <w:right w:val="none" w:sz="0" w:space="0" w:color="auto"/>
                      </w:divBdr>
                      <w:divsChild>
                        <w:div w:id="943073175">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1032415781">
                              <w:marLeft w:val="0"/>
                              <w:marRight w:val="0"/>
                              <w:marTop w:val="0"/>
                              <w:marBottom w:val="0"/>
                              <w:divBdr>
                                <w:top w:val="none" w:sz="0" w:space="0" w:color="auto"/>
                                <w:left w:val="none" w:sz="0" w:space="0" w:color="auto"/>
                                <w:bottom w:val="none" w:sz="0" w:space="0" w:color="auto"/>
                                <w:right w:val="none" w:sz="0" w:space="0" w:color="auto"/>
                              </w:divBdr>
                              <w:divsChild>
                                <w:div w:id="896207324">
                                  <w:marLeft w:val="0"/>
                                  <w:marRight w:val="0"/>
                                  <w:marTop w:val="0"/>
                                  <w:marBottom w:val="0"/>
                                  <w:divBdr>
                                    <w:top w:val="none" w:sz="0" w:space="0" w:color="auto"/>
                                    <w:left w:val="none" w:sz="0" w:space="0" w:color="auto"/>
                                    <w:bottom w:val="none" w:sz="0" w:space="0" w:color="auto"/>
                                    <w:right w:val="none" w:sz="0" w:space="0" w:color="auto"/>
                                  </w:divBdr>
                                </w:div>
                                <w:div w:id="10039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057600">
                  <w:marLeft w:val="0"/>
                  <w:marRight w:val="0"/>
                  <w:marTop w:val="0"/>
                  <w:marBottom w:val="0"/>
                  <w:divBdr>
                    <w:top w:val="none" w:sz="0" w:space="0" w:color="auto"/>
                    <w:left w:val="none" w:sz="0" w:space="0" w:color="auto"/>
                    <w:bottom w:val="none" w:sz="0" w:space="0" w:color="auto"/>
                    <w:right w:val="none" w:sz="0" w:space="0" w:color="auto"/>
                  </w:divBdr>
                  <w:divsChild>
                    <w:div w:id="299044186">
                      <w:marLeft w:val="0"/>
                      <w:marRight w:val="0"/>
                      <w:marTop w:val="0"/>
                      <w:marBottom w:val="0"/>
                      <w:divBdr>
                        <w:top w:val="none" w:sz="0" w:space="0" w:color="auto"/>
                        <w:left w:val="none" w:sz="0" w:space="0" w:color="auto"/>
                        <w:bottom w:val="none" w:sz="0" w:space="0" w:color="auto"/>
                        <w:right w:val="none" w:sz="0" w:space="0" w:color="auto"/>
                      </w:divBdr>
                      <w:divsChild>
                        <w:div w:id="878394996">
                          <w:marLeft w:val="0"/>
                          <w:marRight w:val="0"/>
                          <w:marTop w:val="274"/>
                          <w:marBottom w:val="274"/>
                          <w:divBdr>
                            <w:top w:val="double" w:sz="12" w:space="6" w:color="E0ECFF"/>
                            <w:left w:val="double" w:sz="12" w:space="6" w:color="E0ECFF"/>
                            <w:bottom w:val="double" w:sz="12" w:space="6" w:color="E0ECFF"/>
                            <w:right w:val="double" w:sz="12" w:space="6" w:color="E0ECFF"/>
                          </w:divBdr>
                          <w:divsChild>
                            <w:div w:id="629096060">
                              <w:marLeft w:val="0"/>
                              <w:marRight w:val="0"/>
                              <w:marTop w:val="0"/>
                              <w:marBottom w:val="0"/>
                              <w:divBdr>
                                <w:top w:val="none" w:sz="0" w:space="0" w:color="auto"/>
                                <w:left w:val="none" w:sz="0" w:space="0" w:color="auto"/>
                                <w:bottom w:val="none" w:sz="0" w:space="0" w:color="auto"/>
                                <w:right w:val="none" w:sz="0" w:space="0" w:color="auto"/>
                              </w:divBdr>
                              <w:divsChild>
                                <w:div w:id="458501206">
                                  <w:marLeft w:val="0"/>
                                  <w:marRight w:val="0"/>
                                  <w:marTop w:val="0"/>
                                  <w:marBottom w:val="0"/>
                                  <w:divBdr>
                                    <w:top w:val="none" w:sz="0" w:space="0" w:color="auto"/>
                                    <w:left w:val="none" w:sz="0" w:space="0" w:color="auto"/>
                                    <w:bottom w:val="none" w:sz="0" w:space="0" w:color="auto"/>
                                    <w:right w:val="none" w:sz="0" w:space="0" w:color="auto"/>
                                  </w:divBdr>
                                </w:div>
                                <w:div w:id="183044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6706">
                      <w:marLeft w:val="0"/>
                      <w:marRight w:val="0"/>
                      <w:marTop w:val="0"/>
                      <w:marBottom w:val="0"/>
                      <w:divBdr>
                        <w:top w:val="none" w:sz="0" w:space="0" w:color="auto"/>
                        <w:left w:val="none" w:sz="0" w:space="0" w:color="auto"/>
                        <w:bottom w:val="none" w:sz="0" w:space="0" w:color="auto"/>
                        <w:right w:val="none" w:sz="0" w:space="0" w:color="auto"/>
                      </w:divBdr>
                    </w:div>
                    <w:div w:id="901401883">
                      <w:marLeft w:val="0"/>
                      <w:marRight w:val="0"/>
                      <w:marTop w:val="0"/>
                      <w:marBottom w:val="0"/>
                      <w:divBdr>
                        <w:top w:val="none" w:sz="0" w:space="0" w:color="auto"/>
                        <w:left w:val="none" w:sz="0" w:space="0" w:color="auto"/>
                        <w:bottom w:val="none" w:sz="0" w:space="0" w:color="auto"/>
                        <w:right w:val="none" w:sz="0" w:space="0" w:color="auto"/>
                      </w:divBdr>
                    </w:div>
                  </w:divsChild>
                </w:div>
                <w:div w:id="1728020419">
                  <w:marLeft w:val="0"/>
                  <w:marRight w:val="0"/>
                  <w:marTop w:val="0"/>
                  <w:marBottom w:val="0"/>
                  <w:divBdr>
                    <w:top w:val="none" w:sz="0" w:space="0" w:color="auto"/>
                    <w:left w:val="none" w:sz="0" w:space="0" w:color="auto"/>
                    <w:bottom w:val="none" w:sz="0" w:space="0" w:color="auto"/>
                    <w:right w:val="none" w:sz="0" w:space="0" w:color="auto"/>
                  </w:divBdr>
                </w:div>
              </w:divsChild>
            </w:div>
            <w:div w:id="1622498059">
              <w:marLeft w:val="0"/>
              <w:marRight w:val="0"/>
              <w:marTop w:val="0"/>
              <w:marBottom w:val="0"/>
              <w:divBdr>
                <w:top w:val="none" w:sz="0" w:space="0" w:color="auto"/>
                <w:left w:val="none" w:sz="0" w:space="0" w:color="auto"/>
                <w:bottom w:val="none" w:sz="0" w:space="0" w:color="auto"/>
                <w:right w:val="none" w:sz="0" w:space="0" w:color="auto"/>
              </w:divBdr>
              <w:divsChild>
                <w:div w:id="338847487">
                  <w:marLeft w:val="0"/>
                  <w:marRight w:val="0"/>
                  <w:marTop w:val="256"/>
                  <w:marBottom w:val="256"/>
                  <w:divBdr>
                    <w:top w:val="none" w:sz="0" w:space="0" w:color="auto"/>
                    <w:left w:val="none" w:sz="0" w:space="0" w:color="auto"/>
                    <w:bottom w:val="none" w:sz="0" w:space="0" w:color="auto"/>
                    <w:right w:val="none" w:sz="0" w:space="0" w:color="auto"/>
                  </w:divBdr>
                  <w:divsChild>
                    <w:div w:id="14550">
                      <w:marLeft w:val="0"/>
                      <w:marRight w:val="0"/>
                      <w:marTop w:val="256"/>
                      <w:marBottom w:val="256"/>
                      <w:divBdr>
                        <w:top w:val="none" w:sz="0" w:space="0" w:color="auto"/>
                        <w:left w:val="none" w:sz="0" w:space="0" w:color="auto"/>
                        <w:bottom w:val="none" w:sz="0" w:space="0" w:color="auto"/>
                        <w:right w:val="none" w:sz="0" w:space="0" w:color="auto"/>
                      </w:divBdr>
                    </w:div>
                    <w:div w:id="31151374">
                      <w:marLeft w:val="0"/>
                      <w:marRight w:val="0"/>
                      <w:marTop w:val="256"/>
                      <w:marBottom w:val="256"/>
                      <w:divBdr>
                        <w:top w:val="none" w:sz="0" w:space="0" w:color="auto"/>
                        <w:left w:val="none" w:sz="0" w:space="0" w:color="auto"/>
                        <w:bottom w:val="none" w:sz="0" w:space="0" w:color="auto"/>
                        <w:right w:val="none" w:sz="0" w:space="0" w:color="auto"/>
                      </w:divBdr>
                    </w:div>
                    <w:div w:id="64686009">
                      <w:marLeft w:val="0"/>
                      <w:marRight w:val="0"/>
                      <w:marTop w:val="256"/>
                      <w:marBottom w:val="256"/>
                      <w:divBdr>
                        <w:top w:val="none" w:sz="0" w:space="0" w:color="auto"/>
                        <w:left w:val="none" w:sz="0" w:space="0" w:color="auto"/>
                        <w:bottom w:val="none" w:sz="0" w:space="0" w:color="auto"/>
                        <w:right w:val="none" w:sz="0" w:space="0" w:color="auto"/>
                      </w:divBdr>
                    </w:div>
                    <w:div w:id="72750666">
                      <w:marLeft w:val="0"/>
                      <w:marRight w:val="0"/>
                      <w:marTop w:val="256"/>
                      <w:marBottom w:val="256"/>
                      <w:divBdr>
                        <w:top w:val="none" w:sz="0" w:space="0" w:color="auto"/>
                        <w:left w:val="none" w:sz="0" w:space="0" w:color="auto"/>
                        <w:bottom w:val="none" w:sz="0" w:space="0" w:color="auto"/>
                        <w:right w:val="none" w:sz="0" w:space="0" w:color="auto"/>
                      </w:divBdr>
                    </w:div>
                    <w:div w:id="75828504">
                      <w:marLeft w:val="0"/>
                      <w:marRight w:val="0"/>
                      <w:marTop w:val="256"/>
                      <w:marBottom w:val="256"/>
                      <w:divBdr>
                        <w:top w:val="none" w:sz="0" w:space="0" w:color="auto"/>
                        <w:left w:val="none" w:sz="0" w:space="0" w:color="auto"/>
                        <w:bottom w:val="none" w:sz="0" w:space="0" w:color="auto"/>
                        <w:right w:val="none" w:sz="0" w:space="0" w:color="auto"/>
                      </w:divBdr>
                    </w:div>
                    <w:div w:id="135489757">
                      <w:marLeft w:val="0"/>
                      <w:marRight w:val="0"/>
                      <w:marTop w:val="256"/>
                      <w:marBottom w:val="256"/>
                      <w:divBdr>
                        <w:top w:val="none" w:sz="0" w:space="0" w:color="auto"/>
                        <w:left w:val="none" w:sz="0" w:space="0" w:color="auto"/>
                        <w:bottom w:val="none" w:sz="0" w:space="0" w:color="auto"/>
                        <w:right w:val="none" w:sz="0" w:space="0" w:color="auto"/>
                      </w:divBdr>
                    </w:div>
                    <w:div w:id="159463436">
                      <w:marLeft w:val="0"/>
                      <w:marRight w:val="0"/>
                      <w:marTop w:val="256"/>
                      <w:marBottom w:val="256"/>
                      <w:divBdr>
                        <w:top w:val="none" w:sz="0" w:space="0" w:color="auto"/>
                        <w:left w:val="none" w:sz="0" w:space="0" w:color="auto"/>
                        <w:bottom w:val="none" w:sz="0" w:space="0" w:color="auto"/>
                        <w:right w:val="none" w:sz="0" w:space="0" w:color="auto"/>
                      </w:divBdr>
                    </w:div>
                    <w:div w:id="165943426">
                      <w:marLeft w:val="0"/>
                      <w:marRight w:val="0"/>
                      <w:marTop w:val="256"/>
                      <w:marBottom w:val="256"/>
                      <w:divBdr>
                        <w:top w:val="none" w:sz="0" w:space="0" w:color="auto"/>
                        <w:left w:val="none" w:sz="0" w:space="0" w:color="auto"/>
                        <w:bottom w:val="none" w:sz="0" w:space="0" w:color="auto"/>
                        <w:right w:val="none" w:sz="0" w:space="0" w:color="auto"/>
                      </w:divBdr>
                    </w:div>
                    <w:div w:id="174194862">
                      <w:marLeft w:val="0"/>
                      <w:marRight w:val="0"/>
                      <w:marTop w:val="256"/>
                      <w:marBottom w:val="256"/>
                      <w:divBdr>
                        <w:top w:val="none" w:sz="0" w:space="0" w:color="auto"/>
                        <w:left w:val="none" w:sz="0" w:space="0" w:color="auto"/>
                        <w:bottom w:val="none" w:sz="0" w:space="0" w:color="auto"/>
                        <w:right w:val="none" w:sz="0" w:space="0" w:color="auto"/>
                      </w:divBdr>
                    </w:div>
                    <w:div w:id="180166502">
                      <w:marLeft w:val="0"/>
                      <w:marRight w:val="0"/>
                      <w:marTop w:val="256"/>
                      <w:marBottom w:val="256"/>
                      <w:divBdr>
                        <w:top w:val="none" w:sz="0" w:space="0" w:color="auto"/>
                        <w:left w:val="none" w:sz="0" w:space="0" w:color="auto"/>
                        <w:bottom w:val="none" w:sz="0" w:space="0" w:color="auto"/>
                        <w:right w:val="none" w:sz="0" w:space="0" w:color="auto"/>
                      </w:divBdr>
                    </w:div>
                    <w:div w:id="193081065">
                      <w:marLeft w:val="0"/>
                      <w:marRight w:val="0"/>
                      <w:marTop w:val="256"/>
                      <w:marBottom w:val="256"/>
                      <w:divBdr>
                        <w:top w:val="none" w:sz="0" w:space="0" w:color="auto"/>
                        <w:left w:val="none" w:sz="0" w:space="0" w:color="auto"/>
                        <w:bottom w:val="none" w:sz="0" w:space="0" w:color="auto"/>
                        <w:right w:val="none" w:sz="0" w:space="0" w:color="auto"/>
                      </w:divBdr>
                    </w:div>
                    <w:div w:id="200291633">
                      <w:marLeft w:val="0"/>
                      <w:marRight w:val="0"/>
                      <w:marTop w:val="256"/>
                      <w:marBottom w:val="256"/>
                      <w:divBdr>
                        <w:top w:val="none" w:sz="0" w:space="0" w:color="auto"/>
                        <w:left w:val="none" w:sz="0" w:space="0" w:color="auto"/>
                        <w:bottom w:val="none" w:sz="0" w:space="0" w:color="auto"/>
                        <w:right w:val="none" w:sz="0" w:space="0" w:color="auto"/>
                      </w:divBdr>
                    </w:div>
                    <w:div w:id="209612066">
                      <w:marLeft w:val="0"/>
                      <w:marRight w:val="0"/>
                      <w:marTop w:val="256"/>
                      <w:marBottom w:val="256"/>
                      <w:divBdr>
                        <w:top w:val="none" w:sz="0" w:space="0" w:color="auto"/>
                        <w:left w:val="none" w:sz="0" w:space="0" w:color="auto"/>
                        <w:bottom w:val="none" w:sz="0" w:space="0" w:color="auto"/>
                        <w:right w:val="none" w:sz="0" w:space="0" w:color="auto"/>
                      </w:divBdr>
                    </w:div>
                    <w:div w:id="273172270">
                      <w:marLeft w:val="0"/>
                      <w:marRight w:val="0"/>
                      <w:marTop w:val="256"/>
                      <w:marBottom w:val="256"/>
                      <w:divBdr>
                        <w:top w:val="none" w:sz="0" w:space="0" w:color="auto"/>
                        <w:left w:val="none" w:sz="0" w:space="0" w:color="auto"/>
                        <w:bottom w:val="none" w:sz="0" w:space="0" w:color="auto"/>
                        <w:right w:val="none" w:sz="0" w:space="0" w:color="auto"/>
                      </w:divBdr>
                    </w:div>
                    <w:div w:id="299237633">
                      <w:marLeft w:val="0"/>
                      <w:marRight w:val="0"/>
                      <w:marTop w:val="256"/>
                      <w:marBottom w:val="256"/>
                      <w:divBdr>
                        <w:top w:val="none" w:sz="0" w:space="0" w:color="auto"/>
                        <w:left w:val="none" w:sz="0" w:space="0" w:color="auto"/>
                        <w:bottom w:val="none" w:sz="0" w:space="0" w:color="auto"/>
                        <w:right w:val="none" w:sz="0" w:space="0" w:color="auto"/>
                      </w:divBdr>
                    </w:div>
                    <w:div w:id="327052852">
                      <w:marLeft w:val="0"/>
                      <w:marRight w:val="0"/>
                      <w:marTop w:val="256"/>
                      <w:marBottom w:val="256"/>
                      <w:divBdr>
                        <w:top w:val="none" w:sz="0" w:space="0" w:color="auto"/>
                        <w:left w:val="none" w:sz="0" w:space="0" w:color="auto"/>
                        <w:bottom w:val="none" w:sz="0" w:space="0" w:color="auto"/>
                        <w:right w:val="none" w:sz="0" w:space="0" w:color="auto"/>
                      </w:divBdr>
                    </w:div>
                    <w:div w:id="327251331">
                      <w:marLeft w:val="0"/>
                      <w:marRight w:val="0"/>
                      <w:marTop w:val="256"/>
                      <w:marBottom w:val="256"/>
                      <w:divBdr>
                        <w:top w:val="none" w:sz="0" w:space="0" w:color="auto"/>
                        <w:left w:val="none" w:sz="0" w:space="0" w:color="auto"/>
                        <w:bottom w:val="none" w:sz="0" w:space="0" w:color="auto"/>
                        <w:right w:val="none" w:sz="0" w:space="0" w:color="auto"/>
                      </w:divBdr>
                    </w:div>
                    <w:div w:id="337580643">
                      <w:marLeft w:val="0"/>
                      <w:marRight w:val="0"/>
                      <w:marTop w:val="256"/>
                      <w:marBottom w:val="256"/>
                      <w:divBdr>
                        <w:top w:val="none" w:sz="0" w:space="0" w:color="auto"/>
                        <w:left w:val="none" w:sz="0" w:space="0" w:color="auto"/>
                        <w:bottom w:val="none" w:sz="0" w:space="0" w:color="auto"/>
                        <w:right w:val="none" w:sz="0" w:space="0" w:color="auto"/>
                      </w:divBdr>
                    </w:div>
                    <w:div w:id="357657078">
                      <w:marLeft w:val="0"/>
                      <w:marRight w:val="0"/>
                      <w:marTop w:val="256"/>
                      <w:marBottom w:val="256"/>
                      <w:divBdr>
                        <w:top w:val="none" w:sz="0" w:space="0" w:color="auto"/>
                        <w:left w:val="none" w:sz="0" w:space="0" w:color="auto"/>
                        <w:bottom w:val="none" w:sz="0" w:space="0" w:color="auto"/>
                        <w:right w:val="none" w:sz="0" w:space="0" w:color="auto"/>
                      </w:divBdr>
                    </w:div>
                    <w:div w:id="357703804">
                      <w:marLeft w:val="0"/>
                      <w:marRight w:val="0"/>
                      <w:marTop w:val="256"/>
                      <w:marBottom w:val="256"/>
                      <w:divBdr>
                        <w:top w:val="none" w:sz="0" w:space="0" w:color="auto"/>
                        <w:left w:val="none" w:sz="0" w:space="0" w:color="auto"/>
                        <w:bottom w:val="none" w:sz="0" w:space="0" w:color="auto"/>
                        <w:right w:val="none" w:sz="0" w:space="0" w:color="auto"/>
                      </w:divBdr>
                    </w:div>
                    <w:div w:id="368184214">
                      <w:marLeft w:val="0"/>
                      <w:marRight w:val="0"/>
                      <w:marTop w:val="256"/>
                      <w:marBottom w:val="256"/>
                      <w:divBdr>
                        <w:top w:val="none" w:sz="0" w:space="0" w:color="auto"/>
                        <w:left w:val="none" w:sz="0" w:space="0" w:color="auto"/>
                        <w:bottom w:val="none" w:sz="0" w:space="0" w:color="auto"/>
                        <w:right w:val="none" w:sz="0" w:space="0" w:color="auto"/>
                      </w:divBdr>
                    </w:div>
                    <w:div w:id="374889247">
                      <w:marLeft w:val="0"/>
                      <w:marRight w:val="0"/>
                      <w:marTop w:val="256"/>
                      <w:marBottom w:val="256"/>
                      <w:divBdr>
                        <w:top w:val="none" w:sz="0" w:space="0" w:color="auto"/>
                        <w:left w:val="none" w:sz="0" w:space="0" w:color="auto"/>
                        <w:bottom w:val="none" w:sz="0" w:space="0" w:color="auto"/>
                        <w:right w:val="none" w:sz="0" w:space="0" w:color="auto"/>
                      </w:divBdr>
                    </w:div>
                    <w:div w:id="385493059">
                      <w:marLeft w:val="0"/>
                      <w:marRight w:val="0"/>
                      <w:marTop w:val="256"/>
                      <w:marBottom w:val="256"/>
                      <w:divBdr>
                        <w:top w:val="none" w:sz="0" w:space="0" w:color="auto"/>
                        <w:left w:val="none" w:sz="0" w:space="0" w:color="auto"/>
                        <w:bottom w:val="none" w:sz="0" w:space="0" w:color="auto"/>
                        <w:right w:val="none" w:sz="0" w:space="0" w:color="auto"/>
                      </w:divBdr>
                    </w:div>
                    <w:div w:id="391537134">
                      <w:marLeft w:val="0"/>
                      <w:marRight w:val="0"/>
                      <w:marTop w:val="256"/>
                      <w:marBottom w:val="256"/>
                      <w:divBdr>
                        <w:top w:val="none" w:sz="0" w:space="0" w:color="auto"/>
                        <w:left w:val="none" w:sz="0" w:space="0" w:color="auto"/>
                        <w:bottom w:val="none" w:sz="0" w:space="0" w:color="auto"/>
                        <w:right w:val="none" w:sz="0" w:space="0" w:color="auto"/>
                      </w:divBdr>
                    </w:div>
                    <w:div w:id="410933806">
                      <w:marLeft w:val="0"/>
                      <w:marRight w:val="0"/>
                      <w:marTop w:val="256"/>
                      <w:marBottom w:val="256"/>
                      <w:divBdr>
                        <w:top w:val="none" w:sz="0" w:space="0" w:color="auto"/>
                        <w:left w:val="none" w:sz="0" w:space="0" w:color="auto"/>
                        <w:bottom w:val="none" w:sz="0" w:space="0" w:color="auto"/>
                        <w:right w:val="none" w:sz="0" w:space="0" w:color="auto"/>
                      </w:divBdr>
                    </w:div>
                    <w:div w:id="411320483">
                      <w:marLeft w:val="0"/>
                      <w:marRight w:val="0"/>
                      <w:marTop w:val="256"/>
                      <w:marBottom w:val="256"/>
                      <w:divBdr>
                        <w:top w:val="none" w:sz="0" w:space="0" w:color="auto"/>
                        <w:left w:val="none" w:sz="0" w:space="0" w:color="auto"/>
                        <w:bottom w:val="none" w:sz="0" w:space="0" w:color="auto"/>
                        <w:right w:val="none" w:sz="0" w:space="0" w:color="auto"/>
                      </w:divBdr>
                    </w:div>
                    <w:div w:id="436684474">
                      <w:marLeft w:val="0"/>
                      <w:marRight w:val="0"/>
                      <w:marTop w:val="256"/>
                      <w:marBottom w:val="256"/>
                      <w:divBdr>
                        <w:top w:val="none" w:sz="0" w:space="0" w:color="auto"/>
                        <w:left w:val="none" w:sz="0" w:space="0" w:color="auto"/>
                        <w:bottom w:val="none" w:sz="0" w:space="0" w:color="auto"/>
                        <w:right w:val="none" w:sz="0" w:space="0" w:color="auto"/>
                      </w:divBdr>
                    </w:div>
                    <w:div w:id="454645473">
                      <w:marLeft w:val="0"/>
                      <w:marRight w:val="0"/>
                      <w:marTop w:val="256"/>
                      <w:marBottom w:val="256"/>
                      <w:divBdr>
                        <w:top w:val="none" w:sz="0" w:space="0" w:color="auto"/>
                        <w:left w:val="none" w:sz="0" w:space="0" w:color="auto"/>
                        <w:bottom w:val="none" w:sz="0" w:space="0" w:color="auto"/>
                        <w:right w:val="none" w:sz="0" w:space="0" w:color="auto"/>
                      </w:divBdr>
                    </w:div>
                    <w:div w:id="463812162">
                      <w:marLeft w:val="0"/>
                      <w:marRight w:val="0"/>
                      <w:marTop w:val="256"/>
                      <w:marBottom w:val="256"/>
                      <w:divBdr>
                        <w:top w:val="none" w:sz="0" w:space="0" w:color="auto"/>
                        <w:left w:val="none" w:sz="0" w:space="0" w:color="auto"/>
                        <w:bottom w:val="none" w:sz="0" w:space="0" w:color="auto"/>
                        <w:right w:val="none" w:sz="0" w:space="0" w:color="auto"/>
                      </w:divBdr>
                    </w:div>
                    <w:div w:id="465661665">
                      <w:marLeft w:val="0"/>
                      <w:marRight w:val="0"/>
                      <w:marTop w:val="256"/>
                      <w:marBottom w:val="256"/>
                      <w:divBdr>
                        <w:top w:val="none" w:sz="0" w:space="0" w:color="auto"/>
                        <w:left w:val="none" w:sz="0" w:space="0" w:color="auto"/>
                        <w:bottom w:val="none" w:sz="0" w:space="0" w:color="auto"/>
                        <w:right w:val="none" w:sz="0" w:space="0" w:color="auto"/>
                      </w:divBdr>
                    </w:div>
                    <w:div w:id="481508149">
                      <w:marLeft w:val="0"/>
                      <w:marRight w:val="0"/>
                      <w:marTop w:val="256"/>
                      <w:marBottom w:val="256"/>
                      <w:divBdr>
                        <w:top w:val="none" w:sz="0" w:space="0" w:color="auto"/>
                        <w:left w:val="none" w:sz="0" w:space="0" w:color="auto"/>
                        <w:bottom w:val="none" w:sz="0" w:space="0" w:color="auto"/>
                        <w:right w:val="none" w:sz="0" w:space="0" w:color="auto"/>
                      </w:divBdr>
                    </w:div>
                    <w:div w:id="496575152">
                      <w:marLeft w:val="0"/>
                      <w:marRight w:val="0"/>
                      <w:marTop w:val="256"/>
                      <w:marBottom w:val="256"/>
                      <w:divBdr>
                        <w:top w:val="none" w:sz="0" w:space="0" w:color="auto"/>
                        <w:left w:val="none" w:sz="0" w:space="0" w:color="auto"/>
                        <w:bottom w:val="none" w:sz="0" w:space="0" w:color="auto"/>
                        <w:right w:val="none" w:sz="0" w:space="0" w:color="auto"/>
                      </w:divBdr>
                    </w:div>
                    <w:div w:id="497891431">
                      <w:marLeft w:val="0"/>
                      <w:marRight w:val="0"/>
                      <w:marTop w:val="256"/>
                      <w:marBottom w:val="256"/>
                      <w:divBdr>
                        <w:top w:val="none" w:sz="0" w:space="0" w:color="auto"/>
                        <w:left w:val="none" w:sz="0" w:space="0" w:color="auto"/>
                        <w:bottom w:val="none" w:sz="0" w:space="0" w:color="auto"/>
                        <w:right w:val="none" w:sz="0" w:space="0" w:color="auto"/>
                      </w:divBdr>
                    </w:div>
                    <w:div w:id="516970192">
                      <w:marLeft w:val="0"/>
                      <w:marRight w:val="0"/>
                      <w:marTop w:val="256"/>
                      <w:marBottom w:val="256"/>
                      <w:divBdr>
                        <w:top w:val="none" w:sz="0" w:space="0" w:color="auto"/>
                        <w:left w:val="none" w:sz="0" w:space="0" w:color="auto"/>
                        <w:bottom w:val="none" w:sz="0" w:space="0" w:color="auto"/>
                        <w:right w:val="none" w:sz="0" w:space="0" w:color="auto"/>
                      </w:divBdr>
                    </w:div>
                    <w:div w:id="519466418">
                      <w:marLeft w:val="0"/>
                      <w:marRight w:val="0"/>
                      <w:marTop w:val="256"/>
                      <w:marBottom w:val="256"/>
                      <w:divBdr>
                        <w:top w:val="none" w:sz="0" w:space="0" w:color="auto"/>
                        <w:left w:val="none" w:sz="0" w:space="0" w:color="auto"/>
                        <w:bottom w:val="none" w:sz="0" w:space="0" w:color="auto"/>
                        <w:right w:val="none" w:sz="0" w:space="0" w:color="auto"/>
                      </w:divBdr>
                    </w:div>
                    <w:div w:id="588008269">
                      <w:marLeft w:val="0"/>
                      <w:marRight w:val="0"/>
                      <w:marTop w:val="256"/>
                      <w:marBottom w:val="256"/>
                      <w:divBdr>
                        <w:top w:val="none" w:sz="0" w:space="0" w:color="auto"/>
                        <w:left w:val="none" w:sz="0" w:space="0" w:color="auto"/>
                        <w:bottom w:val="none" w:sz="0" w:space="0" w:color="auto"/>
                        <w:right w:val="none" w:sz="0" w:space="0" w:color="auto"/>
                      </w:divBdr>
                    </w:div>
                    <w:div w:id="593130958">
                      <w:marLeft w:val="0"/>
                      <w:marRight w:val="0"/>
                      <w:marTop w:val="256"/>
                      <w:marBottom w:val="256"/>
                      <w:divBdr>
                        <w:top w:val="none" w:sz="0" w:space="0" w:color="auto"/>
                        <w:left w:val="none" w:sz="0" w:space="0" w:color="auto"/>
                        <w:bottom w:val="none" w:sz="0" w:space="0" w:color="auto"/>
                        <w:right w:val="none" w:sz="0" w:space="0" w:color="auto"/>
                      </w:divBdr>
                    </w:div>
                    <w:div w:id="610207879">
                      <w:marLeft w:val="0"/>
                      <w:marRight w:val="0"/>
                      <w:marTop w:val="256"/>
                      <w:marBottom w:val="256"/>
                      <w:divBdr>
                        <w:top w:val="none" w:sz="0" w:space="0" w:color="auto"/>
                        <w:left w:val="none" w:sz="0" w:space="0" w:color="auto"/>
                        <w:bottom w:val="none" w:sz="0" w:space="0" w:color="auto"/>
                        <w:right w:val="none" w:sz="0" w:space="0" w:color="auto"/>
                      </w:divBdr>
                    </w:div>
                    <w:div w:id="654996707">
                      <w:marLeft w:val="0"/>
                      <w:marRight w:val="0"/>
                      <w:marTop w:val="256"/>
                      <w:marBottom w:val="256"/>
                      <w:divBdr>
                        <w:top w:val="none" w:sz="0" w:space="0" w:color="auto"/>
                        <w:left w:val="none" w:sz="0" w:space="0" w:color="auto"/>
                        <w:bottom w:val="none" w:sz="0" w:space="0" w:color="auto"/>
                        <w:right w:val="none" w:sz="0" w:space="0" w:color="auto"/>
                      </w:divBdr>
                    </w:div>
                    <w:div w:id="690113000">
                      <w:marLeft w:val="0"/>
                      <w:marRight w:val="0"/>
                      <w:marTop w:val="256"/>
                      <w:marBottom w:val="256"/>
                      <w:divBdr>
                        <w:top w:val="none" w:sz="0" w:space="0" w:color="auto"/>
                        <w:left w:val="none" w:sz="0" w:space="0" w:color="auto"/>
                        <w:bottom w:val="none" w:sz="0" w:space="0" w:color="auto"/>
                        <w:right w:val="none" w:sz="0" w:space="0" w:color="auto"/>
                      </w:divBdr>
                    </w:div>
                    <w:div w:id="698119036">
                      <w:marLeft w:val="0"/>
                      <w:marRight w:val="0"/>
                      <w:marTop w:val="256"/>
                      <w:marBottom w:val="256"/>
                      <w:divBdr>
                        <w:top w:val="none" w:sz="0" w:space="0" w:color="auto"/>
                        <w:left w:val="none" w:sz="0" w:space="0" w:color="auto"/>
                        <w:bottom w:val="none" w:sz="0" w:space="0" w:color="auto"/>
                        <w:right w:val="none" w:sz="0" w:space="0" w:color="auto"/>
                      </w:divBdr>
                    </w:div>
                    <w:div w:id="700282403">
                      <w:marLeft w:val="0"/>
                      <w:marRight w:val="0"/>
                      <w:marTop w:val="256"/>
                      <w:marBottom w:val="256"/>
                      <w:divBdr>
                        <w:top w:val="none" w:sz="0" w:space="0" w:color="auto"/>
                        <w:left w:val="none" w:sz="0" w:space="0" w:color="auto"/>
                        <w:bottom w:val="none" w:sz="0" w:space="0" w:color="auto"/>
                        <w:right w:val="none" w:sz="0" w:space="0" w:color="auto"/>
                      </w:divBdr>
                    </w:div>
                    <w:div w:id="706025220">
                      <w:marLeft w:val="0"/>
                      <w:marRight w:val="0"/>
                      <w:marTop w:val="256"/>
                      <w:marBottom w:val="256"/>
                      <w:divBdr>
                        <w:top w:val="none" w:sz="0" w:space="0" w:color="auto"/>
                        <w:left w:val="none" w:sz="0" w:space="0" w:color="auto"/>
                        <w:bottom w:val="none" w:sz="0" w:space="0" w:color="auto"/>
                        <w:right w:val="none" w:sz="0" w:space="0" w:color="auto"/>
                      </w:divBdr>
                    </w:div>
                    <w:div w:id="711463010">
                      <w:marLeft w:val="0"/>
                      <w:marRight w:val="0"/>
                      <w:marTop w:val="256"/>
                      <w:marBottom w:val="256"/>
                      <w:divBdr>
                        <w:top w:val="none" w:sz="0" w:space="0" w:color="auto"/>
                        <w:left w:val="none" w:sz="0" w:space="0" w:color="auto"/>
                        <w:bottom w:val="none" w:sz="0" w:space="0" w:color="auto"/>
                        <w:right w:val="none" w:sz="0" w:space="0" w:color="auto"/>
                      </w:divBdr>
                    </w:div>
                    <w:div w:id="720860070">
                      <w:marLeft w:val="0"/>
                      <w:marRight w:val="0"/>
                      <w:marTop w:val="256"/>
                      <w:marBottom w:val="256"/>
                      <w:divBdr>
                        <w:top w:val="none" w:sz="0" w:space="0" w:color="auto"/>
                        <w:left w:val="none" w:sz="0" w:space="0" w:color="auto"/>
                        <w:bottom w:val="none" w:sz="0" w:space="0" w:color="auto"/>
                        <w:right w:val="none" w:sz="0" w:space="0" w:color="auto"/>
                      </w:divBdr>
                    </w:div>
                    <w:div w:id="737366918">
                      <w:marLeft w:val="0"/>
                      <w:marRight w:val="0"/>
                      <w:marTop w:val="256"/>
                      <w:marBottom w:val="256"/>
                      <w:divBdr>
                        <w:top w:val="none" w:sz="0" w:space="0" w:color="auto"/>
                        <w:left w:val="none" w:sz="0" w:space="0" w:color="auto"/>
                        <w:bottom w:val="none" w:sz="0" w:space="0" w:color="auto"/>
                        <w:right w:val="none" w:sz="0" w:space="0" w:color="auto"/>
                      </w:divBdr>
                    </w:div>
                    <w:div w:id="779841727">
                      <w:marLeft w:val="0"/>
                      <w:marRight w:val="0"/>
                      <w:marTop w:val="256"/>
                      <w:marBottom w:val="256"/>
                      <w:divBdr>
                        <w:top w:val="none" w:sz="0" w:space="0" w:color="auto"/>
                        <w:left w:val="none" w:sz="0" w:space="0" w:color="auto"/>
                        <w:bottom w:val="none" w:sz="0" w:space="0" w:color="auto"/>
                        <w:right w:val="none" w:sz="0" w:space="0" w:color="auto"/>
                      </w:divBdr>
                    </w:div>
                    <w:div w:id="795759507">
                      <w:marLeft w:val="0"/>
                      <w:marRight w:val="0"/>
                      <w:marTop w:val="256"/>
                      <w:marBottom w:val="256"/>
                      <w:divBdr>
                        <w:top w:val="none" w:sz="0" w:space="0" w:color="auto"/>
                        <w:left w:val="none" w:sz="0" w:space="0" w:color="auto"/>
                        <w:bottom w:val="none" w:sz="0" w:space="0" w:color="auto"/>
                        <w:right w:val="none" w:sz="0" w:space="0" w:color="auto"/>
                      </w:divBdr>
                    </w:div>
                    <w:div w:id="817575240">
                      <w:marLeft w:val="0"/>
                      <w:marRight w:val="0"/>
                      <w:marTop w:val="256"/>
                      <w:marBottom w:val="256"/>
                      <w:divBdr>
                        <w:top w:val="none" w:sz="0" w:space="0" w:color="auto"/>
                        <w:left w:val="none" w:sz="0" w:space="0" w:color="auto"/>
                        <w:bottom w:val="none" w:sz="0" w:space="0" w:color="auto"/>
                        <w:right w:val="none" w:sz="0" w:space="0" w:color="auto"/>
                      </w:divBdr>
                    </w:div>
                    <w:div w:id="839660084">
                      <w:marLeft w:val="0"/>
                      <w:marRight w:val="0"/>
                      <w:marTop w:val="256"/>
                      <w:marBottom w:val="256"/>
                      <w:divBdr>
                        <w:top w:val="none" w:sz="0" w:space="0" w:color="auto"/>
                        <w:left w:val="none" w:sz="0" w:space="0" w:color="auto"/>
                        <w:bottom w:val="none" w:sz="0" w:space="0" w:color="auto"/>
                        <w:right w:val="none" w:sz="0" w:space="0" w:color="auto"/>
                      </w:divBdr>
                    </w:div>
                    <w:div w:id="853224076">
                      <w:marLeft w:val="0"/>
                      <w:marRight w:val="0"/>
                      <w:marTop w:val="256"/>
                      <w:marBottom w:val="256"/>
                      <w:divBdr>
                        <w:top w:val="none" w:sz="0" w:space="0" w:color="auto"/>
                        <w:left w:val="none" w:sz="0" w:space="0" w:color="auto"/>
                        <w:bottom w:val="none" w:sz="0" w:space="0" w:color="auto"/>
                        <w:right w:val="none" w:sz="0" w:space="0" w:color="auto"/>
                      </w:divBdr>
                    </w:div>
                    <w:div w:id="860583568">
                      <w:marLeft w:val="0"/>
                      <w:marRight w:val="0"/>
                      <w:marTop w:val="256"/>
                      <w:marBottom w:val="256"/>
                      <w:divBdr>
                        <w:top w:val="none" w:sz="0" w:space="0" w:color="auto"/>
                        <w:left w:val="none" w:sz="0" w:space="0" w:color="auto"/>
                        <w:bottom w:val="none" w:sz="0" w:space="0" w:color="auto"/>
                        <w:right w:val="none" w:sz="0" w:space="0" w:color="auto"/>
                      </w:divBdr>
                    </w:div>
                    <w:div w:id="869487346">
                      <w:marLeft w:val="0"/>
                      <w:marRight w:val="0"/>
                      <w:marTop w:val="256"/>
                      <w:marBottom w:val="256"/>
                      <w:divBdr>
                        <w:top w:val="none" w:sz="0" w:space="0" w:color="auto"/>
                        <w:left w:val="none" w:sz="0" w:space="0" w:color="auto"/>
                        <w:bottom w:val="none" w:sz="0" w:space="0" w:color="auto"/>
                        <w:right w:val="none" w:sz="0" w:space="0" w:color="auto"/>
                      </w:divBdr>
                    </w:div>
                    <w:div w:id="873733127">
                      <w:marLeft w:val="0"/>
                      <w:marRight w:val="0"/>
                      <w:marTop w:val="256"/>
                      <w:marBottom w:val="256"/>
                      <w:divBdr>
                        <w:top w:val="none" w:sz="0" w:space="0" w:color="auto"/>
                        <w:left w:val="none" w:sz="0" w:space="0" w:color="auto"/>
                        <w:bottom w:val="none" w:sz="0" w:space="0" w:color="auto"/>
                        <w:right w:val="none" w:sz="0" w:space="0" w:color="auto"/>
                      </w:divBdr>
                    </w:div>
                    <w:div w:id="909189721">
                      <w:marLeft w:val="0"/>
                      <w:marRight w:val="0"/>
                      <w:marTop w:val="256"/>
                      <w:marBottom w:val="256"/>
                      <w:divBdr>
                        <w:top w:val="none" w:sz="0" w:space="0" w:color="auto"/>
                        <w:left w:val="none" w:sz="0" w:space="0" w:color="auto"/>
                        <w:bottom w:val="none" w:sz="0" w:space="0" w:color="auto"/>
                        <w:right w:val="none" w:sz="0" w:space="0" w:color="auto"/>
                      </w:divBdr>
                    </w:div>
                    <w:div w:id="951328588">
                      <w:marLeft w:val="0"/>
                      <w:marRight w:val="0"/>
                      <w:marTop w:val="256"/>
                      <w:marBottom w:val="256"/>
                      <w:divBdr>
                        <w:top w:val="none" w:sz="0" w:space="0" w:color="auto"/>
                        <w:left w:val="none" w:sz="0" w:space="0" w:color="auto"/>
                        <w:bottom w:val="none" w:sz="0" w:space="0" w:color="auto"/>
                        <w:right w:val="none" w:sz="0" w:space="0" w:color="auto"/>
                      </w:divBdr>
                    </w:div>
                    <w:div w:id="953436739">
                      <w:marLeft w:val="0"/>
                      <w:marRight w:val="0"/>
                      <w:marTop w:val="256"/>
                      <w:marBottom w:val="256"/>
                      <w:divBdr>
                        <w:top w:val="none" w:sz="0" w:space="0" w:color="auto"/>
                        <w:left w:val="none" w:sz="0" w:space="0" w:color="auto"/>
                        <w:bottom w:val="none" w:sz="0" w:space="0" w:color="auto"/>
                        <w:right w:val="none" w:sz="0" w:space="0" w:color="auto"/>
                      </w:divBdr>
                    </w:div>
                    <w:div w:id="953681637">
                      <w:marLeft w:val="0"/>
                      <w:marRight w:val="0"/>
                      <w:marTop w:val="256"/>
                      <w:marBottom w:val="256"/>
                      <w:divBdr>
                        <w:top w:val="none" w:sz="0" w:space="0" w:color="auto"/>
                        <w:left w:val="none" w:sz="0" w:space="0" w:color="auto"/>
                        <w:bottom w:val="none" w:sz="0" w:space="0" w:color="auto"/>
                        <w:right w:val="none" w:sz="0" w:space="0" w:color="auto"/>
                      </w:divBdr>
                    </w:div>
                    <w:div w:id="958023836">
                      <w:marLeft w:val="0"/>
                      <w:marRight w:val="0"/>
                      <w:marTop w:val="256"/>
                      <w:marBottom w:val="256"/>
                      <w:divBdr>
                        <w:top w:val="none" w:sz="0" w:space="0" w:color="auto"/>
                        <w:left w:val="none" w:sz="0" w:space="0" w:color="auto"/>
                        <w:bottom w:val="none" w:sz="0" w:space="0" w:color="auto"/>
                        <w:right w:val="none" w:sz="0" w:space="0" w:color="auto"/>
                      </w:divBdr>
                    </w:div>
                    <w:div w:id="960305168">
                      <w:marLeft w:val="0"/>
                      <w:marRight w:val="0"/>
                      <w:marTop w:val="256"/>
                      <w:marBottom w:val="256"/>
                      <w:divBdr>
                        <w:top w:val="none" w:sz="0" w:space="0" w:color="auto"/>
                        <w:left w:val="none" w:sz="0" w:space="0" w:color="auto"/>
                        <w:bottom w:val="none" w:sz="0" w:space="0" w:color="auto"/>
                        <w:right w:val="none" w:sz="0" w:space="0" w:color="auto"/>
                      </w:divBdr>
                    </w:div>
                    <w:div w:id="962231445">
                      <w:marLeft w:val="0"/>
                      <w:marRight w:val="0"/>
                      <w:marTop w:val="256"/>
                      <w:marBottom w:val="256"/>
                      <w:divBdr>
                        <w:top w:val="none" w:sz="0" w:space="0" w:color="auto"/>
                        <w:left w:val="none" w:sz="0" w:space="0" w:color="auto"/>
                        <w:bottom w:val="none" w:sz="0" w:space="0" w:color="auto"/>
                        <w:right w:val="none" w:sz="0" w:space="0" w:color="auto"/>
                      </w:divBdr>
                    </w:div>
                    <w:div w:id="971902686">
                      <w:marLeft w:val="0"/>
                      <w:marRight w:val="0"/>
                      <w:marTop w:val="256"/>
                      <w:marBottom w:val="256"/>
                      <w:divBdr>
                        <w:top w:val="none" w:sz="0" w:space="0" w:color="auto"/>
                        <w:left w:val="none" w:sz="0" w:space="0" w:color="auto"/>
                        <w:bottom w:val="none" w:sz="0" w:space="0" w:color="auto"/>
                        <w:right w:val="none" w:sz="0" w:space="0" w:color="auto"/>
                      </w:divBdr>
                    </w:div>
                    <w:div w:id="985547695">
                      <w:marLeft w:val="0"/>
                      <w:marRight w:val="0"/>
                      <w:marTop w:val="256"/>
                      <w:marBottom w:val="256"/>
                      <w:divBdr>
                        <w:top w:val="none" w:sz="0" w:space="0" w:color="auto"/>
                        <w:left w:val="none" w:sz="0" w:space="0" w:color="auto"/>
                        <w:bottom w:val="none" w:sz="0" w:space="0" w:color="auto"/>
                        <w:right w:val="none" w:sz="0" w:space="0" w:color="auto"/>
                      </w:divBdr>
                    </w:div>
                    <w:div w:id="1000156899">
                      <w:marLeft w:val="0"/>
                      <w:marRight w:val="0"/>
                      <w:marTop w:val="256"/>
                      <w:marBottom w:val="256"/>
                      <w:divBdr>
                        <w:top w:val="none" w:sz="0" w:space="0" w:color="auto"/>
                        <w:left w:val="none" w:sz="0" w:space="0" w:color="auto"/>
                        <w:bottom w:val="none" w:sz="0" w:space="0" w:color="auto"/>
                        <w:right w:val="none" w:sz="0" w:space="0" w:color="auto"/>
                      </w:divBdr>
                    </w:div>
                    <w:div w:id="1000543257">
                      <w:marLeft w:val="0"/>
                      <w:marRight w:val="0"/>
                      <w:marTop w:val="256"/>
                      <w:marBottom w:val="256"/>
                      <w:divBdr>
                        <w:top w:val="none" w:sz="0" w:space="0" w:color="auto"/>
                        <w:left w:val="none" w:sz="0" w:space="0" w:color="auto"/>
                        <w:bottom w:val="none" w:sz="0" w:space="0" w:color="auto"/>
                        <w:right w:val="none" w:sz="0" w:space="0" w:color="auto"/>
                      </w:divBdr>
                    </w:div>
                    <w:div w:id="1004095270">
                      <w:marLeft w:val="0"/>
                      <w:marRight w:val="0"/>
                      <w:marTop w:val="256"/>
                      <w:marBottom w:val="256"/>
                      <w:divBdr>
                        <w:top w:val="none" w:sz="0" w:space="0" w:color="auto"/>
                        <w:left w:val="none" w:sz="0" w:space="0" w:color="auto"/>
                        <w:bottom w:val="none" w:sz="0" w:space="0" w:color="auto"/>
                        <w:right w:val="none" w:sz="0" w:space="0" w:color="auto"/>
                      </w:divBdr>
                    </w:div>
                    <w:div w:id="1011763606">
                      <w:marLeft w:val="0"/>
                      <w:marRight w:val="0"/>
                      <w:marTop w:val="256"/>
                      <w:marBottom w:val="256"/>
                      <w:divBdr>
                        <w:top w:val="none" w:sz="0" w:space="0" w:color="auto"/>
                        <w:left w:val="none" w:sz="0" w:space="0" w:color="auto"/>
                        <w:bottom w:val="none" w:sz="0" w:space="0" w:color="auto"/>
                        <w:right w:val="none" w:sz="0" w:space="0" w:color="auto"/>
                      </w:divBdr>
                    </w:div>
                    <w:div w:id="1066149658">
                      <w:marLeft w:val="0"/>
                      <w:marRight w:val="0"/>
                      <w:marTop w:val="256"/>
                      <w:marBottom w:val="256"/>
                      <w:divBdr>
                        <w:top w:val="none" w:sz="0" w:space="0" w:color="auto"/>
                        <w:left w:val="none" w:sz="0" w:space="0" w:color="auto"/>
                        <w:bottom w:val="none" w:sz="0" w:space="0" w:color="auto"/>
                        <w:right w:val="none" w:sz="0" w:space="0" w:color="auto"/>
                      </w:divBdr>
                    </w:div>
                    <w:div w:id="1079795091">
                      <w:marLeft w:val="0"/>
                      <w:marRight w:val="0"/>
                      <w:marTop w:val="256"/>
                      <w:marBottom w:val="256"/>
                      <w:divBdr>
                        <w:top w:val="none" w:sz="0" w:space="0" w:color="auto"/>
                        <w:left w:val="none" w:sz="0" w:space="0" w:color="auto"/>
                        <w:bottom w:val="none" w:sz="0" w:space="0" w:color="auto"/>
                        <w:right w:val="none" w:sz="0" w:space="0" w:color="auto"/>
                      </w:divBdr>
                    </w:div>
                    <w:div w:id="1097676733">
                      <w:marLeft w:val="0"/>
                      <w:marRight w:val="0"/>
                      <w:marTop w:val="256"/>
                      <w:marBottom w:val="256"/>
                      <w:divBdr>
                        <w:top w:val="none" w:sz="0" w:space="0" w:color="auto"/>
                        <w:left w:val="none" w:sz="0" w:space="0" w:color="auto"/>
                        <w:bottom w:val="none" w:sz="0" w:space="0" w:color="auto"/>
                        <w:right w:val="none" w:sz="0" w:space="0" w:color="auto"/>
                      </w:divBdr>
                    </w:div>
                    <w:div w:id="1164473855">
                      <w:marLeft w:val="0"/>
                      <w:marRight w:val="0"/>
                      <w:marTop w:val="256"/>
                      <w:marBottom w:val="256"/>
                      <w:divBdr>
                        <w:top w:val="none" w:sz="0" w:space="0" w:color="auto"/>
                        <w:left w:val="none" w:sz="0" w:space="0" w:color="auto"/>
                        <w:bottom w:val="none" w:sz="0" w:space="0" w:color="auto"/>
                        <w:right w:val="none" w:sz="0" w:space="0" w:color="auto"/>
                      </w:divBdr>
                    </w:div>
                    <w:div w:id="1169634792">
                      <w:marLeft w:val="0"/>
                      <w:marRight w:val="0"/>
                      <w:marTop w:val="256"/>
                      <w:marBottom w:val="256"/>
                      <w:divBdr>
                        <w:top w:val="none" w:sz="0" w:space="0" w:color="auto"/>
                        <w:left w:val="none" w:sz="0" w:space="0" w:color="auto"/>
                        <w:bottom w:val="none" w:sz="0" w:space="0" w:color="auto"/>
                        <w:right w:val="none" w:sz="0" w:space="0" w:color="auto"/>
                      </w:divBdr>
                    </w:div>
                    <w:div w:id="1207109219">
                      <w:marLeft w:val="0"/>
                      <w:marRight w:val="0"/>
                      <w:marTop w:val="256"/>
                      <w:marBottom w:val="256"/>
                      <w:divBdr>
                        <w:top w:val="none" w:sz="0" w:space="0" w:color="auto"/>
                        <w:left w:val="none" w:sz="0" w:space="0" w:color="auto"/>
                        <w:bottom w:val="none" w:sz="0" w:space="0" w:color="auto"/>
                        <w:right w:val="none" w:sz="0" w:space="0" w:color="auto"/>
                      </w:divBdr>
                    </w:div>
                    <w:div w:id="1230652852">
                      <w:marLeft w:val="0"/>
                      <w:marRight w:val="0"/>
                      <w:marTop w:val="256"/>
                      <w:marBottom w:val="256"/>
                      <w:divBdr>
                        <w:top w:val="none" w:sz="0" w:space="0" w:color="auto"/>
                        <w:left w:val="none" w:sz="0" w:space="0" w:color="auto"/>
                        <w:bottom w:val="none" w:sz="0" w:space="0" w:color="auto"/>
                        <w:right w:val="none" w:sz="0" w:space="0" w:color="auto"/>
                      </w:divBdr>
                    </w:div>
                    <w:div w:id="1247888058">
                      <w:marLeft w:val="0"/>
                      <w:marRight w:val="0"/>
                      <w:marTop w:val="256"/>
                      <w:marBottom w:val="256"/>
                      <w:divBdr>
                        <w:top w:val="none" w:sz="0" w:space="0" w:color="auto"/>
                        <w:left w:val="none" w:sz="0" w:space="0" w:color="auto"/>
                        <w:bottom w:val="none" w:sz="0" w:space="0" w:color="auto"/>
                        <w:right w:val="none" w:sz="0" w:space="0" w:color="auto"/>
                      </w:divBdr>
                    </w:div>
                    <w:div w:id="1281260916">
                      <w:marLeft w:val="0"/>
                      <w:marRight w:val="0"/>
                      <w:marTop w:val="256"/>
                      <w:marBottom w:val="256"/>
                      <w:divBdr>
                        <w:top w:val="none" w:sz="0" w:space="0" w:color="auto"/>
                        <w:left w:val="none" w:sz="0" w:space="0" w:color="auto"/>
                        <w:bottom w:val="none" w:sz="0" w:space="0" w:color="auto"/>
                        <w:right w:val="none" w:sz="0" w:space="0" w:color="auto"/>
                      </w:divBdr>
                    </w:div>
                    <w:div w:id="1284769016">
                      <w:marLeft w:val="0"/>
                      <w:marRight w:val="0"/>
                      <w:marTop w:val="256"/>
                      <w:marBottom w:val="256"/>
                      <w:divBdr>
                        <w:top w:val="none" w:sz="0" w:space="0" w:color="auto"/>
                        <w:left w:val="none" w:sz="0" w:space="0" w:color="auto"/>
                        <w:bottom w:val="none" w:sz="0" w:space="0" w:color="auto"/>
                        <w:right w:val="none" w:sz="0" w:space="0" w:color="auto"/>
                      </w:divBdr>
                    </w:div>
                    <w:div w:id="1322730103">
                      <w:marLeft w:val="0"/>
                      <w:marRight w:val="0"/>
                      <w:marTop w:val="256"/>
                      <w:marBottom w:val="256"/>
                      <w:divBdr>
                        <w:top w:val="none" w:sz="0" w:space="0" w:color="auto"/>
                        <w:left w:val="none" w:sz="0" w:space="0" w:color="auto"/>
                        <w:bottom w:val="none" w:sz="0" w:space="0" w:color="auto"/>
                        <w:right w:val="none" w:sz="0" w:space="0" w:color="auto"/>
                      </w:divBdr>
                    </w:div>
                    <w:div w:id="1346404331">
                      <w:marLeft w:val="0"/>
                      <w:marRight w:val="0"/>
                      <w:marTop w:val="256"/>
                      <w:marBottom w:val="256"/>
                      <w:divBdr>
                        <w:top w:val="none" w:sz="0" w:space="0" w:color="auto"/>
                        <w:left w:val="none" w:sz="0" w:space="0" w:color="auto"/>
                        <w:bottom w:val="none" w:sz="0" w:space="0" w:color="auto"/>
                        <w:right w:val="none" w:sz="0" w:space="0" w:color="auto"/>
                      </w:divBdr>
                    </w:div>
                    <w:div w:id="1357805175">
                      <w:marLeft w:val="0"/>
                      <w:marRight w:val="0"/>
                      <w:marTop w:val="256"/>
                      <w:marBottom w:val="256"/>
                      <w:divBdr>
                        <w:top w:val="none" w:sz="0" w:space="0" w:color="auto"/>
                        <w:left w:val="none" w:sz="0" w:space="0" w:color="auto"/>
                        <w:bottom w:val="none" w:sz="0" w:space="0" w:color="auto"/>
                        <w:right w:val="none" w:sz="0" w:space="0" w:color="auto"/>
                      </w:divBdr>
                    </w:div>
                    <w:div w:id="1359085873">
                      <w:marLeft w:val="0"/>
                      <w:marRight w:val="0"/>
                      <w:marTop w:val="256"/>
                      <w:marBottom w:val="256"/>
                      <w:divBdr>
                        <w:top w:val="none" w:sz="0" w:space="0" w:color="auto"/>
                        <w:left w:val="none" w:sz="0" w:space="0" w:color="auto"/>
                        <w:bottom w:val="none" w:sz="0" w:space="0" w:color="auto"/>
                        <w:right w:val="none" w:sz="0" w:space="0" w:color="auto"/>
                      </w:divBdr>
                    </w:div>
                    <w:div w:id="1370640184">
                      <w:marLeft w:val="0"/>
                      <w:marRight w:val="0"/>
                      <w:marTop w:val="256"/>
                      <w:marBottom w:val="256"/>
                      <w:divBdr>
                        <w:top w:val="none" w:sz="0" w:space="0" w:color="auto"/>
                        <w:left w:val="none" w:sz="0" w:space="0" w:color="auto"/>
                        <w:bottom w:val="none" w:sz="0" w:space="0" w:color="auto"/>
                        <w:right w:val="none" w:sz="0" w:space="0" w:color="auto"/>
                      </w:divBdr>
                    </w:div>
                    <w:div w:id="1391685673">
                      <w:marLeft w:val="0"/>
                      <w:marRight w:val="0"/>
                      <w:marTop w:val="256"/>
                      <w:marBottom w:val="256"/>
                      <w:divBdr>
                        <w:top w:val="none" w:sz="0" w:space="0" w:color="auto"/>
                        <w:left w:val="none" w:sz="0" w:space="0" w:color="auto"/>
                        <w:bottom w:val="none" w:sz="0" w:space="0" w:color="auto"/>
                        <w:right w:val="none" w:sz="0" w:space="0" w:color="auto"/>
                      </w:divBdr>
                    </w:div>
                    <w:div w:id="1410884323">
                      <w:marLeft w:val="0"/>
                      <w:marRight w:val="0"/>
                      <w:marTop w:val="256"/>
                      <w:marBottom w:val="256"/>
                      <w:divBdr>
                        <w:top w:val="none" w:sz="0" w:space="0" w:color="auto"/>
                        <w:left w:val="none" w:sz="0" w:space="0" w:color="auto"/>
                        <w:bottom w:val="none" w:sz="0" w:space="0" w:color="auto"/>
                        <w:right w:val="none" w:sz="0" w:space="0" w:color="auto"/>
                      </w:divBdr>
                    </w:div>
                    <w:div w:id="1433284236">
                      <w:marLeft w:val="0"/>
                      <w:marRight w:val="0"/>
                      <w:marTop w:val="256"/>
                      <w:marBottom w:val="256"/>
                      <w:divBdr>
                        <w:top w:val="none" w:sz="0" w:space="0" w:color="auto"/>
                        <w:left w:val="none" w:sz="0" w:space="0" w:color="auto"/>
                        <w:bottom w:val="none" w:sz="0" w:space="0" w:color="auto"/>
                        <w:right w:val="none" w:sz="0" w:space="0" w:color="auto"/>
                      </w:divBdr>
                    </w:div>
                    <w:div w:id="1452283307">
                      <w:marLeft w:val="0"/>
                      <w:marRight w:val="0"/>
                      <w:marTop w:val="256"/>
                      <w:marBottom w:val="256"/>
                      <w:divBdr>
                        <w:top w:val="none" w:sz="0" w:space="0" w:color="auto"/>
                        <w:left w:val="none" w:sz="0" w:space="0" w:color="auto"/>
                        <w:bottom w:val="none" w:sz="0" w:space="0" w:color="auto"/>
                        <w:right w:val="none" w:sz="0" w:space="0" w:color="auto"/>
                      </w:divBdr>
                    </w:div>
                    <w:div w:id="1464810649">
                      <w:marLeft w:val="0"/>
                      <w:marRight w:val="0"/>
                      <w:marTop w:val="256"/>
                      <w:marBottom w:val="256"/>
                      <w:divBdr>
                        <w:top w:val="none" w:sz="0" w:space="0" w:color="auto"/>
                        <w:left w:val="none" w:sz="0" w:space="0" w:color="auto"/>
                        <w:bottom w:val="none" w:sz="0" w:space="0" w:color="auto"/>
                        <w:right w:val="none" w:sz="0" w:space="0" w:color="auto"/>
                      </w:divBdr>
                    </w:div>
                    <w:div w:id="1489439486">
                      <w:marLeft w:val="0"/>
                      <w:marRight w:val="0"/>
                      <w:marTop w:val="256"/>
                      <w:marBottom w:val="256"/>
                      <w:divBdr>
                        <w:top w:val="none" w:sz="0" w:space="0" w:color="auto"/>
                        <w:left w:val="none" w:sz="0" w:space="0" w:color="auto"/>
                        <w:bottom w:val="none" w:sz="0" w:space="0" w:color="auto"/>
                        <w:right w:val="none" w:sz="0" w:space="0" w:color="auto"/>
                      </w:divBdr>
                    </w:div>
                    <w:div w:id="1499226629">
                      <w:marLeft w:val="0"/>
                      <w:marRight w:val="0"/>
                      <w:marTop w:val="256"/>
                      <w:marBottom w:val="256"/>
                      <w:divBdr>
                        <w:top w:val="none" w:sz="0" w:space="0" w:color="auto"/>
                        <w:left w:val="none" w:sz="0" w:space="0" w:color="auto"/>
                        <w:bottom w:val="none" w:sz="0" w:space="0" w:color="auto"/>
                        <w:right w:val="none" w:sz="0" w:space="0" w:color="auto"/>
                      </w:divBdr>
                    </w:div>
                    <w:div w:id="1501388138">
                      <w:marLeft w:val="0"/>
                      <w:marRight w:val="0"/>
                      <w:marTop w:val="256"/>
                      <w:marBottom w:val="256"/>
                      <w:divBdr>
                        <w:top w:val="none" w:sz="0" w:space="0" w:color="auto"/>
                        <w:left w:val="none" w:sz="0" w:space="0" w:color="auto"/>
                        <w:bottom w:val="none" w:sz="0" w:space="0" w:color="auto"/>
                        <w:right w:val="none" w:sz="0" w:space="0" w:color="auto"/>
                      </w:divBdr>
                    </w:div>
                    <w:div w:id="1515458567">
                      <w:marLeft w:val="0"/>
                      <w:marRight w:val="0"/>
                      <w:marTop w:val="256"/>
                      <w:marBottom w:val="256"/>
                      <w:divBdr>
                        <w:top w:val="none" w:sz="0" w:space="0" w:color="auto"/>
                        <w:left w:val="none" w:sz="0" w:space="0" w:color="auto"/>
                        <w:bottom w:val="none" w:sz="0" w:space="0" w:color="auto"/>
                        <w:right w:val="none" w:sz="0" w:space="0" w:color="auto"/>
                      </w:divBdr>
                    </w:div>
                    <w:div w:id="1522426318">
                      <w:marLeft w:val="0"/>
                      <w:marRight w:val="0"/>
                      <w:marTop w:val="256"/>
                      <w:marBottom w:val="256"/>
                      <w:divBdr>
                        <w:top w:val="none" w:sz="0" w:space="0" w:color="auto"/>
                        <w:left w:val="none" w:sz="0" w:space="0" w:color="auto"/>
                        <w:bottom w:val="none" w:sz="0" w:space="0" w:color="auto"/>
                        <w:right w:val="none" w:sz="0" w:space="0" w:color="auto"/>
                      </w:divBdr>
                    </w:div>
                    <w:div w:id="1522740607">
                      <w:marLeft w:val="0"/>
                      <w:marRight w:val="0"/>
                      <w:marTop w:val="256"/>
                      <w:marBottom w:val="256"/>
                      <w:divBdr>
                        <w:top w:val="none" w:sz="0" w:space="0" w:color="auto"/>
                        <w:left w:val="none" w:sz="0" w:space="0" w:color="auto"/>
                        <w:bottom w:val="none" w:sz="0" w:space="0" w:color="auto"/>
                        <w:right w:val="none" w:sz="0" w:space="0" w:color="auto"/>
                      </w:divBdr>
                    </w:div>
                    <w:div w:id="1538351566">
                      <w:marLeft w:val="0"/>
                      <w:marRight w:val="0"/>
                      <w:marTop w:val="256"/>
                      <w:marBottom w:val="256"/>
                      <w:divBdr>
                        <w:top w:val="none" w:sz="0" w:space="0" w:color="auto"/>
                        <w:left w:val="none" w:sz="0" w:space="0" w:color="auto"/>
                        <w:bottom w:val="none" w:sz="0" w:space="0" w:color="auto"/>
                        <w:right w:val="none" w:sz="0" w:space="0" w:color="auto"/>
                      </w:divBdr>
                    </w:div>
                    <w:div w:id="1569001341">
                      <w:marLeft w:val="0"/>
                      <w:marRight w:val="0"/>
                      <w:marTop w:val="256"/>
                      <w:marBottom w:val="256"/>
                      <w:divBdr>
                        <w:top w:val="none" w:sz="0" w:space="0" w:color="auto"/>
                        <w:left w:val="none" w:sz="0" w:space="0" w:color="auto"/>
                        <w:bottom w:val="none" w:sz="0" w:space="0" w:color="auto"/>
                        <w:right w:val="none" w:sz="0" w:space="0" w:color="auto"/>
                      </w:divBdr>
                    </w:div>
                    <w:div w:id="1571190639">
                      <w:marLeft w:val="0"/>
                      <w:marRight w:val="0"/>
                      <w:marTop w:val="256"/>
                      <w:marBottom w:val="256"/>
                      <w:divBdr>
                        <w:top w:val="none" w:sz="0" w:space="0" w:color="auto"/>
                        <w:left w:val="none" w:sz="0" w:space="0" w:color="auto"/>
                        <w:bottom w:val="none" w:sz="0" w:space="0" w:color="auto"/>
                        <w:right w:val="none" w:sz="0" w:space="0" w:color="auto"/>
                      </w:divBdr>
                    </w:div>
                    <w:div w:id="1571498531">
                      <w:marLeft w:val="0"/>
                      <w:marRight w:val="0"/>
                      <w:marTop w:val="256"/>
                      <w:marBottom w:val="256"/>
                      <w:divBdr>
                        <w:top w:val="none" w:sz="0" w:space="0" w:color="auto"/>
                        <w:left w:val="none" w:sz="0" w:space="0" w:color="auto"/>
                        <w:bottom w:val="none" w:sz="0" w:space="0" w:color="auto"/>
                        <w:right w:val="none" w:sz="0" w:space="0" w:color="auto"/>
                      </w:divBdr>
                    </w:div>
                    <w:div w:id="1574047446">
                      <w:marLeft w:val="0"/>
                      <w:marRight w:val="0"/>
                      <w:marTop w:val="256"/>
                      <w:marBottom w:val="256"/>
                      <w:divBdr>
                        <w:top w:val="none" w:sz="0" w:space="0" w:color="auto"/>
                        <w:left w:val="none" w:sz="0" w:space="0" w:color="auto"/>
                        <w:bottom w:val="none" w:sz="0" w:space="0" w:color="auto"/>
                        <w:right w:val="none" w:sz="0" w:space="0" w:color="auto"/>
                      </w:divBdr>
                    </w:div>
                    <w:div w:id="1580287736">
                      <w:marLeft w:val="0"/>
                      <w:marRight w:val="0"/>
                      <w:marTop w:val="256"/>
                      <w:marBottom w:val="256"/>
                      <w:divBdr>
                        <w:top w:val="none" w:sz="0" w:space="0" w:color="auto"/>
                        <w:left w:val="none" w:sz="0" w:space="0" w:color="auto"/>
                        <w:bottom w:val="none" w:sz="0" w:space="0" w:color="auto"/>
                        <w:right w:val="none" w:sz="0" w:space="0" w:color="auto"/>
                      </w:divBdr>
                    </w:div>
                    <w:div w:id="1622497174">
                      <w:marLeft w:val="0"/>
                      <w:marRight w:val="0"/>
                      <w:marTop w:val="256"/>
                      <w:marBottom w:val="256"/>
                      <w:divBdr>
                        <w:top w:val="none" w:sz="0" w:space="0" w:color="auto"/>
                        <w:left w:val="none" w:sz="0" w:space="0" w:color="auto"/>
                        <w:bottom w:val="none" w:sz="0" w:space="0" w:color="auto"/>
                        <w:right w:val="none" w:sz="0" w:space="0" w:color="auto"/>
                      </w:divBdr>
                    </w:div>
                    <w:div w:id="1623268994">
                      <w:marLeft w:val="0"/>
                      <w:marRight w:val="0"/>
                      <w:marTop w:val="256"/>
                      <w:marBottom w:val="256"/>
                      <w:divBdr>
                        <w:top w:val="none" w:sz="0" w:space="0" w:color="auto"/>
                        <w:left w:val="none" w:sz="0" w:space="0" w:color="auto"/>
                        <w:bottom w:val="none" w:sz="0" w:space="0" w:color="auto"/>
                        <w:right w:val="none" w:sz="0" w:space="0" w:color="auto"/>
                      </w:divBdr>
                    </w:div>
                    <w:div w:id="1623465277">
                      <w:marLeft w:val="0"/>
                      <w:marRight w:val="0"/>
                      <w:marTop w:val="256"/>
                      <w:marBottom w:val="256"/>
                      <w:divBdr>
                        <w:top w:val="none" w:sz="0" w:space="0" w:color="auto"/>
                        <w:left w:val="none" w:sz="0" w:space="0" w:color="auto"/>
                        <w:bottom w:val="none" w:sz="0" w:space="0" w:color="auto"/>
                        <w:right w:val="none" w:sz="0" w:space="0" w:color="auto"/>
                      </w:divBdr>
                    </w:div>
                    <w:div w:id="1652901513">
                      <w:marLeft w:val="0"/>
                      <w:marRight w:val="0"/>
                      <w:marTop w:val="256"/>
                      <w:marBottom w:val="256"/>
                      <w:divBdr>
                        <w:top w:val="none" w:sz="0" w:space="0" w:color="auto"/>
                        <w:left w:val="none" w:sz="0" w:space="0" w:color="auto"/>
                        <w:bottom w:val="none" w:sz="0" w:space="0" w:color="auto"/>
                        <w:right w:val="none" w:sz="0" w:space="0" w:color="auto"/>
                      </w:divBdr>
                    </w:div>
                    <w:div w:id="1688294190">
                      <w:marLeft w:val="0"/>
                      <w:marRight w:val="0"/>
                      <w:marTop w:val="256"/>
                      <w:marBottom w:val="256"/>
                      <w:divBdr>
                        <w:top w:val="none" w:sz="0" w:space="0" w:color="auto"/>
                        <w:left w:val="none" w:sz="0" w:space="0" w:color="auto"/>
                        <w:bottom w:val="none" w:sz="0" w:space="0" w:color="auto"/>
                        <w:right w:val="none" w:sz="0" w:space="0" w:color="auto"/>
                      </w:divBdr>
                    </w:div>
                    <w:div w:id="1690375263">
                      <w:marLeft w:val="0"/>
                      <w:marRight w:val="0"/>
                      <w:marTop w:val="256"/>
                      <w:marBottom w:val="256"/>
                      <w:divBdr>
                        <w:top w:val="none" w:sz="0" w:space="0" w:color="auto"/>
                        <w:left w:val="none" w:sz="0" w:space="0" w:color="auto"/>
                        <w:bottom w:val="none" w:sz="0" w:space="0" w:color="auto"/>
                        <w:right w:val="none" w:sz="0" w:space="0" w:color="auto"/>
                      </w:divBdr>
                    </w:div>
                    <w:div w:id="1698382625">
                      <w:marLeft w:val="0"/>
                      <w:marRight w:val="0"/>
                      <w:marTop w:val="256"/>
                      <w:marBottom w:val="256"/>
                      <w:divBdr>
                        <w:top w:val="none" w:sz="0" w:space="0" w:color="auto"/>
                        <w:left w:val="none" w:sz="0" w:space="0" w:color="auto"/>
                        <w:bottom w:val="none" w:sz="0" w:space="0" w:color="auto"/>
                        <w:right w:val="none" w:sz="0" w:space="0" w:color="auto"/>
                      </w:divBdr>
                    </w:div>
                    <w:div w:id="1702633089">
                      <w:marLeft w:val="0"/>
                      <w:marRight w:val="0"/>
                      <w:marTop w:val="256"/>
                      <w:marBottom w:val="256"/>
                      <w:divBdr>
                        <w:top w:val="none" w:sz="0" w:space="0" w:color="auto"/>
                        <w:left w:val="none" w:sz="0" w:space="0" w:color="auto"/>
                        <w:bottom w:val="none" w:sz="0" w:space="0" w:color="auto"/>
                        <w:right w:val="none" w:sz="0" w:space="0" w:color="auto"/>
                      </w:divBdr>
                    </w:div>
                    <w:div w:id="1706444067">
                      <w:marLeft w:val="0"/>
                      <w:marRight w:val="0"/>
                      <w:marTop w:val="256"/>
                      <w:marBottom w:val="256"/>
                      <w:divBdr>
                        <w:top w:val="none" w:sz="0" w:space="0" w:color="auto"/>
                        <w:left w:val="none" w:sz="0" w:space="0" w:color="auto"/>
                        <w:bottom w:val="none" w:sz="0" w:space="0" w:color="auto"/>
                        <w:right w:val="none" w:sz="0" w:space="0" w:color="auto"/>
                      </w:divBdr>
                    </w:div>
                    <w:div w:id="1717002044">
                      <w:marLeft w:val="0"/>
                      <w:marRight w:val="0"/>
                      <w:marTop w:val="256"/>
                      <w:marBottom w:val="256"/>
                      <w:divBdr>
                        <w:top w:val="none" w:sz="0" w:space="0" w:color="auto"/>
                        <w:left w:val="none" w:sz="0" w:space="0" w:color="auto"/>
                        <w:bottom w:val="none" w:sz="0" w:space="0" w:color="auto"/>
                        <w:right w:val="none" w:sz="0" w:space="0" w:color="auto"/>
                      </w:divBdr>
                    </w:div>
                    <w:div w:id="1742747567">
                      <w:marLeft w:val="0"/>
                      <w:marRight w:val="0"/>
                      <w:marTop w:val="256"/>
                      <w:marBottom w:val="256"/>
                      <w:divBdr>
                        <w:top w:val="none" w:sz="0" w:space="0" w:color="auto"/>
                        <w:left w:val="none" w:sz="0" w:space="0" w:color="auto"/>
                        <w:bottom w:val="none" w:sz="0" w:space="0" w:color="auto"/>
                        <w:right w:val="none" w:sz="0" w:space="0" w:color="auto"/>
                      </w:divBdr>
                    </w:div>
                    <w:div w:id="1751153573">
                      <w:marLeft w:val="0"/>
                      <w:marRight w:val="0"/>
                      <w:marTop w:val="256"/>
                      <w:marBottom w:val="256"/>
                      <w:divBdr>
                        <w:top w:val="none" w:sz="0" w:space="0" w:color="auto"/>
                        <w:left w:val="none" w:sz="0" w:space="0" w:color="auto"/>
                        <w:bottom w:val="none" w:sz="0" w:space="0" w:color="auto"/>
                        <w:right w:val="none" w:sz="0" w:space="0" w:color="auto"/>
                      </w:divBdr>
                    </w:div>
                    <w:div w:id="1757940203">
                      <w:marLeft w:val="0"/>
                      <w:marRight w:val="0"/>
                      <w:marTop w:val="256"/>
                      <w:marBottom w:val="256"/>
                      <w:divBdr>
                        <w:top w:val="none" w:sz="0" w:space="0" w:color="auto"/>
                        <w:left w:val="none" w:sz="0" w:space="0" w:color="auto"/>
                        <w:bottom w:val="none" w:sz="0" w:space="0" w:color="auto"/>
                        <w:right w:val="none" w:sz="0" w:space="0" w:color="auto"/>
                      </w:divBdr>
                    </w:div>
                    <w:div w:id="1769501778">
                      <w:marLeft w:val="0"/>
                      <w:marRight w:val="0"/>
                      <w:marTop w:val="256"/>
                      <w:marBottom w:val="256"/>
                      <w:divBdr>
                        <w:top w:val="none" w:sz="0" w:space="0" w:color="auto"/>
                        <w:left w:val="none" w:sz="0" w:space="0" w:color="auto"/>
                        <w:bottom w:val="none" w:sz="0" w:space="0" w:color="auto"/>
                        <w:right w:val="none" w:sz="0" w:space="0" w:color="auto"/>
                      </w:divBdr>
                    </w:div>
                    <w:div w:id="1871066344">
                      <w:marLeft w:val="0"/>
                      <w:marRight w:val="0"/>
                      <w:marTop w:val="256"/>
                      <w:marBottom w:val="256"/>
                      <w:divBdr>
                        <w:top w:val="none" w:sz="0" w:space="0" w:color="auto"/>
                        <w:left w:val="none" w:sz="0" w:space="0" w:color="auto"/>
                        <w:bottom w:val="none" w:sz="0" w:space="0" w:color="auto"/>
                        <w:right w:val="none" w:sz="0" w:space="0" w:color="auto"/>
                      </w:divBdr>
                    </w:div>
                    <w:div w:id="1874414856">
                      <w:marLeft w:val="0"/>
                      <w:marRight w:val="0"/>
                      <w:marTop w:val="256"/>
                      <w:marBottom w:val="256"/>
                      <w:divBdr>
                        <w:top w:val="none" w:sz="0" w:space="0" w:color="auto"/>
                        <w:left w:val="none" w:sz="0" w:space="0" w:color="auto"/>
                        <w:bottom w:val="none" w:sz="0" w:space="0" w:color="auto"/>
                        <w:right w:val="none" w:sz="0" w:space="0" w:color="auto"/>
                      </w:divBdr>
                    </w:div>
                    <w:div w:id="1874879282">
                      <w:marLeft w:val="0"/>
                      <w:marRight w:val="0"/>
                      <w:marTop w:val="256"/>
                      <w:marBottom w:val="256"/>
                      <w:divBdr>
                        <w:top w:val="none" w:sz="0" w:space="0" w:color="auto"/>
                        <w:left w:val="none" w:sz="0" w:space="0" w:color="auto"/>
                        <w:bottom w:val="none" w:sz="0" w:space="0" w:color="auto"/>
                        <w:right w:val="none" w:sz="0" w:space="0" w:color="auto"/>
                      </w:divBdr>
                    </w:div>
                    <w:div w:id="1902668351">
                      <w:marLeft w:val="0"/>
                      <w:marRight w:val="0"/>
                      <w:marTop w:val="256"/>
                      <w:marBottom w:val="256"/>
                      <w:divBdr>
                        <w:top w:val="none" w:sz="0" w:space="0" w:color="auto"/>
                        <w:left w:val="none" w:sz="0" w:space="0" w:color="auto"/>
                        <w:bottom w:val="none" w:sz="0" w:space="0" w:color="auto"/>
                        <w:right w:val="none" w:sz="0" w:space="0" w:color="auto"/>
                      </w:divBdr>
                    </w:div>
                    <w:div w:id="1903175632">
                      <w:marLeft w:val="0"/>
                      <w:marRight w:val="0"/>
                      <w:marTop w:val="256"/>
                      <w:marBottom w:val="256"/>
                      <w:divBdr>
                        <w:top w:val="none" w:sz="0" w:space="0" w:color="auto"/>
                        <w:left w:val="none" w:sz="0" w:space="0" w:color="auto"/>
                        <w:bottom w:val="none" w:sz="0" w:space="0" w:color="auto"/>
                        <w:right w:val="none" w:sz="0" w:space="0" w:color="auto"/>
                      </w:divBdr>
                    </w:div>
                    <w:div w:id="1919712163">
                      <w:marLeft w:val="0"/>
                      <w:marRight w:val="0"/>
                      <w:marTop w:val="256"/>
                      <w:marBottom w:val="256"/>
                      <w:divBdr>
                        <w:top w:val="none" w:sz="0" w:space="0" w:color="auto"/>
                        <w:left w:val="none" w:sz="0" w:space="0" w:color="auto"/>
                        <w:bottom w:val="none" w:sz="0" w:space="0" w:color="auto"/>
                        <w:right w:val="none" w:sz="0" w:space="0" w:color="auto"/>
                      </w:divBdr>
                    </w:div>
                    <w:div w:id="1949652769">
                      <w:marLeft w:val="0"/>
                      <w:marRight w:val="0"/>
                      <w:marTop w:val="256"/>
                      <w:marBottom w:val="256"/>
                      <w:divBdr>
                        <w:top w:val="none" w:sz="0" w:space="0" w:color="auto"/>
                        <w:left w:val="none" w:sz="0" w:space="0" w:color="auto"/>
                        <w:bottom w:val="none" w:sz="0" w:space="0" w:color="auto"/>
                        <w:right w:val="none" w:sz="0" w:space="0" w:color="auto"/>
                      </w:divBdr>
                    </w:div>
                    <w:div w:id="1958027405">
                      <w:marLeft w:val="0"/>
                      <w:marRight w:val="0"/>
                      <w:marTop w:val="256"/>
                      <w:marBottom w:val="256"/>
                      <w:divBdr>
                        <w:top w:val="none" w:sz="0" w:space="0" w:color="auto"/>
                        <w:left w:val="none" w:sz="0" w:space="0" w:color="auto"/>
                        <w:bottom w:val="none" w:sz="0" w:space="0" w:color="auto"/>
                        <w:right w:val="none" w:sz="0" w:space="0" w:color="auto"/>
                      </w:divBdr>
                    </w:div>
                    <w:div w:id="1994985391">
                      <w:marLeft w:val="0"/>
                      <w:marRight w:val="0"/>
                      <w:marTop w:val="256"/>
                      <w:marBottom w:val="256"/>
                      <w:divBdr>
                        <w:top w:val="none" w:sz="0" w:space="0" w:color="auto"/>
                        <w:left w:val="none" w:sz="0" w:space="0" w:color="auto"/>
                        <w:bottom w:val="none" w:sz="0" w:space="0" w:color="auto"/>
                        <w:right w:val="none" w:sz="0" w:space="0" w:color="auto"/>
                      </w:divBdr>
                    </w:div>
                    <w:div w:id="2054885726">
                      <w:marLeft w:val="0"/>
                      <w:marRight w:val="0"/>
                      <w:marTop w:val="256"/>
                      <w:marBottom w:val="256"/>
                      <w:divBdr>
                        <w:top w:val="none" w:sz="0" w:space="0" w:color="auto"/>
                        <w:left w:val="none" w:sz="0" w:space="0" w:color="auto"/>
                        <w:bottom w:val="none" w:sz="0" w:space="0" w:color="auto"/>
                        <w:right w:val="none" w:sz="0" w:space="0" w:color="auto"/>
                      </w:divBdr>
                    </w:div>
                    <w:div w:id="2083334153">
                      <w:marLeft w:val="0"/>
                      <w:marRight w:val="0"/>
                      <w:marTop w:val="256"/>
                      <w:marBottom w:val="256"/>
                      <w:divBdr>
                        <w:top w:val="none" w:sz="0" w:space="0" w:color="auto"/>
                        <w:left w:val="none" w:sz="0" w:space="0" w:color="auto"/>
                        <w:bottom w:val="none" w:sz="0" w:space="0" w:color="auto"/>
                        <w:right w:val="none" w:sz="0" w:space="0" w:color="auto"/>
                      </w:divBdr>
                    </w:div>
                    <w:div w:id="2092120827">
                      <w:marLeft w:val="0"/>
                      <w:marRight w:val="0"/>
                      <w:marTop w:val="256"/>
                      <w:marBottom w:val="256"/>
                      <w:divBdr>
                        <w:top w:val="none" w:sz="0" w:space="0" w:color="auto"/>
                        <w:left w:val="none" w:sz="0" w:space="0" w:color="auto"/>
                        <w:bottom w:val="none" w:sz="0" w:space="0" w:color="auto"/>
                        <w:right w:val="none" w:sz="0" w:space="0" w:color="auto"/>
                      </w:divBdr>
                    </w:div>
                    <w:div w:id="2106802365">
                      <w:marLeft w:val="0"/>
                      <w:marRight w:val="0"/>
                      <w:marTop w:val="256"/>
                      <w:marBottom w:val="256"/>
                      <w:divBdr>
                        <w:top w:val="none" w:sz="0" w:space="0" w:color="auto"/>
                        <w:left w:val="none" w:sz="0" w:space="0" w:color="auto"/>
                        <w:bottom w:val="none" w:sz="0" w:space="0" w:color="auto"/>
                        <w:right w:val="none" w:sz="0" w:space="0" w:color="auto"/>
                      </w:divBdr>
                    </w:div>
                    <w:div w:id="2118209808">
                      <w:marLeft w:val="0"/>
                      <w:marRight w:val="0"/>
                      <w:marTop w:val="256"/>
                      <w:marBottom w:val="256"/>
                      <w:divBdr>
                        <w:top w:val="none" w:sz="0" w:space="0" w:color="auto"/>
                        <w:left w:val="none" w:sz="0" w:space="0" w:color="auto"/>
                        <w:bottom w:val="none" w:sz="0" w:space="0" w:color="auto"/>
                        <w:right w:val="none" w:sz="0" w:space="0" w:color="auto"/>
                      </w:divBdr>
                    </w:div>
                    <w:div w:id="2132507035">
                      <w:marLeft w:val="0"/>
                      <w:marRight w:val="0"/>
                      <w:marTop w:val="256"/>
                      <w:marBottom w:val="256"/>
                      <w:divBdr>
                        <w:top w:val="none" w:sz="0" w:space="0" w:color="auto"/>
                        <w:left w:val="none" w:sz="0" w:space="0" w:color="auto"/>
                        <w:bottom w:val="none" w:sz="0" w:space="0" w:color="auto"/>
                        <w:right w:val="none" w:sz="0" w:space="0" w:color="auto"/>
                      </w:divBdr>
                    </w:div>
                    <w:div w:id="2133550983">
                      <w:marLeft w:val="0"/>
                      <w:marRight w:val="0"/>
                      <w:marTop w:val="256"/>
                      <w:marBottom w:val="256"/>
                      <w:divBdr>
                        <w:top w:val="none" w:sz="0" w:space="0" w:color="auto"/>
                        <w:left w:val="none" w:sz="0" w:space="0" w:color="auto"/>
                        <w:bottom w:val="none" w:sz="0" w:space="0" w:color="auto"/>
                        <w:right w:val="none" w:sz="0" w:space="0" w:color="auto"/>
                      </w:divBdr>
                    </w:div>
                  </w:divsChild>
                </w:div>
              </w:divsChild>
            </w:div>
            <w:div w:id="1675650284">
              <w:marLeft w:val="0"/>
              <w:marRight w:val="0"/>
              <w:marTop w:val="100"/>
              <w:marBottom w:val="100"/>
              <w:divBdr>
                <w:top w:val="none" w:sz="0" w:space="0" w:color="auto"/>
                <w:left w:val="none" w:sz="0" w:space="0" w:color="auto"/>
                <w:bottom w:val="none" w:sz="0" w:space="0" w:color="auto"/>
                <w:right w:val="none" w:sz="0" w:space="0" w:color="auto"/>
              </w:divBdr>
              <w:divsChild>
                <w:div w:id="1798914308">
                  <w:marLeft w:val="0"/>
                  <w:marRight w:val="0"/>
                  <w:marTop w:val="0"/>
                  <w:marBottom w:val="0"/>
                  <w:divBdr>
                    <w:top w:val="none" w:sz="0" w:space="0" w:color="auto"/>
                    <w:left w:val="none" w:sz="0" w:space="0" w:color="auto"/>
                    <w:bottom w:val="none" w:sz="0" w:space="0" w:color="auto"/>
                    <w:right w:val="none" w:sz="0" w:space="0" w:color="auto"/>
                  </w:divBdr>
                </w:div>
              </w:divsChild>
            </w:div>
            <w:div w:id="1850870906">
              <w:marLeft w:val="0"/>
              <w:marRight w:val="0"/>
              <w:marTop w:val="0"/>
              <w:marBottom w:val="0"/>
              <w:divBdr>
                <w:top w:val="none" w:sz="0" w:space="0" w:color="auto"/>
                <w:left w:val="none" w:sz="0" w:space="0" w:color="auto"/>
                <w:bottom w:val="none" w:sz="0" w:space="0" w:color="auto"/>
                <w:right w:val="none" w:sz="0" w:space="0" w:color="auto"/>
              </w:divBdr>
              <w:divsChild>
                <w:div w:id="1467822146">
                  <w:marLeft w:val="0"/>
                  <w:marRight w:val="0"/>
                  <w:marTop w:val="0"/>
                  <w:marBottom w:val="0"/>
                  <w:divBdr>
                    <w:top w:val="none" w:sz="0" w:space="0" w:color="auto"/>
                    <w:left w:val="none" w:sz="0" w:space="0" w:color="auto"/>
                    <w:bottom w:val="none" w:sz="0" w:space="0" w:color="auto"/>
                    <w:right w:val="none" w:sz="0" w:space="0" w:color="auto"/>
                  </w:divBdr>
                </w:div>
              </w:divsChild>
            </w:div>
            <w:div w:id="2113042748">
              <w:marLeft w:val="0"/>
              <w:marRight w:val="0"/>
              <w:marTop w:val="0"/>
              <w:marBottom w:val="0"/>
              <w:divBdr>
                <w:top w:val="none" w:sz="0" w:space="0" w:color="auto"/>
                <w:left w:val="none" w:sz="0" w:space="0" w:color="auto"/>
                <w:bottom w:val="none" w:sz="0" w:space="0" w:color="auto"/>
                <w:right w:val="none" w:sz="0" w:space="0" w:color="auto"/>
              </w:divBdr>
              <w:divsChild>
                <w:div w:id="544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38061">
      <w:bodyDiv w:val="1"/>
      <w:marLeft w:val="0"/>
      <w:marRight w:val="0"/>
      <w:marTop w:val="0"/>
      <w:marBottom w:val="0"/>
      <w:divBdr>
        <w:top w:val="none" w:sz="0" w:space="0" w:color="auto"/>
        <w:left w:val="none" w:sz="0" w:space="0" w:color="auto"/>
        <w:bottom w:val="none" w:sz="0" w:space="0" w:color="auto"/>
        <w:right w:val="none" w:sz="0" w:space="0" w:color="auto"/>
      </w:divBdr>
    </w:div>
    <w:div w:id="593051658">
      <w:bodyDiv w:val="1"/>
      <w:marLeft w:val="0"/>
      <w:marRight w:val="0"/>
      <w:marTop w:val="0"/>
      <w:marBottom w:val="0"/>
      <w:divBdr>
        <w:top w:val="none" w:sz="0" w:space="0" w:color="auto"/>
        <w:left w:val="none" w:sz="0" w:space="0" w:color="auto"/>
        <w:bottom w:val="none" w:sz="0" w:space="0" w:color="auto"/>
        <w:right w:val="none" w:sz="0" w:space="0" w:color="auto"/>
      </w:divBdr>
    </w:div>
    <w:div w:id="598873049">
      <w:bodyDiv w:val="1"/>
      <w:marLeft w:val="0"/>
      <w:marRight w:val="0"/>
      <w:marTop w:val="0"/>
      <w:marBottom w:val="0"/>
      <w:divBdr>
        <w:top w:val="none" w:sz="0" w:space="0" w:color="auto"/>
        <w:left w:val="none" w:sz="0" w:space="0" w:color="auto"/>
        <w:bottom w:val="none" w:sz="0" w:space="0" w:color="auto"/>
        <w:right w:val="none" w:sz="0" w:space="0" w:color="auto"/>
      </w:divBdr>
    </w:div>
    <w:div w:id="637494939">
      <w:bodyDiv w:val="1"/>
      <w:marLeft w:val="0"/>
      <w:marRight w:val="0"/>
      <w:marTop w:val="0"/>
      <w:marBottom w:val="0"/>
      <w:divBdr>
        <w:top w:val="none" w:sz="0" w:space="0" w:color="auto"/>
        <w:left w:val="none" w:sz="0" w:space="0" w:color="auto"/>
        <w:bottom w:val="none" w:sz="0" w:space="0" w:color="auto"/>
        <w:right w:val="none" w:sz="0" w:space="0" w:color="auto"/>
      </w:divBdr>
    </w:div>
    <w:div w:id="655377048">
      <w:bodyDiv w:val="1"/>
      <w:marLeft w:val="0"/>
      <w:marRight w:val="0"/>
      <w:marTop w:val="0"/>
      <w:marBottom w:val="0"/>
      <w:divBdr>
        <w:top w:val="none" w:sz="0" w:space="0" w:color="auto"/>
        <w:left w:val="none" w:sz="0" w:space="0" w:color="auto"/>
        <w:bottom w:val="none" w:sz="0" w:space="0" w:color="auto"/>
        <w:right w:val="none" w:sz="0" w:space="0" w:color="auto"/>
      </w:divBdr>
    </w:div>
    <w:div w:id="660542953">
      <w:bodyDiv w:val="1"/>
      <w:marLeft w:val="0"/>
      <w:marRight w:val="0"/>
      <w:marTop w:val="0"/>
      <w:marBottom w:val="0"/>
      <w:divBdr>
        <w:top w:val="none" w:sz="0" w:space="0" w:color="auto"/>
        <w:left w:val="none" w:sz="0" w:space="0" w:color="auto"/>
        <w:bottom w:val="none" w:sz="0" w:space="0" w:color="auto"/>
        <w:right w:val="none" w:sz="0" w:space="0" w:color="auto"/>
      </w:divBdr>
      <w:divsChild>
        <w:div w:id="1385448073">
          <w:marLeft w:val="0"/>
          <w:marRight w:val="0"/>
          <w:marTop w:val="0"/>
          <w:marBottom w:val="0"/>
          <w:divBdr>
            <w:top w:val="none" w:sz="0" w:space="0" w:color="auto"/>
            <w:left w:val="none" w:sz="0" w:space="0" w:color="auto"/>
            <w:bottom w:val="none" w:sz="0" w:space="0" w:color="auto"/>
            <w:right w:val="none" w:sz="0" w:space="0" w:color="auto"/>
          </w:divBdr>
        </w:div>
        <w:div w:id="1853181576">
          <w:marLeft w:val="0"/>
          <w:marRight w:val="0"/>
          <w:marTop w:val="0"/>
          <w:marBottom w:val="0"/>
          <w:divBdr>
            <w:top w:val="none" w:sz="0" w:space="0" w:color="auto"/>
            <w:left w:val="none" w:sz="0" w:space="0" w:color="auto"/>
            <w:bottom w:val="none" w:sz="0" w:space="0" w:color="auto"/>
            <w:right w:val="none" w:sz="0" w:space="0" w:color="auto"/>
          </w:divBdr>
        </w:div>
      </w:divsChild>
    </w:div>
    <w:div w:id="675306575">
      <w:bodyDiv w:val="1"/>
      <w:marLeft w:val="0"/>
      <w:marRight w:val="0"/>
      <w:marTop w:val="0"/>
      <w:marBottom w:val="0"/>
      <w:divBdr>
        <w:top w:val="none" w:sz="0" w:space="0" w:color="auto"/>
        <w:left w:val="none" w:sz="0" w:space="0" w:color="auto"/>
        <w:bottom w:val="none" w:sz="0" w:space="0" w:color="auto"/>
        <w:right w:val="none" w:sz="0" w:space="0" w:color="auto"/>
      </w:divBdr>
    </w:div>
    <w:div w:id="695739132">
      <w:bodyDiv w:val="1"/>
      <w:marLeft w:val="0"/>
      <w:marRight w:val="0"/>
      <w:marTop w:val="0"/>
      <w:marBottom w:val="0"/>
      <w:divBdr>
        <w:top w:val="none" w:sz="0" w:space="0" w:color="auto"/>
        <w:left w:val="none" w:sz="0" w:space="0" w:color="auto"/>
        <w:bottom w:val="none" w:sz="0" w:space="0" w:color="auto"/>
        <w:right w:val="none" w:sz="0" w:space="0" w:color="auto"/>
      </w:divBdr>
      <w:divsChild>
        <w:div w:id="2051954081">
          <w:marLeft w:val="0"/>
          <w:marRight w:val="0"/>
          <w:marTop w:val="0"/>
          <w:marBottom w:val="0"/>
          <w:divBdr>
            <w:top w:val="none" w:sz="0" w:space="0" w:color="auto"/>
            <w:left w:val="none" w:sz="0" w:space="0" w:color="auto"/>
            <w:bottom w:val="none" w:sz="0" w:space="0" w:color="auto"/>
            <w:right w:val="none" w:sz="0" w:space="0" w:color="auto"/>
          </w:divBdr>
          <w:divsChild>
            <w:div w:id="753479803">
              <w:marLeft w:val="0"/>
              <w:marRight w:val="0"/>
              <w:marTop w:val="0"/>
              <w:marBottom w:val="0"/>
              <w:divBdr>
                <w:top w:val="none" w:sz="0" w:space="0" w:color="auto"/>
                <w:left w:val="none" w:sz="0" w:space="0" w:color="auto"/>
                <w:bottom w:val="none" w:sz="0" w:space="0" w:color="auto"/>
                <w:right w:val="none" w:sz="0" w:space="0" w:color="auto"/>
              </w:divBdr>
              <w:divsChild>
                <w:div w:id="751314672">
                  <w:marLeft w:val="0"/>
                  <w:marRight w:val="0"/>
                  <w:marTop w:val="0"/>
                  <w:marBottom w:val="0"/>
                  <w:divBdr>
                    <w:top w:val="none" w:sz="0" w:space="0" w:color="auto"/>
                    <w:left w:val="none" w:sz="0" w:space="0" w:color="auto"/>
                    <w:bottom w:val="none" w:sz="0" w:space="0" w:color="auto"/>
                    <w:right w:val="none" w:sz="0" w:space="0" w:color="auto"/>
                  </w:divBdr>
                  <w:divsChild>
                    <w:div w:id="170459714">
                      <w:marLeft w:val="0"/>
                      <w:marRight w:val="0"/>
                      <w:marTop w:val="0"/>
                      <w:marBottom w:val="0"/>
                      <w:divBdr>
                        <w:top w:val="none" w:sz="0" w:space="0" w:color="auto"/>
                        <w:left w:val="none" w:sz="0" w:space="0" w:color="auto"/>
                        <w:bottom w:val="none" w:sz="0" w:space="0" w:color="auto"/>
                        <w:right w:val="none" w:sz="0" w:space="0" w:color="auto"/>
                      </w:divBdr>
                      <w:divsChild>
                        <w:div w:id="33773995">
                          <w:marLeft w:val="0"/>
                          <w:marRight w:val="0"/>
                          <w:marTop w:val="0"/>
                          <w:marBottom w:val="0"/>
                          <w:divBdr>
                            <w:top w:val="none" w:sz="0" w:space="0" w:color="auto"/>
                            <w:left w:val="none" w:sz="0" w:space="0" w:color="auto"/>
                            <w:bottom w:val="none" w:sz="0" w:space="0" w:color="auto"/>
                            <w:right w:val="none" w:sz="0" w:space="0" w:color="auto"/>
                          </w:divBdr>
                          <w:divsChild>
                            <w:div w:id="15343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369674">
      <w:bodyDiv w:val="1"/>
      <w:marLeft w:val="0"/>
      <w:marRight w:val="0"/>
      <w:marTop w:val="0"/>
      <w:marBottom w:val="0"/>
      <w:divBdr>
        <w:top w:val="none" w:sz="0" w:space="0" w:color="auto"/>
        <w:left w:val="none" w:sz="0" w:space="0" w:color="auto"/>
        <w:bottom w:val="none" w:sz="0" w:space="0" w:color="auto"/>
        <w:right w:val="none" w:sz="0" w:space="0" w:color="auto"/>
      </w:divBdr>
    </w:div>
    <w:div w:id="750007560">
      <w:bodyDiv w:val="1"/>
      <w:marLeft w:val="0"/>
      <w:marRight w:val="0"/>
      <w:marTop w:val="0"/>
      <w:marBottom w:val="0"/>
      <w:divBdr>
        <w:top w:val="none" w:sz="0" w:space="0" w:color="auto"/>
        <w:left w:val="none" w:sz="0" w:space="0" w:color="auto"/>
        <w:bottom w:val="none" w:sz="0" w:space="0" w:color="auto"/>
        <w:right w:val="none" w:sz="0" w:space="0" w:color="auto"/>
      </w:divBdr>
    </w:div>
    <w:div w:id="791942807">
      <w:bodyDiv w:val="1"/>
      <w:marLeft w:val="0"/>
      <w:marRight w:val="0"/>
      <w:marTop w:val="0"/>
      <w:marBottom w:val="0"/>
      <w:divBdr>
        <w:top w:val="none" w:sz="0" w:space="0" w:color="auto"/>
        <w:left w:val="none" w:sz="0" w:space="0" w:color="auto"/>
        <w:bottom w:val="none" w:sz="0" w:space="0" w:color="auto"/>
        <w:right w:val="none" w:sz="0" w:space="0" w:color="auto"/>
      </w:divBdr>
    </w:div>
    <w:div w:id="844712009">
      <w:bodyDiv w:val="1"/>
      <w:marLeft w:val="0"/>
      <w:marRight w:val="0"/>
      <w:marTop w:val="0"/>
      <w:marBottom w:val="0"/>
      <w:divBdr>
        <w:top w:val="none" w:sz="0" w:space="0" w:color="auto"/>
        <w:left w:val="none" w:sz="0" w:space="0" w:color="auto"/>
        <w:bottom w:val="none" w:sz="0" w:space="0" w:color="auto"/>
        <w:right w:val="none" w:sz="0" w:space="0" w:color="auto"/>
      </w:divBdr>
    </w:div>
    <w:div w:id="852499463">
      <w:bodyDiv w:val="1"/>
      <w:marLeft w:val="0"/>
      <w:marRight w:val="0"/>
      <w:marTop w:val="0"/>
      <w:marBottom w:val="0"/>
      <w:divBdr>
        <w:top w:val="none" w:sz="0" w:space="0" w:color="auto"/>
        <w:left w:val="none" w:sz="0" w:space="0" w:color="auto"/>
        <w:bottom w:val="none" w:sz="0" w:space="0" w:color="auto"/>
        <w:right w:val="none" w:sz="0" w:space="0" w:color="auto"/>
      </w:divBdr>
    </w:div>
    <w:div w:id="881328321">
      <w:bodyDiv w:val="1"/>
      <w:marLeft w:val="0"/>
      <w:marRight w:val="0"/>
      <w:marTop w:val="0"/>
      <w:marBottom w:val="0"/>
      <w:divBdr>
        <w:top w:val="none" w:sz="0" w:space="0" w:color="auto"/>
        <w:left w:val="none" w:sz="0" w:space="0" w:color="auto"/>
        <w:bottom w:val="none" w:sz="0" w:space="0" w:color="auto"/>
        <w:right w:val="none" w:sz="0" w:space="0" w:color="auto"/>
      </w:divBdr>
    </w:div>
    <w:div w:id="921136598">
      <w:bodyDiv w:val="1"/>
      <w:marLeft w:val="0"/>
      <w:marRight w:val="0"/>
      <w:marTop w:val="0"/>
      <w:marBottom w:val="0"/>
      <w:divBdr>
        <w:top w:val="none" w:sz="0" w:space="0" w:color="auto"/>
        <w:left w:val="none" w:sz="0" w:space="0" w:color="auto"/>
        <w:bottom w:val="none" w:sz="0" w:space="0" w:color="auto"/>
        <w:right w:val="none" w:sz="0" w:space="0" w:color="auto"/>
      </w:divBdr>
    </w:div>
    <w:div w:id="921455380">
      <w:bodyDiv w:val="1"/>
      <w:marLeft w:val="0"/>
      <w:marRight w:val="0"/>
      <w:marTop w:val="0"/>
      <w:marBottom w:val="0"/>
      <w:divBdr>
        <w:top w:val="none" w:sz="0" w:space="0" w:color="auto"/>
        <w:left w:val="none" w:sz="0" w:space="0" w:color="auto"/>
        <w:bottom w:val="none" w:sz="0" w:space="0" w:color="auto"/>
        <w:right w:val="none" w:sz="0" w:space="0" w:color="auto"/>
      </w:divBdr>
    </w:div>
    <w:div w:id="934292284">
      <w:bodyDiv w:val="1"/>
      <w:marLeft w:val="0"/>
      <w:marRight w:val="0"/>
      <w:marTop w:val="0"/>
      <w:marBottom w:val="0"/>
      <w:divBdr>
        <w:top w:val="none" w:sz="0" w:space="0" w:color="auto"/>
        <w:left w:val="none" w:sz="0" w:space="0" w:color="auto"/>
        <w:bottom w:val="none" w:sz="0" w:space="0" w:color="auto"/>
        <w:right w:val="none" w:sz="0" w:space="0" w:color="auto"/>
      </w:divBdr>
    </w:div>
    <w:div w:id="948659885">
      <w:bodyDiv w:val="1"/>
      <w:marLeft w:val="0"/>
      <w:marRight w:val="0"/>
      <w:marTop w:val="0"/>
      <w:marBottom w:val="0"/>
      <w:divBdr>
        <w:top w:val="none" w:sz="0" w:space="0" w:color="auto"/>
        <w:left w:val="none" w:sz="0" w:space="0" w:color="auto"/>
        <w:bottom w:val="none" w:sz="0" w:space="0" w:color="auto"/>
        <w:right w:val="none" w:sz="0" w:space="0" w:color="auto"/>
      </w:divBdr>
    </w:div>
    <w:div w:id="952633014">
      <w:bodyDiv w:val="1"/>
      <w:marLeft w:val="0"/>
      <w:marRight w:val="0"/>
      <w:marTop w:val="0"/>
      <w:marBottom w:val="0"/>
      <w:divBdr>
        <w:top w:val="none" w:sz="0" w:space="0" w:color="auto"/>
        <w:left w:val="none" w:sz="0" w:space="0" w:color="auto"/>
        <w:bottom w:val="none" w:sz="0" w:space="0" w:color="auto"/>
        <w:right w:val="none" w:sz="0" w:space="0" w:color="auto"/>
      </w:divBdr>
    </w:div>
    <w:div w:id="999620958">
      <w:bodyDiv w:val="1"/>
      <w:marLeft w:val="0"/>
      <w:marRight w:val="0"/>
      <w:marTop w:val="0"/>
      <w:marBottom w:val="0"/>
      <w:divBdr>
        <w:top w:val="none" w:sz="0" w:space="0" w:color="auto"/>
        <w:left w:val="none" w:sz="0" w:space="0" w:color="auto"/>
        <w:bottom w:val="none" w:sz="0" w:space="0" w:color="auto"/>
        <w:right w:val="none" w:sz="0" w:space="0" w:color="auto"/>
      </w:divBdr>
    </w:div>
    <w:div w:id="1005859119">
      <w:bodyDiv w:val="1"/>
      <w:marLeft w:val="0"/>
      <w:marRight w:val="0"/>
      <w:marTop w:val="0"/>
      <w:marBottom w:val="0"/>
      <w:divBdr>
        <w:top w:val="none" w:sz="0" w:space="0" w:color="auto"/>
        <w:left w:val="none" w:sz="0" w:space="0" w:color="auto"/>
        <w:bottom w:val="none" w:sz="0" w:space="0" w:color="auto"/>
        <w:right w:val="none" w:sz="0" w:space="0" w:color="auto"/>
      </w:divBdr>
    </w:div>
    <w:div w:id="1015108637">
      <w:bodyDiv w:val="1"/>
      <w:marLeft w:val="0"/>
      <w:marRight w:val="0"/>
      <w:marTop w:val="0"/>
      <w:marBottom w:val="0"/>
      <w:divBdr>
        <w:top w:val="none" w:sz="0" w:space="0" w:color="auto"/>
        <w:left w:val="none" w:sz="0" w:space="0" w:color="auto"/>
        <w:bottom w:val="none" w:sz="0" w:space="0" w:color="auto"/>
        <w:right w:val="none" w:sz="0" w:space="0" w:color="auto"/>
      </w:divBdr>
    </w:div>
    <w:div w:id="1018117525">
      <w:bodyDiv w:val="1"/>
      <w:marLeft w:val="0"/>
      <w:marRight w:val="0"/>
      <w:marTop w:val="0"/>
      <w:marBottom w:val="0"/>
      <w:divBdr>
        <w:top w:val="none" w:sz="0" w:space="0" w:color="auto"/>
        <w:left w:val="none" w:sz="0" w:space="0" w:color="auto"/>
        <w:bottom w:val="none" w:sz="0" w:space="0" w:color="auto"/>
        <w:right w:val="none" w:sz="0" w:space="0" w:color="auto"/>
      </w:divBdr>
    </w:div>
    <w:div w:id="1059940924">
      <w:bodyDiv w:val="1"/>
      <w:marLeft w:val="0"/>
      <w:marRight w:val="0"/>
      <w:marTop w:val="0"/>
      <w:marBottom w:val="0"/>
      <w:divBdr>
        <w:top w:val="none" w:sz="0" w:space="0" w:color="auto"/>
        <w:left w:val="none" w:sz="0" w:space="0" w:color="auto"/>
        <w:bottom w:val="none" w:sz="0" w:space="0" w:color="auto"/>
        <w:right w:val="none" w:sz="0" w:space="0" w:color="auto"/>
      </w:divBdr>
      <w:divsChild>
        <w:div w:id="1762943148">
          <w:marLeft w:val="0"/>
          <w:marRight w:val="0"/>
          <w:marTop w:val="0"/>
          <w:marBottom w:val="0"/>
          <w:divBdr>
            <w:top w:val="none" w:sz="0" w:space="0" w:color="auto"/>
            <w:left w:val="none" w:sz="0" w:space="0" w:color="auto"/>
            <w:bottom w:val="none" w:sz="0" w:space="0" w:color="auto"/>
            <w:right w:val="none" w:sz="0" w:space="0" w:color="auto"/>
          </w:divBdr>
        </w:div>
        <w:div w:id="1789809069">
          <w:marLeft w:val="0"/>
          <w:marRight w:val="0"/>
          <w:marTop w:val="0"/>
          <w:marBottom w:val="0"/>
          <w:divBdr>
            <w:top w:val="none" w:sz="0" w:space="0" w:color="auto"/>
            <w:left w:val="none" w:sz="0" w:space="0" w:color="auto"/>
            <w:bottom w:val="none" w:sz="0" w:space="0" w:color="auto"/>
            <w:right w:val="none" w:sz="0" w:space="0" w:color="auto"/>
          </w:divBdr>
        </w:div>
      </w:divsChild>
    </w:div>
    <w:div w:id="1093428552">
      <w:bodyDiv w:val="1"/>
      <w:marLeft w:val="0"/>
      <w:marRight w:val="0"/>
      <w:marTop w:val="0"/>
      <w:marBottom w:val="0"/>
      <w:divBdr>
        <w:top w:val="none" w:sz="0" w:space="0" w:color="auto"/>
        <w:left w:val="none" w:sz="0" w:space="0" w:color="auto"/>
        <w:bottom w:val="none" w:sz="0" w:space="0" w:color="auto"/>
        <w:right w:val="none" w:sz="0" w:space="0" w:color="auto"/>
      </w:divBdr>
    </w:div>
    <w:div w:id="1148088871">
      <w:bodyDiv w:val="1"/>
      <w:marLeft w:val="0"/>
      <w:marRight w:val="0"/>
      <w:marTop w:val="0"/>
      <w:marBottom w:val="0"/>
      <w:divBdr>
        <w:top w:val="none" w:sz="0" w:space="0" w:color="auto"/>
        <w:left w:val="none" w:sz="0" w:space="0" w:color="auto"/>
        <w:bottom w:val="none" w:sz="0" w:space="0" w:color="auto"/>
        <w:right w:val="none" w:sz="0" w:space="0" w:color="auto"/>
      </w:divBdr>
    </w:div>
    <w:div w:id="1180461574">
      <w:bodyDiv w:val="1"/>
      <w:marLeft w:val="0"/>
      <w:marRight w:val="0"/>
      <w:marTop w:val="0"/>
      <w:marBottom w:val="0"/>
      <w:divBdr>
        <w:top w:val="none" w:sz="0" w:space="0" w:color="auto"/>
        <w:left w:val="none" w:sz="0" w:space="0" w:color="auto"/>
        <w:bottom w:val="none" w:sz="0" w:space="0" w:color="auto"/>
        <w:right w:val="none" w:sz="0" w:space="0" w:color="auto"/>
      </w:divBdr>
    </w:div>
    <w:div w:id="1188955230">
      <w:bodyDiv w:val="1"/>
      <w:marLeft w:val="0"/>
      <w:marRight w:val="0"/>
      <w:marTop w:val="0"/>
      <w:marBottom w:val="0"/>
      <w:divBdr>
        <w:top w:val="none" w:sz="0" w:space="0" w:color="auto"/>
        <w:left w:val="none" w:sz="0" w:space="0" w:color="auto"/>
        <w:bottom w:val="none" w:sz="0" w:space="0" w:color="auto"/>
        <w:right w:val="none" w:sz="0" w:space="0" w:color="auto"/>
      </w:divBdr>
    </w:div>
    <w:div w:id="1192185733">
      <w:bodyDiv w:val="1"/>
      <w:marLeft w:val="0"/>
      <w:marRight w:val="0"/>
      <w:marTop w:val="0"/>
      <w:marBottom w:val="0"/>
      <w:divBdr>
        <w:top w:val="none" w:sz="0" w:space="0" w:color="auto"/>
        <w:left w:val="none" w:sz="0" w:space="0" w:color="auto"/>
        <w:bottom w:val="none" w:sz="0" w:space="0" w:color="auto"/>
        <w:right w:val="none" w:sz="0" w:space="0" w:color="auto"/>
      </w:divBdr>
    </w:div>
    <w:div w:id="1195457723">
      <w:bodyDiv w:val="1"/>
      <w:marLeft w:val="0"/>
      <w:marRight w:val="0"/>
      <w:marTop w:val="0"/>
      <w:marBottom w:val="0"/>
      <w:divBdr>
        <w:top w:val="none" w:sz="0" w:space="0" w:color="auto"/>
        <w:left w:val="none" w:sz="0" w:space="0" w:color="auto"/>
        <w:bottom w:val="none" w:sz="0" w:space="0" w:color="auto"/>
        <w:right w:val="none" w:sz="0" w:space="0" w:color="auto"/>
      </w:divBdr>
    </w:div>
    <w:div w:id="1197698932">
      <w:bodyDiv w:val="1"/>
      <w:marLeft w:val="0"/>
      <w:marRight w:val="0"/>
      <w:marTop w:val="0"/>
      <w:marBottom w:val="0"/>
      <w:divBdr>
        <w:top w:val="none" w:sz="0" w:space="0" w:color="auto"/>
        <w:left w:val="none" w:sz="0" w:space="0" w:color="auto"/>
        <w:bottom w:val="none" w:sz="0" w:space="0" w:color="auto"/>
        <w:right w:val="none" w:sz="0" w:space="0" w:color="auto"/>
      </w:divBdr>
    </w:div>
    <w:div w:id="1240015692">
      <w:bodyDiv w:val="1"/>
      <w:marLeft w:val="0"/>
      <w:marRight w:val="0"/>
      <w:marTop w:val="0"/>
      <w:marBottom w:val="0"/>
      <w:divBdr>
        <w:top w:val="none" w:sz="0" w:space="0" w:color="auto"/>
        <w:left w:val="none" w:sz="0" w:space="0" w:color="auto"/>
        <w:bottom w:val="none" w:sz="0" w:space="0" w:color="auto"/>
        <w:right w:val="none" w:sz="0" w:space="0" w:color="auto"/>
      </w:divBdr>
    </w:div>
    <w:div w:id="1243217988">
      <w:bodyDiv w:val="1"/>
      <w:marLeft w:val="0"/>
      <w:marRight w:val="0"/>
      <w:marTop w:val="0"/>
      <w:marBottom w:val="0"/>
      <w:divBdr>
        <w:top w:val="none" w:sz="0" w:space="0" w:color="auto"/>
        <w:left w:val="none" w:sz="0" w:space="0" w:color="auto"/>
        <w:bottom w:val="none" w:sz="0" w:space="0" w:color="auto"/>
        <w:right w:val="none" w:sz="0" w:space="0" w:color="auto"/>
      </w:divBdr>
    </w:div>
    <w:div w:id="1244022387">
      <w:bodyDiv w:val="1"/>
      <w:marLeft w:val="0"/>
      <w:marRight w:val="0"/>
      <w:marTop w:val="0"/>
      <w:marBottom w:val="0"/>
      <w:divBdr>
        <w:top w:val="none" w:sz="0" w:space="0" w:color="auto"/>
        <w:left w:val="none" w:sz="0" w:space="0" w:color="auto"/>
        <w:bottom w:val="none" w:sz="0" w:space="0" w:color="auto"/>
        <w:right w:val="none" w:sz="0" w:space="0" w:color="auto"/>
      </w:divBdr>
    </w:div>
    <w:div w:id="1255088482">
      <w:bodyDiv w:val="1"/>
      <w:marLeft w:val="0"/>
      <w:marRight w:val="0"/>
      <w:marTop w:val="0"/>
      <w:marBottom w:val="0"/>
      <w:divBdr>
        <w:top w:val="none" w:sz="0" w:space="0" w:color="auto"/>
        <w:left w:val="none" w:sz="0" w:space="0" w:color="auto"/>
        <w:bottom w:val="none" w:sz="0" w:space="0" w:color="auto"/>
        <w:right w:val="none" w:sz="0" w:space="0" w:color="auto"/>
      </w:divBdr>
    </w:div>
    <w:div w:id="1263684456">
      <w:bodyDiv w:val="1"/>
      <w:marLeft w:val="0"/>
      <w:marRight w:val="0"/>
      <w:marTop w:val="0"/>
      <w:marBottom w:val="0"/>
      <w:divBdr>
        <w:top w:val="none" w:sz="0" w:space="0" w:color="auto"/>
        <w:left w:val="none" w:sz="0" w:space="0" w:color="auto"/>
        <w:bottom w:val="none" w:sz="0" w:space="0" w:color="auto"/>
        <w:right w:val="none" w:sz="0" w:space="0" w:color="auto"/>
      </w:divBdr>
    </w:div>
    <w:div w:id="1272130684">
      <w:bodyDiv w:val="1"/>
      <w:marLeft w:val="0"/>
      <w:marRight w:val="0"/>
      <w:marTop w:val="0"/>
      <w:marBottom w:val="0"/>
      <w:divBdr>
        <w:top w:val="none" w:sz="0" w:space="0" w:color="auto"/>
        <w:left w:val="none" w:sz="0" w:space="0" w:color="auto"/>
        <w:bottom w:val="none" w:sz="0" w:space="0" w:color="auto"/>
        <w:right w:val="none" w:sz="0" w:space="0" w:color="auto"/>
      </w:divBdr>
    </w:div>
    <w:div w:id="1288050323">
      <w:bodyDiv w:val="1"/>
      <w:marLeft w:val="0"/>
      <w:marRight w:val="0"/>
      <w:marTop w:val="0"/>
      <w:marBottom w:val="0"/>
      <w:divBdr>
        <w:top w:val="none" w:sz="0" w:space="0" w:color="auto"/>
        <w:left w:val="none" w:sz="0" w:space="0" w:color="auto"/>
        <w:bottom w:val="none" w:sz="0" w:space="0" w:color="auto"/>
        <w:right w:val="none" w:sz="0" w:space="0" w:color="auto"/>
      </w:divBdr>
    </w:div>
    <w:div w:id="1315795257">
      <w:bodyDiv w:val="1"/>
      <w:marLeft w:val="0"/>
      <w:marRight w:val="0"/>
      <w:marTop w:val="0"/>
      <w:marBottom w:val="0"/>
      <w:divBdr>
        <w:top w:val="none" w:sz="0" w:space="0" w:color="auto"/>
        <w:left w:val="none" w:sz="0" w:space="0" w:color="auto"/>
        <w:bottom w:val="none" w:sz="0" w:space="0" w:color="auto"/>
        <w:right w:val="none" w:sz="0" w:space="0" w:color="auto"/>
      </w:divBdr>
    </w:div>
    <w:div w:id="1320770132">
      <w:bodyDiv w:val="1"/>
      <w:marLeft w:val="0"/>
      <w:marRight w:val="0"/>
      <w:marTop w:val="0"/>
      <w:marBottom w:val="0"/>
      <w:divBdr>
        <w:top w:val="none" w:sz="0" w:space="0" w:color="auto"/>
        <w:left w:val="none" w:sz="0" w:space="0" w:color="auto"/>
        <w:bottom w:val="none" w:sz="0" w:space="0" w:color="auto"/>
        <w:right w:val="none" w:sz="0" w:space="0" w:color="auto"/>
      </w:divBdr>
    </w:div>
    <w:div w:id="1327710828">
      <w:bodyDiv w:val="1"/>
      <w:marLeft w:val="0"/>
      <w:marRight w:val="0"/>
      <w:marTop w:val="0"/>
      <w:marBottom w:val="0"/>
      <w:divBdr>
        <w:top w:val="none" w:sz="0" w:space="0" w:color="auto"/>
        <w:left w:val="none" w:sz="0" w:space="0" w:color="auto"/>
        <w:bottom w:val="none" w:sz="0" w:space="0" w:color="auto"/>
        <w:right w:val="none" w:sz="0" w:space="0" w:color="auto"/>
      </w:divBdr>
    </w:div>
    <w:div w:id="1359429001">
      <w:bodyDiv w:val="1"/>
      <w:marLeft w:val="0"/>
      <w:marRight w:val="0"/>
      <w:marTop w:val="0"/>
      <w:marBottom w:val="0"/>
      <w:divBdr>
        <w:top w:val="none" w:sz="0" w:space="0" w:color="auto"/>
        <w:left w:val="none" w:sz="0" w:space="0" w:color="auto"/>
        <w:bottom w:val="none" w:sz="0" w:space="0" w:color="auto"/>
        <w:right w:val="none" w:sz="0" w:space="0" w:color="auto"/>
      </w:divBdr>
      <w:divsChild>
        <w:div w:id="256014393">
          <w:marLeft w:val="0"/>
          <w:marRight w:val="0"/>
          <w:marTop w:val="0"/>
          <w:marBottom w:val="0"/>
          <w:divBdr>
            <w:top w:val="none" w:sz="0" w:space="0" w:color="auto"/>
            <w:left w:val="single" w:sz="48" w:space="0" w:color="auto"/>
            <w:bottom w:val="none" w:sz="0" w:space="0" w:color="auto"/>
            <w:right w:val="single" w:sz="48" w:space="0" w:color="auto"/>
          </w:divBdr>
          <w:divsChild>
            <w:div w:id="105199030">
              <w:marLeft w:val="0"/>
              <w:marRight w:val="0"/>
              <w:marTop w:val="0"/>
              <w:marBottom w:val="0"/>
              <w:divBdr>
                <w:top w:val="none" w:sz="0" w:space="0" w:color="auto"/>
                <w:left w:val="none" w:sz="0" w:space="0" w:color="auto"/>
                <w:bottom w:val="none" w:sz="0" w:space="0" w:color="auto"/>
                <w:right w:val="none" w:sz="0" w:space="0" w:color="auto"/>
              </w:divBdr>
            </w:div>
            <w:div w:id="1683628044">
              <w:marLeft w:val="0"/>
              <w:marRight w:val="0"/>
              <w:marTop w:val="0"/>
              <w:marBottom w:val="0"/>
              <w:divBdr>
                <w:top w:val="none" w:sz="0" w:space="0" w:color="auto"/>
                <w:left w:val="none" w:sz="0" w:space="0" w:color="auto"/>
                <w:bottom w:val="none" w:sz="0" w:space="0" w:color="auto"/>
                <w:right w:val="none" w:sz="0" w:space="0" w:color="auto"/>
              </w:divBdr>
              <w:divsChild>
                <w:div w:id="243493733">
                  <w:marLeft w:val="0"/>
                  <w:marRight w:val="0"/>
                  <w:marTop w:val="0"/>
                  <w:marBottom w:val="0"/>
                  <w:divBdr>
                    <w:top w:val="none" w:sz="0" w:space="0" w:color="auto"/>
                    <w:left w:val="none" w:sz="0" w:space="0" w:color="auto"/>
                    <w:bottom w:val="none" w:sz="0" w:space="0" w:color="auto"/>
                    <w:right w:val="none" w:sz="0" w:space="0" w:color="auto"/>
                  </w:divBdr>
                </w:div>
                <w:div w:id="959797083">
                  <w:marLeft w:val="0"/>
                  <w:marRight w:val="0"/>
                  <w:marTop w:val="0"/>
                  <w:marBottom w:val="0"/>
                  <w:divBdr>
                    <w:top w:val="none" w:sz="0" w:space="0" w:color="auto"/>
                    <w:left w:val="none" w:sz="0" w:space="0" w:color="auto"/>
                    <w:bottom w:val="none" w:sz="0" w:space="0" w:color="auto"/>
                    <w:right w:val="none" w:sz="0" w:space="0" w:color="auto"/>
                  </w:divBdr>
                </w:div>
              </w:divsChild>
            </w:div>
            <w:div w:id="1724984787">
              <w:marLeft w:val="0"/>
              <w:marRight w:val="0"/>
              <w:marTop w:val="100"/>
              <w:marBottom w:val="100"/>
              <w:divBdr>
                <w:top w:val="none" w:sz="0" w:space="0" w:color="auto"/>
                <w:left w:val="none" w:sz="0" w:space="0" w:color="auto"/>
                <w:bottom w:val="none" w:sz="0" w:space="0" w:color="auto"/>
                <w:right w:val="none" w:sz="0" w:space="0" w:color="auto"/>
              </w:divBdr>
              <w:divsChild>
                <w:div w:id="19663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18115">
          <w:marLeft w:val="0"/>
          <w:marRight w:val="0"/>
          <w:marTop w:val="0"/>
          <w:marBottom w:val="0"/>
          <w:divBdr>
            <w:top w:val="none" w:sz="0" w:space="0" w:color="auto"/>
            <w:left w:val="none" w:sz="0" w:space="0" w:color="auto"/>
            <w:bottom w:val="none" w:sz="0" w:space="0" w:color="auto"/>
            <w:right w:val="none" w:sz="0" w:space="0" w:color="auto"/>
          </w:divBdr>
          <w:divsChild>
            <w:div w:id="1719431598">
              <w:marLeft w:val="120"/>
              <w:marRight w:val="120"/>
              <w:marTop w:val="120"/>
              <w:marBottom w:val="120"/>
              <w:divBdr>
                <w:top w:val="none" w:sz="0" w:space="0" w:color="auto"/>
                <w:left w:val="none" w:sz="0" w:space="0" w:color="auto"/>
                <w:bottom w:val="none" w:sz="0" w:space="0" w:color="auto"/>
                <w:right w:val="none" w:sz="0" w:space="0" w:color="auto"/>
              </w:divBdr>
              <w:divsChild>
                <w:div w:id="798108808">
                  <w:marLeft w:val="0"/>
                  <w:marRight w:val="0"/>
                  <w:marTop w:val="0"/>
                  <w:marBottom w:val="0"/>
                  <w:divBdr>
                    <w:top w:val="none" w:sz="0" w:space="0" w:color="auto"/>
                    <w:left w:val="none" w:sz="0" w:space="0" w:color="auto"/>
                    <w:bottom w:val="none" w:sz="0" w:space="0" w:color="auto"/>
                    <w:right w:val="none" w:sz="0" w:space="0" w:color="auto"/>
                  </w:divBdr>
                  <w:divsChild>
                    <w:div w:id="1346857762">
                      <w:marLeft w:val="0"/>
                      <w:marRight w:val="0"/>
                      <w:marTop w:val="0"/>
                      <w:marBottom w:val="0"/>
                      <w:divBdr>
                        <w:top w:val="none" w:sz="0" w:space="0" w:color="auto"/>
                        <w:left w:val="none" w:sz="0" w:space="0" w:color="auto"/>
                        <w:bottom w:val="none" w:sz="0" w:space="0" w:color="auto"/>
                        <w:right w:val="none" w:sz="0" w:space="0" w:color="auto"/>
                      </w:divBdr>
                      <w:divsChild>
                        <w:div w:id="1182354663">
                          <w:marLeft w:val="0"/>
                          <w:marRight w:val="0"/>
                          <w:marTop w:val="0"/>
                          <w:marBottom w:val="0"/>
                          <w:divBdr>
                            <w:top w:val="none" w:sz="0" w:space="0" w:color="auto"/>
                            <w:left w:val="none" w:sz="0" w:space="0" w:color="auto"/>
                            <w:bottom w:val="none" w:sz="0" w:space="0" w:color="auto"/>
                            <w:right w:val="none" w:sz="0" w:space="0" w:color="auto"/>
                          </w:divBdr>
                        </w:div>
                        <w:div w:id="149895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441762">
      <w:bodyDiv w:val="1"/>
      <w:marLeft w:val="0"/>
      <w:marRight w:val="0"/>
      <w:marTop w:val="0"/>
      <w:marBottom w:val="0"/>
      <w:divBdr>
        <w:top w:val="none" w:sz="0" w:space="0" w:color="auto"/>
        <w:left w:val="none" w:sz="0" w:space="0" w:color="auto"/>
        <w:bottom w:val="none" w:sz="0" w:space="0" w:color="auto"/>
        <w:right w:val="none" w:sz="0" w:space="0" w:color="auto"/>
      </w:divBdr>
    </w:div>
    <w:div w:id="1382945735">
      <w:bodyDiv w:val="1"/>
      <w:marLeft w:val="0"/>
      <w:marRight w:val="0"/>
      <w:marTop w:val="0"/>
      <w:marBottom w:val="0"/>
      <w:divBdr>
        <w:top w:val="none" w:sz="0" w:space="0" w:color="auto"/>
        <w:left w:val="none" w:sz="0" w:space="0" w:color="auto"/>
        <w:bottom w:val="none" w:sz="0" w:space="0" w:color="auto"/>
        <w:right w:val="none" w:sz="0" w:space="0" w:color="auto"/>
      </w:divBdr>
    </w:div>
    <w:div w:id="1412774876">
      <w:bodyDiv w:val="1"/>
      <w:marLeft w:val="0"/>
      <w:marRight w:val="0"/>
      <w:marTop w:val="0"/>
      <w:marBottom w:val="0"/>
      <w:divBdr>
        <w:top w:val="none" w:sz="0" w:space="0" w:color="auto"/>
        <w:left w:val="none" w:sz="0" w:space="0" w:color="auto"/>
        <w:bottom w:val="none" w:sz="0" w:space="0" w:color="auto"/>
        <w:right w:val="none" w:sz="0" w:space="0" w:color="auto"/>
      </w:divBdr>
    </w:div>
    <w:div w:id="1453480109">
      <w:bodyDiv w:val="1"/>
      <w:marLeft w:val="0"/>
      <w:marRight w:val="0"/>
      <w:marTop w:val="0"/>
      <w:marBottom w:val="0"/>
      <w:divBdr>
        <w:top w:val="none" w:sz="0" w:space="0" w:color="auto"/>
        <w:left w:val="none" w:sz="0" w:space="0" w:color="auto"/>
        <w:bottom w:val="none" w:sz="0" w:space="0" w:color="auto"/>
        <w:right w:val="none" w:sz="0" w:space="0" w:color="auto"/>
      </w:divBdr>
    </w:div>
    <w:div w:id="1456480440">
      <w:bodyDiv w:val="1"/>
      <w:marLeft w:val="0"/>
      <w:marRight w:val="0"/>
      <w:marTop w:val="0"/>
      <w:marBottom w:val="0"/>
      <w:divBdr>
        <w:top w:val="none" w:sz="0" w:space="0" w:color="auto"/>
        <w:left w:val="none" w:sz="0" w:space="0" w:color="auto"/>
        <w:bottom w:val="none" w:sz="0" w:space="0" w:color="auto"/>
        <w:right w:val="none" w:sz="0" w:space="0" w:color="auto"/>
      </w:divBdr>
    </w:div>
    <w:div w:id="1474714588">
      <w:bodyDiv w:val="1"/>
      <w:marLeft w:val="0"/>
      <w:marRight w:val="0"/>
      <w:marTop w:val="0"/>
      <w:marBottom w:val="0"/>
      <w:divBdr>
        <w:top w:val="none" w:sz="0" w:space="0" w:color="auto"/>
        <w:left w:val="none" w:sz="0" w:space="0" w:color="auto"/>
        <w:bottom w:val="none" w:sz="0" w:space="0" w:color="auto"/>
        <w:right w:val="none" w:sz="0" w:space="0" w:color="auto"/>
      </w:divBdr>
    </w:div>
    <w:div w:id="1475413878">
      <w:bodyDiv w:val="1"/>
      <w:marLeft w:val="0"/>
      <w:marRight w:val="0"/>
      <w:marTop w:val="0"/>
      <w:marBottom w:val="0"/>
      <w:divBdr>
        <w:top w:val="none" w:sz="0" w:space="0" w:color="auto"/>
        <w:left w:val="none" w:sz="0" w:space="0" w:color="auto"/>
        <w:bottom w:val="none" w:sz="0" w:space="0" w:color="auto"/>
        <w:right w:val="none" w:sz="0" w:space="0" w:color="auto"/>
      </w:divBdr>
      <w:divsChild>
        <w:div w:id="1459183598">
          <w:marLeft w:val="0"/>
          <w:marRight w:val="0"/>
          <w:marTop w:val="240"/>
          <w:marBottom w:val="480"/>
          <w:divBdr>
            <w:top w:val="none" w:sz="0" w:space="0" w:color="auto"/>
            <w:left w:val="none" w:sz="0" w:space="0" w:color="auto"/>
            <w:bottom w:val="none" w:sz="0" w:space="0" w:color="auto"/>
            <w:right w:val="none" w:sz="0" w:space="0" w:color="auto"/>
          </w:divBdr>
          <w:divsChild>
            <w:div w:id="317611233">
              <w:marLeft w:val="0"/>
              <w:marRight w:val="0"/>
              <w:marTop w:val="0"/>
              <w:marBottom w:val="0"/>
              <w:divBdr>
                <w:top w:val="none" w:sz="0" w:space="0" w:color="auto"/>
                <w:left w:val="none" w:sz="0" w:space="0" w:color="auto"/>
                <w:bottom w:val="none" w:sz="0" w:space="0" w:color="auto"/>
                <w:right w:val="none" w:sz="0" w:space="0" w:color="auto"/>
              </w:divBdr>
              <w:divsChild>
                <w:div w:id="816537347">
                  <w:marLeft w:val="0"/>
                  <w:marRight w:val="0"/>
                  <w:marTop w:val="0"/>
                  <w:marBottom w:val="0"/>
                  <w:divBdr>
                    <w:top w:val="none" w:sz="0" w:space="0" w:color="auto"/>
                    <w:left w:val="none" w:sz="0" w:space="0" w:color="auto"/>
                    <w:bottom w:val="none" w:sz="0" w:space="0" w:color="auto"/>
                    <w:right w:val="none" w:sz="0" w:space="0" w:color="auto"/>
                  </w:divBdr>
                  <w:divsChild>
                    <w:div w:id="37360833">
                      <w:marLeft w:val="0"/>
                      <w:marRight w:val="0"/>
                      <w:marTop w:val="0"/>
                      <w:marBottom w:val="0"/>
                      <w:divBdr>
                        <w:top w:val="none" w:sz="0" w:space="0" w:color="auto"/>
                        <w:left w:val="none" w:sz="0" w:space="0" w:color="auto"/>
                        <w:bottom w:val="none" w:sz="0" w:space="0" w:color="auto"/>
                        <w:right w:val="none" w:sz="0" w:space="0" w:color="auto"/>
                      </w:divBdr>
                      <w:divsChild>
                        <w:div w:id="657534325">
                          <w:marLeft w:val="0"/>
                          <w:marRight w:val="0"/>
                          <w:marTop w:val="0"/>
                          <w:marBottom w:val="0"/>
                          <w:divBdr>
                            <w:top w:val="none" w:sz="0" w:space="0" w:color="auto"/>
                            <w:left w:val="none" w:sz="0" w:space="0" w:color="auto"/>
                            <w:bottom w:val="none" w:sz="0" w:space="0" w:color="auto"/>
                            <w:right w:val="none" w:sz="0" w:space="0" w:color="auto"/>
                          </w:divBdr>
                          <w:divsChild>
                            <w:div w:id="1288661511">
                              <w:marLeft w:val="0"/>
                              <w:marRight w:val="0"/>
                              <w:marTop w:val="0"/>
                              <w:marBottom w:val="0"/>
                              <w:divBdr>
                                <w:top w:val="none" w:sz="0" w:space="0" w:color="auto"/>
                                <w:left w:val="none" w:sz="0" w:space="0" w:color="auto"/>
                                <w:bottom w:val="none" w:sz="0" w:space="0" w:color="auto"/>
                                <w:right w:val="none" w:sz="0" w:space="0" w:color="auto"/>
                              </w:divBdr>
                              <w:divsChild>
                                <w:div w:id="1994333575">
                                  <w:marLeft w:val="0"/>
                                  <w:marRight w:val="0"/>
                                  <w:marTop w:val="150"/>
                                  <w:marBottom w:val="150"/>
                                  <w:divBdr>
                                    <w:top w:val="none" w:sz="0" w:space="0" w:color="auto"/>
                                    <w:left w:val="none" w:sz="0" w:space="0" w:color="auto"/>
                                    <w:bottom w:val="none" w:sz="0" w:space="0" w:color="auto"/>
                                    <w:right w:val="none" w:sz="0" w:space="0" w:color="auto"/>
                                  </w:divBdr>
                                  <w:divsChild>
                                    <w:div w:id="942610106">
                                      <w:marLeft w:val="0"/>
                                      <w:marRight w:val="0"/>
                                      <w:marTop w:val="0"/>
                                      <w:marBottom w:val="0"/>
                                      <w:divBdr>
                                        <w:top w:val="none" w:sz="0" w:space="0" w:color="auto"/>
                                        <w:left w:val="none" w:sz="0" w:space="0" w:color="auto"/>
                                        <w:bottom w:val="none" w:sz="0" w:space="0" w:color="auto"/>
                                        <w:right w:val="none" w:sz="0" w:space="0" w:color="auto"/>
                                      </w:divBdr>
                                      <w:divsChild>
                                        <w:div w:id="204539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307376">
      <w:bodyDiv w:val="1"/>
      <w:marLeft w:val="0"/>
      <w:marRight w:val="0"/>
      <w:marTop w:val="0"/>
      <w:marBottom w:val="0"/>
      <w:divBdr>
        <w:top w:val="none" w:sz="0" w:space="0" w:color="auto"/>
        <w:left w:val="none" w:sz="0" w:space="0" w:color="auto"/>
        <w:bottom w:val="none" w:sz="0" w:space="0" w:color="auto"/>
        <w:right w:val="none" w:sz="0" w:space="0" w:color="auto"/>
      </w:divBdr>
    </w:div>
    <w:div w:id="1497915110">
      <w:bodyDiv w:val="1"/>
      <w:marLeft w:val="0"/>
      <w:marRight w:val="0"/>
      <w:marTop w:val="0"/>
      <w:marBottom w:val="0"/>
      <w:divBdr>
        <w:top w:val="none" w:sz="0" w:space="0" w:color="auto"/>
        <w:left w:val="none" w:sz="0" w:space="0" w:color="auto"/>
        <w:bottom w:val="none" w:sz="0" w:space="0" w:color="auto"/>
        <w:right w:val="none" w:sz="0" w:space="0" w:color="auto"/>
      </w:divBdr>
    </w:div>
    <w:div w:id="1525898874">
      <w:bodyDiv w:val="1"/>
      <w:marLeft w:val="0"/>
      <w:marRight w:val="0"/>
      <w:marTop w:val="0"/>
      <w:marBottom w:val="0"/>
      <w:divBdr>
        <w:top w:val="none" w:sz="0" w:space="0" w:color="auto"/>
        <w:left w:val="none" w:sz="0" w:space="0" w:color="auto"/>
        <w:bottom w:val="none" w:sz="0" w:space="0" w:color="auto"/>
        <w:right w:val="none" w:sz="0" w:space="0" w:color="auto"/>
      </w:divBdr>
      <w:divsChild>
        <w:div w:id="733939251">
          <w:marLeft w:val="0"/>
          <w:marRight w:val="0"/>
          <w:marTop w:val="0"/>
          <w:marBottom w:val="0"/>
          <w:divBdr>
            <w:top w:val="none" w:sz="0" w:space="0" w:color="C4DEEE"/>
            <w:left w:val="none" w:sz="0" w:space="0" w:color="C4DEEE"/>
            <w:bottom w:val="none" w:sz="0" w:space="0" w:color="C4DEEE"/>
            <w:right w:val="none" w:sz="0" w:space="0" w:color="C4DEEE"/>
          </w:divBdr>
          <w:divsChild>
            <w:div w:id="992754266">
              <w:marLeft w:val="0"/>
              <w:marRight w:val="0"/>
              <w:marTop w:val="0"/>
              <w:marBottom w:val="0"/>
              <w:divBdr>
                <w:top w:val="none" w:sz="0" w:space="0" w:color="C4DEEE"/>
                <w:left w:val="none" w:sz="0" w:space="8" w:color="C4DEEE"/>
                <w:bottom w:val="none" w:sz="0" w:space="0" w:color="C4DEEE"/>
                <w:right w:val="none" w:sz="0" w:space="0" w:color="C4DEEE"/>
              </w:divBdr>
              <w:divsChild>
                <w:div w:id="850920036">
                  <w:marLeft w:val="0"/>
                  <w:marRight w:val="0"/>
                  <w:marTop w:val="0"/>
                  <w:marBottom w:val="0"/>
                  <w:divBdr>
                    <w:top w:val="none" w:sz="0" w:space="0" w:color="C4DEEE"/>
                    <w:left w:val="none" w:sz="0" w:space="0" w:color="C4DEEE"/>
                    <w:bottom w:val="none" w:sz="0" w:space="0" w:color="C4DEEE"/>
                    <w:right w:val="none" w:sz="0" w:space="0" w:color="C4DEEE"/>
                  </w:divBdr>
                  <w:divsChild>
                    <w:div w:id="134031134">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Child>
        </w:div>
        <w:div w:id="1480657421">
          <w:marLeft w:val="0"/>
          <w:marRight w:val="0"/>
          <w:marTop w:val="0"/>
          <w:marBottom w:val="0"/>
          <w:divBdr>
            <w:top w:val="none" w:sz="0" w:space="0" w:color="C4DEEE"/>
            <w:left w:val="none" w:sz="0" w:space="8" w:color="C4DEEE"/>
            <w:bottom w:val="none" w:sz="0" w:space="0" w:color="C4DEEE"/>
            <w:right w:val="none" w:sz="0" w:space="0" w:color="C4DEEE"/>
          </w:divBdr>
        </w:div>
      </w:divsChild>
    </w:div>
    <w:div w:id="1543863710">
      <w:bodyDiv w:val="1"/>
      <w:marLeft w:val="0"/>
      <w:marRight w:val="0"/>
      <w:marTop w:val="0"/>
      <w:marBottom w:val="0"/>
      <w:divBdr>
        <w:top w:val="none" w:sz="0" w:space="0" w:color="auto"/>
        <w:left w:val="none" w:sz="0" w:space="0" w:color="auto"/>
        <w:bottom w:val="none" w:sz="0" w:space="0" w:color="auto"/>
        <w:right w:val="none" w:sz="0" w:space="0" w:color="auto"/>
      </w:divBdr>
    </w:div>
    <w:div w:id="1570798553">
      <w:bodyDiv w:val="1"/>
      <w:marLeft w:val="0"/>
      <w:marRight w:val="0"/>
      <w:marTop w:val="0"/>
      <w:marBottom w:val="0"/>
      <w:divBdr>
        <w:top w:val="none" w:sz="0" w:space="0" w:color="auto"/>
        <w:left w:val="none" w:sz="0" w:space="0" w:color="auto"/>
        <w:bottom w:val="none" w:sz="0" w:space="0" w:color="auto"/>
        <w:right w:val="none" w:sz="0" w:space="0" w:color="auto"/>
      </w:divBdr>
      <w:divsChild>
        <w:div w:id="1774747177">
          <w:marLeft w:val="0"/>
          <w:marRight w:val="0"/>
          <w:marTop w:val="0"/>
          <w:marBottom w:val="0"/>
          <w:divBdr>
            <w:top w:val="none" w:sz="0" w:space="0" w:color="auto"/>
            <w:left w:val="none" w:sz="0" w:space="0" w:color="auto"/>
            <w:bottom w:val="none" w:sz="0" w:space="0" w:color="auto"/>
            <w:right w:val="none" w:sz="0" w:space="0" w:color="auto"/>
          </w:divBdr>
          <w:divsChild>
            <w:div w:id="414134625">
              <w:marLeft w:val="0"/>
              <w:marRight w:val="0"/>
              <w:marTop w:val="0"/>
              <w:marBottom w:val="0"/>
              <w:divBdr>
                <w:top w:val="none" w:sz="0" w:space="0" w:color="auto"/>
                <w:left w:val="none" w:sz="0" w:space="0" w:color="auto"/>
                <w:bottom w:val="none" w:sz="0" w:space="0" w:color="auto"/>
                <w:right w:val="none" w:sz="0" w:space="0" w:color="auto"/>
              </w:divBdr>
              <w:divsChild>
                <w:div w:id="683019716">
                  <w:marLeft w:val="0"/>
                  <w:marRight w:val="0"/>
                  <w:marTop w:val="0"/>
                  <w:marBottom w:val="0"/>
                  <w:divBdr>
                    <w:top w:val="none" w:sz="0" w:space="0" w:color="auto"/>
                    <w:left w:val="none" w:sz="0" w:space="0" w:color="auto"/>
                    <w:bottom w:val="none" w:sz="0" w:space="0" w:color="auto"/>
                    <w:right w:val="none" w:sz="0" w:space="0" w:color="auto"/>
                  </w:divBdr>
                  <w:divsChild>
                    <w:div w:id="305018177">
                      <w:marLeft w:val="0"/>
                      <w:marRight w:val="0"/>
                      <w:marTop w:val="0"/>
                      <w:marBottom w:val="0"/>
                      <w:divBdr>
                        <w:top w:val="none" w:sz="0" w:space="0" w:color="auto"/>
                        <w:left w:val="none" w:sz="0" w:space="0" w:color="auto"/>
                        <w:bottom w:val="none" w:sz="0" w:space="0" w:color="auto"/>
                        <w:right w:val="none" w:sz="0" w:space="0" w:color="auto"/>
                      </w:divBdr>
                      <w:divsChild>
                        <w:div w:id="468742873">
                          <w:marLeft w:val="384"/>
                          <w:marRight w:val="384"/>
                          <w:marTop w:val="0"/>
                          <w:marBottom w:val="0"/>
                          <w:divBdr>
                            <w:top w:val="none" w:sz="0" w:space="0" w:color="auto"/>
                            <w:left w:val="none" w:sz="0" w:space="0" w:color="auto"/>
                            <w:bottom w:val="none" w:sz="0" w:space="0" w:color="auto"/>
                            <w:right w:val="none" w:sz="0" w:space="0" w:color="auto"/>
                          </w:divBdr>
                          <w:divsChild>
                            <w:div w:id="1904607279">
                              <w:marLeft w:val="0"/>
                              <w:marRight w:val="0"/>
                              <w:marTop w:val="0"/>
                              <w:marBottom w:val="0"/>
                              <w:divBdr>
                                <w:top w:val="none" w:sz="0" w:space="0" w:color="auto"/>
                                <w:left w:val="none" w:sz="0" w:space="0" w:color="auto"/>
                                <w:bottom w:val="none" w:sz="0" w:space="0" w:color="auto"/>
                                <w:right w:val="none" w:sz="0" w:space="0" w:color="auto"/>
                              </w:divBdr>
                              <w:divsChild>
                                <w:div w:id="1300652996">
                                  <w:marLeft w:val="0"/>
                                  <w:marRight w:val="0"/>
                                  <w:marTop w:val="0"/>
                                  <w:marBottom w:val="0"/>
                                  <w:divBdr>
                                    <w:top w:val="none" w:sz="0" w:space="0" w:color="auto"/>
                                    <w:left w:val="none" w:sz="0" w:space="0" w:color="auto"/>
                                    <w:bottom w:val="none" w:sz="0" w:space="0" w:color="auto"/>
                                    <w:right w:val="none" w:sz="0" w:space="0" w:color="auto"/>
                                  </w:divBdr>
                                  <w:divsChild>
                                    <w:div w:id="1899510790">
                                      <w:marLeft w:val="0"/>
                                      <w:marRight w:val="0"/>
                                      <w:marTop w:val="332"/>
                                      <w:marBottom w:val="332"/>
                                      <w:divBdr>
                                        <w:top w:val="none" w:sz="0" w:space="0" w:color="auto"/>
                                        <w:left w:val="none" w:sz="0" w:space="0" w:color="auto"/>
                                        <w:bottom w:val="none" w:sz="0" w:space="0" w:color="auto"/>
                                        <w:right w:val="none" w:sz="0" w:space="0" w:color="auto"/>
                                      </w:divBdr>
                                      <w:divsChild>
                                        <w:div w:id="478888744">
                                          <w:marLeft w:val="0"/>
                                          <w:marRight w:val="0"/>
                                          <w:marTop w:val="332"/>
                                          <w:marBottom w:val="332"/>
                                          <w:divBdr>
                                            <w:top w:val="none" w:sz="0" w:space="0" w:color="auto"/>
                                            <w:left w:val="none" w:sz="0" w:space="0" w:color="auto"/>
                                            <w:bottom w:val="none" w:sz="0" w:space="0" w:color="auto"/>
                                            <w:right w:val="none" w:sz="0" w:space="0" w:color="auto"/>
                                          </w:divBdr>
                                          <w:divsChild>
                                            <w:div w:id="675575744">
                                              <w:marLeft w:val="0"/>
                                              <w:marRight w:val="0"/>
                                              <w:marTop w:val="0"/>
                                              <w:marBottom w:val="0"/>
                                              <w:divBdr>
                                                <w:top w:val="none" w:sz="0" w:space="0" w:color="auto"/>
                                                <w:left w:val="none" w:sz="0" w:space="0" w:color="auto"/>
                                                <w:bottom w:val="none" w:sz="0" w:space="0" w:color="auto"/>
                                                <w:right w:val="none" w:sz="0" w:space="0" w:color="auto"/>
                                              </w:divBdr>
                                            </w:div>
                                            <w:div w:id="15657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750331">
      <w:bodyDiv w:val="1"/>
      <w:marLeft w:val="0"/>
      <w:marRight w:val="0"/>
      <w:marTop w:val="0"/>
      <w:marBottom w:val="0"/>
      <w:divBdr>
        <w:top w:val="none" w:sz="0" w:space="0" w:color="auto"/>
        <w:left w:val="none" w:sz="0" w:space="0" w:color="auto"/>
        <w:bottom w:val="none" w:sz="0" w:space="0" w:color="auto"/>
        <w:right w:val="none" w:sz="0" w:space="0" w:color="auto"/>
      </w:divBdr>
    </w:div>
    <w:div w:id="1594391806">
      <w:bodyDiv w:val="1"/>
      <w:marLeft w:val="0"/>
      <w:marRight w:val="0"/>
      <w:marTop w:val="0"/>
      <w:marBottom w:val="0"/>
      <w:divBdr>
        <w:top w:val="none" w:sz="0" w:space="0" w:color="auto"/>
        <w:left w:val="none" w:sz="0" w:space="0" w:color="auto"/>
        <w:bottom w:val="none" w:sz="0" w:space="0" w:color="auto"/>
        <w:right w:val="none" w:sz="0" w:space="0" w:color="auto"/>
      </w:divBdr>
    </w:div>
    <w:div w:id="1601329193">
      <w:bodyDiv w:val="1"/>
      <w:marLeft w:val="0"/>
      <w:marRight w:val="0"/>
      <w:marTop w:val="0"/>
      <w:marBottom w:val="0"/>
      <w:divBdr>
        <w:top w:val="none" w:sz="0" w:space="0" w:color="auto"/>
        <w:left w:val="none" w:sz="0" w:space="0" w:color="auto"/>
        <w:bottom w:val="none" w:sz="0" w:space="0" w:color="auto"/>
        <w:right w:val="none" w:sz="0" w:space="0" w:color="auto"/>
      </w:divBdr>
    </w:div>
    <w:div w:id="1602563770">
      <w:bodyDiv w:val="1"/>
      <w:marLeft w:val="0"/>
      <w:marRight w:val="0"/>
      <w:marTop w:val="0"/>
      <w:marBottom w:val="0"/>
      <w:divBdr>
        <w:top w:val="none" w:sz="0" w:space="0" w:color="auto"/>
        <w:left w:val="none" w:sz="0" w:space="0" w:color="auto"/>
        <w:bottom w:val="none" w:sz="0" w:space="0" w:color="auto"/>
        <w:right w:val="none" w:sz="0" w:space="0" w:color="auto"/>
      </w:divBdr>
    </w:div>
    <w:div w:id="1662198236">
      <w:bodyDiv w:val="1"/>
      <w:marLeft w:val="0"/>
      <w:marRight w:val="0"/>
      <w:marTop w:val="0"/>
      <w:marBottom w:val="0"/>
      <w:divBdr>
        <w:top w:val="none" w:sz="0" w:space="0" w:color="auto"/>
        <w:left w:val="none" w:sz="0" w:space="0" w:color="auto"/>
        <w:bottom w:val="none" w:sz="0" w:space="0" w:color="auto"/>
        <w:right w:val="none" w:sz="0" w:space="0" w:color="auto"/>
      </w:divBdr>
    </w:div>
    <w:div w:id="1662539554">
      <w:bodyDiv w:val="1"/>
      <w:marLeft w:val="0"/>
      <w:marRight w:val="0"/>
      <w:marTop w:val="0"/>
      <w:marBottom w:val="0"/>
      <w:divBdr>
        <w:top w:val="none" w:sz="0" w:space="0" w:color="auto"/>
        <w:left w:val="none" w:sz="0" w:space="0" w:color="auto"/>
        <w:bottom w:val="none" w:sz="0" w:space="0" w:color="auto"/>
        <w:right w:val="none" w:sz="0" w:space="0" w:color="auto"/>
      </w:divBdr>
    </w:div>
    <w:div w:id="1682465760">
      <w:bodyDiv w:val="1"/>
      <w:marLeft w:val="0"/>
      <w:marRight w:val="0"/>
      <w:marTop w:val="0"/>
      <w:marBottom w:val="0"/>
      <w:divBdr>
        <w:top w:val="none" w:sz="0" w:space="0" w:color="auto"/>
        <w:left w:val="none" w:sz="0" w:space="0" w:color="auto"/>
        <w:bottom w:val="none" w:sz="0" w:space="0" w:color="auto"/>
        <w:right w:val="none" w:sz="0" w:space="0" w:color="auto"/>
      </w:divBdr>
    </w:div>
    <w:div w:id="1701395042">
      <w:bodyDiv w:val="1"/>
      <w:marLeft w:val="0"/>
      <w:marRight w:val="0"/>
      <w:marTop w:val="0"/>
      <w:marBottom w:val="0"/>
      <w:divBdr>
        <w:top w:val="none" w:sz="0" w:space="0" w:color="auto"/>
        <w:left w:val="none" w:sz="0" w:space="0" w:color="auto"/>
        <w:bottom w:val="none" w:sz="0" w:space="0" w:color="auto"/>
        <w:right w:val="none" w:sz="0" w:space="0" w:color="auto"/>
      </w:divBdr>
    </w:div>
    <w:div w:id="1708218557">
      <w:bodyDiv w:val="1"/>
      <w:marLeft w:val="0"/>
      <w:marRight w:val="0"/>
      <w:marTop w:val="0"/>
      <w:marBottom w:val="0"/>
      <w:divBdr>
        <w:top w:val="none" w:sz="0" w:space="0" w:color="auto"/>
        <w:left w:val="none" w:sz="0" w:space="0" w:color="auto"/>
        <w:bottom w:val="none" w:sz="0" w:space="0" w:color="auto"/>
        <w:right w:val="none" w:sz="0" w:space="0" w:color="auto"/>
      </w:divBdr>
    </w:div>
    <w:div w:id="1711303349">
      <w:bodyDiv w:val="1"/>
      <w:marLeft w:val="0"/>
      <w:marRight w:val="0"/>
      <w:marTop w:val="0"/>
      <w:marBottom w:val="0"/>
      <w:divBdr>
        <w:top w:val="none" w:sz="0" w:space="0" w:color="auto"/>
        <w:left w:val="none" w:sz="0" w:space="0" w:color="auto"/>
        <w:bottom w:val="none" w:sz="0" w:space="0" w:color="auto"/>
        <w:right w:val="none" w:sz="0" w:space="0" w:color="auto"/>
      </w:divBdr>
      <w:divsChild>
        <w:div w:id="496923871">
          <w:marLeft w:val="0"/>
          <w:marRight w:val="0"/>
          <w:marTop w:val="0"/>
          <w:marBottom w:val="0"/>
          <w:divBdr>
            <w:top w:val="none" w:sz="0" w:space="0" w:color="auto"/>
            <w:left w:val="none" w:sz="0" w:space="0" w:color="auto"/>
            <w:bottom w:val="none" w:sz="0" w:space="0" w:color="auto"/>
            <w:right w:val="none" w:sz="0" w:space="0" w:color="auto"/>
          </w:divBdr>
        </w:div>
        <w:div w:id="753278547">
          <w:marLeft w:val="0"/>
          <w:marRight w:val="0"/>
          <w:marTop w:val="0"/>
          <w:marBottom w:val="0"/>
          <w:divBdr>
            <w:top w:val="none" w:sz="0" w:space="0" w:color="auto"/>
            <w:left w:val="none" w:sz="0" w:space="0" w:color="auto"/>
            <w:bottom w:val="none" w:sz="0" w:space="0" w:color="auto"/>
            <w:right w:val="none" w:sz="0" w:space="0" w:color="auto"/>
          </w:divBdr>
        </w:div>
        <w:div w:id="1309823336">
          <w:marLeft w:val="0"/>
          <w:marRight w:val="0"/>
          <w:marTop w:val="0"/>
          <w:marBottom w:val="0"/>
          <w:divBdr>
            <w:top w:val="none" w:sz="0" w:space="0" w:color="auto"/>
            <w:left w:val="none" w:sz="0" w:space="0" w:color="auto"/>
            <w:bottom w:val="none" w:sz="0" w:space="0" w:color="auto"/>
            <w:right w:val="none" w:sz="0" w:space="0" w:color="auto"/>
          </w:divBdr>
        </w:div>
      </w:divsChild>
    </w:div>
    <w:div w:id="1718240260">
      <w:bodyDiv w:val="1"/>
      <w:marLeft w:val="0"/>
      <w:marRight w:val="0"/>
      <w:marTop w:val="0"/>
      <w:marBottom w:val="0"/>
      <w:divBdr>
        <w:top w:val="none" w:sz="0" w:space="0" w:color="auto"/>
        <w:left w:val="none" w:sz="0" w:space="0" w:color="auto"/>
        <w:bottom w:val="none" w:sz="0" w:space="0" w:color="auto"/>
        <w:right w:val="none" w:sz="0" w:space="0" w:color="auto"/>
      </w:divBdr>
    </w:div>
    <w:div w:id="1735082364">
      <w:bodyDiv w:val="1"/>
      <w:marLeft w:val="0"/>
      <w:marRight w:val="0"/>
      <w:marTop w:val="0"/>
      <w:marBottom w:val="0"/>
      <w:divBdr>
        <w:top w:val="none" w:sz="0" w:space="0" w:color="auto"/>
        <w:left w:val="none" w:sz="0" w:space="0" w:color="auto"/>
        <w:bottom w:val="none" w:sz="0" w:space="0" w:color="auto"/>
        <w:right w:val="none" w:sz="0" w:space="0" w:color="auto"/>
      </w:divBdr>
    </w:div>
    <w:div w:id="1735740970">
      <w:bodyDiv w:val="1"/>
      <w:marLeft w:val="0"/>
      <w:marRight w:val="0"/>
      <w:marTop w:val="0"/>
      <w:marBottom w:val="0"/>
      <w:divBdr>
        <w:top w:val="none" w:sz="0" w:space="0" w:color="auto"/>
        <w:left w:val="none" w:sz="0" w:space="0" w:color="auto"/>
        <w:bottom w:val="none" w:sz="0" w:space="0" w:color="auto"/>
        <w:right w:val="none" w:sz="0" w:space="0" w:color="auto"/>
      </w:divBdr>
    </w:div>
    <w:div w:id="1761565339">
      <w:bodyDiv w:val="1"/>
      <w:marLeft w:val="0"/>
      <w:marRight w:val="0"/>
      <w:marTop w:val="0"/>
      <w:marBottom w:val="0"/>
      <w:divBdr>
        <w:top w:val="none" w:sz="0" w:space="0" w:color="auto"/>
        <w:left w:val="none" w:sz="0" w:space="0" w:color="auto"/>
        <w:bottom w:val="none" w:sz="0" w:space="0" w:color="auto"/>
        <w:right w:val="none" w:sz="0" w:space="0" w:color="auto"/>
      </w:divBdr>
    </w:div>
    <w:div w:id="1775633003">
      <w:bodyDiv w:val="1"/>
      <w:marLeft w:val="0"/>
      <w:marRight w:val="0"/>
      <w:marTop w:val="0"/>
      <w:marBottom w:val="0"/>
      <w:divBdr>
        <w:top w:val="none" w:sz="0" w:space="0" w:color="auto"/>
        <w:left w:val="none" w:sz="0" w:space="0" w:color="auto"/>
        <w:bottom w:val="none" w:sz="0" w:space="0" w:color="auto"/>
        <w:right w:val="none" w:sz="0" w:space="0" w:color="auto"/>
      </w:divBdr>
    </w:div>
    <w:div w:id="1776711918">
      <w:bodyDiv w:val="1"/>
      <w:marLeft w:val="0"/>
      <w:marRight w:val="0"/>
      <w:marTop w:val="0"/>
      <w:marBottom w:val="0"/>
      <w:divBdr>
        <w:top w:val="none" w:sz="0" w:space="0" w:color="auto"/>
        <w:left w:val="none" w:sz="0" w:space="0" w:color="auto"/>
        <w:bottom w:val="none" w:sz="0" w:space="0" w:color="auto"/>
        <w:right w:val="none" w:sz="0" w:space="0" w:color="auto"/>
      </w:divBdr>
    </w:div>
    <w:div w:id="1781341355">
      <w:bodyDiv w:val="1"/>
      <w:marLeft w:val="0"/>
      <w:marRight w:val="0"/>
      <w:marTop w:val="0"/>
      <w:marBottom w:val="0"/>
      <w:divBdr>
        <w:top w:val="none" w:sz="0" w:space="0" w:color="auto"/>
        <w:left w:val="none" w:sz="0" w:space="0" w:color="auto"/>
        <w:bottom w:val="none" w:sz="0" w:space="0" w:color="auto"/>
        <w:right w:val="none" w:sz="0" w:space="0" w:color="auto"/>
      </w:divBdr>
    </w:div>
    <w:div w:id="1783843523">
      <w:bodyDiv w:val="1"/>
      <w:marLeft w:val="0"/>
      <w:marRight w:val="0"/>
      <w:marTop w:val="0"/>
      <w:marBottom w:val="0"/>
      <w:divBdr>
        <w:top w:val="none" w:sz="0" w:space="0" w:color="auto"/>
        <w:left w:val="none" w:sz="0" w:space="0" w:color="auto"/>
        <w:bottom w:val="none" w:sz="0" w:space="0" w:color="auto"/>
        <w:right w:val="none" w:sz="0" w:space="0" w:color="auto"/>
      </w:divBdr>
    </w:div>
    <w:div w:id="1813205858">
      <w:bodyDiv w:val="1"/>
      <w:marLeft w:val="0"/>
      <w:marRight w:val="0"/>
      <w:marTop w:val="0"/>
      <w:marBottom w:val="0"/>
      <w:divBdr>
        <w:top w:val="none" w:sz="0" w:space="0" w:color="auto"/>
        <w:left w:val="none" w:sz="0" w:space="0" w:color="auto"/>
        <w:bottom w:val="none" w:sz="0" w:space="0" w:color="auto"/>
        <w:right w:val="none" w:sz="0" w:space="0" w:color="auto"/>
      </w:divBdr>
    </w:div>
    <w:div w:id="1836648327">
      <w:bodyDiv w:val="1"/>
      <w:marLeft w:val="0"/>
      <w:marRight w:val="0"/>
      <w:marTop w:val="0"/>
      <w:marBottom w:val="0"/>
      <w:divBdr>
        <w:top w:val="none" w:sz="0" w:space="0" w:color="auto"/>
        <w:left w:val="none" w:sz="0" w:space="0" w:color="auto"/>
        <w:bottom w:val="none" w:sz="0" w:space="0" w:color="auto"/>
        <w:right w:val="none" w:sz="0" w:space="0" w:color="auto"/>
      </w:divBdr>
      <w:divsChild>
        <w:div w:id="1501389620">
          <w:marLeft w:val="0"/>
          <w:marRight w:val="0"/>
          <w:marTop w:val="0"/>
          <w:marBottom w:val="0"/>
          <w:divBdr>
            <w:top w:val="none" w:sz="0" w:space="0" w:color="auto"/>
            <w:left w:val="none" w:sz="0" w:space="0" w:color="auto"/>
            <w:bottom w:val="none" w:sz="0" w:space="0" w:color="auto"/>
            <w:right w:val="none" w:sz="0" w:space="0" w:color="auto"/>
          </w:divBdr>
          <w:divsChild>
            <w:div w:id="154340342">
              <w:marLeft w:val="0"/>
              <w:marRight w:val="0"/>
              <w:marTop w:val="0"/>
              <w:marBottom w:val="0"/>
              <w:divBdr>
                <w:top w:val="none" w:sz="0" w:space="0" w:color="auto"/>
                <w:left w:val="none" w:sz="0" w:space="0" w:color="auto"/>
                <w:bottom w:val="none" w:sz="0" w:space="0" w:color="auto"/>
                <w:right w:val="none" w:sz="0" w:space="0" w:color="auto"/>
              </w:divBdr>
              <w:divsChild>
                <w:div w:id="222185305">
                  <w:marLeft w:val="0"/>
                  <w:marRight w:val="0"/>
                  <w:marTop w:val="0"/>
                  <w:marBottom w:val="0"/>
                  <w:divBdr>
                    <w:top w:val="none" w:sz="0" w:space="0" w:color="auto"/>
                    <w:left w:val="none" w:sz="0" w:space="0" w:color="auto"/>
                    <w:bottom w:val="none" w:sz="0" w:space="0" w:color="auto"/>
                    <w:right w:val="none" w:sz="0" w:space="0" w:color="auto"/>
                  </w:divBdr>
                  <w:divsChild>
                    <w:div w:id="667250699">
                      <w:marLeft w:val="0"/>
                      <w:marRight w:val="0"/>
                      <w:marTop w:val="0"/>
                      <w:marBottom w:val="0"/>
                      <w:divBdr>
                        <w:top w:val="none" w:sz="0" w:space="0" w:color="auto"/>
                        <w:left w:val="none" w:sz="0" w:space="0" w:color="auto"/>
                        <w:bottom w:val="none" w:sz="0" w:space="0" w:color="auto"/>
                        <w:right w:val="none" w:sz="0" w:space="0" w:color="auto"/>
                      </w:divBdr>
                      <w:divsChild>
                        <w:div w:id="1223099563">
                          <w:marLeft w:val="0"/>
                          <w:marRight w:val="0"/>
                          <w:marTop w:val="0"/>
                          <w:marBottom w:val="0"/>
                          <w:divBdr>
                            <w:top w:val="none" w:sz="0" w:space="0" w:color="auto"/>
                            <w:left w:val="none" w:sz="0" w:space="0" w:color="auto"/>
                            <w:bottom w:val="none" w:sz="0" w:space="0" w:color="auto"/>
                            <w:right w:val="none" w:sz="0" w:space="0" w:color="auto"/>
                          </w:divBdr>
                          <w:divsChild>
                            <w:div w:id="191898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07833">
      <w:bodyDiv w:val="1"/>
      <w:marLeft w:val="0"/>
      <w:marRight w:val="0"/>
      <w:marTop w:val="0"/>
      <w:marBottom w:val="0"/>
      <w:divBdr>
        <w:top w:val="none" w:sz="0" w:space="0" w:color="auto"/>
        <w:left w:val="none" w:sz="0" w:space="0" w:color="auto"/>
        <w:bottom w:val="none" w:sz="0" w:space="0" w:color="auto"/>
        <w:right w:val="none" w:sz="0" w:space="0" w:color="auto"/>
      </w:divBdr>
    </w:div>
    <w:div w:id="1890801206">
      <w:bodyDiv w:val="1"/>
      <w:marLeft w:val="0"/>
      <w:marRight w:val="0"/>
      <w:marTop w:val="0"/>
      <w:marBottom w:val="0"/>
      <w:divBdr>
        <w:top w:val="none" w:sz="0" w:space="0" w:color="auto"/>
        <w:left w:val="none" w:sz="0" w:space="0" w:color="auto"/>
        <w:bottom w:val="none" w:sz="0" w:space="0" w:color="auto"/>
        <w:right w:val="none" w:sz="0" w:space="0" w:color="auto"/>
      </w:divBdr>
    </w:div>
    <w:div w:id="1896887047">
      <w:bodyDiv w:val="1"/>
      <w:marLeft w:val="0"/>
      <w:marRight w:val="0"/>
      <w:marTop w:val="0"/>
      <w:marBottom w:val="0"/>
      <w:divBdr>
        <w:top w:val="none" w:sz="0" w:space="0" w:color="auto"/>
        <w:left w:val="none" w:sz="0" w:space="0" w:color="auto"/>
        <w:bottom w:val="none" w:sz="0" w:space="0" w:color="auto"/>
        <w:right w:val="none" w:sz="0" w:space="0" w:color="auto"/>
      </w:divBdr>
    </w:div>
    <w:div w:id="1938321549">
      <w:bodyDiv w:val="1"/>
      <w:marLeft w:val="0"/>
      <w:marRight w:val="0"/>
      <w:marTop w:val="0"/>
      <w:marBottom w:val="0"/>
      <w:divBdr>
        <w:top w:val="none" w:sz="0" w:space="0" w:color="auto"/>
        <w:left w:val="none" w:sz="0" w:space="0" w:color="auto"/>
        <w:bottom w:val="none" w:sz="0" w:space="0" w:color="auto"/>
        <w:right w:val="none" w:sz="0" w:space="0" w:color="auto"/>
      </w:divBdr>
    </w:div>
    <w:div w:id="1950812549">
      <w:bodyDiv w:val="1"/>
      <w:marLeft w:val="0"/>
      <w:marRight w:val="0"/>
      <w:marTop w:val="0"/>
      <w:marBottom w:val="0"/>
      <w:divBdr>
        <w:top w:val="none" w:sz="0" w:space="0" w:color="auto"/>
        <w:left w:val="none" w:sz="0" w:space="0" w:color="auto"/>
        <w:bottom w:val="none" w:sz="0" w:space="0" w:color="auto"/>
        <w:right w:val="none" w:sz="0" w:space="0" w:color="auto"/>
      </w:divBdr>
      <w:divsChild>
        <w:div w:id="1533423649">
          <w:marLeft w:val="0"/>
          <w:marRight w:val="0"/>
          <w:marTop w:val="0"/>
          <w:marBottom w:val="0"/>
          <w:divBdr>
            <w:top w:val="none" w:sz="0" w:space="0" w:color="auto"/>
            <w:left w:val="none" w:sz="0" w:space="0" w:color="auto"/>
            <w:bottom w:val="none" w:sz="0" w:space="0" w:color="auto"/>
            <w:right w:val="none" w:sz="0" w:space="0" w:color="auto"/>
          </w:divBdr>
          <w:divsChild>
            <w:div w:id="390234010">
              <w:marLeft w:val="0"/>
              <w:marRight w:val="0"/>
              <w:marTop w:val="0"/>
              <w:marBottom w:val="0"/>
              <w:divBdr>
                <w:top w:val="none" w:sz="0" w:space="0" w:color="auto"/>
                <w:left w:val="none" w:sz="0" w:space="0" w:color="auto"/>
                <w:bottom w:val="none" w:sz="0" w:space="0" w:color="auto"/>
                <w:right w:val="none" w:sz="0" w:space="0" w:color="auto"/>
              </w:divBdr>
              <w:divsChild>
                <w:div w:id="802843079">
                  <w:marLeft w:val="0"/>
                  <w:marRight w:val="0"/>
                  <w:marTop w:val="0"/>
                  <w:marBottom w:val="0"/>
                  <w:divBdr>
                    <w:top w:val="none" w:sz="0" w:space="0" w:color="auto"/>
                    <w:left w:val="none" w:sz="0" w:space="0" w:color="auto"/>
                    <w:bottom w:val="none" w:sz="0" w:space="0" w:color="auto"/>
                    <w:right w:val="none" w:sz="0" w:space="0" w:color="auto"/>
                  </w:divBdr>
                  <w:divsChild>
                    <w:div w:id="1707830174">
                      <w:marLeft w:val="0"/>
                      <w:marRight w:val="0"/>
                      <w:marTop w:val="0"/>
                      <w:marBottom w:val="0"/>
                      <w:divBdr>
                        <w:top w:val="none" w:sz="0" w:space="0" w:color="auto"/>
                        <w:left w:val="none" w:sz="0" w:space="0" w:color="auto"/>
                        <w:bottom w:val="none" w:sz="0" w:space="0" w:color="auto"/>
                        <w:right w:val="none" w:sz="0" w:space="0" w:color="auto"/>
                      </w:divBdr>
                      <w:divsChild>
                        <w:div w:id="1731492929">
                          <w:marLeft w:val="0"/>
                          <w:marRight w:val="0"/>
                          <w:marTop w:val="0"/>
                          <w:marBottom w:val="0"/>
                          <w:divBdr>
                            <w:top w:val="none" w:sz="0" w:space="0" w:color="auto"/>
                            <w:left w:val="none" w:sz="0" w:space="0" w:color="auto"/>
                            <w:bottom w:val="none" w:sz="0" w:space="0" w:color="auto"/>
                            <w:right w:val="none" w:sz="0" w:space="0" w:color="auto"/>
                          </w:divBdr>
                          <w:divsChild>
                            <w:div w:id="1682512430">
                              <w:marLeft w:val="0"/>
                              <w:marRight w:val="0"/>
                              <w:marTop w:val="0"/>
                              <w:marBottom w:val="0"/>
                              <w:divBdr>
                                <w:top w:val="none" w:sz="0" w:space="0" w:color="auto"/>
                                <w:left w:val="none" w:sz="0" w:space="0" w:color="auto"/>
                                <w:bottom w:val="none" w:sz="0" w:space="0" w:color="auto"/>
                                <w:right w:val="none" w:sz="0" w:space="0" w:color="auto"/>
                              </w:divBdr>
                              <w:divsChild>
                                <w:div w:id="2058890960">
                                  <w:marLeft w:val="0"/>
                                  <w:marRight w:val="0"/>
                                  <w:marTop w:val="0"/>
                                  <w:marBottom w:val="0"/>
                                  <w:divBdr>
                                    <w:top w:val="none" w:sz="0" w:space="0" w:color="auto"/>
                                    <w:left w:val="none" w:sz="0" w:space="0" w:color="auto"/>
                                    <w:bottom w:val="none" w:sz="0" w:space="0" w:color="auto"/>
                                    <w:right w:val="none" w:sz="0" w:space="0" w:color="auto"/>
                                  </w:divBdr>
                                  <w:divsChild>
                                    <w:div w:id="1221096359">
                                      <w:marLeft w:val="0"/>
                                      <w:marRight w:val="0"/>
                                      <w:marTop w:val="0"/>
                                      <w:marBottom w:val="360"/>
                                      <w:divBdr>
                                        <w:top w:val="none" w:sz="0" w:space="0" w:color="auto"/>
                                        <w:left w:val="none" w:sz="0" w:space="0" w:color="auto"/>
                                        <w:bottom w:val="none" w:sz="0" w:space="0" w:color="auto"/>
                                        <w:right w:val="none" w:sz="0" w:space="0" w:color="auto"/>
                                      </w:divBdr>
                                      <w:divsChild>
                                        <w:div w:id="196238384">
                                          <w:marLeft w:val="0"/>
                                          <w:marRight w:val="0"/>
                                          <w:marTop w:val="0"/>
                                          <w:marBottom w:val="0"/>
                                          <w:divBdr>
                                            <w:top w:val="none" w:sz="0" w:space="0" w:color="auto"/>
                                            <w:left w:val="none" w:sz="0" w:space="0" w:color="auto"/>
                                            <w:bottom w:val="none" w:sz="0" w:space="0" w:color="auto"/>
                                            <w:right w:val="none" w:sz="0" w:space="0" w:color="auto"/>
                                          </w:divBdr>
                                          <w:divsChild>
                                            <w:div w:id="1215582928">
                                              <w:marLeft w:val="0"/>
                                              <w:marRight w:val="0"/>
                                              <w:marTop w:val="0"/>
                                              <w:marBottom w:val="0"/>
                                              <w:divBdr>
                                                <w:top w:val="none" w:sz="0" w:space="0" w:color="auto"/>
                                                <w:left w:val="none" w:sz="0" w:space="0" w:color="auto"/>
                                                <w:bottom w:val="none" w:sz="0" w:space="0" w:color="auto"/>
                                                <w:right w:val="none" w:sz="0" w:space="0" w:color="auto"/>
                                              </w:divBdr>
                                              <w:divsChild>
                                                <w:div w:id="23485707">
                                                  <w:marLeft w:val="0"/>
                                                  <w:marRight w:val="0"/>
                                                  <w:marTop w:val="0"/>
                                                  <w:marBottom w:val="0"/>
                                                  <w:divBdr>
                                                    <w:top w:val="none" w:sz="0" w:space="0" w:color="auto"/>
                                                    <w:left w:val="none" w:sz="0" w:space="0" w:color="auto"/>
                                                    <w:bottom w:val="none" w:sz="0" w:space="0" w:color="auto"/>
                                                    <w:right w:val="none" w:sz="0" w:space="0" w:color="auto"/>
                                                  </w:divBdr>
                                                </w:div>
                                                <w:div w:id="1396318392">
                                                  <w:marLeft w:val="0"/>
                                                  <w:marRight w:val="0"/>
                                                  <w:marTop w:val="0"/>
                                                  <w:marBottom w:val="0"/>
                                                  <w:divBdr>
                                                    <w:top w:val="none" w:sz="0" w:space="0" w:color="auto"/>
                                                    <w:left w:val="none" w:sz="0" w:space="0" w:color="auto"/>
                                                    <w:bottom w:val="none" w:sz="0" w:space="0" w:color="auto"/>
                                                    <w:right w:val="none" w:sz="0" w:space="0" w:color="auto"/>
                                                  </w:divBdr>
                                                  <w:divsChild>
                                                    <w:div w:id="217133595">
                                                      <w:marLeft w:val="0"/>
                                                      <w:marRight w:val="0"/>
                                                      <w:marTop w:val="0"/>
                                                      <w:marBottom w:val="0"/>
                                                      <w:divBdr>
                                                        <w:top w:val="single" w:sz="2" w:space="3" w:color="008000"/>
                                                        <w:left w:val="single" w:sz="2" w:space="0" w:color="008000"/>
                                                        <w:bottom w:val="single" w:sz="2" w:space="0" w:color="008000"/>
                                                        <w:right w:val="single" w:sz="2" w:space="0" w:color="008000"/>
                                                      </w:divBdr>
                                                      <w:divsChild>
                                                        <w:div w:id="556861694">
                                                          <w:marLeft w:val="0"/>
                                                          <w:marRight w:val="0"/>
                                                          <w:marTop w:val="0"/>
                                                          <w:marBottom w:val="0"/>
                                                          <w:divBdr>
                                                            <w:top w:val="none" w:sz="0" w:space="0" w:color="auto"/>
                                                            <w:left w:val="none" w:sz="0" w:space="0" w:color="auto"/>
                                                            <w:bottom w:val="none" w:sz="0" w:space="0" w:color="auto"/>
                                                            <w:right w:val="none" w:sz="0" w:space="0" w:color="auto"/>
                                                          </w:divBdr>
                                                          <w:divsChild>
                                                            <w:div w:id="2017078069">
                                                              <w:marLeft w:val="0"/>
                                                              <w:marRight w:val="0"/>
                                                              <w:marTop w:val="0"/>
                                                              <w:marBottom w:val="0"/>
                                                              <w:divBdr>
                                                                <w:top w:val="none" w:sz="0" w:space="0" w:color="auto"/>
                                                                <w:left w:val="none" w:sz="0" w:space="0" w:color="auto"/>
                                                                <w:bottom w:val="none" w:sz="0" w:space="0" w:color="auto"/>
                                                                <w:right w:val="none" w:sz="0" w:space="0" w:color="auto"/>
                                                              </w:divBdr>
                                                              <w:divsChild>
                                                                <w:div w:id="217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9944065">
      <w:bodyDiv w:val="1"/>
      <w:marLeft w:val="0"/>
      <w:marRight w:val="0"/>
      <w:marTop w:val="0"/>
      <w:marBottom w:val="0"/>
      <w:divBdr>
        <w:top w:val="none" w:sz="0" w:space="0" w:color="auto"/>
        <w:left w:val="none" w:sz="0" w:space="0" w:color="auto"/>
        <w:bottom w:val="none" w:sz="0" w:space="0" w:color="auto"/>
        <w:right w:val="none" w:sz="0" w:space="0" w:color="auto"/>
      </w:divBdr>
    </w:div>
    <w:div w:id="1997799478">
      <w:bodyDiv w:val="1"/>
      <w:marLeft w:val="0"/>
      <w:marRight w:val="0"/>
      <w:marTop w:val="0"/>
      <w:marBottom w:val="0"/>
      <w:divBdr>
        <w:top w:val="none" w:sz="0" w:space="0" w:color="auto"/>
        <w:left w:val="none" w:sz="0" w:space="0" w:color="auto"/>
        <w:bottom w:val="none" w:sz="0" w:space="0" w:color="auto"/>
        <w:right w:val="none" w:sz="0" w:space="0" w:color="auto"/>
      </w:divBdr>
    </w:div>
    <w:div w:id="2031032676">
      <w:bodyDiv w:val="1"/>
      <w:marLeft w:val="0"/>
      <w:marRight w:val="0"/>
      <w:marTop w:val="0"/>
      <w:marBottom w:val="0"/>
      <w:divBdr>
        <w:top w:val="none" w:sz="0" w:space="0" w:color="auto"/>
        <w:left w:val="none" w:sz="0" w:space="0" w:color="auto"/>
        <w:bottom w:val="none" w:sz="0" w:space="0" w:color="auto"/>
        <w:right w:val="none" w:sz="0" w:space="0" w:color="auto"/>
      </w:divBdr>
    </w:div>
    <w:div w:id="2038919534">
      <w:bodyDiv w:val="1"/>
      <w:marLeft w:val="0"/>
      <w:marRight w:val="0"/>
      <w:marTop w:val="0"/>
      <w:marBottom w:val="0"/>
      <w:divBdr>
        <w:top w:val="none" w:sz="0" w:space="0" w:color="auto"/>
        <w:left w:val="none" w:sz="0" w:space="0" w:color="auto"/>
        <w:bottom w:val="none" w:sz="0" w:space="0" w:color="auto"/>
        <w:right w:val="none" w:sz="0" w:space="0" w:color="auto"/>
      </w:divBdr>
      <w:divsChild>
        <w:div w:id="1329866447">
          <w:marLeft w:val="0"/>
          <w:marRight w:val="0"/>
          <w:marTop w:val="0"/>
          <w:marBottom w:val="0"/>
          <w:divBdr>
            <w:top w:val="none" w:sz="0" w:space="0" w:color="auto"/>
            <w:left w:val="none" w:sz="0" w:space="0" w:color="auto"/>
            <w:bottom w:val="none" w:sz="0" w:space="0" w:color="auto"/>
            <w:right w:val="none" w:sz="0" w:space="0" w:color="auto"/>
          </w:divBdr>
          <w:divsChild>
            <w:div w:id="116723355">
              <w:marLeft w:val="0"/>
              <w:marRight w:val="0"/>
              <w:marTop w:val="0"/>
              <w:marBottom w:val="0"/>
              <w:divBdr>
                <w:top w:val="none" w:sz="0" w:space="0" w:color="auto"/>
                <w:left w:val="none" w:sz="0" w:space="0" w:color="auto"/>
                <w:bottom w:val="none" w:sz="0" w:space="0" w:color="auto"/>
                <w:right w:val="none" w:sz="0" w:space="0" w:color="auto"/>
              </w:divBdr>
              <w:divsChild>
                <w:div w:id="517813793">
                  <w:marLeft w:val="0"/>
                  <w:marRight w:val="0"/>
                  <w:marTop w:val="0"/>
                  <w:marBottom w:val="0"/>
                  <w:divBdr>
                    <w:top w:val="none" w:sz="0" w:space="0" w:color="auto"/>
                    <w:left w:val="none" w:sz="0" w:space="0" w:color="auto"/>
                    <w:bottom w:val="none" w:sz="0" w:space="0" w:color="auto"/>
                    <w:right w:val="none" w:sz="0" w:space="0" w:color="auto"/>
                  </w:divBdr>
                </w:div>
                <w:div w:id="770703396">
                  <w:marLeft w:val="0"/>
                  <w:marRight w:val="0"/>
                  <w:marTop w:val="0"/>
                  <w:marBottom w:val="0"/>
                  <w:divBdr>
                    <w:top w:val="none" w:sz="0" w:space="0" w:color="auto"/>
                    <w:left w:val="none" w:sz="0" w:space="0" w:color="auto"/>
                    <w:bottom w:val="none" w:sz="0" w:space="0" w:color="auto"/>
                    <w:right w:val="none" w:sz="0" w:space="0" w:color="auto"/>
                  </w:divBdr>
                  <w:divsChild>
                    <w:div w:id="1973748607">
                      <w:marLeft w:val="0"/>
                      <w:marRight w:val="0"/>
                      <w:marTop w:val="0"/>
                      <w:marBottom w:val="0"/>
                      <w:divBdr>
                        <w:top w:val="none" w:sz="0" w:space="0" w:color="auto"/>
                        <w:left w:val="none" w:sz="0" w:space="0" w:color="auto"/>
                        <w:bottom w:val="none" w:sz="0" w:space="0" w:color="auto"/>
                        <w:right w:val="none" w:sz="0" w:space="0" w:color="auto"/>
                      </w:divBdr>
                      <w:divsChild>
                        <w:div w:id="1112440093">
                          <w:marLeft w:val="0"/>
                          <w:marRight w:val="0"/>
                          <w:marTop w:val="0"/>
                          <w:marBottom w:val="0"/>
                          <w:divBdr>
                            <w:top w:val="none" w:sz="0" w:space="0" w:color="auto"/>
                            <w:left w:val="none" w:sz="0" w:space="0" w:color="auto"/>
                            <w:bottom w:val="none" w:sz="0" w:space="0" w:color="auto"/>
                            <w:right w:val="none" w:sz="0" w:space="0" w:color="auto"/>
                          </w:divBdr>
                          <w:divsChild>
                            <w:div w:id="4822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901669">
      <w:bodyDiv w:val="1"/>
      <w:marLeft w:val="0"/>
      <w:marRight w:val="0"/>
      <w:marTop w:val="0"/>
      <w:marBottom w:val="0"/>
      <w:divBdr>
        <w:top w:val="none" w:sz="0" w:space="0" w:color="auto"/>
        <w:left w:val="none" w:sz="0" w:space="0" w:color="auto"/>
        <w:bottom w:val="none" w:sz="0" w:space="0" w:color="auto"/>
        <w:right w:val="none" w:sz="0" w:space="0" w:color="auto"/>
      </w:divBdr>
    </w:div>
    <w:div w:id="2117476584">
      <w:bodyDiv w:val="1"/>
      <w:marLeft w:val="0"/>
      <w:marRight w:val="0"/>
      <w:marTop w:val="0"/>
      <w:marBottom w:val="0"/>
      <w:divBdr>
        <w:top w:val="none" w:sz="0" w:space="0" w:color="auto"/>
        <w:left w:val="none" w:sz="0" w:space="0" w:color="auto"/>
        <w:bottom w:val="none" w:sz="0" w:space="0" w:color="auto"/>
        <w:right w:val="none" w:sz="0" w:space="0" w:color="auto"/>
      </w:divBdr>
    </w:div>
    <w:div w:id="2131825784">
      <w:bodyDiv w:val="1"/>
      <w:marLeft w:val="0"/>
      <w:marRight w:val="0"/>
      <w:marTop w:val="0"/>
      <w:marBottom w:val="0"/>
      <w:divBdr>
        <w:top w:val="none" w:sz="0" w:space="0" w:color="auto"/>
        <w:left w:val="none" w:sz="0" w:space="0" w:color="auto"/>
        <w:bottom w:val="none" w:sz="0" w:space="0" w:color="auto"/>
        <w:right w:val="none" w:sz="0" w:space="0" w:color="auto"/>
      </w:divBdr>
    </w:div>
    <w:div w:id="213636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image" Target="media/image2.png"/><Relationship Id="rId28" Type="http://schemas.openxmlformats.org/officeDocument/2006/relationships/footer" Target="footer3.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1.png"/><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ga.gov.a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ntral.health\DFSApps\ServerApps\Staging\DUSC\DUSC%20database\Data%20Requests\Requests%202017\D1041%20-%20HER2%20breast%20cancer%20drugs%20for%20Feb%202018\D1041%20-%20SCRPT_SUM%20v5%20-%203%20drugs%20only%20+%20PvA%20years%20+%20herceptin%20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41%20-%20HER2%20breast%20cancer%20drugs%20for%20Feb%202018\D1041_PATCNTBY_drug%20name,%20stage2%20&amp;%20SUPP_Q.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41%20-%20HER2%20breast%20cancer%20drugs%20for%20Feb%202018\D1041%20-%20pertuzumab%20scripts%20in%2021%20months%20post%20ini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41%20-%20HER2%20breast%20cancer%20drugs%20for%20Feb%202018\Spreadsheet%20used%20in%20reports\D1041%20-%20T-DM1%20scripts%20in%2024%20months%20post%20init,%20fig12,%20post%20dusc%20edit%20for%20PR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41%20-%20HER2%20breast%20cancer%20drugs%20for%20Feb%202018\D1041%20-%20SUPPLY_LAG_FREQ.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Requests%202017\D1041%20-%20HER2%20breast%20cancer%20drugs%20for%20Feb%202018\Spreadsheet%20used%20in%20reports\D1041%20-%20SCRPT_SUM%20v8%20-%20all%20drugs,%20updated%20to%20DOS=2017Q3,fig2-7,C1-4,%20post%20dusc%20edit%20to%20Fig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41%20-%20HER2%20breast%20cancer%20drugs%20for%20Feb%202018\D1041%20-%20SCRPT_SUM%20v4%20-%20all%20drugs%20only%20+%20restriction%20code.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entral.health\DFSApps\ServerApps\Staging\DUSC\DUSC%20database\Data%20Requests\Requests%202017\D1041%20-%20HER2%20breast%20cancer%20drugs%20for%20Feb%202018\D1041_PATCNTBY_drug%20name%20&amp;%20SUPP_Q.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entral.health\DFSApps\ServerApps\Staging\DUSC\DUSC%20database\Data%20Requests\Requests%202017\D1041%20-%20HER2%20breast%20cancer%20drugs%20for%20Feb%202018\D1041_PATCNTBY_drug%20name,%20stage2%20&amp;%20SUPP_Q.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[D1041 - SCRPT_SUM v5 - 3 drugs only + PvA years + herceptin data.xlsx]Sheet1 (7)!PivotTable1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pivotFmt>
      <c:pivotFmt>
        <c:idx val="61"/>
        <c:marker>
          <c:symbol val="none"/>
        </c:marker>
      </c:pivotFmt>
      <c:pivotFmt>
        <c:idx val="62"/>
        <c:marker>
          <c:symbol val="none"/>
        </c:marker>
      </c:pivotFmt>
      <c:pivotFmt>
        <c:idx val="63"/>
      </c:pivotFmt>
      <c:pivotFmt>
        <c:idx val="64"/>
      </c:pivotFmt>
      <c:pivotFmt>
        <c:idx val="65"/>
        <c:marker>
          <c:symbol val="none"/>
        </c:marker>
      </c:pivotFmt>
      <c:pivotFmt>
        <c:idx val="66"/>
        <c:marker>
          <c:symbol val="none"/>
        </c:marker>
      </c:pivotFmt>
      <c:pivotFmt>
        <c:idx val="67"/>
        <c:marker>
          <c:symbol val="none"/>
        </c:marker>
      </c:pivotFmt>
      <c:pivotFmt>
        <c:idx val="68"/>
        <c:marker>
          <c:symbol val="none"/>
        </c:marker>
        <c:dLbl>
          <c:idx val="0"/>
          <c:delete val="1"/>
        </c:dLbl>
      </c:pivotFmt>
      <c:pivotFmt>
        <c:idx val="69"/>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s>
    <c:plotArea>
      <c:layout/>
      <c:areaChart>
        <c:grouping val="stacked"/>
        <c:varyColors val="0"/>
        <c:ser>
          <c:idx val="0"/>
          <c:order val="0"/>
          <c:tx>
            <c:strRef>
              <c:f>'Sheet1 (7)'!$B$3:$B$4</c:f>
              <c:strCache>
                <c:ptCount val="1"/>
                <c:pt idx="0">
                  <c:v>TRASTUZUMAB - PBS</c:v>
                </c:pt>
              </c:strCache>
            </c:strRef>
          </c:tx>
          <c:cat>
            <c:strRef>
              <c:f>'Sheet1 (7)'!$A$5:$A$48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(7)'!$B$5:$B$48</c:f>
              <c:numCache>
                <c:formatCode>General</c:formatCode>
                <c:ptCount val="43"/>
                <c:pt idx="0">
                  <c:v>2956</c:v>
                </c:pt>
                <c:pt idx="1">
                  <c:v>3985</c:v>
                </c:pt>
                <c:pt idx="2">
                  <c:v>4587</c:v>
                </c:pt>
                <c:pt idx="3">
                  <c:v>5068</c:v>
                </c:pt>
                <c:pt idx="4">
                  <c:v>4397</c:v>
                </c:pt>
                <c:pt idx="5">
                  <c:v>4349</c:v>
                </c:pt>
                <c:pt idx="6">
                  <c:v>4710</c:v>
                </c:pt>
                <c:pt idx="7">
                  <c:v>4710</c:v>
                </c:pt>
                <c:pt idx="8">
                  <c:v>4739</c:v>
                </c:pt>
                <c:pt idx="9">
                  <c:v>4793</c:v>
                </c:pt>
                <c:pt idx="10">
                  <c:v>5130</c:v>
                </c:pt>
                <c:pt idx="11">
                  <c:v>5473</c:v>
                </c:pt>
                <c:pt idx="12">
                  <c:v>5523</c:v>
                </c:pt>
                <c:pt idx="13">
                  <c:v>5408</c:v>
                </c:pt>
                <c:pt idx="14">
                  <c:v>5670</c:v>
                </c:pt>
                <c:pt idx="15">
                  <c:v>5697</c:v>
                </c:pt>
                <c:pt idx="16">
                  <c:v>5577</c:v>
                </c:pt>
                <c:pt idx="17">
                  <c:v>5900</c:v>
                </c:pt>
                <c:pt idx="18">
                  <c:v>6704</c:v>
                </c:pt>
                <c:pt idx="19">
                  <c:v>7074</c:v>
                </c:pt>
                <c:pt idx="20">
                  <c:v>7300</c:v>
                </c:pt>
                <c:pt idx="21">
                  <c:v>7113</c:v>
                </c:pt>
                <c:pt idx="22">
                  <c:v>6425</c:v>
                </c:pt>
                <c:pt idx="23">
                  <c:v>6491</c:v>
                </c:pt>
                <c:pt idx="24">
                  <c:v>6552</c:v>
                </c:pt>
                <c:pt idx="25">
                  <c:v>6984</c:v>
                </c:pt>
                <c:pt idx="26">
                  <c:v>7220</c:v>
                </c:pt>
                <c:pt idx="27">
                  <c:v>7568</c:v>
                </c:pt>
                <c:pt idx="28">
                  <c:v>7543</c:v>
                </c:pt>
                <c:pt idx="29">
                  <c:v>7555</c:v>
                </c:pt>
                <c:pt idx="30">
                  <c:v>7930</c:v>
                </c:pt>
                <c:pt idx="31">
                  <c:v>7925</c:v>
                </c:pt>
                <c:pt idx="32">
                  <c:v>8205</c:v>
                </c:pt>
                <c:pt idx="33">
                  <c:v>7957</c:v>
                </c:pt>
                <c:pt idx="34">
                  <c:v>7977</c:v>
                </c:pt>
                <c:pt idx="35">
                  <c:v>11463</c:v>
                </c:pt>
                <c:pt idx="36">
                  <c:v>12838</c:v>
                </c:pt>
                <c:pt idx="37">
                  <c:v>12587</c:v>
                </c:pt>
                <c:pt idx="38">
                  <c:v>13183</c:v>
                </c:pt>
                <c:pt idx="39">
                  <c:v>12782</c:v>
                </c:pt>
                <c:pt idx="40">
                  <c:v>12796</c:v>
                </c:pt>
                <c:pt idx="41">
                  <c:v>12955</c:v>
                </c:pt>
                <c:pt idx="42">
                  <c:v>12955</c:v>
                </c:pt>
              </c:numCache>
            </c:numRef>
          </c:val>
        </c:ser>
        <c:ser>
          <c:idx val="1"/>
          <c:order val="1"/>
          <c:tx>
            <c:strRef>
              <c:f>'Sheet1 (7)'!$C$3:$C$4</c:f>
              <c:strCache>
                <c:ptCount val="1"/>
                <c:pt idx="0">
                  <c:v>TRASTUZUMAB - Herceptin Program</c:v>
                </c:pt>
              </c:strCache>
            </c:strRef>
          </c:tx>
          <c:cat>
            <c:strRef>
              <c:f>'Sheet1 (7)'!$A$5:$A$48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(7)'!$C$5:$C$48</c:f>
              <c:numCache>
                <c:formatCode>General</c:formatCode>
                <c:ptCount val="43"/>
                <c:pt idx="0">
                  <c:v>3285</c:v>
                </c:pt>
                <c:pt idx="1">
                  <c:v>3236</c:v>
                </c:pt>
                <c:pt idx="2">
                  <c:v>3080</c:v>
                </c:pt>
                <c:pt idx="3">
                  <c:v>3006</c:v>
                </c:pt>
                <c:pt idx="4">
                  <c:v>2725</c:v>
                </c:pt>
                <c:pt idx="5">
                  <c:v>2801</c:v>
                </c:pt>
                <c:pt idx="6">
                  <c:v>2895</c:v>
                </c:pt>
                <c:pt idx="7">
                  <c:v>3133</c:v>
                </c:pt>
                <c:pt idx="8">
                  <c:v>3245</c:v>
                </c:pt>
                <c:pt idx="9">
                  <c:v>3100</c:v>
                </c:pt>
                <c:pt idx="10">
                  <c:v>3238</c:v>
                </c:pt>
                <c:pt idx="11">
                  <c:v>3260</c:v>
                </c:pt>
                <c:pt idx="12">
                  <c:v>3351</c:v>
                </c:pt>
                <c:pt idx="13">
                  <c:v>3391</c:v>
                </c:pt>
                <c:pt idx="14">
                  <c:v>3644</c:v>
                </c:pt>
                <c:pt idx="15">
                  <c:v>3704</c:v>
                </c:pt>
                <c:pt idx="16">
                  <c:v>3796</c:v>
                </c:pt>
                <c:pt idx="17">
                  <c:v>3619</c:v>
                </c:pt>
                <c:pt idx="18">
                  <c:v>3724</c:v>
                </c:pt>
                <c:pt idx="19">
                  <c:v>4023</c:v>
                </c:pt>
                <c:pt idx="20">
                  <c:v>4037</c:v>
                </c:pt>
                <c:pt idx="21">
                  <c:v>4187</c:v>
                </c:pt>
                <c:pt idx="22">
                  <c:v>4219</c:v>
                </c:pt>
                <c:pt idx="23">
                  <c:v>4358</c:v>
                </c:pt>
                <c:pt idx="24">
                  <c:v>4691</c:v>
                </c:pt>
                <c:pt idx="25">
                  <c:v>4478</c:v>
                </c:pt>
                <c:pt idx="26">
                  <c:v>4657</c:v>
                </c:pt>
                <c:pt idx="27">
                  <c:v>4834</c:v>
                </c:pt>
                <c:pt idx="28">
                  <c:v>4770</c:v>
                </c:pt>
                <c:pt idx="29">
                  <c:v>4583</c:v>
                </c:pt>
                <c:pt idx="30">
                  <c:v>4753</c:v>
                </c:pt>
                <c:pt idx="31">
                  <c:v>4773</c:v>
                </c:pt>
                <c:pt idx="32">
                  <c:v>4822</c:v>
                </c:pt>
                <c:pt idx="33">
                  <c:v>4882</c:v>
                </c:pt>
                <c:pt idx="34">
                  <c:v>4775</c:v>
                </c:pt>
                <c:pt idx="35">
                  <c:v>239</c:v>
                </c:pt>
              </c:numCache>
            </c:numRef>
          </c:val>
        </c:ser>
        <c:ser>
          <c:idx val="2"/>
          <c:order val="2"/>
          <c:tx>
            <c:strRef>
              <c:f>'Sheet1 (7)'!$D$3:$D$4</c:f>
              <c:strCache>
                <c:ptCount val="1"/>
                <c:pt idx="0">
                  <c:v>PERTUZUMAB</c:v>
                </c:pt>
              </c:strCache>
            </c:strRef>
          </c:tx>
          <c:cat>
            <c:strRef>
              <c:f>'Sheet1 (7)'!$A$5:$A$48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(7)'!$D$5:$D$48</c:f>
              <c:numCache>
                <c:formatCode>General</c:formatCode>
                <c:ptCount val="43"/>
                <c:pt idx="35">
                  <c:v>1101</c:v>
                </c:pt>
                <c:pt idx="36">
                  <c:v>1848</c:v>
                </c:pt>
                <c:pt idx="37">
                  <c:v>2031</c:v>
                </c:pt>
                <c:pt idx="38">
                  <c:v>2323</c:v>
                </c:pt>
                <c:pt idx="39">
                  <c:v>2342</c:v>
                </c:pt>
                <c:pt idx="40">
                  <c:v>2562</c:v>
                </c:pt>
                <c:pt idx="41">
                  <c:v>2704</c:v>
                </c:pt>
                <c:pt idx="42">
                  <c:v>2901</c:v>
                </c:pt>
              </c:numCache>
            </c:numRef>
          </c:val>
        </c:ser>
        <c:ser>
          <c:idx val="3"/>
          <c:order val="3"/>
          <c:tx>
            <c:strRef>
              <c:f>'Sheet1 (7)'!$E$3:$E$4</c:f>
              <c:strCache>
                <c:ptCount val="1"/>
                <c:pt idx="0">
                  <c:v>TRASTUZUMAB EMTANSINE</c:v>
                </c:pt>
              </c:strCache>
            </c:strRef>
          </c:tx>
          <c:cat>
            <c:strRef>
              <c:f>'Sheet1 (7)'!$A$5:$A$48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(7)'!$E$5:$E$48</c:f>
              <c:numCache>
                <c:formatCode>General</c:formatCode>
                <c:ptCount val="43"/>
                <c:pt idx="35">
                  <c:v>681</c:v>
                </c:pt>
                <c:pt idx="36">
                  <c:v>1059</c:v>
                </c:pt>
                <c:pt idx="37">
                  <c:v>966</c:v>
                </c:pt>
                <c:pt idx="38">
                  <c:v>1080</c:v>
                </c:pt>
                <c:pt idx="39">
                  <c:v>1043</c:v>
                </c:pt>
                <c:pt idx="40">
                  <c:v>1097</c:v>
                </c:pt>
                <c:pt idx="41">
                  <c:v>1027</c:v>
                </c:pt>
                <c:pt idx="42">
                  <c:v>1070</c:v>
                </c:pt>
              </c:numCache>
            </c:numRef>
          </c:val>
        </c:ser>
        <c:dLbls>
          <c:showLegendKey val="0"/>
          <c:showVal val="0"/>
          <c:showCatName val="0"/>
          <c:showSerName val="0"/>
          <c:showPercent val="0"/>
          <c:showBubbleSize val="0"/>
        </c:dLbls>
        <c:axId val="751188608"/>
        <c:axId val="751239936"/>
      </c:areaChart>
      <c:catAx>
        <c:axId val="751188608"/>
        <c:scaling>
          <c:orientation val="minMax"/>
        </c:scaling>
        <c:delete val="0"/>
        <c:axPos val="b"/>
        <c:title>
          <c:tx>
            <c:rich>
              <a:bodyPr/>
              <a:lstStyle/>
              <a:p>
                <a:pPr>
                  <a:defRPr b="0"/>
                </a:pPr>
                <a:r>
                  <a:rPr lang="en-US" b="0"/>
                  <a:t>Quarter of Supply</a:t>
                </a:r>
              </a:p>
            </c:rich>
          </c:tx>
          <c:layout/>
          <c:overlay val="0"/>
        </c:title>
        <c:majorTickMark val="none"/>
        <c:minorTickMark val="none"/>
        <c:tickLblPos val="nextTo"/>
        <c:crossAx val="751239936"/>
        <c:crosses val="autoZero"/>
        <c:auto val="1"/>
        <c:lblAlgn val="ctr"/>
        <c:lblOffset val="100"/>
        <c:noMultiLvlLbl val="0"/>
      </c:catAx>
      <c:valAx>
        <c:axId val="751239936"/>
        <c:scaling>
          <c:orientation val="minMax"/>
        </c:scaling>
        <c:delete val="0"/>
        <c:axPos val="l"/>
        <c:majorGridlines/>
        <c:title>
          <c:tx>
            <c:rich>
              <a:bodyPr/>
              <a:lstStyle/>
              <a:p>
                <a:pPr>
                  <a:defRPr b="0"/>
                </a:pPr>
                <a:r>
                  <a:rPr lang="en-US" b="0"/>
                  <a:t>Prescriptions</a:t>
                </a:r>
              </a:p>
            </c:rich>
          </c:tx>
          <c:layout/>
          <c:overlay val="0"/>
        </c:title>
        <c:numFmt formatCode="#,##0" sourceLinked="0"/>
        <c:majorTickMark val="none"/>
        <c:minorTickMark val="none"/>
        <c:tickLblPos val="nextTo"/>
        <c:crossAx val="751188608"/>
        <c:crosses val="autoZero"/>
        <c:crossBetween val="midCat"/>
      </c:valAx>
    </c:plotArea>
    <c:legend>
      <c:legendPos val="b"/>
      <c:layout>
        <c:manualLayout>
          <c:xMode val="edge"/>
          <c:yMode val="edge"/>
          <c:x val="3.2048955812387342E-2"/>
          <c:y val="0.89473985633987996"/>
          <c:w val="0.92996195065845977"/>
          <c:h val="8.5264773660603754E-2"/>
        </c:manualLayout>
      </c:layout>
      <c:overlay val="0"/>
      <c:txPr>
        <a:bodyPr/>
        <a:lstStyle/>
        <a:p>
          <a:pPr>
            <a:defRPr sz="800"/>
          </a:pPr>
          <a:endParaRPr lang="en-US"/>
        </a:p>
      </c:txPr>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[D1041_PATCNTBY_drug name, stage2 &amp; SUPP_Q.xlsx]Sheet1 (4)!PivotTable1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s>
    <c:plotArea>
      <c:layout>
        <c:manualLayout>
          <c:layoutTarget val="inner"/>
          <c:xMode val="edge"/>
          <c:yMode val="edge"/>
          <c:x val="9.2696250414271514E-2"/>
          <c:y val="3.7490889975902476E-2"/>
          <c:w val="0.87488182822742777"/>
          <c:h val="0.65897597415707654"/>
        </c:manualLayout>
      </c:layout>
      <c:lineChart>
        <c:grouping val="standard"/>
        <c:varyColors val="0"/>
        <c:ser>
          <c:idx val="0"/>
          <c:order val="0"/>
          <c:tx>
            <c:strRef>
              <c:f>'Sheet1 (4)'!$B$3:$B$5</c:f>
              <c:strCache>
                <c:ptCount val="1"/>
                <c:pt idx="0">
                  <c:v>LAPATINIB - Metastatic</c:v>
                </c:pt>
              </c:strCache>
            </c:strRef>
          </c:tx>
          <c:cat>
            <c:strRef>
              <c:f>'Sheet1 (4)'!$A$6:$A$49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(4)'!$B$6:$B$49</c:f>
              <c:numCache>
                <c:formatCode>General</c:formatCode>
                <c:ptCount val="43"/>
                <c:pt idx="6">
                  <c:v>135</c:v>
                </c:pt>
                <c:pt idx="7">
                  <c:v>52</c:v>
                </c:pt>
                <c:pt idx="8">
                  <c:v>31</c:v>
                </c:pt>
                <c:pt idx="9">
                  <c:v>27</c:v>
                </c:pt>
                <c:pt idx="10">
                  <c:v>21</c:v>
                </c:pt>
                <c:pt idx="11">
                  <c:v>35</c:v>
                </c:pt>
                <c:pt idx="12">
                  <c:v>27</c:v>
                </c:pt>
                <c:pt idx="13">
                  <c:v>43</c:v>
                </c:pt>
                <c:pt idx="14">
                  <c:v>31</c:v>
                </c:pt>
                <c:pt idx="15">
                  <c:v>31</c:v>
                </c:pt>
                <c:pt idx="16">
                  <c:v>44</c:v>
                </c:pt>
                <c:pt idx="17">
                  <c:v>74</c:v>
                </c:pt>
                <c:pt idx="18">
                  <c:v>43</c:v>
                </c:pt>
                <c:pt idx="19">
                  <c:v>71</c:v>
                </c:pt>
                <c:pt idx="20">
                  <c:v>58</c:v>
                </c:pt>
                <c:pt idx="21">
                  <c:v>50</c:v>
                </c:pt>
                <c:pt idx="22">
                  <c:v>53</c:v>
                </c:pt>
                <c:pt idx="23">
                  <c:v>58</c:v>
                </c:pt>
                <c:pt idx="24">
                  <c:v>33</c:v>
                </c:pt>
                <c:pt idx="25">
                  <c:v>29</c:v>
                </c:pt>
                <c:pt idx="26">
                  <c:v>43</c:v>
                </c:pt>
                <c:pt idx="27">
                  <c:v>40</c:v>
                </c:pt>
                <c:pt idx="28">
                  <c:v>40</c:v>
                </c:pt>
                <c:pt idx="29">
                  <c:v>43</c:v>
                </c:pt>
                <c:pt idx="30">
                  <c:v>31</c:v>
                </c:pt>
                <c:pt idx="31">
                  <c:v>29</c:v>
                </c:pt>
                <c:pt idx="32">
                  <c:v>19</c:v>
                </c:pt>
                <c:pt idx="33">
                  <c:v>21</c:v>
                </c:pt>
                <c:pt idx="34">
                  <c:v>10</c:v>
                </c:pt>
                <c:pt idx="35">
                  <c:v>8</c:v>
                </c:pt>
                <c:pt idx="36">
                  <c:v>4</c:v>
                </c:pt>
                <c:pt idx="37">
                  <c:v>4</c:v>
                </c:pt>
                <c:pt idx="38">
                  <c:v>9</c:v>
                </c:pt>
                <c:pt idx="39">
                  <c:v>9</c:v>
                </c:pt>
                <c:pt idx="40">
                  <c:v>12</c:v>
                </c:pt>
                <c:pt idx="41">
                  <c:v>20</c:v>
                </c:pt>
                <c:pt idx="42">
                  <c:v>16</c:v>
                </c:pt>
              </c:numCache>
            </c:numRef>
          </c:val>
          <c:smooth val="0"/>
        </c:ser>
        <c:ser>
          <c:idx val="1"/>
          <c:order val="1"/>
          <c:tx>
            <c:strRef>
              <c:f>'Sheet1 (4)'!$D$3:$D$5</c:f>
              <c:strCache>
                <c:ptCount val="1"/>
                <c:pt idx="0">
                  <c:v>PERTUZUMAB - Metastatic</c:v>
                </c:pt>
              </c:strCache>
            </c:strRef>
          </c:tx>
          <c:cat>
            <c:strRef>
              <c:f>'Sheet1 (4)'!$A$6:$A$49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(4)'!$D$6:$D$49</c:f>
              <c:numCache>
                <c:formatCode>General</c:formatCode>
                <c:ptCount val="43"/>
                <c:pt idx="35">
                  <c:v>435</c:v>
                </c:pt>
                <c:pt idx="36">
                  <c:v>111</c:v>
                </c:pt>
                <c:pt idx="37">
                  <c:v>105</c:v>
                </c:pt>
                <c:pt idx="38">
                  <c:v>130</c:v>
                </c:pt>
                <c:pt idx="39">
                  <c:v>80</c:v>
                </c:pt>
                <c:pt idx="40">
                  <c:v>114</c:v>
                </c:pt>
                <c:pt idx="41">
                  <c:v>114</c:v>
                </c:pt>
                <c:pt idx="42">
                  <c:v>109</c:v>
                </c:pt>
              </c:numCache>
            </c:numRef>
          </c:val>
          <c:smooth val="0"/>
        </c:ser>
        <c:ser>
          <c:idx val="2"/>
          <c:order val="2"/>
          <c:tx>
            <c:strRef>
              <c:f>'Sheet1 (4)'!$F$3:$F$5</c:f>
              <c:strCache>
                <c:ptCount val="1"/>
                <c:pt idx="0">
                  <c:v>TRASTUZUMAB - Metastatic</c:v>
                </c:pt>
              </c:strCache>
            </c:strRef>
          </c:tx>
          <c:cat>
            <c:strRef>
              <c:f>'Sheet1 (4)'!$A$6:$A$49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(4)'!$F$6:$F$49</c:f>
              <c:numCache>
                <c:formatCode>General</c:formatCode>
                <c:ptCount val="43"/>
                <c:pt idx="35">
                  <c:v>1078</c:v>
                </c:pt>
                <c:pt idx="36">
                  <c:v>321</c:v>
                </c:pt>
                <c:pt idx="37">
                  <c:v>198</c:v>
                </c:pt>
                <c:pt idx="38">
                  <c:v>231</c:v>
                </c:pt>
                <c:pt idx="39">
                  <c:v>115</c:v>
                </c:pt>
                <c:pt idx="40">
                  <c:v>149</c:v>
                </c:pt>
                <c:pt idx="41">
                  <c:v>155</c:v>
                </c:pt>
                <c:pt idx="42">
                  <c:v>171</c:v>
                </c:pt>
              </c:numCache>
            </c:numRef>
          </c:val>
          <c:smooth val="0"/>
        </c:ser>
        <c:ser>
          <c:idx val="3"/>
          <c:order val="3"/>
          <c:tx>
            <c:strRef>
              <c:f>'Sheet1 (4)'!$G$3:$G$5</c:f>
              <c:strCache>
                <c:ptCount val="1"/>
                <c:pt idx="0">
                  <c:v>TRASTUZUMAB - Locally advanced</c:v>
                </c:pt>
              </c:strCache>
            </c:strRef>
          </c:tx>
          <c:cat>
            <c:strRef>
              <c:f>'Sheet1 (4)'!$A$6:$A$49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(4)'!$G$6:$G$49</c:f>
              <c:numCache>
                <c:formatCode>General</c:formatCode>
                <c:ptCount val="43"/>
                <c:pt idx="24">
                  <c:v>19</c:v>
                </c:pt>
                <c:pt idx="25">
                  <c:v>66</c:v>
                </c:pt>
                <c:pt idx="26">
                  <c:v>48</c:v>
                </c:pt>
                <c:pt idx="27">
                  <c:v>47</c:v>
                </c:pt>
                <c:pt idx="28">
                  <c:v>42</c:v>
                </c:pt>
                <c:pt idx="29">
                  <c:v>69</c:v>
                </c:pt>
                <c:pt idx="30">
                  <c:v>57</c:v>
                </c:pt>
                <c:pt idx="31">
                  <c:v>67</c:v>
                </c:pt>
                <c:pt idx="32">
                  <c:v>83</c:v>
                </c:pt>
                <c:pt idx="33">
                  <c:v>86</c:v>
                </c:pt>
                <c:pt idx="34">
                  <c:v>74</c:v>
                </c:pt>
                <c:pt idx="35">
                  <c:v>79</c:v>
                </c:pt>
                <c:pt idx="36">
                  <c:v>64</c:v>
                </c:pt>
                <c:pt idx="37">
                  <c:v>97</c:v>
                </c:pt>
                <c:pt idx="38">
                  <c:v>74</c:v>
                </c:pt>
                <c:pt idx="39">
                  <c:v>96</c:v>
                </c:pt>
                <c:pt idx="40">
                  <c:v>109</c:v>
                </c:pt>
                <c:pt idx="41">
                  <c:v>104</c:v>
                </c:pt>
                <c:pt idx="42">
                  <c:v>102</c:v>
                </c:pt>
              </c:numCache>
            </c:numRef>
          </c:val>
          <c:smooth val="0"/>
        </c:ser>
        <c:ser>
          <c:idx val="4"/>
          <c:order val="4"/>
          <c:tx>
            <c:strRef>
              <c:f>'Sheet1 (4)'!$H$3:$H$5</c:f>
              <c:strCache>
                <c:ptCount val="1"/>
                <c:pt idx="0">
                  <c:v>TRASTUZUMAB - Early</c:v>
                </c:pt>
              </c:strCache>
            </c:strRef>
          </c:tx>
          <c:cat>
            <c:strRef>
              <c:f>'Sheet1 (4)'!$A$6:$A$49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(4)'!$H$6:$H$49</c:f>
              <c:numCache>
                <c:formatCode>General</c:formatCode>
                <c:ptCount val="43"/>
                <c:pt idx="0">
                  <c:v>913</c:v>
                </c:pt>
                <c:pt idx="1">
                  <c:v>300</c:v>
                </c:pt>
                <c:pt idx="2">
                  <c:v>258</c:v>
                </c:pt>
                <c:pt idx="3">
                  <c:v>291</c:v>
                </c:pt>
                <c:pt idx="4">
                  <c:v>291</c:v>
                </c:pt>
                <c:pt idx="5">
                  <c:v>307</c:v>
                </c:pt>
                <c:pt idx="6">
                  <c:v>314</c:v>
                </c:pt>
                <c:pt idx="7">
                  <c:v>313</c:v>
                </c:pt>
                <c:pt idx="8">
                  <c:v>313</c:v>
                </c:pt>
                <c:pt idx="9">
                  <c:v>358</c:v>
                </c:pt>
                <c:pt idx="10">
                  <c:v>342</c:v>
                </c:pt>
                <c:pt idx="11">
                  <c:v>375</c:v>
                </c:pt>
                <c:pt idx="12">
                  <c:v>321</c:v>
                </c:pt>
                <c:pt idx="13">
                  <c:v>362</c:v>
                </c:pt>
                <c:pt idx="14">
                  <c:v>361</c:v>
                </c:pt>
                <c:pt idx="15">
                  <c:v>385</c:v>
                </c:pt>
                <c:pt idx="16">
                  <c:v>355</c:v>
                </c:pt>
                <c:pt idx="17">
                  <c:v>407</c:v>
                </c:pt>
                <c:pt idx="18">
                  <c:v>348</c:v>
                </c:pt>
                <c:pt idx="19">
                  <c:v>409</c:v>
                </c:pt>
                <c:pt idx="20">
                  <c:v>345</c:v>
                </c:pt>
                <c:pt idx="21">
                  <c:v>377</c:v>
                </c:pt>
                <c:pt idx="22">
                  <c:v>406</c:v>
                </c:pt>
                <c:pt idx="23">
                  <c:v>402</c:v>
                </c:pt>
                <c:pt idx="24">
                  <c:v>395</c:v>
                </c:pt>
                <c:pt idx="25">
                  <c:v>422</c:v>
                </c:pt>
                <c:pt idx="26">
                  <c:v>450</c:v>
                </c:pt>
                <c:pt idx="27">
                  <c:v>454</c:v>
                </c:pt>
                <c:pt idx="28">
                  <c:v>388</c:v>
                </c:pt>
                <c:pt idx="29">
                  <c:v>496</c:v>
                </c:pt>
                <c:pt idx="30">
                  <c:v>482</c:v>
                </c:pt>
                <c:pt idx="31">
                  <c:v>453</c:v>
                </c:pt>
                <c:pt idx="32">
                  <c:v>430</c:v>
                </c:pt>
                <c:pt idx="33">
                  <c:v>442</c:v>
                </c:pt>
                <c:pt idx="34">
                  <c:v>442</c:v>
                </c:pt>
                <c:pt idx="35">
                  <c:v>615</c:v>
                </c:pt>
                <c:pt idx="36">
                  <c:v>464</c:v>
                </c:pt>
                <c:pt idx="37">
                  <c:v>445</c:v>
                </c:pt>
                <c:pt idx="38">
                  <c:v>455</c:v>
                </c:pt>
                <c:pt idx="39">
                  <c:v>433</c:v>
                </c:pt>
                <c:pt idx="40">
                  <c:v>453</c:v>
                </c:pt>
                <c:pt idx="41">
                  <c:v>433</c:v>
                </c:pt>
                <c:pt idx="42">
                  <c:v>427</c:v>
                </c:pt>
              </c:numCache>
            </c:numRef>
          </c:val>
          <c:smooth val="0"/>
        </c:ser>
        <c:ser>
          <c:idx val="5"/>
          <c:order val="5"/>
          <c:tx>
            <c:strRef>
              <c:f>'Sheet1 (4)'!$J$3:$J$5</c:f>
              <c:strCache>
                <c:ptCount val="1"/>
                <c:pt idx="0">
                  <c:v>TRASTUZUMAB EMTANSINE - Metastatic</c:v>
                </c:pt>
              </c:strCache>
            </c:strRef>
          </c:tx>
          <c:cat>
            <c:strRef>
              <c:f>'Sheet1 (4)'!$A$6:$A$49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(4)'!$J$6:$J$49</c:f>
              <c:numCache>
                <c:formatCode>General</c:formatCode>
                <c:ptCount val="43"/>
                <c:pt idx="35">
                  <c:v>258</c:v>
                </c:pt>
                <c:pt idx="36">
                  <c:v>82</c:v>
                </c:pt>
                <c:pt idx="37">
                  <c:v>66</c:v>
                </c:pt>
                <c:pt idx="38">
                  <c:v>62</c:v>
                </c:pt>
                <c:pt idx="39">
                  <c:v>61</c:v>
                </c:pt>
                <c:pt idx="40">
                  <c:v>53</c:v>
                </c:pt>
                <c:pt idx="41">
                  <c:v>53</c:v>
                </c:pt>
                <c:pt idx="42">
                  <c:v>59</c:v>
                </c:pt>
              </c:numCache>
            </c:numRef>
          </c:val>
          <c:smooth val="0"/>
        </c:ser>
        <c:dLbls>
          <c:showLegendKey val="0"/>
          <c:showVal val="0"/>
          <c:showCatName val="0"/>
          <c:showSerName val="0"/>
          <c:showPercent val="0"/>
          <c:showBubbleSize val="0"/>
        </c:dLbls>
        <c:marker val="1"/>
        <c:smooth val="0"/>
        <c:axId val="788912384"/>
        <c:axId val="788914176"/>
      </c:lineChart>
      <c:catAx>
        <c:axId val="788912384"/>
        <c:scaling>
          <c:orientation val="minMax"/>
        </c:scaling>
        <c:delete val="0"/>
        <c:axPos val="b"/>
        <c:majorTickMark val="none"/>
        <c:minorTickMark val="none"/>
        <c:tickLblPos val="nextTo"/>
        <c:crossAx val="788914176"/>
        <c:crosses val="autoZero"/>
        <c:auto val="1"/>
        <c:lblAlgn val="ctr"/>
        <c:lblOffset val="100"/>
        <c:noMultiLvlLbl val="0"/>
      </c:catAx>
      <c:valAx>
        <c:axId val="788914176"/>
        <c:scaling>
          <c:orientation val="minMax"/>
        </c:scaling>
        <c:delete val="0"/>
        <c:axPos val="l"/>
        <c:majorGridlines/>
        <c:title>
          <c:tx>
            <c:rich>
              <a:bodyPr rot="-5400000" vert="horz"/>
              <a:lstStyle/>
              <a:p>
                <a:pPr>
                  <a:defRPr b="0"/>
                </a:pPr>
                <a:r>
                  <a:rPr lang="en-AU" b="0"/>
                  <a:t>Patients</a:t>
                </a:r>
              </a:p>
            </c:rich>
          </c:tx>
          <c:layout/>
          <c:overlay val="0"/>
        </c:title>
        <c:numFmt formatCode="#,##0" sourceLinked="0"/>
        <c:majorTickMark val="none"/>
        <c:minorTickMark val="none"/>
        <c:tickLblPos val="nextTo"/>
        <c:spPr>
          <a:ln w="9525">
            <a:noFill/>
          </a:ln>
        </c:spPr>
        <c:crossAx val="788912384"/>
        <c:crosses val="autoZero"/>
        <c:crossBetween val="between"/>
      </c:valAx>
    </c:plotArea>
    <c:legend>
      <c:legendPos val="b"/>
      <c:layout>
        <c:manualLayout>
          <c:xMode val="edge"/>
          <c:yMode val="edge"/>
          <c:x val="8.5612423666823936E-2"/>
          <c:y val="0.85829759741570766"/>
          <c:w val="0.83626636097751372"/>
          <c:h val="0.121987776016115"/>
        </c:manualLayout>
      </c:layout>
      <c:overlay val="0"/>
      <c:txPr>
        <a:bodyPr/>
        <a:lstStyle/>
        <a:p>
          <a:pPr>
            <a:defRPr sz="9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[D1041 - pertuzumab scripts in 21 months post init.xlsx]Sheet1!PivotTable1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pivotFmt>
      <c:pivotFmt>
        <c:idx val="4"/>
      </c:pivotFmt>
      <c:pivotFmt>
        <c:idx val="5"/>
        <c:marker>
          <c:symbol val="none"/>
        </c:marker>
      </c:pivotFmt>
      <c:pivotFmt>
        <c:idx val="6"/>
        <c:marker>
          <c:symbol val="none"/>
        </c:marker>
      </c:pivotFmt>
      <c:pivotFmt>
        <c:idx val="7"/>
        <c:marker>
          <c:symbol val="none"/>
        </c:marker>
      </c:pivotFmt>
    </c:pivotFmts>
    <c:plotArea>
      <c:layout/>
      <c:barChart>
        <c:barDir val="col"/>
        <c:grouping val="clustered"/>
        <c:varyColors val="0"/>
        <c:ser>
          <c:idx val="0"/>
          <c:order val="0"/>
          <c:tx>
            <c:strRef>
              <c:f>Sheet1!$B$3</c:f>
              <c:strCache>
                <c:ptCount val="1"/>
                <c:pt idx="0">
                  <c:v>Total</c:v>
                </c:pt>
              </c:strCache>
            </c:strRef>
          </c:tx>
          <c:invertIfNegative val="0"/>
          <c:cat>
            <c:strRef>
              <c:f>Sheet1!$A$4:$A$38</c:f>
              <c:strCache>
                <c:ptCount val="3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36</c:v>
                </c:pt>
              </c:strCache>
            </c:strRef>
          </c:cat>
          <c:val>
            <c:numRef>
              <c:f>Sheet1!$B$4:$B$38</c:f>
              <c:numCache>
                <c:formatCode>General</c:formatCode>
                <c:ptCount val="34"/>
                <c:pt idx="0">
                  <c:v>13</c:v>
                </c:pt>
                <c:pt idx="1">
                  <c:v>18</c:v>
                </c:pt>
                <c:pt idx="2">
                  <c:v>12</c:v>
                </c:pt>
                <c:pt idx="3">
                  <c:v>21</c:v>
                </c:pt>
                <c:pt idx="4">
                  <c:v>16</c:v>
                </c:pt>
                <c:pt idx="5">
                  <c:v>17</c:v>
                </c:pt>
                <c:pt idx="6">
                  <c:v>10</c:v>
                </c:pt>
                <c:pt idx="7">
                  <c:v>12</c:v>
                </c:pt>
                <c:pt idx="8">
                  <c:v>22</c:v>
                </c:pt>
                <c:pt idx="9">
                  <c:v>19</c:v>
                </c:pt>
                <c:pt idx="10">
                  <c:v>16</c:v>
                </c:pt>
                <c:pt idx="11">
                  <c:v>7</c:v>
                </c:pt>
                <c:pt idx="12">
                  <c:v>10</c:v>
                </c:pt>
                <c:pt idx="13">
                  <c:v>10</c:v>
                </c:pt>
                <c:pt idx="14">
                  <c:v>4</c:v>
                </c:pt>
                <c:pt idx="15">
                  <c:v>4</c:v>
                </c:pt>
                <c:pt idx="16">
                  <c:v>10</c:v>
                </c:pt>
                <c:pt idx="17">
                  <c:v>9</c:v>
                </c:pt>
                <c:pt idx="18">
                  <c:v>7</c:v>
                </c:pt>
                <c:pt idx="19">
                  <c:v>9</c:v>
                </c:pt>
                <c:pt idx="20">
                  <c:v>13</c:v>
                </c:pt>
                <c:pt idx="21">
                  <c:v>16</c:v>
                </c:pt>
                <c:pt idx="22">
                  <c:v>6</c:v>
                </c:pt>
                <c:pt idx="23">
                  <c:v>9</c:v>
                </c:pt>
                <c:pt idx="24">
                  <c:v>10</c:v>
                </c:pt>
                <c:pt idx="25">
                  <c:v>14</c:v>
                </c:pt>
                <c:pt idx="26">
                  <c:v>12</c:v>
                </c:pt>
                <c:pt idx="27">
                  <c:v>23</c:v>
                </c:pt>
                <c:pt idx="28">
                  <c:v>45</c:v>
                </c:pt>
                <c:pt idx="29">
                  <c:v>70</c:v>
                </c:pt>
                <c:pt idx="30">
                  <c:v>67</c:v>
                </c:pt>
                <c:pt idx="31">
                  <c:v>13</c:v>
                </c:pt>
                <c:pt idx="32">
                  <c:v>1</c:v>
                </c:pt>
                <c:pt idx="33">
                  <c:v>1</c:v>
                </c:pt>
              </c:numCache>
            </c:numRef>
          </c:val>
        </c:ser>
        <c:dLbls>
          <c:showLegendKey val="0"/>
          <c:showVal val="0"/>
          <c:showCatName val="0"/>
          <c:showSerName val="0"/>
          <c:showPercent val="0"/>
          <c:showBubbleSize val="0"/>
        </c:dLbls>
        <c:gapWidth val="150"/>
        <c:axId val="794517888"/>
        <c:axId val="794519424"/>
      </c:barChart>
      <c:catAx>
        <c:axId val="794517888"/>
        <c:scaling>
          <c:orientation val="minMax"/>
        </c:scaling>
        <c:delete val="0"/>
        <c:axPos val="b"/>
        <c:majorTickMark val="out"/>
        <c:minorTickMark val="none"/>
        <c:tickLblPos val="nextTo"/>
        <c:crossAx val="794519424"/>
        <c:crosses val="autoZero"/>
        <c:auto val="1"/>
        <c:lblAlgn val="ctr"/>
        <c:lblOffset val="100"/>
        <c:noMultiLvlLbl val="0"/>
      </c:catAx>
      <c:valAx>
        <c:axId val="794519424"/>
        <c:scaling>
          <c:orientation val="minMax"/>
          <c:max val="70"/>
        </c:scaling>
        <c:delete val="0"/>
        <c:axPos val="l"/>
        <c:majorGridlines/>
        <c:title>
          <c:tx>
            <c:rich>
              <a:bodyPr rot="-5400000" vert="horz"/>
              <a:lstStyle/>
              <a:p>
                <a:pPr>
                  <a:defRPr b="0"/>
                </a:pPr>
                <a:r>
                  <a:rPr lang="en-US" b="0"/>
                  <a:t>Patients</a:t>
                </a:r>
              </a:p>
            </c:rich>
          </c:tx>
          <c:layout/>
          <c:overlay val="0"/>
        </c:title>
        <c:numFmt formatCode="General" sourceLinked="1"/>
        <c:majorTickMark val="out"/>
        <c:minorTickMark val="none"/>
        <c:tickLblPos val="nextTo"/>
        <c:crossAx val="794517888"/>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[D1041 - T-DM1 scripts in 24 months post init, fig12, post dusc edit for PRD.xlsx]Sheet1!PivotTable1</c:name>
    <c:fmtId val="6"/>
  </c:pivotSource>
  <c:chart>
    <c:autoTitleDeleted val="1"/>
    <c:pivotFmts>
      <c:pivotFmt>
        <c:idx val="0"/>
        <c:marker>
          <c:symbol val="none"/>
        </c:marker>
      </c:pivotFmt>
      <c:pivotFmt>
        <c:idx val="1"/>
        <c:marker>
          <c:symbol val="none"/>
        </c:marker>
      </c:pivotFmt>
      <c:pivotFmt>
        <c:idx val="2"/>
        <c:marker>
          <c:symbol val="none"/>
        </c:marker>
      </c:pivotFmt>
      <c:pivotFmt>
        <c:idx val="3"/>
      </c:pivotFmt>
      <c:pivotFmt>
        <c:idx val="4"/>
      </c:pivotFmt>
      <c:pivotFmt>
        <c:idx val="5"/>
        <c:marker>
          <c:symbol val="none"/>
        </c:marker>
      </c:pivotFmt>
      <c:pivotFmt>
        <c:idx val="6"/>
        <c:marker>
          <c:symbol val="none"/>
        </c:marker>
      </c:pivotFmt>
      <c:pivotFmt>
        <c:idx val="7"/>
        <c:marker>
          <c:symbol val="none"/>
        </c:marker>
      </c:pivotFmt>
      <c:pivotFmt>
        <c:idx val="8"/>
        <c:marker>
          <c:symbol val="none"/>
        </c:marker>
      </c:pivotFmt>
    </c:pivotFmts>
    <c:plotArea>
      <c:layout/>
      <c:barChart>
        <c:barDir val="col"/>
        <c:grouping val="clustered"/>
        <c:varyColors val="0"/>
        <c:ser>
          <c:idx val="0"/>
          <c:order val="0"/>
          <c:tx>
            <c:strRef>
              <c:f>Sheet1!$B$3:$B$4</c:f>
              <c:strCache>
                <c:ptCount val="1"/>
                <c:pt idx="0">
                  <c:v>Total</c:v>
                </c:pt>
              </c:strCache>
            </c:strRef>
          </c:tx>
          <c:invertIfNegative val="0"/>
          <c:cat>
            <c:strRef>
              <c:f>Sheet1!$A$5:$A$43</c:f>
              <c:strCache>
                <c:ptCount val="3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39+</c:v>
                </c:pt>
              </c:strCache>
            </c:strRef>
          </c:cat>
          <c:val>
            <c:numRef>
              <c:f>Sheet1!$B$5:$B$43</c:f>
              <c:numCache>
                <c:formatCode>General</c:formatCode>
                <c:ptCount val="38"/>
                <c:pt idx="0">
                  <c:v>15</c:v>
                </c:pt>
                <c:pt idx="1">
                  <c:v>7</c:v>
                </c:pt>
                <c:pt idx="2">
                  <c:v>15</c:v>
                </c:pt>
                <c:pt idx="3">
                  <c:v>14</c:v>
                </c:pt>
                <c:pt idx="4">
                  <c:v>11</c:v>
                </c:pt>
                <c:pt idx="5">
                  <c:v>13</c:v>
                </c:pt>
                <c:pt idx="6">
                  <c:v>13</c:v>
                </c:pt>
                <c:pt idx="7">
                  <c:v>14</c:v>
                </c:pt>
                <c:pt idx="8">
                  <c:v>5</c:v>
                </c:pt>
                <c:pt idx="9">
                  <c:v>7</c:v>
                </c:pt>
                <c:pt idx="10">
                  <c:v>5</c:v>
                </c:pt>
                <c:pt idx="11">
                  <c:v>6</c:v>
                </c:pt>
                <c:pt idx="12">
                  <c:v>5</c:v>
                </c:pt>
                <c:pt idx="13">
                  <c:v>4</c:v>
                </c:pt>
                <c:pt idx="14">
                  <c:v>4</c:v>
                </c:pt>
                <c:pt idx="15">
                  <c:v>6</c:v>
                </c:pt>
                <c:pt idx="16">
                  <c:v>6</c:v>
                </c:pt>
                <c:pt idx="17">
                  <c:v>4</c:v>
                </c:pt>
                <c:pt idx="18">
                  <c:v>7</c:v>
                </c:pt>
                <c:pt idx="19">
                  <c:v>7</c:v>
                </c:pt>
                <c:pt idx="20">
                  <c:v>6</c:v>
                </c:pt>
                <c:pt idx="21">
                  <c:v>1</c:v>
                </c:pt>
                <c:pt idx="22">
                  <c:v>7</c:v>
                </c:pt>
                <c:pt idx="23">
                  <c:v>4</c:v>
                </c:pt>
                <c:pt idx="24">
                  <c:v>5</c:v>
                </c:pt>
                <c:pt idx="25">
                  <c:v>4</c:v>
                </c:pt>
                <c:pt idx="26">
                  <c:v>3</c:v>
                </c:pt>
                <c:pt idx="27">
                  <c:v>3</c:v>
                </c:pt>
                <c:pt idx="28">
                  <c:v>4</c:v>
                </c:pt>
                <c:pt idx="29">
                  <c:v>4</c:v>
                </c:pt>
                <c:pt idx="30">
                  <c:v>2</c:v>
                </c:pt>
                <c:pt idx="31">
                  <c:v>5</c:v>
                </c:pt>
                <c:pt idx="32">
                  <c:v>10</c:v>
                </c:pt>
                <c:pt idx="33">
                  <c:v>10</c:v>
                </c:pt>
                <c:pt idx="34">
                  <c:v>10</c:v>
                </c:pt>
                <c:pt idx="35">
                  <c:v>6</c:v>
                </c:pt>
                <c:pt idx="36">
                  <c:v>3</c:v>
                </c:pt>
                <c:pt idx="37">
                  <c:v>3</c:v>
                </c:pt>
              </c:numCache>
            </c:numRef>
          </c:val>
        </c:ser>
        <c:dLbls>
          <c:showLegendKey val="0"/>
          <c:showVal val="0"/>
          <c:showCatName val="0"/>
          <c:showSerName val="0"/>
          <c:showPercent val="0"/>
          <c:showBubbleSize val="0"/>
        </c:dLbls>
        <c:gapWidth val="150"/>
        <c:axId val="794539904"/>
        <c:axId val="794541440"/>
      </c:barChart>
      <c:catAx>
        <c:axId val="794539904"/>
        <c:scaling>
          <c:orientation val="minMax"/>
        </c:scaling>
        <c:delete val="0"/>
        <c:axPos val="b"/>
        <c:majorTickMark val="out"/>
        <c:minorTickMark val="none"/>
        <c:tickLblPos val="nextTo"/>
        <c:txPr>
          <a:bodyPr/>
          <a:lstStyle/>
          <a:p>
            <a:pPr>
              <a:defRPr sz="800"/>
            </a:pPr>
            <a:endParaRPr lang="en-US"/>
          </a:p>
        </c:txPr>
        <c:crossAx val="794541440"/>
        <c:crosses val="autoZero"/>
        <c:auto val="1"/>
        <c:lblAlgn val="ctr"/>
        <c:lblOffset val="100"/>
        <c:noMultiLvlLbl val="0"/>
      </c:catAx>
      <c:valAx>
        <c:axId val="794541440"/>
        <c:scaling>
          <c:orientation val="minMax"/>
        </c:scaling>
        <c:delete val="0"/>
        <c:axPos val="l"/>
        <c:majorGridlines/>
        <c:title>
          <c:tx>
            <c:rich>
              <a:bodyPr rot="-5400000" vert="horz"/>
              <a:lstStyle/>
              <a:p>
                <a:pPr>
                  <a:defRPr b="0"/>
                </a:pPr>
                <a:r>
                  <a:rPr lang="en-US" b="0"/>
                  <a:t>Patients</a:t>
                </a:r>
              </a:p>
            </c:rich>
          </c:tx>
          <c:layout/>
          <c:overlay val="0"/>
        </c:title>
        <c:numFmt formatCode="General" sourceLinked="1"/>
        <c:majorTickMark val="out"/>
        <c:minorTickMark val="none"/>
        <c:tickLblPos val="nextTo"/>
        <c:crossAx val="79453990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[D1041 - SUPPLY_LAG_FREQ.xlsx]Sheet1!PivotTable1</c:name>
    <c:fmtId val="-1"/>
  </c:pivotSource>
  <c:chart>
    <c:title>
      <c:tx>
        <c:strRef>
          <c:f>Sheet1!$B$1</c:f>
          <c:strCache>
            <c:ptCount val="1"/>
          </c:strCache>
        </c:strRef>
      </c:tx>
      <c:layout/>
      <c:overlay val="0"/>
    </c:title>
    <c:autoTitleDeleted val="0"/>
    <c:pivotFmts>
      <c:pivotFmt>
        <c:idx val="0"/>
        <c:marker>
          <c:symbol val="none"/>
        </c:marker>
      </c:pivotFmt>
      <c:pivotFmt>
        <c:idx val="1"/>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s>
    <c:plotArea>
      <c:layout/>
      <c:lineChart>
        <c:grouping val="standard"/>
        <c:varyColors val="0"/>
        <c:ser>
          <c:idx val="0"/>
          <c:order val="0"/>
          <c:tx>
            <c:strRef>
              <c:f>Sheet1!$B$1</c:f>
              <c:strCache>
                <c:ptCount val="1"/>
                <c:pt idx="0">
                  <c:v>PERTUZUMAB</c:v>
                </c:pt>
              </c:strCache>
            </c:strRef>
          </c:tx>
          <c:marker>
            <c:symbol val="none"/>
          </c:marker>
          <c:cat>
            <c:strRef>
              <c:f>Sheet1!$B$1</c:f>
              <c:strCache>
                <c:ptCount val="80"/>
                <c:pt idx="0">
                  <c:v>1</c:v>
                </c:pt>
                <c:pt idx="1">
                  <c:v>2</c:v>
                </c:pt>
                <c:pt idx="2">
                  <c:v>4</c:v>
                </c:pt>
                <c:pt idx="3">
                  <c:v>5</c:v>
                </c:pt>
                <c:pt idx="4">
                  <c:v>6</c:v>
                </c:pt>
                <c:pt idx="5">
                  <c:v>7</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24</c:v>
                </c:pt>
                <c:pt idx="22">
                  <c:v>25</c:v>
                </c:pt>
                <c:pt idx="23">
                  <c:v>26</c:v>
                </c:pt>
                <c:pt idx="24">
                  <c:v>27</c:v>
                </c:pt>
                <c:pt idx="25">
                  <c:v>28</c:v>
                </c:pt>
                <c:pt idx="26">
                  <c:v>29</c:v>
                </c:pt>
                <c:pt idx="27">
                  <c:v>30</c:v>
                </c:pt>
                <c:pt idx="28">
                  <c:v>31</c:v>
                </c:pt>
                <c:pt idx="29">
                  <c:v>32</c:v>
                </c:pt>
                <c:pt idx="30">
                  <c:v>33</c:v>
                </c:pt>
                <c:pt idx="31">
                  <c:v>34</c:v>
                </c:pt>
                <c:pt idx="32">
                  <c:v>35</c:v>
                </c:pt>
                <c:pt idx="33">
                  <c:v>36</c:v>
                </c:pt>
                <c:pt idx="34">
                  <c:v>37</c:v>
                </c:pt>
                <c:pt idx="35">
                  <c:v>38</c:v>
                </c:pt>
                <c:pt idx="36">
                  <c:v>39</c:v>
                </c:pt>
                <c:pt idx="37">
                  <c:v>40</c:v>
                </c:pt>
                <c:pt idx="38">
                  <c:v>41</c:v>
                </c:pt>
                <c:pt idx="39">
                  <c:v>42</c:v>
                </c:pt>
                <c:pt idx="40">
                  <c:v>43</c:v>
                </c:pt>
                <c:pt idx="41">
                  <c:v>44</c:v>
                </c:pt>
                <c:pt idx="42">
                  <c:v>45</c:v>
                </c:pt>
                <c:pt idx="43">
                  <c:v>46</c:v>
                </c:pt>
                <c:pt idx="44">
                  <c:v>47</c:v>
                </c:pt>
                <c:pt idx="45">
                  <c:v>48</c:v>
                </c:pt>
                <c:pt idx="46">
                  <c:v>49</c:v>
                </c:pt>
                <c:pt idx="47">
                  <c:v>50</c:v>
                </c:pt>
                <c:pt idx="48">
                  <c:v>51</c:v>
                </c:pt>
                <c:pt idx="49">
                  <c:v>52</c:v>
                </c:pt>
                <c:pt idx="50">
                  <c:v>53</c:v>
                </c:pt>
                <c:pt idx="51">
                  <c:v>54</c:v>
                </c:pt>
                <c:pt idx="52">
                  <c:v>55</c:v>
                </c:pt>
                <c:pt idx="53">
                  <c:v>56</c:v>
                </c:pt>
                <c:pt idx="54">
                  <c:v>57</c:v>
                </c:pt>
                <c:pt idx="55">
                  <c:v>58</c:v>
                </c:pt>
                <c:pt idx="56">
                  <c:v>59</c:v>
                </c:pt>
                <c:pt idx="57">
                  <c:v>60</c:v>
                </c:pt>
                <c:pt idx="58">
                  <c:v>61</c:v>
                </c:pt>
                <c:pt idx="59">
                  <c:v>62</c:v>
                </c:pt>
                <c:pt idx="60">
                  <c:v>63</c:v>
                </c:pt>
                <c:pt idx="61">
                  <c:v>64</c:v>
                </c:pt>
                <c:pt idx="62">
                  <c:v>65</c:v>
                </c:pt>
                <c:pt idx="63">
                  <c:v>66</c:v>
                </c:pt>
                <c:pt idx="64">
                  <c:v>67</c:v>
                </c:pt>
                <c:pt idx="65">
                  <c:v>68</c:v>
                </c:pt>
                <c:pt idx="66">
                  <c:v>69</c:v>
                </c:pt>
                <c:pt idx="67">
                  <c:v>70</c:v>
                </c:pt>
                <c:pt idx="68">
                  <c:v>71</c:v>
                </c:pt>
                <c:pt idx="69">
                  <c:v>72</c:v>
                </c:pt>
                <c:pt idx="70">
                  <c:v>73</c:v>
                </c:pt>
                <c:pt idx="71">
                  <c:v>74</c:v>
                </c:pt>
                <c:pt idx="72">
                  <c:v>75</c:v>
                </c:pt>
                <c:pt idx="73">
                  <c:v>76</c:v>
                </c:pt>
                <c:pt idx="74">
                  <c:v>78</c:v>
                </c:pt>
                <c:pt idx="75">
                  <c:v>84</c:v>
                </c:pt>
                <c:pt idx="76">
                  <c:v>87</c:v>
                </c:pt>
                <c:pt idx="77">
                  <c:v>88</c:v>
                </c:pt>
                <c:pt idx="78">
                  <c:v>89</c:v>
                </c:pt>
                <c:pt idx="79">
                  <c:v>90</c:v>
                </c:pt>
              </c:strCache>
            </c:strRef>
          </c:cat>
          <c:val>
            <c:numRef>
              <c:f>Sheet1!$B$1</c:f>
              <c:numCache>
                <c:formatCode>General</c:formatCode>
                <c:ptCount val="80"/>
                <c:pt idx="0">
                  <c:v>396</c:v>
                </c:pt>
                <c:pt idx="1">
                  <c:v>136</c:v>
                </c:pt>
                <c:pt idx="2">
                  <c:v>130</c:v>
                </c:pt>
                <c:pt idx="3">
                  <c:v>114</c:v>
                </c:pt>
                <c:pt idx="4">
                  <c:v>150</c:v>
                </c:pt>
                <c:pt idx="5">
                  <c:v>209</c:v>
                </c:pt>
                <c:pt idx="6">
                  <c:v>100</c:v>
                </c:pt>
                <c:pt idx="7">
                  <c:v>108</c:v>
                </c:pt>
                <c:pt idx="8">
                  <c:v>105</c:v>
                </c:pt>
                <c:pt idx="9">
                  <c:v>115</c:v>
                </c:pt>
                <c:pt idx="10">
                  <c:v>165</c:v>
                </c:pt>
                <c:pt idx="11">
                  <c:v>280</c:v>
                </c:pt>
                <c:pt idx="12">
                  <c:v>270</c:v>
                </c:pt>
                <c:pt idx="13">
                  <c:v>254</c:v>
                </c:pt>
                <c:pt idx="14">
                  <c:v>330</c:v>
                </c:pt>
                <c:pt idx="15">
                  <c:v>453</c:v>
                </c:pt>
                <c:pt idx="16">
                  <c:v>493</c:v>
                </c:pt>
                <c:pt idx="17">
                  <c:v>1404</c:v>
                </c:pt>
                <c:pt idx="18">
                  <c:v>6064</c:v>
                </c:pt>
                <c:pt idx="19">
                  <c:v>1335</c:v>
                </c:pt>
                <c:pt idx="20">
                  <c:v>473</c:v>
                </c:pt>
                <c:pt idx="21">
                  <c:v>390</c:v>
                </c:pt>
                <c:pt idx="22">
                  <c:v>345</c:v>
                </c:pt>
                <c:pt idx="23">
                  <c:v>231</c:v>
                </c:pt>
                <c:pt idx="24">
                  <c:v>285</c:v>
                </c:pt>
                <c:pt idx="25">
                  <c:v>407</c:v>
                </c:pt>
                <c:pt idx="26">
                  <c:v>166</c:v>
                </c:pt>
                <c:pt idx="27">
                  <c:v>88</c:v>
                </c:pt>
                <c:pt idx="28">
                  <c:v>84</c:v>
                </c:pt>
                <c:pt idx="29">
                  <c:v>82</c:v>
                </c:pt>
                <c:pt idx="30">
                  <c:v>82</c:v>
                </c:pt>
                <c:pt idx="31">
                  <c:v>84</c:v>
                </c:pt>
                <c:pt idx="32">
                  <c:v>147</c:v>
                </c:pt>
                <c:pt idx="33">
                  <c:v>92</c:v>
                </c:pt>
                <c:pt idx="34">
                  <c:v>56</c:v>
                </c:pt>
                <c:pt idx="35">
                  <c:v>62</c:v>
                </c:pt>
                <c:pt idx="36">
                  <c:v>42</c:v>
                </c:pt>
                <c:pt idx="37">
                  <c:v>55</c:v>
                </c:pt>
                <c:pt idx="38">
                  <c:v>99</c:v>
                </c:pt>
                <c:pt idx="39">
                  <c:v>191</c:v>
                </c:pt>
                <c:pt idx="40">
                  <c:v>74</c:v>
                </c:pt>
                <c:pt idx="41">
                  <c:v>48</c:v>
                </c:pt>
                <c:pt idx="42">
                  <c:v>37</c:v>
                </c:pt>
                <c:pt idx="43">
                  <c:v>30</c:v>
                </c:pt>
                <c:pt idx="44">
                  <c:v>36</c:v>
                </c:pt>
                <c:pt idx="45">
                  <c:v>42</c:v>
                </c:pt>
                <c:pt idx="46">
                  <c:v>62</c:v>
                </c:pt>
                <c:pt idx="47">
                  <c:v>31</c:v>
                </c:pt>
                <c:pt idx="48">
                  <c:v>17</c:v>
                </c:pt>
                <c:pt idx="49">
                  <c:v>19</c:v>
                </c:pt>
                <c:pt idx="50">
                  <c:v>13</c:v>
                </c:pt>
                <c:pt idx="51">
                  <c:v>21</c:v>
                </c:pt>
                <c:pt idx="52">
                  <c:v>26</c:v>
                </c:pt>
                <c:pt idx="53">
                  <c:v>34</c:v>
                </c:pt>
                <c:pt idx="54">
                  <c:v>24</c:v>
                </c:pt>
                <c:pt idx="55">
                  <c:v>14</c:v>
                </c:pt>
                <c:pt idx="56">
                  <c:v>16</c:v>
                </c:pt>
                <c:pt idx="57">
                  <c:v>21</c:v>
                </c:pt>
                <c:pt idx="58">
                  <c:v>17</c:v>
                </c:pt>
                <c:pt idx="59">
                  <c:v>25</c:v>
                </c:pt>
                <c:pt idx="60">
                  <c:v>29</c:v>
                </c:pt>
                <c:pt idx="61">
                  <c:v>24</c:v>
                </c:pt>
                <c:pt idx="62">
                  <c:v>16</c:v>
                </c:pt>
                <c:pt idx="63">
                  <c:v>13</c:v>
                </c:pt>
                <c:pt idx="64">
                  <c:v>12</c:v>
                </c:pt>
                <c:pt idx="65">
                  <c:v>12</c:v>
                </c:pt>
                <c:pt idx="66">
                  <c:v>17</c:v>
                </c:pt>
                <c:pt idx="67">
                  <c:v>10</c:v>
                </c:pt>
                <c:pt idx="68">
                  <c:v>16</c:v>
                </c:pt>
                <c:pt idx="69">
                  <c:v>10</c:v>
                </c:pt>
                <c:pt idx="70">
                  <c:v>5</c:v>
                </c:pt>
                <c:pt idx="71">
                  <c:v>8</c:v>
                </c:pt>
                <c:pt idx="72">
                  <c:v>4</c:v>
                </c:pt>
                <c:pt idx="73">
                  <c:v>13</c:v>
                </c:pt>
                <c:pt idx="74">
                  <c:v>12</c:v>
                </c:pt>
                <c:pt idx="75">
                  <c:v>15</c:v>
                </c:pt>
                <c:pt idx="76">
                  <c:v>2</c:v>
                </c:pt>
                <c:pt idx="77">
                  <c:v>6</c:v>
                </c:pt>
                <c:pt idx="78">
                  <c:v>13</c:v>
                </c:pt>
                <c:pt idx="79">
                  <c:v>5</c:v>
                </c:pt>
              </c:numCache>
            </c:numRef>
          </c:val>
          <c:smooth val="0"/>
        </c:ser>
        <c:ser>
          <c:idx val="1"/>
          <c:order val="1"/>
          <c:tx>
            <c:strRef>
              <c:f>Sheet1!$B$1</c:f>
              <c:strCache>
                <c:ptCount val="1"/>
                <c:pt idx="0">
                  <c:v>TRASTUZUMAB EMTANSINE</c:v>
                </c:pt>
              </c:strCache>
            </c:strRef>
          </c:tx>
          <c:marker>
            <c:symbol val="none"/>
          </c:marker>
          <c:cat>
            <c:strRef>
              <c:f>Sheet1!$B$1</c:f>
              <c:strCache>
                <c:ptCount val="80"/>
                <c:pt idx="0">
                  <c:v>1</c:v>
                </c:pt>
                <c:pt idx="1">
                  <c:v>2</c:v>
                </c:pt>
                <c:pt idx="2">
                  <c:v>4</c:v>
                </c:pt>
                <c:pt idx="3">
                  <c:v>5</c:v>
                </c:pt>
                <c:pt idx="4">
                  <c:v>6</c:v>
                </c:pt>
                <c:pt idx="5">
                  <c:v>7</c:v>
                </c:pt>
                <c:pt idx="6">
                  <c:v>9</c:v>
                </c:pt>
                <c:pt idx="7">
                  <c:v>10</c:v>
                </c:pt>
                <c:pt idx="8">
                  <c:v>11</c:v>
                </c:pt>
                <c:pt idx="9">
                  <c:v>12</c:v>
                </c:pt>
                <c:pt idx="10">
                  <c:v>13</c:v>
                </c:pt>
                <c:pt idx="11">
                  <c:v>14</c:v>
                </c:pt>
                <c:pt idx="12">
                  <c:v>15</c:v>
                </c:pt>
                <c:pt idx="13">
                  <c:v>16</c:v>
                </c:pt>
                <c:pt idx="14">
                  <c:v>17</c:v>
                </c:pt>
                <c:pt idx="15">
                  <c:v>18</c:v>
                </c:pt>
                <c:pt idx="16">
                  <c:v>19</c:v>
                </c:pt>
                <c:pt idx="17">
                  <c:v>20</c:v>
                </c:pt>
                <c:pt idx="18">
                  <c:v>21</c:v>
                </c:pt>
                <c:pt idx="19">
                  <c:v>22</c:v>
                </c:pt>
                <c:pt idx="20">
                  <c:v>23</c:v>
                </c:pt>
                <c:pt idx="21">
                  <c:v>24</c:v>
                </c:pt>
                <c:pt idx="22">
                  <c:v>25</c:v>
                </c:pt>
                <c:pt idx="23">
                  <c:v>26</c:v>
                </c:pt>
                <c:pt idx="24">
                  <c:v>27</c:v>
                </c:pt>
                <c:pt idx="25">
                  <c:v>28</c:v>
                </c:pt>
                <c:pt idx="26">
                  <c:v>29</c:v>
                </c:pt>
                <c:pt idx="27">
                  <c:v>30</c:v>
                </c:pt>
                <c:pt idx="28">
                  <c:v>31</c:v>
                </c:pt>
                <c:pt idx="29">
                  <c:v>32</c:v>
                </c:pt>
                <c:pt idx="30">
                  <c:v>33</c:v>
                </c:pt>
                <c:pt idx="31">
                  <c:v>34</c:v>
                </c:pt>
                <c:pt idx="32">
                  <c:v>35</c:v>
                </c:pt>
                <c:pt idx="33">
                  <c:v>36</c:v>
                </c:pt>
                <c:pt idx="34">
                  <c:v>37</c:v>
                </c:pt>
                <c:pt idx="35">
                  <c:v>38</c:v>
                </c:pt>
                <c:pt idx="36">
                  <c:v>39</c:v>
                </c:pt>
                <c:pt idx="37">
                  <c:v>40</c:v>
                </c:pt>
                <c:pt idx="38">
                  <c:v>41</c:v>
                </c:pt>
                <c:pt idx="39">
                  <c:v>42</c:v>
                </c:pt>
                <c:pt idx="40">
                  <c:v>43</c:v>
                </c:pt>
                <c:pt idx="41">
                  <c:v>44</c:v>
                </c:pt>
                <c:pt idx="42">
                  <c:v>45</c:v>
                </c:pt>
                <c:pt idx="43">
                  <c:v>46</c:v>
                </c:pt>
                <c:pt idx="44">
                  <c:v>47</c:v>
                </c:pt>
                <c:pt idx="45">
                  <c:v>48</c:v>
                </c:pt>
                <c:pt idx="46">
                  <c:v>49</c:v>
                </c:pt>
                <c:pt idx="47">
                  <c:v>50</c:v>
                </c:pt>
                <c:pt idx="48">
                  <c:v>51</c:v>
                </c:pt>
                <c:pt idx="49">
                  <c:v>52</c:v>
                </c:pt>
                <c:pt idx="50">
                  <c:v>53</c:v>
                </c:pt>
                <c:pt idx="51">
                  <c:v>54</c:v>
                </c:pt>
                <c:pt idx="52">
                  <c:v>55</c:v>
                </c:pt>
                <c:pt idx="53">
                  <c:v>56</c:v>
                </c:pt>
                <c:pt idx="54">
                  <c:v>57</c:v>
                </c:pt>
                <c:pt idx="55">
                  <c:v>58</c:v>
                </c:pt>
                <c:pt idx="56">
                  <c:v>59</c:v>
                </c:pt>
                <c:pt idx="57">
                  <c:v>60</c:v>
                </c:pt>
                <c:pt idx="58">
                  <c:v>61</c:v>
                </c:pt>
                <c:pt idx="59">
                  <c:v>62</c:v>
                </c:pt>
                <c:pt idx="60">
                  <c:v>63</c:v>
                </c:pt>
                <c:pt idx="61">
                  <c:v>64</c:v>
                </c:pt>
                <c:pt idx="62">
                  <c:v>65</c:v>
                </c:pt>
                <c:pt idx="63">
                  <c:v>66</c:v>
                </c:pt>
                <c:pt idx="64">
                  <c:v>67</c:v>
                </c:pt>
                <c:pt idx="65">
                  <c:v>68</c:v>
                </c:pt>
                <c:pt idx="66">
                  <c:v>69</c:v>
                </c:pt>
                <c:pt idx="67">
                  <c:v>70</c:v>
                </c:pt>
                <c:pt idx="68">
                  <c:v>71</c:v>
                </c:pt>
                <c:pt idx="69">
                  <c:v>72</c:v>
                </c:pt>
                <c:pt idx="70">
                  <c:v>73</c:v>
                </c:pt>
                <c:pt idx="71">
                  <c:v>74</c:v>
                </c:pt>
                <c:pt idx="72">
                  <c:v>75</c:v>
                </c:pt>
                <c:pt idx="73">
                  <c:v>76</c:v>
                </c:pt>
                <c:pt idx="74">
                  <c:v>78</c:v>
                </c:pt>
                <c:pt idx="75">
                  <c:v>84</c:v>
                </c:pt>
                <c:pt idx="76">
                  <c:v>87</c:v>
                </c:pt>
                <c:pt idx="77">
                  <c:v>88</c:v>
                </c:pt>
                <c:pt idx="78">
                  <c:v>89</c:v>
                </c:pt>
                <c:pt idx="79">
                  <c:v>90</c:v>
                </c:pt>
              </c:strCache>
            </c:strRef>
          </c:cat>
          <c:val>
            <c:numRef>
              <c:f>Sheet1!$B$1</c:f>
              <c:numCache>
                <c:formatCode>General</c:formatCode>
                <c:ptCount val="80"/>
                <c:pt idx="0">
                  <c:v>114</c:v>
                </c:pt>
                <c:pt idx="1">
                  <c:v>51</c:v>
                </c:pt>
                <c:pt idx="2">
                  <c:v>45</c:v>
                </c:pt>
                <c:pt idx="3">
                  <c:v>42</c:v>
                </c:pt>
                <c:pt idx="4">
                  <c:v>50</c:v>
                </c:pt>
                <c:pt idx="5">
                  <c:v>96</c:v>
                </c:pt>
                <c:pt idx="6">
                  <c:v>44</c:v>
                </c:pt>
                <c:pt idx="7">
                  <c:v>47</c:v>
                </c:pt>
                <c:pt idx="8">
                  <c:v>36</c:v>
                </c:pt>
                <c:pt idx="9">
                  <c:v>38</c:v>
                </c:pt>
                <c:pt idx="10">
                  <c:v>80</c:v>
                </c:pt>
                <c:pt idx="11">
                  <c:v>80</c:v>
                </c:pt>
                <c:pt idx="12">
                  <c:v>94</c:v>
                </c:pt>
                <c:pt idx="13">
                  <c:v>117</c:v>
                </c:pt>
                <c:pt idx="14">
                  <c:v>159</c:v>
                </c:pt>
                <c:pt idx="15">
                  <c:v>194</c:v>
                </c:pt>
                <c:pt idx="16">
                  <c:v>228</c:v>
                </c:pt>
                <c:pt idx="17">
                  <c:v>637</c:v>
                </c:pt>
                <c:pt idx="18">
                  <c:v>2853</c:v>
                </c:pt>
                <c:pt idx="19">
                  <c:v>594</c:v>
                </c:pt>
                <c:pt idx="20">
                  <c:v>233</c:v>
                </c:pt>
                <c:pt idx="21">
                  <c:v>166</c:v>
                </c:pt>
                <c:pt idx="22">
                  <c:v>138</c:v>
                </c:pt>
                <c:pt idx="23">
                  <c:v>102</c:v>
                </c:pt>
                <c:pt idx="24">
                  <c:v>118</c:v>
                </c:pt>
                <c:pt idx="25">
                  <c:v>208</c:v>
                </c:pt>
                <c:pt idx="26">
                  <c:v>81</c:v>
                </c:pt>
                <c:pt idx="27">
                  <c:v>40</c:v>
                </c:pt>
                <c:pt idx="28">
                  <c:v>27</c:v>
                </c:pt>
                <c:pt idx="29">
                  <c:v>38</c:v>
                </c:pt>
                <c:pt idx="30">
                  <c:v>23</c:v>
                </c:pt>
                <c:pt idx="31">
                  <c:v>47</c:v>
                </c:pt>
                <c:pt idx="32">
                  <c:v>68</c:v>
                </c:pt>
                <c:pt idx="33">
                  <c:v>33</c:v>
                </c:pt>
                <c:pt idx="34">
                  <c:v>22</c:v>
                </c:pt>
                <c:pt idx="35">
                  <c:v>12</c:v>
                </c:pt>
                <c:pt idx="36">
                  <c:v>15</c:v>
                </c:pt>
                <c:pt idx="37">
                  <c:v>20</c:v>
                </c:pt>
                <c:pt idx="38">
                  <c:v>35</c:v>
                </c:pt>
                <c:pt idx="39">
                  <c:v>98</c:v>
                </c:pt>
                <c:pt idx="40">
                  <c:v>25</c:v>
                </c:pt>
                <c:pt idx="41">
                  <c:v>9</c:v>
                </c:pt>
                <c:pt idx="42">
                  <c:v>14</c:v>
                </c:pt>
                <c:pt idx="43">
                  <c:v>9</c:v>
                </c:pt>
                <c:pt idx="44">
                  <c:v>9</c:v>
                </c:pt>
                <c:pt idx="45">
                  <c:v>19</c:v>
                </c:pt>
                <c:pt idx="46">
                  <c:v>31</c:v>
                </c:pt>
                <c:pt idx="47">
                  <c:v>12</c:v>
                </c:pt>
                <c:pt idx="48">
                  <c:v>2</c:v>
                </c:pt>
                <c:pt idx="49">
                  <c:v>3</c:v>
                </c:pt>
                <c:pt idx="50">
                  <c:v>4</c:v>
                </c:pt>
                <c:pt idx="51">
                  <c:v>7</c:v>
                </c:pt>
                <c:pt idx="52">
                  <c:v>10</c:v>
                </c:pt>
                <c:pt idx="53">
                  <c:v>22</c:v>
                </c:pt>
                <c:pt idx="54">
                  <c:v>7</c:v>
                </c:pt>
                <c:pt idx="55">
                  <c:v>6</c:v>
                </c:pt>
                <c:pt idx="56">
                  <c:v>3</c:v>
                </c:pt>
                <c:pt idx="57">
                  <c:v>3</c:v>
                </c:pt>
                <c:pt idx="58">
                  <c:v>3</c:v>
                </c:pt>
                <c:pt idx="59">
                  <c:v>6</c:v>
                </c:pt>
                <c:pt idx="60">
                  <c:v>13</c:v>
                </c:pt>
                <c:pt idx="61">
                  <c:v>11</c:v>
                </c:pt>
                <c:pt idx="62">
                  <c:v>8</c:v>
                </c:pt>
                <c:pt idx="64">
                  <c:v>6</c:v>
                </c:pt>
                <c:pt idx="65">
                  <c:v>3</c:v>
                </c:pt>
                <c:pt idx="66">
                  <c:v>3</c:v>
                </c:pt>
                <c:pt idx="67">
                  <c:v>14</c:v>
                </c:pt>
                <c:pt idx="68">
                  <c:v>5</c:v>
                </c:pt>
                <c:pt idx="69">
                  <c:v>1</c:v>
                </c:pt>
                <c:pt idx="70">
                  <c:v>3</c:v>
                </c:pt>
                <c:pt idx="71">
                  <c:v>4</c:v>
                </c:pt>
                <c:pt idx="72">
                  <c:v>4</c:v>
                </c:pt>
                <c:pt idx="73">
                  <c:v>3</c:v>
                </c:pt>
                <c:pt idx="74">
                  <c:v>2</c:v>
                </c:pt>
                <c:pt idx="75">
                  <c:v>3</c:v>
                </c:pt>
                <c:pt idx="76">
                  <c:v>1</c:v>
                </c:pt>
                <c:pt idx="77">
                  <c:v>1</c:v>
                </c:pt>
                <c:pt idx="78">
                  <c:v>1</c:v>
                </c:pt>
                <c:pt idx="79">
                  <c:v>3</c:v>
                </c:pt>
              </c:numCache>
            </c:numRef>
          </c:val>
          <c:smooth val="0"/>
        </c:ser>
        <c:dLbls>
          <c:showLegendKey val="0"/>
          <c:showVal val="0"/>
          <c:showCatName val="0"/>
          <c:showSerName val="0"/>
          <c:showPercent val="0"/>
          <c:showBubbleSize val="0"/>
        </c:dLbls>
        <c:marker val="1"/>
        <c:smooth val="0"/>
        <c:axId val="794607616"/>
        <c:axId val="794609152"/>
      </c:lineChart>
      <c:catAx>
        <c:axId val="794607616"/>
        <c:scaling>
          <c:orientation val="minMax"/>
        </c:scaling>
        <c:delete val="0"/>
        <c:axPos val="b"/>
        <c:majorTickMark val="none"/>
        <c:minorTickMark val="none"/>
        <c:tickLblPos val="nextTo"/>
        <c:txPr>
          <a:bodyPr rot="-5400000" vert="horz"/>
          <a:lstStyle/>
          <a:p>
            <a:pPr>
              <a:defRPr/>
            </a:pPr>
            <a:endParaRPr lang="en-US"/>
          </a:p>
        </c:txPr>
        <c:crossAx val="794609152"/>
        <c:crosses val="autoZero"/>
        <c:auto val="1"/>
        <c:lblAlgn val="ctr"/>
        <c:lblOffset val="100"/>
        <c:noMultiLvlLbl val="0"/>
      </c:catAx>
      <c:valAx>
        <c:axId val="794609152"/>
        <c:scaling>
          <c:orientation val="minMax"/>
        </c:scaling>
        <c:delete val="0"/>
        <c:axPos val="l"/>
        <c:majorGridlines/>
        <c:title>
          <c:tx>
            <c:rich>
              <a:bodyPr/>
              <a:lstStyle/>
              <a:p>
                <a:pPr>
                  <a:defRPr b="0"/>
                </a:pPr>
                <a:r>
                  <a:rPr lang="en-US" b="0"/>
                  <a:t>Prescriptions</a:t>
                </a:r>
              </a:p>
            </c:rich>
          </c:tx>
          <c:layout/>
          <c:overlay val="0"/>
        </c:title>
        <c:numFmt formatCode="#,##0" sourceLinked="0"/>
        <c:majorTickMark val="none"/>
        <c:minorTickMark val="none"/>
        <c:tickLblPos val="nextTo"/>
        <c:crossAx val="794607616"/>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[D1041 - SCRPT_SUM v3 - 3 drugs only, corrected double counting of scripts.xlsx]Sheet1 (4)!PivotTable1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dLbl>
          <c:idx val="0"/>
          <c:delete val="1"/>
        </c:dLbl>
      </c:pivotFmt>
      <c:pivotFmt>
        <c:idx val="69"/>
        <c:marker>
          <c:symbol val="none"/>
        </c:marker>
        <c:dLbl>
          <c:idx val="0"/>
          <c:delete val="1"/>
        </c:dLbl>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s>
    <c:plotArea>
      <c:layout/>
      <c:lineChart>
        <c:grouping val="standard"/>
        <c:varyColors val="0"/>
        <c:ser>
          <c:idx val="0"/>
          <c:order val="0"/>
          <c:tx>
            <c:strRef>
              <c:f>'Sheet1 (4)'!$B$5:$B$6</c:f>
              <c:strCache>
                <c:ptCount val="1"/>
                <c:pt idx="0">
                  <c:v>Early</c:v>
                </c:pt>
              </c:strCache>
            </c:strRef>
          </c:tx>
          <c:cat>
            <c:strRef>
              <c:f>'Sheet1 (4)'!$A$7:$A$50</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(4)'!$B$7:$B$50</c:f>
              <c:numCache>
                <c:formatCode>General</c:formatCode>
                <c:ptCount val="43"/>
                <c:pt idx="0">
                  <c:v>2956</c:v>
                </c:pt>
                <c:pt idx="1">
                  <c:v>3985</c:v>
                </c:pt>
                <c:pt idx="2">
                  <c:v>4587</c:v>
                </c:pt>
                <c:pt idx="3">
                  <c:v>5068</c:v>
                </c:pt>
                <c:pt idx="4">
                  <c:v>4397</c:v>
                </c:pt>
                <c:pt idx="5">
                  <c:v>4349</c:v>
                </c:pt>
                <c:pt idx="6">
                  <c:v>4710</c:v>
                </c:pt>
                <c:pt idx="7">
                  <c:v>4710</c:v>
                </c:pt>
                <c:pt idx="8">
                  <c:v>4739</c:v>
                </c:pt>
                <c:pt idx="9">
                  <c:v>4793</c:v>
                </c:pt>
                <c:pt idx="10">
                  <c:v>5130</c:v>
                </c:pt>
                <c:pt idx="11">
                  <c:v>5473</c:v>
                </c:pt>
                <c:pt idx="12">
                  <c:v>5523</c:v>
                </c:pt>
                <c:pt idx="13">
                  <c:v>5408</c:v>
                </c:pt>
                <c:pt idx="14">
                  <c:v>5670</c:v>
                </c:pt>
                <c:pt idx="15">
                  <c:v>5697</c:v>
                </c:pt>
                <c:pt idx="16">
                  <c:v>5577</c:v>
                </c:pt>
                <c:pt idx="17">
                  <c:v>5900</c:v>
                </c:pt>
                <c:pt idx="18">
                  <c:v>6704</c:v>
                </c:pt>
                <c:pt idx="19">
                  <c:v>7074</c:v>
                </c:pt>
                <c:pt idx="20">
                  <c:v>7256</c:v>
                </c:pt>
                <c:pt idx="21">
                  <c:v>6666</c:v>
                </c:pt>
                <c:pt idx="22">
                  <c:v>5762</c:v>
                </c:pt>
                <c:pt idx="23">
                  <c:v>5965</c:v>
                </c:pt>
                <c:pt idx="24">
                  <c:v>6058</c:v>
                </c:pt>
                <c:pt idx="25">
                  <c:v>6474</c:v>
                </c:pt>
                <c:pt idx="26">
                  <c:v>6615</c:v>
                </c:pt>
                <c:pt idx="27">
                  <c:v>6869</c:v>
                </c:pt>
                <c:pt idx="28">
                  <c:v>6537</c:v>
                </c:pt>
                <c:pt idx="29">
                  <c:v>6437</c:v>
                </c:pt>
                <c:pt idx="30">
                  <c:v>6936</c:v>
                </c:pt>
                <c:pt idx="31">
                  <c:v>6976</c:v>
                </c:pt>
                <c:pt idx="32">
                  <c:v>7167</c:v>
                </c:pt>
                <c:pt idx="33">
                  <c:v>6804</c:v>
                </c:pt>
                <c:pt idx="34">
                  <c:v>5103</c:v>
                </c:pt>
                <c:pt idx="35">
                  <c:v>4917</c:v>
                </c:pt>
                <c:pt idx="36">
                  <c:v>4836</c:v>
                </c:pt>
                <c:pt idx="37">
                  <c:v>4810</c:v>
                </c:pt>
                <c:pt idx="38">
                  <c:v>4943</c:v>
                </c:pt>
                <c:pt idx="39">
                  <c:v>4891</c:v>
                </c:pt>
                <c:pt idx="40">
                  <c:v>4695</c:v>
                </c:pt>
                <c:pt idx="41">
                  <c:v>4790</c:v>
                </c:pt>
                <c:pt idx="42">
                  <c:v>4559</c:v>
                </c:pt>
              </c:numCache>
            </c:numRef>
          </c:val>
          <c:smooth val="0"/>
        </c:ser>
        <c:ser>
          <c:idx val="1"/>
          <c:order val="1"/>
          <c:tx>
            <c:strRef>
              <c:f>'Sheet1 (4)'!$C$5:$C$6</c:f>
              <c:strCache>
                <c:ptCount val="1"/>
                <c:pt idx="0">
                  <c:v>Metastatic</c:v>
                </c:pt>
              </c:strCache>
            </c:strRef>
          </c:tx>
          <c:cat>
            <c:strRef>
              <c:f>'Sheet1 (4)'!$A$7:$A$50</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(4)'!$C$7:$C$50</c:f>
              <c:numCache>
                <c:formatCode>General</c:formatCode>
                <c:ptCount val="43"/>
                <c:pt idx="35">
                  <c:v>623</c:v>
                </c:pt>
                <c:pt idx="36">
                  <c:v>3348</c:v>
                </c:pt>
                <c:pt idx="37">
                  <c:v>4213</c:v>
                </c:pt>
                <c:pt idx="38">
                  <c:v>4632</c:v>
                </c:pt>
                <c:pt idx="39">
                  <c:v>4506</c:v>
                </c:pt>
                <c:pt idx="40">
                  <c:v>4402</c:v>
                </c:pt>
                <c:pt idx="41">
                  <c:v>4576</c:v>
                </c:pt>
                <c:pt idx="42">
                  <c:v>4811</c:v>
                </c:pt>
              </c:numCache>
            </c:numRef>
          </c:val>
          <c:smooth val="0"/>
        </c:ser>
        <c:ser>
          <c:idx val="2"/>
          <c:order val="2"/>
          <c:tx>
            <c:strRef>
              <c:f>'Sheet1 (4)'!$D$5:$D$6</c:f>
              <c:strCache>
                <c:ptCount val="1"/>
                <c:pt idx="0">
                  <c:v>Unknown</c:v>
                </c:pt>
              </c:strCache>
            </c:strRef>
          </c:tx>
          <c:cat>
            <c:strRef>
              <c:f>'Sheet1 (4)'!$A$7:$A$50</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(4)'!$D$7:$D$50</c:f>
              <c:numCache>
                <c:formatCode>General</c:formatCode>
                <c:ptCount val="43"/>
                <c:pt idx="20">
                  <c:v>44</c:v>
                </c:pt>
                <c:pt idx="21">
                  <c:v>447</c:v>
                </c:pt>
                <c:pt idx="22">
                  <c:v>663</c:v>
                </c:pt>
                <c:pt idx="23">
                  <c:v>526</c:v>
                </c:pt>
                <c:pt idx="24">
                  <c:v>461</c:v>
                </c:pt>
                <c:pt idx="25">
                  <c:v>298</c:v>
                </c:pt>
                <c:pt idx="26">
                  <c:v>355</c:v>
                </c:pt>
                <c:pt idx="27">
                  <c:v>385</c:v>
                </c:pt>
                <c:pt idx="28">
                  <c:v>586</c:v>
                </c:pt>
                <c:pt idx="29">
                  <c:v>503</c:v>
                </c:pt>
                <c:pt idx="30">
                  <c:v>545</c:v>
                </c:pt>
                <c:pt idx="31">
                  <c:v>396</c:v>
                </c:pt>
                <c:pt idx="32">
                  <c:v>367</c:v>
                </c:pt>
                <c:pt idx="33">
                  <c:v>438</c:v>
                </c:pt>
                <c:pt idx="34">
                  <c:v>2180</c:v>
                </c:pt>
                <c:pt idx="35">
                  <c:v>2678</c:v>
                </c:pt>
                <c:pt idx="36">
                  <c:v>2625</c:v>
                </c:pt>
                <c:pt idx="37">
                  <c:v>2330</c:v>
                </c:pt>
                <c:pt idx="38">
                  <c:v>2340</c:v>
                </c:pt>
                <c:pt idx="39">
                  <c:v>2171</c:v>
                </c:pt>
                <c:pt idx="40">
                  <c:v>2282</c:v>
                </c:pt>
                <c:pt idx="41">
                  <c:v>2152</c:v>
                </c:pt>
                <c:pt idx="42">
                  <c:v>2135</c:v>
                </c:pt>
              </c:numCache>
            </c:numRef>
          </c:val>
          <c:smooth val="0"/>
        </c:ser>
        <c:ser>
          <c:idx val="3"/>
          <c:order val="3"/>
          <c:tx>
            <c:strRef>
              <c:f>'Sheet1 (4)'!$E$5:$E$6</c:f>
              <c:strCache>
                <c:ptCount val="1"/>
                <c:pt idx="0">
                  <c:v>Locally advanced</c:v>
                </c:pt>
              </c:strCache>
            </c:strRef>
          </c:tx>
          <c:cat>
            <c:strRef>
              <c:f>'Sheet1 (4)'!$A$7:$A$50</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(4)'!$E$7:$E$50</c:f>
              <c:numCache>
                <c:formatCode>General</c:formatCode>
                <c:ptCount val="43"/>
                <c:pt idx="24">
                  <c:v>33</c:v>
                </c:pt>
                <c:pt idx="25">
                  <c:v>212</c:v>
                </c:pt>
                <c:pt idx="26">
                  <c:v>250</c:v>
                </c:pt>
                <c:pt idx="27">
                  <c:v>314</c:v>
                </c:pt>
                <c:pt idx="28">
                  <c:v>420</c:v>
                </c:pt>
                <c:pt idx="29">
                  <c:v>615</c:v>
                </c:pt>
                <c:pt idx="30">
                  <c:v>449</c:v>
                </c:pt>
                <c:pt idx="31">
                  <c:v>553</c:v>
                </c:pt>
                <c:pt idx="32">
                  <c:v>671</c:v>
                </c:pt>
                <c:pt idx="33">
                  <c:v>715</c:v>
                </c:pt>
                <c:pt idx="34">
                  <c:v>694</c:v>
                </c:pt>
                <c:pt idx="35">
                  <c:v>802</c:v>
                </c:pt>
                <c:pt idx="36">
                  <c:v>816</c:v>
                </c:pt>
                <c:pt idx="37">
                  <c:v>858</c:v>
                </c:pt>
                <c:pt idx="38">
                  <c:v>925</c:v>
                </c:pt>
                <c:pt idx="39">
                  <c:v>926</c:v>
                </c:pt>
                <c:pt idx="40">
                  <c:v>1115</c:v>
                </c:pt>
                <c:pt idx="41">
                  <c:v>1190</c:v>
                </c:pt>
                <c:pt idx="42">
                  <c:v>1245</c:v>
                </c:pt>
              </c:numCache>
            </c:numRef>
          </c:val>
          <c:smooth val="0"/>
        </c:ser>
        <c:ser>
          <c:idx val="4"/>
          <c:order val="4"/>
          <c:tx>
            <c:strRef>
              <c:f>'Sheet1 (4)'!$F$5:$F$6</c:f>
              <c:strCache>
                <c:ptCount val="1"/>
                <c:pt idx="0">
                  <c:v>Metastatic, grandfathering</c:v>
                </c:pt>
              </c:strCache>
            </c:strRef>
          </c:tx>
          <c:cat>
            <c:strRef>
              <c:f>'Sheet1 (4)'!$A$7:$A$50</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(4)'!$F$7:$F$50</c:f>
              <c:numCache>
                <c:formatCode>General</c:formatCode>
                <c:ptCount val="43"/>
                <c:pt idx="35">
                  <c:v>2443</c:v>
                </c:pt>
                <c:pt idx="36">
                  <c:v>1213</c:v>
                </c:pt>
                <c:pt idx="37">
                  <c:v>376</c:v>
                </c:pt>
                <c:pt idx="38">
                  <c:v>343</c:v>
                </c:pt>
                <c:pt idx="39">
                  <c:v>288</c:v>
                </c:pt>
                <c:pt idx="40">
                  <c:v>302</c:v>
                </c:pt>
                <c:pt idx="41">
                  <c:v>247</c:v>
                </c:pt>
                <c:pt idx="42">
                  <c:v>205</c:v>
                </c:pt>
              </c:numCache>
            </c:numRef>
          </c:val>
          <c:smooth val="0"/>
        </c:ser>
        <c:dLbls>
          <c:showLegendKey val="0"/>
          <c:showVal val="0"/>
          <c:showCatName val="0"/>
          <c:showSerName val="0"/>
          <c:showPercent val="0"/>
          <c:showBubbleSize val="0"/>
        </c:dLbls>
        <c:marker val="1"/>
        <c:smooth val="0"/>
        <c:axId val="751515904"/>
        <c:axId val="751521792"/>
      </c:lineChart>
      <c:catAx>
        <c:axId val="751515904"/>
        <c:scaling>
          <c:orientation val="minMax"/>
        </c:scaling>
        <c:delete val="0"/>
        <c:axPos val="b"/>
        <c:majorTickMark val="in"/>
        <c:minorTickMark val="none"/>
        <c:tickLblPos val="nextTo"/>
        <c:crossAx val="751521792"/>
        <c:crosses val="autoZero"/>
        <c:auto val="1"/>
        <c:lblAlgn val="ctr"/>
        <c:lblOffset val="100"/>
        <c:noMultiLvlLbl val="0"/>
      </c:catAx>
      <c:valAx>
        <c:axId val="751521792"/>
        <c:scaling>
          <c:orientation val="minMax"/>
        </c:scaling>
        <c:delete val="0"/>
        <c:axPos val="l"/>
        <c:majorGridlines/>
        <c:title>
          <c:tx>
            <c:rich>
              <a:bodyPr/>
              <a:lstStyle/>
              <a:p>
                <a:pPr>
                  <a:defRPr b="0"/>
                </a:pPr>
                <a:r>
                  <a:rPr lang="en-US" b="0"/>
                  <a:t>Prescriptions</a:t>
                </a:r>
              </a:p>
            </c:rich>
          </c:tx>
          <c:layout/>
          <c:overlay val="0"/>
        </c:title>
        <c:numFmt formatCode="#,##0" sourceLinked="0"/>
        <c:majorTickMark val="none"/>
        <c:minorTickMark val="none"/>
        <c:tickLblPos val="nextTo"/>
        <c:crossAx val="751515904"/>
        <c:crosses val="autoZero"/>
        <c:crossBetween val="between"/>
      </c:valAx>
    </c:plotArea>
    <c:legend>
      <c:legendPos val="b"/>
      <c:layout/>
      <c:overlay val="0"/>
      <c:txPr>
        <a:bodyPr/>
        <a:lstStyle/>
        <a:p>
          <a:pPr>
            <a:defRPr sz="900"/>
          </a:pPr>
          <a:endParaRPr lang="en-US"/>
        </a:p>
      </c:txPr>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[D1041 - SCRPT_SUM v4 - all drugs only + restriction code.xlsx]Sheet1 (9)!PivotTable1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dLbl>
          <c:idx val="0"/>
          <c:delete val="1"/>
        </c:dLbl>
      </c:pivotFmt>
      <c:pivotFmt>
        <c:idx val="69"/>
        <c:marker>
          <c:symbol val="none"/>
        </c:marker>
        <c:dLbl>
          <c:idx val="0"/>
          <c:delete val="1"/>
        </c:dLbl>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s>
    <c:plotArea>
      <c:layout/>
      <c:lineChart>
        <c:grouping val="standard"/>
        <c:varyColors val="0"/>
        <c:ser>
          <c:idx val="0"/>
          <c:order val="0"/>
          <c:tx>
            <c:strRef>
              <c:f>'Sheet1 (9)'!$B$5:$B$6</c:f>
              <c:strCache>
                <c:ptCount val="1"/>
                <c:pt idx="0">
                  <c:v>Early</c:v>
                </c:pt>
              </c:strCache>
            </c:strRef>
          </c:tx>
          <c:cat>
            <c:strRef>
              <c:f>'Sheet1 (9)'!$A$7:$A$50</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(9)'!$B$7:$B$50</c:f>
              <c:numCache>
                <c:formatCode>General</c:formatCode>
                <c:ptCount val="43"/>
                <c:pt idx="0">
                  <c:v>2956</c:v>
                </c:pt>
                <c:pt idx="1">
                  <c:v>3985</c:v>
                </c:pt>
                <c:pt idx="2">
                  <c:v>4587</c:v>
                </c:pt>
                <c:pt idx="3">
                  <c:v>5068</c:v>
                </c:pt>
                <c:pt idx="4">
                  <c:v>4397</c:v>
                </c:pt>
                <c:pt idx="5">
                  <c:v>4349</c:v>
                </c:pt>
                <c:pt idx="6">
                  <c:v>4710</c:v>
                </c:pt>
                <c:pt idx="7">
                  <c:v>4710</c:v>
                </c:pt>
                <c:pt idx="8">
                  <c:v>4739</c:v>
                </c:pt>
                <c:pt idx="9">
                  <c:v>4793</c:v>
                </c:pt>
                <c:pt idx="10">
                  <c:v>5130</c:v>
                </c:pt>
                <c:pt idx="11">
                  <c:v>5473</c:v>
                </c:pt>
                <c:pt idx="12">
                  <c:v>5523</c:v>
                </c:pt>
                <c:pt idx="13">
                  <c:v>5408</c:v>
                </c:pt>
                <c:pt idx="14">
                  <c:v>5670</c:v>
                </c:pt>
                <c:pt idx="15">
                  <c:v>5697</c:v>
                </c:pt>
                <c:pt idx="16">
                  <c:v>5577</c:v>
                </c:pt>
                <c:pt idx="17">
                  <c:v>5900</c:v>
                </c:pt>
                <c:pt idx="18">
                  <c:v>6704</c:v>
                </c:pt>
                <c:pt idx="19">
                  <c:v>7074</c:v>
                </c:pt>
                <c:pt idx="20">
                  <c:v>7300</c:v>
                </c:pt>
                <c:pt idx="21">
                  <c:v>7113</c:v>
                </c:pt>
                <c:pt idx="22">
                  <c:v>6425</c:v>
                </c:pt>
                <c:pt idx="23">
                  <c:v>6491</c:v>
                </c:pt>
                <c:pt idx="24">
                  <c:v>6519</c:v>
                </c:pt>
                <c:pt idx="25">
                  <c:v>6772</c:v>
                </c:pt>
                <c:pt idx="26">
                  <c:v>6970</c:v>
                </c:pt>
                <c:pt idx="27">
                  <c:v>7254</c:v>
                </c:pt>
                <c:pt idx="28">
                  <c:v>7123</c:v>
                </c:pt>
                <c:pt idx="29">
                  <c:v>6940</c:v>
                </c:pt>
                <c:pt idx="30">
                  <c:v>7481</c:v>
                </c:pt>
                <c:pt idx="31">
                  <c:v>7372</c:v>
                </c:pt>
                <c:pt idx="32">
                  <c:v>7534</c:v>
                </c:pt>
                <c:pt idx="33">
                  <c:v>7242</c:v>
                </c:pt>
                <c:pt idx="34">
                  <c:v>7283</c:v>
                </c:pt>
                <c:pt idx="35">
                  <c:v>7595</c:v>
                </c:pt>
                <c:pt idx="36">
                  <c:v>7461</c:v>
                </c:pt>
                <c:pt idx="37">
                  <c:v>7140</c:v>
                </c:pt>
                <c:pt idx="38">
                  <c:v>7283</c:v>
                </c:pt>
                <c:pt idx="39">
                  <c:v>7062</c:v>
                </c:pt>
                <c:pt idx="40">
                  <c:v>6977</c:v>
                </c:pt>
                <c:pt idx="41">
                  <c:v>6942</c:v>
                </c:pt>
                <c:pt idx="42">
                  <c:v>6694</c:v>
                </c:pt>
              </c:numCache>
            </c:numRef>
          </c:val>
          <c:smooth val="0"/>
        </c:ser>
        <c:ser>
          <c:idx val="1"/>
          <c:order val="1"/>
          <c:tx>
            <c:strRef>
              <c:f>'Sheet1 (9)'!$C$5:$C$6</c:f>
              <c:strCache>
                <c:ptCount val="1"/>
                <c:pt idx="0">
                  <c:v>Metastatic</c:v>
                </c:pt>
              </c:strCache>
            </c:strRef>
          </c:tx>
          <c:cat>
            <c:strRef>
              <c:f>'Sheet1 (9)'!$A$7:$A$50</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(9)'!$C$7:$C$50</c:f>
              <c:numCache>
                <c:formatCode>General</c:formatCode>
                <c:ptCount val="43"/>
                <c:pt idx="35">
                  <c:v>3066</c:v>
                </c:pt>
                <c:pt idx="36">
                  <c:v>4561</c:v>
                </c:pt>
                <c:pt idx="37">
                  <c:v>4589</c:v>
                </c:pt>
                <c:pt idx="38">
                  <c:v>4975</c:v>
                </c:pt>
                <c:pt idx="39">
                  <c:v>4794</c:v>
                </c:pt>
                <c:pt idx="40">
                  <c:v>4704</c:v>
                </c:pt>
                <c:pt idx="41">
                  <c:v>4823</c:v>
                </c:pt>
                <c:pt idx="42">
                  <c:v>5016</c:v>
                </c:pt>
              </c:numCache>
            </c:numRef>
          </c:val>
          <c:smooth val="0"/>
        </c:ser>
        <c:ser>
          <c:idx val="2"/>
          <c:order val="2"/>
          <c:tx>
            <c:strRef>
              <c:f>'Sheet1 (9)'!$D$5:$D$6</c:f>
              <c:strCache>
                <c:ptCount val="1"/>
                <c:pt idx="0">
                  <c:v>Locally advanced</c:v>
                </c:pt>
              </c:strCache>
            </c:strRef>
          </c:tx>
          <c:cat>
            <c:strRef>
              <c:f>'Sheet1 (9)'!$A$7:$A$50</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(9)'!$D$7:$D$50</c:f>
              <c:numCache>
                <c:formatCode>General</c:formatCode>
                <c:ptCount val="43"/>
                <c:pt idx="24">
                  <c:v>33</c:v>
                </c:pt>
                <c:pt idx="25">
                  <c:v>212</c:v>
                </c:pt>
                <c:pt idx="26">
                  <c:v>250</c:v>
                </c:pt>
                <c:pt idx="27">
                  <c:v>314</c:v>
                </c:pt>
                <c:pt idx="28">
                  <c:v>420</c:v>
                </c:pt>
                <c:pt idx="29">
                  <c:v>615</c:v>
                </c:pt>
                <c:pt idx="30">
                  <c:v>449</c:v>
                </c:pt>
                <c:pt idx="31">
                  <c:v>553</c:v>
                </c:pt>
                <c:pt idx="32">
                  <c:v>671</c:v>
                </c:pt>
                <c:pt idx="33">
                  <c:v>715</c:v>
                </c:pt>
                <c:pt idx="34">
                  <c:v>694</c:v>
                </c:pt>
                <c:pt idx="35">
                  <c:v>802</c:v>
                </c:pt>
                <c:pt idx="36">
                  <c:v>816</c:v>
                </c:pt>
                <c:pt idx="37">
                  <c:v>858</c:v>
                </c:pt>
                <c:pt idx="38">
                  <c:v>925</c:v>
                </c:pt>
                <c:pt idx="39">
                  <c:v>926</c:v>
                </c:pt>
                <c:pt idx="40">
                  <c:v>1115</c:v>
                </c:pt>
                <c:pt idx="41">
                  <c:v>1190</c:v>
                </c:pt>
                <c:pt idx="42">
                  <c:v>1245</c:v>
                </c:pt>
              </c:numCache>
            </c:numRef>
          </c:val>
          <c:smooth val="0"/>
        </c:ser>
        <c:dLbls>
          <c:showLegendKey val="0"/>
          <c:showVal val="0"/>
          <c:showCatName val="0"/>
          <c:showSerName val="0"/>
          <c:showPercent val="0"/>
          <c:showBubbleSize val="0"/>
        </c:dLbls>
        <c:marker val="1"/>
        <c:smooth val="0"/>
        <c:axId val="761173888"/>
        <c:axId val="761175424"/>
      </c:lineChart>
      <c:catAx>
        <c:axId val="761173888"/>
        <c:scaling>
          <c:orientation val="minMax"/>
        </c:scaling>
        <c:delete val="0"/>
        <c:axPos val="b"/>
        <c:majorTickMark val="in"/>
        <c:minorTickMark val="none"/>
        <c:tickLblPos val="nextTo"/>
        <c:crossAx val="761175424"/>
        <c:crosses val="autoZero"/>
        <c:auto val="1"/>
        <c:lblAlgn val="ctr"/>
        <c:lblOffset val="100"/>
        <c:noMultiLvlLbl val="0"/>
      </c:catAx>
      <c:valAx>
        <c:axId val="761175424"/>
        <c:scaling>
          <c:orientation val="minMax"/>
        </c:scaling>
        <c:delete val="0"/>
        <c:axPos val="l"/>
        <c:majorGridlines/>
        <c:title>
          <c:tx>
            <c:rich>
              <a:bodyPr/>
              <a:lstStyle/>
              <a:p>
                <a:pPr>
                  <a:defRPr b="0"/>
                </a:pPr>
                <a:r>
                  <a:rPr lang="en-US" b="0"/>
                  <a:t>Prescriptions</a:t>
                </a:r>
              </a:p>
            </c:rich>
          </c:tx>
          <c:layout/>
          <c:overlay val="0"/>
        </c:title>
        <c:numFmt formatCode="#,##0" sourceLinked="0"/>
        <c:majorTickMark val="none"/>
        <c:minorTickMark val="none"/>
        <c:tickLblPos val="nextTo"/>
        <c:crossAx val="761173888"/>
        <c:crosses val="autoZero"/>
        <c:crossBetween val="between"/>
      </c:valAx>
    </c:plotArea>
    <c:legend>
      <c:legendPos val="b"/>
      <c:layout/>
      <c:overlay val="0"/>
      <c:txPr>
        <a:bodyPr/>
        <a:lstStyle/>
        <a:p>
          <a:pPr>
            <a:defRPr sz="900"/>
          </a:pPr>
          <a:endParaRPr lang="en-US"/>
        </a:p>
      </c:txPr>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[D1041 - herceptin program data.xlsx]Sheet4!PivotTable1</c:name>
    <c:fmtId val="-1"/>
  </c:pivotSource>
  <c:chart>
    <c:autoTitleDeleted val="1"/>
    <c:pivotFmts>
      <c:pivotFmt>
        <c:idx val="0"/>
        <c:marker>
          <c:symbol val="none"/>
        </c:marker>
      </c:pivotFmt>
      <c:pivotFmt>
        <c:idx val="1"/>
      </c:pivotFmt>
      <c:pivotFmt>
        <c:idx val="2"/>
      </c:pivotFmt>
      <c:pivotFmt>
        <c:idx val="3"/>
      </c:pivotFmt>
    </c:pivotFmts>
    <c:plotArea>
      <c:layout/>
      <c:lineChart>
        <c:grouping val="standard"/>
        <c:varyColors val="0"/>
        <c:ser>
          <c:idx val="0"/>
          <c:order val="0"/>
          <c:tx>
            <c:strRef>
              <c:f>Sheet4!$B$1</c:f>
              <c:strCache>
                <c:ptCount val="1"/>
                <c:pt idx="0">
                  <c:v>Total</c:v>
                </c:pt>
              </c:strCache>
            </c:strRef>
          </c:tx>
          <c:cat>
            <c:strRef>
              <c:f>Sheet4!$A$2:$A$38</c:f>
              <c:strCache>
                <c:ptCount val="36"/>
                <c:pt idx="0">
                  <c:v>2006Q3</c:v>
                </c:pt>
                <c:pt idx="1">
                  <c:v>2006Q4</c:v>
                </c:pt>
                <c:pt idx="2">
                  <c:v>2007Q1</c:v>
                </c:pt>
                <c:pt idx="3">
                  <c:v>2007Q2</c:v>
                </c:pt>
                <c:pt idx="4">
                  <c:v>2007Q3</c:v>
                </c:pt>
                <c:pt idx="5">
                  <c:v>2007Q4</c:v>
                </c:pt>
                <c:pt idx="6">
                  <c:v>2008Q1</c:v>
                </c:pt>
                <c:pt idx="7">
                  <c:v>2008Q2</c:v>
                </c:pt>
                <c:pt idx="8">
                  <c:v>2008Q3</c:v>
                </c:pt>
                <c:pt idx="9">
                  <c:v>2008Q4</c:v>
                </c:pt>
                <c:pt idx="10">
                  <c:v>2009Q1</c:v>
                </c:pt>
                <c:pt idx="11">
                  <c:v>2009Q2</c:v>
                </c:pt>
                <c:pt idx="12">
                  <c:v>2009Q3</c:v>
                </c:pt>
                <c:pt idx="13">
                  <c:v>2009Q4</c:v>
                </c:pt>
                <c:pt idx="14">
                  <c:v>2010Q1</c:v>
                </c:pt>
                <c:pt idx="15">
                  <c:v>2010Q2</c:v>
                </c:pt>
                <c:pt idx="16">
                  <c:v>2010Q3</c:v>
                </c:pt>
                <c:pt idx="17">
                  <c:v>2010Q4</c:v>
                </c:pt>
                <c:pt idx="18">
                  <c:v>2011Q1</c:v>
                </c:pt>
                <c:pt idx="19">
                  <c:v>2011Q2</c:v>
                </c:pt>
                <c:pt idx="20">
                  <c:v>2011Q3</c:v>
                </c:pt>
                <c:pt idx="21">
                  <c:v>2011Q4</c:v>
                </c:pt>
                <c:pt idx="22">
                  <c:v>2012Q1</c:v>
                </c:pt>
                <c:pt idx="23">
                  <c:v>2012Q2</c:v>
                </c:pt>
                <c:pt idx="24">
                  <c:v>2012Q3</c:v>
                </c:pt>
                <c:pt idx="25">
                  <c:v>2012Q4</c:v>
                </c:pt>
                <c:pt idx="26">
                  <c:v>2013Q1</c:v>
                </c:pt>
                <c:pt idx="27">
                  <c:v>2013Q2</c:v>
                </c:pt>
                <c:pt idx="28">
                  <c:v>2013Q3</c:v>
                </c:pt>
                <c:pt idx="29">
                  <c:v>2013Q4</c:v>
                </c:pt>
                <c:pt idx="30">
                  <c:v>2014Q1</c:v>
                </c:pt>
                <c:pt idx="31">
                  <c:v>2014Q2</c:v>
                </c:pt>
                <c:pt idx="32">
                  <c:v>2014Q3</c:v>
                </c:pt>
                <c:pt idx="33">
                  <c:v>2014Q4</c:v>
                </c:pt>
                <c:pt idx="34">
                  <c:v>2015Q1</c:v>
                </c:pt>
                <c:pt idx="35">
                  <c:v>2015Q2</c:v>
                </c:pt>
              </c:strCache>
            </c:strRef>
          </c:cat>
          <c:val>
            <c:numRef>
              <c:f>Sheet4!$B$2:$B$38</c:f>
              <c:numCache>
                <c:formatCode>General</c:formatCode>
                <c:ptCount val="36"/>
                <c:pt idx="0">
                  <c:v>3324</c:v>
                </c:pt>
                <c:pt idx="1">
                  <c:v>3285</c:v>
                </c:pt>
                <c:pt idx="2">
                  <c:v>3236</c:v>
                </c:pt>
                <c:pt idx="3">
                  <c:v>3080</c:v>
                </c:pt>
                <c:pt idx="4">
                  <c:v>3006</c:v>
                </c:pt>
                <c:pt idx="5">
                  <c:v>2725</c:v>
                </c:pt>
                <c:pt idx="6">
                  <c:v>2801</c:v>
                </c:pt>
                <c:pt idx="7">
                  <c:v>2895</c:v>
                </c:pt>
                <c:pt idx="8">
                  <c:v>3133</c:v>
                </c:pt>
                <c:pt idx="9">
                  <c:v>3245</c:v>
                </c:pt>
                <c:pt idx="10">
                  <c:v>3100</c:v>
                </c:pt>
                <c:pt idx="11">
                  <c:v>3238</c:v>
                </c:pt>
                <c:pt idx="12">
                  <c:v>3260</c:v>
                </c:pt>
                <c:pt idx="13">
                  <c:v>3351</c:v>
                </c:pt>
                <c:pt idx="14">
                  <c:v>3391</c:v>
                </c:pt>
                <c:pt idx="15">
                  <c:v>3644</c:v>
                </c:pt>
                <c:pt idx="16">
                  <c:v>3704</c:v>
                </c:pt>
                <c:pt idx="17">
                  <c:v>3796</c:v>
                </c:pt>
                <c:pt idx="18">
                  <c:v>3619</c:v>
                </c:pt>
                <c:pt idx="19">
                  <c:v>3724</c:v>
                </c:pt>
                <c:pt idx="20">
                  <c:v>4023</c:v>
                </c:pt>
                <c:pt idx="21">
                  <c:v>4037</c:v>
                </c:pt>
                <c:pt idx="22">
                  <c:v>4187</c:v>
                </c:pt>
                <c:pt idx="23">
                  <c:v>4219</c:v>
                </c:pt>
                <c:pt idx="24">
                  <c:v>4358</c:v>
                </c:pt>
                <c:pt idx="25">
                  <c:v>4691</c:v>
                </c:pt>
                <c:pt idx="26">
                  <c:v>4478</c:v>
                </c:pt>
                <c:pt idx="27">
                  <c:v>4657</c:v>
                </c:pt>
                <c:pt idx="28">
                  <c:v>4834</c:v>
                </c:pt>
                <c:pt idx="29">
                  <c:v>4770</c:v>
                </c:pt>
                <c:pt idx="30">
                  <c:v>4583</c:v>
                </c:pt>
                <c:pt idx="31">
                  <c:v>4753</c:v>
                </c:pt>
                <c:pt idx="32">
                  <c:v>4773</c:v>
                </c:pt>
                <c:pt idx="33">
                  <c:v>4822</c:v>
                </c:pt>
                <c:pt idx="34">
                  <c:v>4882</c:v>
                </c:pt>
                <c:pt idx="35">
                  <c:v>4775</c:v>
                </c:pt>
              </c:numCache>
            </c:numRef>
          </c:val>
          <c:smooth val="0"/>
        </c:ser>
        <c:dLbls>
          <c:showLegendKey val="0"/>
          <c:showVal val="0"/>
          <c:showCatName val="0"/>
          <c:showSerName val="0"/>
          <c:showPercent val="0"/>
          <c:showBubbleSize val="0"/>
        </c:dLbls>
        <c:marker val="1"/>
        <c:smooth val="0"/>
        <c:axId val="784865536"/>
        <c:axId val="784932864"/>
      </c:lineChart>
      <c:catAx>
        <c:axId val="784865536"/>
        <c:scaling>
          <c:orientation val="minMax"/>
        </c:scaling>
        <c:delete val="0"/>
        <c:axPos val="b"/>
        <c:majorTickMark val="out"/>
        <c:minorTickMark val="none"/>
        <c:tickLblPos val="nextTo"/>
        <c:crossAx val="784932864"/>
        <c:crosses val="autoZero"/>
        <c:auto val="1"/>
        <c:lblAlgn val="ctr"/>
        <c:lblOffset val="100"/>
        <c:noMultiLvlLbl val="0"/>
      </c:catAx>
      <c:valAx>
        <c:axId val="784932864"/>
        <c:scaling>
          <c:orientation val="minMax"/>
        </c:scaling>
        <c:delete val="0"/>
        <c:axPos val="l"/>
        <c:majorGridlines/>
        <c:numFmt formatCode="#,##0" sourceLinked="0"/>
        <c:majorTickMark val="out"/>
        <c:minorTickMark val="none"/>
        <c:tickLblPos val="nextTo"/>
        <c:crossAx val="784865536"/>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[D1041 - SCRPT_SUM v8 - all drugs, updated to DOS=2017Q3,fig2-7,C1-4, post dusc edit to Fig5.xlsx]Sheet1 (3)!PivotTable1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dLbl>
          <c:idx val="0"/>
          <c:delete val="1"/>
        </c:dLbl>
      </c:pivotFmt>
      <c:pivotFmt>
        <c:idx val="69"/>
        <c:marker>
          <c:symbol val="none"/>
        </c:marker>
        <c:dLbl>
          <c:idx val="0"/>
          <c:delete val="1"/>
        </c:dLbl>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dLbl>
          <c:idx val="0"/>
          <c:delete val="1"/>
        </c:dLbl>
      </c:pivotFmt>
      <c:pivotFmt>
        <c:idx val="129"/>
        <c:dLbl>
          <c:idx val="0"/>
          <c:delete val="1"/>
        </c:dLbl>
      </c:pivotFmt>
      <c:pivotFmt>
        <c:idx val="130"/>
        <c:dLbl>
          <c:idx val="0"/>
          <c:delete val="1"/>
        </c:dLbl>
      </c:pivotFmt>
      <c:pivotFmt>
        <c:idx val="131"/>
        <c:dLbl>
          <c:idx val="0"/>
          <c:delete val="1"/>
        </c:dLbl>
      </c:pivotFmt>
      <c:pivotFmt>
        <c:idx val="132"/>
        <c:dLbl>
          <c:idx val="0"/>
          <c:delete val="1"/>
        </c:dLbl>
      </c:pivotFmt>
      <c:pivotFmt>
        <c:idx val="133"/>
        <c:dLbl>
          <c:idx val="0"/>
          <c:delete val="1"/>
        </c:dLbl>
      </c:pivotFmt>
      <c:pivotFmt>
        <c:idx val="134"/>
      </c:pivotFmt>
      <c:pivotFmt>
        <c:idx val="135"/>
      </c:pivotFmt>
      <c:pivotFmt>
        <c:idx val="136"/>
      </c:pivotFmt>
      <c:pivotFmt>
        <c:idx val="137"/>
      </c:pivotFmt>
      <c:pivotFmt>
        <c:idx val="138"/>
      </c:pivotFmt>
      <c:pivotFmt>
        <c:idx val="139"/>
      </c:pivotFmt>
      <c:pivotFmt>
        <c:idx val="140"/>
      </c:pivotFmt>
      <c:pivotFmt>
        <c:idx val="141"/>
      </c:pivotFmt>
      <c:pivotFmt>
        <c:idx val="142"/>
      </c:pivotFmt>
      <c:pivotFmt>
        <c:idx val="143"/>
      </c:pivotFmt>
      <c:pivotFmt>
        <c:idx val="144"/>
      </c:pivotFmt>
    </c:pivotFmts>
    <c:plotArea>
      <c:layout/>
      <c:lineChart>
        <c:grouping val="standard"/>
        <c:varyColors val="0"/>
        <c:ser>
          <c:idx val="0"/>
          <c:order val="0"/>
          <c:tx>
            <c:strRef>
              <c:f>'Sheet1 (3)'!$B$5:$B$6</c:f>
              <c:strCache>
                <c:ptCount val="1"/>
                <c:pt idx="0">
                  <c:v>Total</c:v>
                </c:pt>
              </c:strCache>
            </c:strRef>
          </c:tx>
          <c:cat>
            <c:strRef>
              <c:f>'Sheet1 (3)'!$A$7:$A$15</c:f>
              <c:strCache>
                <c:ptCount val="8"/>
                <c:pt idx="0">
                  <c:v>2015Q3</c:v>
                </c:pt>
                <c:pt idx="1">
                  <c:v>2015Q4</c:v>
                </c:pt>
                <c:pt idx="2">
                  <c:v>2016Q1</c:v>
                </c:pt>
                <c:pt idx="3">
                  <c:v>2016Q2</c:v>
                </c:pt>
                <c:pt idx="4">
                  <c:v>2016Q3</c:v>
                </c:pt>
                <c:pt idx="5">
                  <c:v>2016Q4</c:v>
                </c:pt>
                <c:pt idx="6">
                  <c:v>2017Q1</c:v>
                </c:pt>
                <c:pt idx="7">
                  <c:v>2017Q2</c:v>
                </c:pt>
              </c:strCache>
            </c:strRef>
          </c:cat>
          <c:val>
            <c:numRef>
              <c:f>'Sheet1 (3)'!$B$7:$B$15</c:f>
              <c:numCache>
                <c:formatCode>General</c:formatCode>
                <c:ptCount val="8"/>
                <c:pt idx="0">
                  <c:v>681</c:v>
                </c:pt>
                <c:pt idx="1">
                  <c:v>1059</c:v>
                </c:pt>
                <c:pt idx="2">
                  <c:v>966</c:v>
                </c:pt>
                <c:pt idx="3">
                  <c:v>1080</c:v>
                </c:pt>
                <c:pt idx="4">
                  <c:v>1047</c:v>
                </c:pt>
                <c:pt idx="5">
                  <c:v>1097</c:v>
                </c:pt>
                <c:pt idx="6">
                  <c:v>1027</c:v>
                </c:pt>
                <c:pt idx="7">
                  <c:v>1070</c:v>
                </c:pt>
              </c:numCache>
            </c:numRef>
          </c:val>
          <c:smooth val="0"/>
        </c:ser>
        <c:ser>
          <c:idx val="1"/>
          <c:order val="1"/>
          <c:tx>
            <c:strRef>
              <c:f>'Sheet1 (3)'!$C$5:$C$6</c:f>
              <c:strCache>
                <c:ptCount val="1"/>
                <c:pt idx="0">
                  <c:v>Metastatic</c:v>
                </c:pt>
              </c:strCache>
            </c:strRef>
          </c:tx>
          <c:cat>
            <c:strRef>
              <c:f>'Sheet1 (3)'!$A$7:$A$15</c:f>
              <c:strCache>
                <c:ptCount val="8"/>
                <c:pt idx="0">
                  <c:v>2015Q3</c:v>
                </c:pt>
                <c:pt idx="1">
                  <c:v>2015Q4</c:v>
                </c:pt>
                <c:pt idx="2">
                  <c:v>2016Q1</c:v>
                </c:pt>
                <c:pt idx="3">
                  <c:v>2016Q2</c:v>
                </c:pt>
                <c:pt idx="4">
                  <c:v>2016Q3</c:v>
                </c:pt>
                <c:pt idx="5">
                  <c:v>2016Q4</c:v>
                </c:pt>
                <c:pt idx="6">
                  <c:v>2017Q1</c:v>
                </c:pt>
                <c:pt idx="7">
                  <c:v>2017Q2</c:v>
                </c:pt>
              </c:strCache>
            </c:strRef>
          </c:cat>
          <c:val>
            <c:numRef>
              <c:f>'Sheet1 (3)'!$C$7:$C$15</c:f>
              <c:numCache>
                <c:formatCode>General</c:formatCode>
                <c:ptCount val="8"/>
                <c:pt idx="0">
                  <c:v>102</c:v>
                </c:pt>
                <c:pt idx="1">
                  <c:v>326</c:v>
                </c:pt>
                <c:pt idx="2">
                  <c:v>505</c:v>
                </c:pt>
                <c:pt idx="3">
                  <c:v>685</c:v>
                </c:pt>
                <c:pt idx="4">
                  <c:v>719</c:v>
                </c:pt>
                <c:pt idx="5">
                  <c:v>757</c:v>
                </c:pt>
                <c:pt idx="6">
                  <c:v>718</c:v>
                </c:pt>
                <c:pt idx="7">
                  <c:v>770</c:v>
                </c:pt>
              </c:numCache>
            </c:numRef>
          </c:val>
          <c:smooth val="0"/>
        </c:ser>
        <c:ser>
          <c:idx val="2"/>
          <c:order val="2"/>
          <c:tx>
            <c:strRef>
              <c:f>'Sheet1 (3)'!$D$5:$D$6</c:f>
              <c:strCache>
                <c:ptCount val="1"/>
                <c:pt idx="0">
                  <c:v>Unknown</c:v>
                </c:pt>
              </c:strCache>
            </c:strRef>
          </c:tx>
          <c:cat>
            <c:strRef>
              <c:f>'Sheet1 (3)'!$A$7:$A$15</c:f>
              <c:strCache>
                <c:ptCount val="8"/>
                <c:pt idx="0">
                  <c:v>2015Q3</c:v>
                </c:pt>
                <c:pt idx="1">
                  <c:v>2015Q4</c:v>
                </c:pt>
                <c:pt idx="2">
                  <c:v>2016Q1</c:v>
                </c:pt>
                <c:pt idx="3">
                  <c:v>2016Q2</c:v>
                </c:pt>
                <c:pt idx="4">
                  <c:v>2016Q3</c:v>
                </c:pt>
                <c:pt idx="5">
                  <c:v>2016Q4</c:v>
                </c:pt>
                <c:pt idx="6">
                  <c:v>2017Q1</c:v>
                </c:pt>
                <c:pt idx="7">
                  <c:v>2017Q2</c:v>
                </c:pt>
              </c:strCache>
            </c:strRef>
          </c:cat>
          <c:val>
            <c:numRef>
              <c:f>'Sheet1 (3)'!$D$7:$D$15</c:f>
              <c:numCache>
                <c:formatCode>General</c:formatCode>
                <c:ptCount val="8"/>
                <c:pt idx="0">
                  <c:v>161</c:v>
                </c:pt>
                <c:pt idx="1">
                  <c:v>299</c:v>
                </c:pt>
                <c:pt idx="2">
                  <c:v>271</c:v>
                </c:pt>
                <c:pt idx="3">
                  <c:v>315</c:v>
                </c:pt>
                <c:pt idx="4">
                  <c:v>294</c:v>
                </c:pt>
                <c:pt idx="5">
                  <c:v>299</c:v>
                </c:pt>
                <c:pt idx="6">
                  <c:v>278</c:v>
                </c:pt>
                <c:pt idx="7">
                  <c:v>291</c:v>
                </c:pt>
              </c:numCache>
            </c:numRef>
          </c:val>
          <c:smooth val="0"/>
        </c:ser>
        <c:ser>
          <c:idx val="3"/>
          <c:order val="3"/>
          <c:tx>
            <c:strRef>
              <c:f>'Sheet1 (3)'!$E$5:$E$6</c:f>
              <c:strCache>
                <c:ptCount val="1"/>
                <c:pt idx="0">
                  <c:v>Metastatic, grandfathering</c:v>
                </c:pt>
              </c:strCache>
            </c:strRef>
          </c:tx>
          <c:cat>
            <c:strRef>
              <c:f>'Sheet1 (3)'!$A$7:$A$15</c:f>
              <c:strCache>
                <c:ptCount val="8"/>
                <c:pt idx="0">
                  <c:v>2015Q3</c:v>
                </c:pt>
                <c:pt idx="1">
                  <c:v>2015Q4</c:v>
                </c:pt>
                <c:pt idx="2">
                  <c:v>2016Q1</c:v>
                </c:pt>
                <c:pt idx="3">
                  <c:v>2016Q2</c:v>
                </c:pt>
                <c:pt idx="4">
                  <c:v>2016Q3</c:v>
                </c:pt>
                <c:pt idx="5">
                  <c:v>2016Q4</c:v>
                </c:pt>
                <c:pt idx="6">
                  <c:v>2017Q1</c:v>
                </c:pt>
                <c:pt idx="7">
                  <c:v>2017Q2</c:v>
                </c:pt>
              </c:strCache>
            </c:strRef>
          </c:cat>
          <c:val>
            <c:numRef>
              <c:f>'Sheet1 (3)'!$E$7:$E$15</c:f>
              <c:numCache>
                <c:formatCode>General</c:formatCode>
                <c:ptCount val="8"/>
                <c:pt idx="0">
                  <c:v>418</c:v>
                </c:pt>
                <c:pt idx="1">
                  <c:v>434</c:v>
                </c:pt>
                <c:pt idx="2">
                  <c:v>190</c:v>
                </c:pt>
                <c:pt idx="3">
                  <c:v>80</c:v>
                </c:pt>
                <c:pt idx="4">
                  <c:v>34</c:v>
                </c:pt>
                <c:pt idx="5">
                  <c:v>41</c:v>
                </c:pt>
                <c:pt idx="6">
                  <c:v>31</c:v>
                </c:pt>
                <c:pt idx="7">
                  <c:v>9</c:v>
                </c:pt>
              </c:numCache>
            </c:numRef>
          </c:val>
          <c:smooth val="0"/>
        </c:ser>
        <c:dLbls>
          <c:showLegendKey val="0"/>
          <c:showVal val="0"/>
          <c:showCatName val="0"/>
          <c:showSerName val="0"/>
          <c:showPercent val="0"/>
          <c:showBubbleSize val="0"/>
        </c:dLbls>
        <c:marker val="1"/>
        <c:smooth val="0"/>
        <c:axId val="788047360"/>
        <c:axId val="788048896"/>
      </c:lineChart>
      <c:catAx>
        <c:axId val="788047360"/>
        <c:scaling>
          <c:orientation val="minMax"/>
        </c:scaling>
        <c:delete val="0"/>
        <c:axPos val="b"/>
        <c:majorTickMark val="none"/>
        <c:minorTickMark val="none"/>
        <c:tickLblPos val="nextTo"/>
        <c:crossAx val="788048896"/>
        <c:crosses val="autoZero"/>
        <c:auto val="1"/>
        <c:lblAlgn val="ctr"/>
        <c:lblOffset val="100"/>
        <c:noMultiLvlLbl val="0"/>
      </c:catAx>
      <c:valAx>
        <c:axId val="788048896"/>
        <c:scaling>
          <c:orientation val="minMax"/>
        </c:scaling>
        <c:delete val="0"/>
        <c:axPos val="l"/>
        <c:majorGridlines/>
        <c:title>
          <c:tx>
            <c:rich>
              <a:bodyPr/>
              <a:lstStyle/>
              <a:p>
                <a:pPr>
                  <a:defRPr b="0"/>
                </a:pPr>
                <a:r>
                  <a:rPr lang="en-US" b="0"/>
                  <a:t>Prescriptions</a:t>
                </a:r>
              </a:p>
            </c:rich>
          </c:tx>
          <c:layout/>
          <c:overlay val="0"/>
        </c:title>
        <c:numFmt formatCode="General" sourceLinked="1"/>
        <c:majorTickMark val="none"/>
        <c:minorTickMark val="none"/>
        <c:tickLblPos val="nextTo"/>
        <c:crossAx val="788047360"/>
        <c:crosses val="autoZero"/>
        <c:crossBetween val="between"/>
      </c:valAx>
    </c:plotArea>
    <c:legend>
      <c:legendPos val="r"/>
      <c:layout/>
      <c:overlay val="0"/>
      <c:txPr>
        <a:bodyPr/>
        <a:lstStyle/>
        <a:p>
          <a:pPr>
            <a:defRPr sz="7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[D1041 - SCRPT_SUM v3 - 3 drugs only, corrected double counting of scripts.xlsx]Sheet1 (5)!PivotTable1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dLbl>
          <c:idx val="0"/>
          <c:delete val="1"/>
        </c:dLbl>
      </c:pivotFmt>
      <c:pivotFmt>
        <c:idx val="69"/>
        <c:marker>
          <c:symbol val="none"/>
        </c:marker>
        <c:dLbl>
          <c:idx val="0"/>
          <c:delete val="1"/>
        </c:dLbl>
      </c:pivotFmt>
      <c:pivotFmt>
        <c:idx val="70"/>
        <c:marker>
          <c:symbol val="none"/>
        </c:marker>
      </c:pivotFmt>
      <c:pivotFmt>
        <c:idx val="71"/>
        <c:marker>
          <c:symbol val="none"/>
        </c:marker>
      </c:pivotFmt>
      <c:pivotFmt>
        <c:idx val="72"/>
        <c:marker>
          <c:symbol val="none"/>
        </c:marker>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pivotFmt>
      <c:pivotFmt>
        <c:idx val="78"/>
        <c:marker>
          <c:symbol val="none"/>
        </c:marker>
      </c:pivotFmt>
      <c:pivotFmt>
        <c:idx val="79"/>
        <c:marker>
          <c:symbol val="none"/>
        </c:marker>
      </c:pivotFmt>
      <c:pivotFmt>
        <c:idx val="80"/>
        <c:marker>
          <c:symbol val="none"/>
        </c:marker>
      </c:pivotFmt>
      <c:pivotFmt>
        <c:idx val="81"/>
        <c:marker>
          <c:symbol val="none"/>
        </c:marker>
      </c:pivotFmt>
      <c:pivotFmt>
        <c:idx val="82"/>
        <c:marker>
          <c:symbol val="none"/>
        </c:marker>
      </c:pivotFmt>
      <c:pivotFmt>
        <c:idx val="83"/>
        <c:marker>
          <c:symbol val="none"/>
        </c:marker>
      </c:pivotFmt>
      <c:pivotFmt>
        <c:idx val="84"/>
        <c:marker>
          <c:symbol val="none"/>
        </c:marker>
      </c:pivotFmt>
      <c:pivotFmt>
        <c:idx val="85"/>
        <c:marker>
          <c:symbol val="none"/>
        </c:marker>
      </c:pivotFmt>
      <c:pivotFmt>
        <c:idx val="86"/>
        <c:marker>
          <c:symbol val="none"/>
        </c:marker>
      </c:pivotFmt>
      <c:pivotFmt>
        <c:idx val="87"/>
        <c:marker>
          <c:symbol val="none"/>
        </c:marker>
      </c:pivotFmt>
      <c:pivotFmt>
        <c:idx val="88"/>
        <c:marker>
          <c:symbol val="none"/>
        </c:marker>
      </c:pivotFmt>
      <c:pivotFmt>
        <c:idx val="89"/>
        <c:marker>
          <c:symbol val="none"/>
        </c:marker>
      </c:pivotFmt>
      <c:pivotFmt>
        <c:idx val="90"/>
        <c:marker>
          <c:symbol val="none"/>
        </c:marker>
      </c:pivotFmt>
      <c:pivotFmt>
        <c:idx val="91"/>
        <c:marker>
          <c:symbol val="none"/>
        </c:marker>
      </c:pivotFmt>
      <c:pivotFmt>
        <c:idx val="92"/>
        <c:marker>
          <c:symbol val="none"/>
        </c:marker>
      </c:pivotFmt>
      <c:pivotFmt>
        <c:idx val="93"/>
        <c:marker>
          <c:symbol val="none"/>
        </c:marker>
      </c:pivotFmt>
      <c:pivotFmt>
        <c:idx val="94"/>
        <c:marker>
          <c:symbol val="none"/>
        </c:marker>
      </c:pivotFmt>
      <c:pivotFmt>
        <c:idx val="95"/>
        <c:marker>
          <c:symbol val="none"/>
        </c:marker>
      </c:pivotFmt>
      <c:pivotFmt>
        <c:idx val="96"/>
        <c:marker>
          <c:symbol val="none"/>
        </c:marker>
      </c:pivotFmt>
      <c:pivotFmt>
        <c:idx val="97"/>
        <c:marker>
          <c:symbol val="none"/>
        </c:marker>
      </c:pivotFmt>
      <c:pivotFmt>
        <c:idx val="98"/>
        <c:marker>
          <c:symbol val="none"/>
        </c:marker>
      </c:pivotFmt>
      <c:pivotFmt>
        <c:idx val="99"/>
        <c:marker>
          <c:symbol val="none"/>
        </c:marker>
      </c:pivotFmt>
      <c:pivotFmt>
        <c:idx val="100"/>
        <c:marker>
          <c:symbol val="none"/>
        </c:marker>
      </c:pivotFmt>
      <c:pivotFmt>
        <c:idx val="101"/>
        <c:marker>
          <c:symbol val="none"/>
        </c:marker>
      </c:pivotFmt>
      <c:pivotFmt>
        <c:idx val="102"/>
        <c:marker>
          <c:symbol val="none"/>
        </c:marker>
      </c:pivotFmt>
      <c:pivotFmt>
        <c:idx val="103"/>
        <c:marker>
          <c:symbol val="none"/>
        </c:marker>
      </c:pivotFmt>
      <c:pivotFmt>
        <c:idx val="104"/>
        <c:marker>
          <c:symbol val="none"/>
        </c:marker>
      </c:pivotFmt>
      <c:pivotFmt>
        <c:idx val="105"/>
        <c:marker>
          <c:symbol val="none"/>
        </c:marker>
      </c:pivotFmt>
      <c:pivotFmt>
        <c:idx val="106"/>
        <c:marker>
          <c:symbol val="none"/>
        </c:marker>
      </c:pivotFmt>
      <c:pivotFmt>
        <c:idx val="107"/>
        <c:marker>
          <c:symbol val="none"/>
        </c:marker>
      </c:pivotFmt>
      <c:pivotFmt>
        <c:idx val="108"/>
        <c:marker>
          <c:symbol val="none"/>
        </c:marker>
      </c:pivotFmt>
      <c:pivotFmt>
        <c:idx val="109"/>
        <c:marker>
          <c:symbol val="none"/>
        </c:marker>
      </c:pivotFmt>
      <c:pivotFmt>
        <c:idx val="110"/>
        <c:marker>
          <c:symbol val="none"/>
        </c:marker>
      </c:pivotFmt>
      <c:pivotFmt>
        <c:idx val="111"/>
        <c:marker>
          <c:symbol val="none"/>
        </c:marker>
      </c:pivotFmt>
      <c:pivotFmt>
        <c:idx val="112"/>
        <c:marker>
          <c:symbol val="none"/>
        </c:marker>
      </c:pivotFmt>
      <c:pivotFmt>
        <c:idx val="113"/>
        <c:marker>
          <c:symbol val="none"/>
        </c:marker>
      </c:pivotFmt>
      <c:pivotFmt>
        <c:idx val="114"/>
        <c:marker>
          <c:symbol val="none"/>
        </c:marker>
      </c:pivotFmt>
      <c:pivotFmt>
        <c:idx val="115"/>
      </c:pivotFmt>
      <c:pivotFmt>
        <c:idx val="116"/>
      </c:pivotFmt>
      <c:pivotFmt>
        <c:idx val="117"/>
      </c:pivotFmt>
      <c:pivotFmt>
        <c:idx val="118"/>
      </c:pivotFmt>
      <c:pivotFmt>
        <c:idx val="119"/>
      </c:pivotFmt>
      <c:pivotFmt>
        <c:idx val="120"/>
      </c:pivotFmt>
      <c:pivotFmt>
        <c:idx val="121"/>
      </c:pivotFmt>
      <c:pivotFmt>
        <c:idx val="122"/>
      </c:pivotFmt>
      <c:pivotFmt>
        <c:idx val="123"/>
      </c:pivotFmt>
      <c:pivotFmt>
        <c:idx val="124"/>
      </c:pivotFmt>
      <c:pivotFmt>
        <c:idx val="125"/>
      </c:pivotFmt>
      <c:pivotFmt>
        <c:idx val="126"/>
      </c:pivotFmt>
      <c:pivotFmt>
        <c:idx val="127"/>
      </c:pivotFmt>
      <c:pivotFmt>
        <c:idx val="128"/>
      </c:pivotFmt>
      <c:pivotFmt>
        <c:idx val="129"/>
      </c:pivotFmt>
      <c:pivotFmt>
        <c:idx val="130"/>
      </c:pivotFmt>
      <c:pivotFmt>
        <c:idx val="131"/>
      </c:pivotFmt>
      <c:pivotFmt>
        <c:idx val="132"/>
      </c:pivotFmt>
      <c:pivotFmt>
        <c:idx val="133"/>
      </c:pivotFmt>
    </c:pivotFmts>
    <c:plotArea>
      <c:layout/>
      <c:lineChart>
        <c:grouping val="standard"/>
        <c:varyColors val="0"/>
        <c:ser>
          <c:idx val="0"/>
          <c:order val="0"/>
          <c:tx>
            <c:strRef>
              <c:f>'Sheet1 (5)'!$B$5:$B$6</c:f>
              <c:strCache>
                <c:ptCount val="1"/>
                <c:pt idx="0">
                  <c:v>Metastatic</c:v>
                </c:pt>
              </c:strCache>
            </c:strRef>
          </c:tx>
          <c:cat>
            <c:strRef>
              <c:f>'Sheet1 (5)'!$A$7:$A$15</c:f>
              <c:strCache>
                <c:ptCount val="8"/>
                <c:pt idx="0">
                  <c:v>2015Q3</c:v>
                </c:pt>
                <c:pt idx="1">
                  <c:v>2015Q4</c:v>
                </c:pt>
                <c:pt idx="2">
                  <c:v>2016Q1</c:v>
                </c:pt>
                <c:pt idx="3">
                  <c:v>2016Q2</c:v>
                </c:pt>
                <c:pt idx="4">
                  <c:v>2016Q3</c:v>
                </c:pt>
                <c:pt idx="5">
                  <c:v>2016Q4</c:v>
                </c:pt>
                <c:pt idx="6">
                  <c:v>2017Q1</c:v>
                </c:pt>
                <c:pt idx="7">
                  <c:v>2017Q2</c:v>
                </c:pt>
              </c:strCache>
            </c:strRef>
          </c:cat>
          <c:val>
            <c:numRef>
              <c:f>'Sheet1 (5)'!$B$7:$B$15</c:f>
              <c:numCache>
                <c:formatCode>General</c:formatCode>
                <c:ptCount val="8"/>
                <c:pt idx="0">
                  <c:v>572</c:v>
                </c:pt>
                <c:pt idx="1">
                  <c:v>1766</c:v>
                </c:pt>
                <c:pt idx="2">
                  <c:v>1994</c:v>
                </c:pt>
                <c:pt idx="3">
                  <c:v>2290</c:v>
                </c:pt>
                <c:pt idx="4">
                  <c:v>2326</c:v>
                </c:pt>
                <c:pt idx="5">
                  <c:v>2532</c:v>
                </c:pt>
                <c:pt idx="6">
                  <c:v>2686</c:v>
                </c:pt>
                <c:pt idx="7">
                  <c:v>2889</c:v>
                </c:pt>
              </c:numCache>
            </c:numRef>
          </c:val>
          <c:smooth val="0"/>
        </c:ser>
        <c:ser>
          <c:idx val="1"/>
          <c:order val="1"/>
          <c:tx>
            <c:strRef>
              <c:f>'Sheet1 (5)'!$C$5:$C$6</c:f>
              <c:strCache>
                <c:ptCount val="1"/>
                <c:pt idx="0">
                  <c:v>Metastatic, grandfathering</c:v>
                </c:pt>
              </c:strCache>
            </c:strRef>
          </c:tx>
          <c:cat>
            <c:strRef>
              <c:f>'Sheet1 (5)'!$A$7:$A$15</c:f>
              <c:strCache>
                <c:ptCount val="8"/>
                <c:pt idx="0">
                  <c:v>2015Q3</c:v>
                </c:pt>
                <c:pt idx="1">
                  <c:v>2015Q4</c:v>
                </c:pt>
                <c:pt idx="2">
                  <c:v>2016Q1</c:v>
                </c:pt>
                <c:pt idx="3">
                  <c:v>2016Q2</c:v>
                </c:pt>
                <c:pt idx="4">
                  <c:v>2016Q3</c:v>
                </c:pt>
                <c:pt idx="5">
                  <c:v>2016Q4</c:v>
                </c:pt>
                <c:pt idx="6">
                  <c:v>2017Q1</c:v>
                </c:pt>
                <c:pt idx="7">
                  <c:v>2017Q2</c:v>
                </c:pt>
              </c:strCache>
            </c:strRef>
          </c:cat>
          <c:val>
            <c:numRef>
              <c:f>'Sheet1 (5)'!$C$7:$C$15</c:f>
              <c:numCache>
                <c:formatCode>General</c:formatCode>
                <c:ptCount val="8"/>
                <c:pt idx="0">
                  <c:v>529</c:v>
                </c:pt>
                <c:pt idx="1">
                  <c:v>82</c:v>
                </c:pt>
                <c:pt idx="2">
                  <c:v>37</c:v>
                </c:pt>
                <c:pt idx="3">
                  <c:v>33</c:v>
                </c:pt>
                <c:pt idx="4">
                  <c:v>16</c:v>
                </c:pt>
                <c:pt idx="5">
                  <c:v>30</c:v>
                </c:pt>
                <c:pt idx="6">
                  <c:v>18</c:v>
                </c:pt>
                <c:pt idx="7">
                  <c:v>12</c:v>
                </c:pt>
              </c:numCache>
            </c:numRef>
          </c:val>
          <c:smooth val="0"/>
        </c:ser>
        <c:dLbls>
          <c:showLegendKey val="0"/>
          <c:showVal val="0"/>
          <c:showCatName val="0"/>
          <c:showSerName val="0"/>
          <c:showPercent val="0"/>
          <c:showBubbleSize val="0"/>
        </c:dLbls>
        <c:marker val="1"/>
        <c:smooth val="0"/>
        <c:axId val="788234624"/>
        <c:axId val="788236160"/>
      </c:lineChart>
      <c:catAx>
        <c:axId val="788234624"/>
        <c:scaling>
          <c:orientation val="minMax"/>
        </c:scaling>
        <c:delete val="0"/>
        <c:axPos val="b"/>
        <c:majorTickMark val="none"/>
        <c:minorTickMark val="none"/>
        <c:tickLblPos val="nextTo"/>
        <c:crossAx val="788236160"/>
        <c:crosses val="autoZero"/>
        <c:auto val="1"/>
        <c:lblAlgn val="ctr"/>
        <c:lblOffset val="100"/>
        <c:noMultiLvlLbl val="0"/>
      </c:catAx>
      <c:valAx>
        <c:axId val="788236160"/>
        <c:scaling>
          <c:orientation val="minMax"/>
        </c:scaling>
        <c:delete val="0"/>
        <c:axPos val="l"/>
        <c:majorGridlines/>
        <c:title>
          <c:tx>
            <c:rich>
              <a:bodyPr/>
              <a:lstStyle/>
              <a:p>
                <a:pPr>
                  <a:defRPr b="0"/>
                </a:pPr>
                <a:r>
                  <a:rPr lang="en-US" b="0"/>
                  <a:t>Prescriptions</a:t>
                </a:r>
              </a:p>
            </c:rich>
          </c:tx>
          <c:layout/>
          <c:overlay val="0"/>
        </c:title>
        <c:numFmt formatCode="General" sourceLinked="1"/>
        <c:majorTickMark val="none"/>
        <c:minorTickMark val="none"/>
        <c:tickLblPos val="nextTo"/>
        <c:crossAx val="788234624"/>
        <c:crosses val="autoZero"/>
        <c:crossBetween val="between"/>
      </c:valAx>
    </c:plotArea>
    <c:legend>
      <c:legendPos val="r"/>
      <c:layout/>
      <c:overlay val="0"/>
      <c:txPr>
        <a:bodyPr/>
        <a:lstStyle/>
        <a:p>
          <a:pPr>
            <a:defRPr sz="7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[D1041 - SCRPT_SUM v4 - all drugs only + restriction code.xlsx]Sheet1 (10)!PivotTable1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pivotFmt>
      <c:pivotFmt>
        <c:idx val="61"/>
        <c:marker>
          <c:symbol val="none"/>
        </c:marker>
      </c:pivotFmt>
      <c:pivotFmt>
        <c:idx val="62"/>
        <c:marker>
          <c:symbol val="none"/>
        </c:marker>
      </c:pivotFmt>
      <c:pivotFmt>
        <c:idx val="63"/>
      </c:pivotFmt>
      <c:pivotFmt>
        <c:idx val="64"/>
      </c:pivotFmt>
      <c:pivotFmt>
        <c:idx val="65"/>
        <c:marker>
          <c:symbol val="none"/>
        </c:marker>
      </c:pivotFmt>
      <c:pivotFmt>
        <c:idx val="66"/>
        <c:marker>
          <c:symbol val="none"/>
        </c:marker>
      </c:pivotFmt>
      <c:pivotFmt>
        <c:idx val="67"/>
        <c:marker>
          <c:symbol val="none"/>
        </c:marker>
      </c:pivotFmt>
      <c:pivotFmt>
        <c:idx val="68"/>
        <c:marker>
          <c:symbol val="none"/>
        </c:marker>
        <c:dLbl>
          <c:idx val="0"/>
          <c:delete val="1"/>
        </c:dLbl>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s>
    <c:plotArea>
      <c:layout/>
      <c:lineChart>
        <c:grouping val="standard"/>
        <c:varyColors val="0"/>
        <c:ser>
          <c:idx val="0"/>
          <c:order val="0"/>
          <c:tx>
            <c:strRef>
              <c:f>'Sheet1 (10)'!$B$3:$B$4</c:f>
              <c:strCache>
                <c:ptCount val="1"/>
                <c:pt idx="0">
                  <c:v>TRASTUZUMAB</c:v>
                </c:pt>
              </c:strCache>
            </c:strRef>
          </c:tx>
          <c:cat>
            <c:strRef>
              <c:f>'Sheet1 (10)'!$A$5:$A$48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(10)'!$B$5:$B$48</c:f>
              <c:numCache>
                <c:formatCode>General</c:formatCode>
                <c:ptCount val="43"/>
                <c:pt idx="0">
                  <c:v>2956</c:v>
                </c:pt>
                <c:pt idx="1">
                  <c:v>3985</c:v>
                </c:pt>
                <c:pt idx="2">
                  <c:v>4587</c:v>
                </c:pt>
                <c:pt idx="3">
                  <c:v>5068</c:v>
                </c:pt>
                <c:pt idx="4">
                  <c:v>4397</c:v>
                </c:pt>
                <c:pt idx="5">
                  <c:v>4349</c:v>
                </c:pt>
                <c:pt idx="6">
                  <c:v>4710</c:v>
                </c:pt>
                <c:pt idx="7">
                  <c:v>4710</c:v>
                </c:pt>
                <c:pt idx="8">
                  <c:v>4739</c:v>
                </c:pt>
                <c:pt idx="9">
                  <c:v>4793</c:v>
                </c:pt>
                <c:pt idx="10">
                  <c:v>5130</c:v>
                </c:pt>
                <c:pt idx="11">
                  <c:v>5473</c:v>
                </c:pt>
                <c:pt idx="12">
                  <c:v>5523</c:v>
                </c:pt>
                <c:pt idx="13">
                  <c:v>5408</c:v>
                </c:pt>
                <c:pt idx="14">
                  <c:v>5670</c:v>
                </c:pt>
                <c:pt idx="15">
                  <c:v>5697</c:v>
                </c:pt>
                <c:pt idx="16">
                  <c:v>5577</c:v>
                </c:pt>
                <c:pt idx="17">
                  <c:v>5900</c:v>
                </c:pt>
                <c:pt idx="18">
                  <c:v>6704</c:v>
                </c:pt>
                <c:pt idx="19">
                  <c:v>7074</c:v>
                </c:pt>
                <c:pt idx="20">
                  <c:v>7300</c:v>
                </c:pt>
                <c:pt idx="21">
                  <c:v>7113</c:v>
                </c:pt>
                <c:pt idx="22">
                  <c:v>6425</c:v>
                </c:pt>
                <c:pt idx="23">
                  <c:v>6491</c:v>
                </c:pt>
                <c:pt idx="24">
                  <c:v>6552</c:v>
                </c:pt>
                <c:pt idx="25">
                  <c:v>6984</c:v>
                </c:pt>
                <c:pt idx="26">
                  <c:v>7220</c:v>
                </c:pt>
                <c:pt idx="27">
                  <c:v>7568</c:v>
                </c:pt>
                <c:pt idx="28">
                  <c:v>7543</c:v>
                </c:pt>
                <c:pt idx="29">
                  <c:v>7555</c:v>
                </c:pt>
                <c:pt idx="30">
                  <c:v>7930</c:v>
                </c:pt>
                <c:pt idx="31">
                  <c:v>7925</c:v>
                </c:pt>
                <c:pt idx="32">
                  <c:v>8205</c:v>
                </c:pt>
                <c:pt idx="33">
                  <c:v>7957</c:v>
                </c:pt>
                <c:pt idx="34">
                  <c:v>7977</c:v>
                </c:pt>
                <c:pt idx="35">
                  <c:v>11463</c:v>
                </c:pt>
                <c:pt idx="36">
                  <c:v>12838</c:v>
                </c:pt>
                <c:pt idx="37">
                  <c:v>12587</c:v>
                </c:pt>
                <c:pt idx="38">
                  <c:v>13183</c:v>
                </c:pt>
                <c:pt idx="39">
                  <c:v>12782</c:v>
                </c:pt>
                <c:pt idx="40">
                  <c:v>12796</c:v>
                </c:pt>
                <c:pt idx="41">
                  <c:v>12955</c:v>
                </c:pt>
                <c:pt idx="42">
                  <c:v>12955</c:v>
                </c:pt>
              </c:numCache>
            </c:numRef>
          </c:val>
          <c:smooth val="0"/>
        </c:ser>
        <c:ser>
          <c:idx val="1"/>
          <c:order val="1"/>
          <c:tx>
            <c:strRef>
              <c:f>'Sheet1 (10)'!$C$3:$C$4</c:f>
              <c:strCache>
                <c:ptCount val="1"/>
                <c:pt idx="0">
                  <c:v>PERTUZUMAB</c:v>
                </c:pt>
              </c:strCache>
            </c:strRef>
          </c:tx>
          <c:cat>
            <c:strRef>
              <c:f>'Sheet1 (10)'!$A$5:$A$48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(10)'!$C$5:$C$48</c:f>
              <c:numCache>
                <c:formatCode>General</c:formatCode>
                <c:ptCount val="43"/>
                <c:pt idx="35">
                  <c:v>1101</c:v>
                </c:pt>
                <c:pt idx="36">
                  <c:v>1848</c:v>
                </c:pt>
                <c:pt idx="37">
                  <c:v>2031</c:v>
                </c:pt>
                <c:pt idx="38">
                  <c:v>2323</c:v>
                </c:pt>
                <c:pt idx="39">
                  <c:v>2342</c:v>
                </c:pt>
                <c:pt idx="40">
                  <c:v>2562</c:v>
                </c:pt>
                <c:pt idx="41">
                  <c:v>2704</c:v>
                </c:pt>
                <c:pt idx="42">
                  <c:v>2901</c:v>
                </c:pt>
              </c:numCache>
            </c:numRef>
          </c:val>
          <c:smooth val="0"/>
        </c:ser>
        <c:ser>
          <c:idx val="2"/>
          <c:order val="2"/>
          <c:tx>
            <c:strRef>
              <c:f>'Sheet1 (10)'!$D$3:$D$4</c:f>
              <c:strCache>
                <c:ptCount val="1"/>
                <c:pt idx="0">
                  <c:v>LAPATINIB</c:v>
                </c:pt>
              </c:strCache>
            </c:strRef>
          </c:tx>
          <c:cat>
            <c:strRef>
              <c:f>'Sheet1 (10)'!$A$5:$A$48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(10)'!$D$5:$D$48</c:f>
              <c:numCache>
                <c:formatCode>General</c:formatCode>
                <c:ptCount val="43"/>
                <c:pt idx="6">
                  <c:v>210</c:v>
                </c:pt>
                <c:pt idx="7">
                  <c:v>432</c:v>
                </c:pt>
                <c:pt idx="8">
                  <c:v>386</c:v>
                </c:pt>
                <c:pt idx="9">
                  <c:v>339</c:v>
                </c:pt>
                <c:pt idx="10">
                  <c:v>300</c:v>
                </c:pt>
                <c:pt idx="11">
                  <c:v>294</c:v>
                </c:pt>
                <c:pt idx="12">
                  <c:v>287</c:v>
                </c:pt>
                <c:pt idx="13">
                  <c:v>297</c:v>
                </c:pt>
                <c:pt idx="14">
                  <c:v>280</c:v>
                </c:pt>
                <c:pt idx="15">
                  <c:v>283</c:v>
                </c:pt>
                <c:pt idx="16">
                  <c:v>269</c:v>
                </c:pt>
                <c:pt idx="17">
                  <c:v>352</c:v>
                </c:pt>
                <c:pt idx="18">
                  <c:v>373</c:v>
                </c:pt>
                <c:pt idx="19">
                  <c:v>403</c:v>
                </c:pt>
                <c:pt idx="20">
                  <c:v>398</c:v>
                </c:pt>
                <c:pt idx="21">
                  <c:v>362</c:v>
                </c:pt>
                <c:pt idx="22">
                  <c:v>400</c:v>
                </c:pt>
                <c:pt idx="23">
                  <c:v>433</c:v>
                </c:pt>
                <c:pt idx="24">
                  <c:v>379</c:v>
                </c:pt>
                <c:pt idx="25">
                  <c:v>336</c:v>
                </c:pt>
                <c:pt idx="26">
                  <c:v>331</c:v>
                </c:pt>
                <c:pt idx="27">
                  <c:v>350</c:v>
                </c:pt>
                <c:pt idx="28">
                  <c:v>341</c:v>
                </c:pt>
                <c:pt idx="29">
                  <c:v>324</c:v>
                </c:pt>
                <c:pt idx="30">
                  <c:v>296</c:v>
                </c:pt>
                <c:pt idx="31">
                  <c:v>266</c:v>
                </c:pt>
                <c:pt idx="32">
                  <c:v>244</c:v>
                </c:pt>
                <c:pt idx="33">
                  <c:v>200</c:v>
                </c:pt>
                <c:pt idx="34">
                  <c:v>143</c:v>
                </c:pt>
                <c:pt idx="35">
                  <c:v>121</c:v>
                </c:pt>
                <c:pt idx="36">
                  <c:v>89</c:v>
                </c:pt>
                <c:pt idx="37">
                  <c:v>87</c:v>
                </c:pt>
                <c:pt idx="38">
                  <c:v>78</c:v>
                </c:pt>
                <c:pt idx="39">
                  <c:v>73</c:v>
                </c:pt>
                <c:pt idx="40">
                  <c:v>73</c:v>
                </c:pt>
                <c:pt idx="41">
                  <c:v>114</c:v>
                </c:pt>
                <c:pt idx="42">
                  <c:v>105</c:v>
                </c:pt>
              </c:numCache>
            </c:numRef>
          </c:val>
          <c:smooth val="0"/>
        </c:ser>
        <c:ser>
          <c:idx val="3"/>
          <c:order val="3"/>
          <c:tx>
            <c:strRef>
              <c:f>'Sheet1 (10)'!$E$3:$E$4</c:f>
              <c:strCache>
                <c:ptCount val="1"/>
                <c:pt idx="0">
                  <c:v>TRASTUZUMAB EMTANSINE</c:v>
                </c:pt>
              </c:strCache>
            </c:strRef>
          </c:tx>
          <c:cat>
            <c:strRef>
              <c:f>'Sheet1 (10)'!$A$5:$A$48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(10)'!$E$5:$E$48</c:f>
              <c:numCache>
                <c:formatCode>General</c:formatCode>
                <c:ptCount val="43"/>
                <c:pt idx="35">
                  <c:v>681</c:v>
                </c:pt>
                <c:pt idx="36">
                  <c:v>1059</c:v>
                </c:pt>
                <c:pt idx="37">
                  <c:v>966</c:v>
                </c:pt>
                <c:pt idx="38">
                  <c:v>1080</c:v>
                </c:pt>
                <c:pt idx="39">
                  <c:v>1043</c:v>
                </c:pt>
                <c:pt idx="40">
                  <c:v>1097</c:v>
                </c:pt>
                <c:pt idx="41">
                  <c:v>1027</c:v>
                </c:pt>
                <c:pt idx="42">
                  <c:v>1070</c:v>
                </c:pt>
              </c:numCache>
            </c:numRef>
          </c:val>
          <c:smooth val="0"/>
        </c:ser>
        <c:dLbls>
          <c:showLegendKey val="0"/>
          <c:showVal val="0"/>
          <c:showCatName val="0"/>
          <c:showSerName val="0"/>
          <c:showPercent val="0"/>
          <c:showBubbleSize val="0"/>
        </c:dLbls>
        <c:marker val="1"/>
        <c:smooth val="0"/>
        <c:axId val="788314368"/>
        <c:axId val="788320640"/>
      </c:lineChart>
      <c:catAx>
        <c:axId val="788314368"/>
        <c:scaling>
          <c:orientation val="minMax"/>
        </c:scaling>
        <c:delete val="0"/>
        <c:axPos val="b"/>
        <c:title>
          <c:tx>
            <c:rich>
              <a:bodyPr/>
              <a:lstStyle/>
              <a:p>
                <a:pPr>
                  <a:defRPr b="0"/>
                </a:pPr>
                <a:r>
                  <a:rPr lang="en-US" b="0"/>
                  <a:t>Quarter of Supply</a:t>
                </a:r>
              </a:p>
            </c:rich>
          </c:tx>
          <c:layout/>
          <c:overlay val="0"/>
        </c:title>
        <c:majorTickMark val="none"/>
        <c:minorTickMark val="none"/>
        <c:tickLblPos val="nextTo"/>
        <c:crossAx val="788320640"/>
        <c:crosses val="autoZero"/>
        <c:auto val="1"/>
        <c:lblAlgn val="ctr"/>
        <c:lblOffset val="100"/>
        <c:noMultiLvlLbl val="0"/>
      </c:catAx>
      <c:valAx>
        <c:axId val="788320640"/>
        <c:scaling>
          <c:orientation val="minMax"/>
        </c:scaling>
        <c:delete val="0"/>
        <c:axPos val="l"/>
        <c:majorGridlines/>
        <c:title>
          <c:tx>
            <c:rich>
              <a:bodyPr/>
              <a:lstStyle/>
              <a:p>
                <a:pPr>
                  <a:defRPr b="0"/>
                </a:pPr>
                <a:r>
                  <a:rPr lang="en-US" b="0"/>
                  <a:t>Prescriptions</a:t>
                </a:r>
              </a:p>
            </c:rich>
          </c:tx>
          <c:layout/>
          <c:overlay val="0"/>
        </c:title>
        <c:numFmt formatCode="#,##0" sourceLinked="0"/>
        <c:majorTickMark val="none"/>
        <c:minorTickMark val="none"/>
        <c:tickLblPos val="nextTo"/>
        <c:crossAx val="788314368"/>
        <c:crosses val="autoZero"/>
        <c:crossBetween val="between"/>
      </c:valAx>
    </c:plotArea>
    <c:legend>
      <c:legendPos val="b"/>
      <c:layout/>
      <c:overlay val="0"/>
      <c:txPr>
        <a:bodyPr/>
        <a:lstStyle/>
        <a:p>
          <a:pPr>
            <a:defRPr sz="9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[D1041_PATCNTBY_drug name &amp; SUPP_Q.xlsx]Sheet1 (3)!PivotTable1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s>
    <c:plotArea>
      <c:layout>
        <c:manualLayout>
          <c:layoutTarget val="inner"/>
          <c:xMode val="edge"/>
          <c:yMode val="edge"/>
          <c:x val="0.11333237805473043"/>
          <c:y val="3.7957332256544858E-2"/>
          <c:w val="0.85397732318636055"/>
          <c:h val="0.73286008479709264"/>
        </c:manualLayout>
      </c:layout>
      <c:lineChart>
        <c:grouping val="standard"/>
        <c:varyColors val="0"/>
        <c:ser>
          <c:idx val="0"/>
          <c:order val="0"/>
          <c:tx>
            <c:strRef>
              <c:f>'Sheet1 (3)'!$B$3:$B$4</c:f>
              <c:strCache>
                <c:ptCount val="1"/>
                <c:pt idx="0">
                  <c:v>LAPATINIB</c:v>
                </c:pt>
              </c:strCache>
            </c:strRef>
          </c:tx>
          <c:cat>
            <c:strRef>
              <c:f>'Sheet1 (3)'!$A$5:$A$48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(3)'!$B$5:$B$48</c:f>
              <c:numCache>
                <c:formatCode>General</c:formatCode>
                <c:ptCount val="43"/>
                <c:pt idx="6">
                  <c:v>135</c:v>
                </c:pt>
                <c:pt idx="7">
                  <c:v>169</c:v>
                </c:pt>
                <c:pt idx="8">
                  <c:v>160</c:v>
                </c:pt>
                <c:pt idx="9">
                  <c:v>148</c:v>
                </c:pt>
                <c:pt idx="10">
                  <c:v>120</c:v>
                </c:pt>
                <c:pt idx="11">
                  <c:v>124</c:v>
                </c:pt>
                <c:pt idx="12">
                  <c:v>118</c:v>
                </c:pt>
                <c:pt idx="13">
                  <c:v>132</c:v>
                </c:pt>
                <c:pt idx="14">
                  <c:v>119</c:v>
                </c:pt>
                <c:pt idx="15">
                  <c:v>118</c:v>
                </c:pt>
                <c:pt idx="16">
                  <c:v>122</c:v>
                </c:pt>
                <c:pt idx="17">
                  <c:v>159</c:v>
                </c:pt>
                <c:pt idx="18">
                  <c:v>152</c:v>
                </c:pt>
                <c:pt idx="19">
                  <c:v>176</c:v>
                </c:pt>
                <c:pt idx="20">
                  <c:v>181</c:v>
                </c:pt>
                <c:pt idx="21">
                  <c:v>168</c:v>
                </c:pt>
                <c:pt idx="22">
                  <c:v>167</c:v>
                </c:pt>
                <c:pt idx="23">
                  <c:v>183</c:v>
                </c:pt>
                <c:pt idx="24">
                  <c:v>160</c:v>
                </c:pt>
                <c:pt idx="25">
                  <c:v>136</c:v>
                </c:pt>
                <c:pt idx="26">
                  <c:v>138</c:v>
                </c:pt>
                <c:pt idx="27">
                  <c:v>146</c:v>
                </c:pt>
                <c:pt idx="28">
                  <c:v>141</c:v>
                </c:pt>
                <c:pt idx="29">
                  <c:v>145</c:v>
                </c:pt>
                <c:pt idx="30">
                  <c:v>130</c:v>
                </c:pt>
                <c:pt idx="31">
                  <c:v>121</c:v>
                </c:pt>
                <c:pt idx="32">
                  <c:v>108</c:v>
                </c:pt>
                <c:pt idx="33">
                  <c:v>87</c:v>
                </c:pt>
                <c:pt idx="34">
                  <c:v>65</c:v>
                </c:pt>
                <c:pt idx="35">
                  <c:v>48</c:v>
                </c:pt>
                <c:pt idx="36">
                  <c:v>37</c:v>
                </c:pt>
                <c:pt idx="37">
                  <c:v>36</c:v>
                </c:pt>
                <c:pt idx="38">
                  <c:v>34</c:v>
                </c:pt>
                <c:pt idx="39">
                  <c:v>33</c:v>
                </c:pt>
                <c:pt idx="40">
                  <c:v>34</c:v>
                </c:pt>
                <c:pt idx="41">
                  <c:v>46</c:v>
                </c:pt>
                <c:pt idx="42">
                  <c:v>48</c:v>
                </c:pt>
              </c:numCache>
            </c:numRef>
          </c:val>
          <c:smooth val="0"/>
        </c:ser>
        <c:ser>
          <c:idx val="1"/>
          <c:order val="1"/>
          <c:tx>
            <c:strRef>
              <c:f>'Sheet1 (3)'!$C$3:$C$4</c:f>
              <c:strCache>
                <c:ptCount val="1"/>
                <c:pt idx="0">
                  <c:v>PERTUZUMAB</c:v>
                </c:pt>
              </c:strCache>
            </c:strRef>
          </c:tx>
          <c:cat>
            <c:strRef>
              <c:f>'Sheet1 (3)'!$A$5:$A$48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(3)'!$C$5:$C$48</c:f>
              <c:numCache>
                <c:formatCode>General</c:formatCode>
                <c:ptCount val="43"/>
                <c:pt idx="35">
                  <c:v>435</c:v>
                </c:pt>
                <c:pt idx="36">
                  <c:v>512</c:v>
                </c:pt>
                <c:pt idx="37">
                  <c:v>558</c:v>
                </c:pt>
                <c:pt idx="38">
                  <c:v>621</c:v>
                </c:pt>
                <c:pt idx="39">
                  <c:v>631</c:v>
                </c:pt>
                <c:pt idx="40">
                  <c:v>679</c:v>
                </c:pt>
                <c:pt idx="41">
                  <c:v>723</c:v>
                </c:pt>
                <c:pt idx="42">
                  <c:v>755</c:v>
                </c:pt>
              </c:numCache>
            </c:numRef>
          </c:val>
          <c:smooth val="0"/>
        </c:ser>
        <c:ser>
          <c:idx val="2"/>
          <c:order val="2"/>
          <c:tx>
            <c:strRef>
              <c:f>'Sheet1 (3)'!$D$3:$D$4</c:f>
              <c:strCache>
                <c:ptCount val="1"/>
                <c:pt idx="0">
                  <c:v>TRASTUZUMAB</c:v>
                </c:pt>
              </c:strCache>
            </c:strRef>
          </c:tx>
          <c:cat>
            <c:strRef>
              <c:f>'Sheet1 (3)'!$A$5:$A$48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(3)'!$D$5:$D$48</c:f>
              <c:numCache>
                <c:formatCode>General</c:formatCode>
                <c:ptCount val="43"/>
                <c:pt idx="0">
                  <c:v>913</c:v>
                </c:pt>
                <c:pt idx="1">
                  <c:v>1130</c:v>
                </c:pt>
                <c:pt idx="2">
                  <c:v>1286</c:v>
                </c:pt>
                <c:pt idx="3">
                  <c:v>1438</c:v>
                </c:pt>
                <c:pt idx="4">
                  <c:v>1339</c:v>
                </c:pt>
                <c:pt idx="5">
                  <c:v>1286</c:v>
                </c:pt>
                <c:pt idx="6">
                  <c:v>1333</c:v>
                </c:pt>
                <c:pt idx="7">
                  <c:v>1367</c:v>
                </c:pt>
                <c:pt idx="8">
                  <c:v>1400</c:v>
                </c:pt>
                <c:pt idx="9">
                  <c:v>1436</c:v>
                </c:pt>
                <c:pt idx="10">
                  <c:v>1502</c:v>
                </c:pt>
                <c:pt idx="11">
                  <c:v>1576</c:v>
                </c:pt>
                <c:pt idx="12">
                  <c:v>1568</c:v>
                </c:pt>
                <c:pt idx="13">
                  <c:v>1602</c:v>
                </c:pt>
                <c:pt idx="14">
                  <c:v>1626</c:v>
                </c:pt>
                <c:pt idx="15">
                  <c:v>1662</c:v>
                </c:pt>
                <c:pt idx="16">
                  <c:v>1635</c:v>
                </c:pt>
                <c:pt idx="17">
                  <c:v>1712</c:v>
                </c:pt>
                <c:pt idx="18">
                  <c:v>1706</c:v>
                </c:pt>
                <c:pt idx="19">
                  <c:v>1753</c:v>
                </c:pt>
                <c:pt idx="20">
                  <c:v>1730</c:v>
                </c:pt>
                <c:pt idx="21">
                  <c:v>1792</c:v>
                </c:pt>
                <c:pt idx="22">
                  <c:v>1752</c:v>
                </c:pt>
                <c:pt idx="23">
                  <c:v>1799</c:v>
                </c:pt>
                <c:pt idx="24">
                  <c:v>1820</c:v>
                </c:pt>
                <c:pt idx="25">
                  <c:v>1882</c:v>
                </c:pt>
                <c:pt idx="26">
                  <c:v>1986</c:v>
                </c:pt>
                <c:pt idx="27">
                  <c:v>2051</c:v>
                </c:pt>
                <c:pt idx="28">
                  <c:v>2050</c:v>
                </c:pt>
                <c:pt idx="29">
                  <c:v>2105</c:v>
                </c:pt>
                <c:pt idx="30">
                  <c:v>2217</c:v>
                </c:pt>
                <c:pt idx="31">
                  <c:v>2218</c:v>
                </c:pt>
                <c:pt idx="32">
                  <c:v>2206</c:v>
                </c:pt>
                <c:pt idx="33">
                  <c:v>2211</c:v>
                </c:pt>
                <c:pt idx="34">
                  <c:v>2225</c:v>
                </c:pt>
                <c:pt idx="35">
                  <c:v>3359</c:v>
                </c:pt>
                <c:pt idx="36">
                  <c:v>3451</c:v>
                </c:pt>
                <c:pt idx="37">
                  <c:v>3472</c:v>
                </c:pt>
                <c:pt idx="38">
                  <c:v>3538</c:v>
                </c:pt>
                <c:pt idx="39">
                  <c:v>3463</c:v>
                </c:pt>
                <c:pt idx="40">
                  <c:v>3481</c:v>
                </c:pt>
                <c:pt idx="41">
                  <c:v>3521</c:v>
                </c:pt>
                <c:pt idx="42">
                  <c:v>3544</c:v>
                </c:pt>
              </c:numCache>
            </c:numRef>
          </c:val>
          <c:smooth val="0"/>
        </c:ser>
        <c:ser>
          <c:idx val="3"/>
          <c:order val="3"/>
          <c:tx>
            <c:strRef>
              <c:f>'Sheet1 (3)'!$E$3:$E$4</c:f>
              <c:strCache>
                <c:ptCount val="1"/>
                <c:pt idx="0">
                  <c:v>TRASTUZUMAB EMTANSINE</c:v>
                </c:pt>
              </c:strCache>
            </c:strRef>
          </c:tx>
          <c:cat>
            <c:strRef>
              <c:f>'Sheet1 (3)'!$A$5:$A$48</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(3)'!$E$5:$E$48</c:f>
              <c:numCache>
                <c:formatCode>General</c:formatCode>
                <c:ptCount val="43"/>
                <c:pt idx="35">
                  <c:v>258</c:v>
                </c:pt>
                <c:pt idx="36">
                  <c:v>303</c:v>
                </c:pt>
                <c:pt idx="37">
                  <c:v>296</c:v>
                </c:pt>
                <c:pt idx="38">
                  <c:v>296</c:v>
                </c:pt>
                <c:pt idx="39">
                  <c:v>304</c:v>
                </c:pt>
                <c:pt idx="40">
                  <c:v>309</c:v>
                </c:pt>
                <c:pt idx="41">
                  <c:v>294</c:v>
                </c:pt>
                <c:pt idx="42">
                  <c:v>303</c:v>
                </c:pt>
              </c:numCache>
            </c:numRef>
          </c:val>
          <c:smooth val="0"/>
        </c:ser>
        <c:dLbls>
          <c:showLegendKey val="0"/>
          <c:showVal val="0"/>
          <c:showCatName val="0"/>
          <c:showSerName val="0"/>
          <c:showPercent val="0"/>
          <c:showBubbleSize val="0"/>
        </c:dLbls>
        <c:marker val="1"/>
        <c:smooth val="0"/>
        <c:axId val="788534016"/>
        <c:axId val="788535552"/>
      </c:lineChart>
      <c:catAx>
        <c:axId val="788534016"/>
        <c:scaling>
          <c:orientation val="minMax"/>
        </c:scaling>
        <c:delete val="0"/>
        <c:axPos val="b"/>
        <c:majorTickMark val="out"/>
        <c:minorTickMark val="none"/>
        <c:tickLblPos val="nextTo"/>
        <c:crossAx val="788535552"/>
        <c:crosses val="autoZero"/>
        <c:auto val="1"/>
        <c:lblAlgn val="ctr"/>
        <c:lblOffset val="100"/>
        <c:noMultiLvlLbl val="0"/>
      </c:catAx>
      <c:valAx>
        <c:axId val="788535552"/>
        <c:scaling>
          <c:orientation val="minMax"/>
        </c:scaling>
        <c:delete val="0"/>
        <c:axPos val="l"/>
        <c:majorGridlines/>
        <c:title>
          <c:tx>
            <c:rich>
              <a:bodyPr rot="-5400000" vert="horz"/>
              <a:lstStyle/>
              <a:p>
                <a:pPr>
                  <a:defRPr b="0"/>
                </a:pPr>
                <a:r>
                  <a:rPr lang="en-AU" b="0"/>
                  <a:t>Patients</a:t>
                </a:r>
              </a:p>
            </c:rich>
          </c:tx>
          <c:layout>
            <c:manualLayout>
              <c:xMode val="edge"/>
              <c:yMode val="edge"/>
              <c:x val="6.7001675041876048E-3"/>
              <c:y val="0.33756672723601855"/>
            </c:manualLayout>
          </c:layout>
          <c:overlay val="0"/>
        </c:title>
        <c:numFmt formatCode="#,##0" sourceLinked="0"/>
        <c:majorTickMark val="out"/>
        <c:minorTickMark val="none"/>
        <c:tickLblPos val="nextTo"/>
        <c:crossAx val="788534016"/>
        <c:crosses val="autoZero"/>
        <c:crossBetween val="between"/>
      </c:valAx>
    </c:plotArea>
    <c:legend>
      <c:legendPos val="b"/>
      <c:layout/>
      <c:overlay val="0"/>
      <c:txPr>
        <a:bodyPr/>
        <a:lstStyle/>
        <a:p>
          <a:pPr>
            <a:defRPr sz="900"/>
          </a:pPr>
          <a:endParaRPr lang="en-US"/>
        </a:p>
      </c:txPr>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[D1041_PATCNTBY_drug name, stage2 &amp; SUPP_Q.xlsx]Sheet1 (3)!PivotTable1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s>
    <c:plotArea>
      <c:layout>
        <c:manualLayout>
          <c:layoutTarget val="inner"/>
          <c:xMode val="edge"/>
          <c:yMode val="edge"/>
          <c:x val="9.9504280732352915E-2"/>
          <c:y val="3.7526950488814867E-2"/>
          <c:w val="0.86801788773835442"/>
          <c:h val="0.67058458441354862"/>
        </c:manualLayout>
      </c:layout>
      <c:lineChart>
        <c:grouping val="standard"/>
        <c:varyColors val="0"/>
        <c:ser>
          <c:idx val="0"/>
          <c:order val="0"/>
          <c:tx>
            <c:strRef>
              <c:f>'Sheet1 (3)'!$B$3:$B$5</c:f>
              <c:strCache>
                <c:ptCount val="1"/>
                <c:pt idx="0">
                  <c:v>LAPATINIB - Metastatic</c:v>
                </c:pt>
              </c:strCache>
            </c:strRef>
          </c:tx>
          <c:cat>
            <c:strRef>
              <c:f>'Sheet1 (3)'!$A$6:$A$49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(3)'!$B$6:$B$49</c:f>
              <c:numCache>
                <c:formatCode>General</c:formatCode>
                <c:ptCount val="43"/>
                <c:pt idx="6">
                  <c:v>135</c:v>
                </c:pt>
                <c:pt idx="7">
                  <c:v>169</c:v>
                </c:pt>
                <c:pt idx="8">
                  <c:v>160</c:v>
                </c:pt>
                <c:pt idx="9">
                  <c:v>148</c:v>
                </c:pt>
                <c:pt idx="10">
                  <c:v>120</c:v>
                </c:pt>
                <c:pt idx="11">
                  <c:v>124</c:v>
                </c:pt>
                <c:pt idx="12">
                  <c:v>118</c:v>
                </c:pt>
                <c:pt idx="13">
                  <c:v>132</c:v>
                </c:pt>
                <c:pt idx="14">
                  <c:v>119</c:v>
                </c:pt>
                <c:pt idx="15">
                  <c:v>118</c:v>
                </c:pt>
                <c:pt idx="16">
                  <c:v>122</c:v>
                </c:pt>
                <c:pt idx="17">
                  <c:v>159</c:v>
                </c:pt>
                <c:pt idx="18">
                  <c:v>152</c:v>
                </c:pt>
                <c:pt idx="19">
                  <c:v>176</c:v>
                </c:pt>
                <c:pt idx="20">
                  <c:v>181</c:v>
                </c:pt>
                <c:pt idx="21">
                  <c:v>168</c:v>
                </c:pt>
                <c:pt idx="22">
                  <c:v>167</c:v>
                </c:pt>
                <c:pt idx="23">
                  <c:v>183</c:v>
                </c:pt>
                <c:pt idx="24">
                  <c:v>160</c:v>
                </c:pt>
                <c:pt idx="25">
                  <c:v>136</c:v>
                </c:pt>
                <c:pt idx="26">
                  <c:v>138</c:v>
                </c:pt>
                <c:pt idx="27">
                  <c:v>146</c:v>
                </c:pt>
                <c:pt idx="28">
                  <c:v>141</c:v>
                </c:pt>
                <c:pt idx="29">
                  <c:v>145</c:v>
                </c:pt>
                <c:pt idx="30">
                  <c:v>130</c:v>
                </c:pt>
                <c:pt idx="31">
                  <c:v>121</c:v>
                </c:pt>
                <c:pt idx="32">
                  <c:v>108</c:v>
                </c:pt>
                <c:pt idx="33">
                  <c:v>87</c:v>
                </c:pt>
                <c:pt idx="34">
                  <c:v>65</c:v>
                </c:pt>
                <c:pt idx="35">
                  <c:v>48</c:v>
                </c:pt>
                <c:pt idx="36">
                  <c:v>37</c:v>
                </c:pt>
                <c:pt idx="37">
                  <c:v>36</c:v>
                </c:pt>
                <c:pt idx="38">
                  <c:v>34</c:v>
                </c:pt>
                <c:pt idx="39">
                  <c:v>33</c:v>
                </c:pt>
                <c:pt idx="40">
                  <c:v>34</c:v>
                </c:pt>
                <c:pt idx="41">
                  <c:v>46</c:v>
                </c:pt>
                <c:pt idx="42">
                  <c:v>48</c:v>
                </c:pt>
              </c:numCache>
            </c:numRef>
          </c:val>
          <c:smooth val="0"/>
        </c:ser>
        <c:ser>
          <c:idx val="1"/>
          <c:order val="1"/>
          <c:tx>
            <c:strRef>
              <c:f>'Sheet1 (3)'!$D$3:$D$5</c:f>
              <c:strCache>
                <c:ptCount val="1"/>
                <c:pt idx="0">
                  <c:v>PERTUZUMAB - Metastatic</c:v>
                </c:pt>
              </c:strCache>
            </c:strRef>
          </c:tx>
          <c:cat>
            <c:strRef>
              <c:f>'Sheet1 (3)'!$A$6:$A$49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(3)'!$D$6:$D$49</c:f>
              <c:numCache>
                <c:formatCode>General</c:formatCode>
                <c:ptCount val="43"/>
                <c:pt idx="35">
                  <c:v>435</c:v>
                </c:pt>
                <c:pt idx="36">
                  <c:v>512</c:v>
                </c:pt>
                <c:pt idx="37">
                  <c:v>558</c:v>
                </c:pt>
                <c:pt idx="38">
                  <c:v>621</c:v>
                </c:pt>
                <c:pt idx="39">
                  <c:v>631</c:v>
                </c:pt>
                <c:pt idx="40">
                  <c:v>679</c:v>
                </c:pt>
                <c:pt idx="41">
                  <c:v>723</c:v>
                </c:pt>
                <c:pt idx="42">
                  <c:v>755</c:v>
                </c:pt>
              </c:numCache>
            </c:numRef>
          </c:val>
          <c:smooth val="0"/>
        </c:ser>
        <c:ser>
          <c:idx val="2"/>
          <c:order val="2"/>
          <c:tx>
            <c:strRef>
              <c:f>'Sheet1 (3)'!$F$3:$F$5</c:f>
              <c:strCache>
                <c:ptCount val="1"/>
                <c:pt idx="0">
                  <c:v>TRASTUZUMAB - Early</c:v>
                </c:pt>
              </c:strCache>
            </c:strRef>
          </c:tx>
          <c:cat>
            <c:strRef>
              <c:f>'Sheet1 (3)'!$A$6:$A$49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(3)'!$F$6:$F$49</c:f>
              <c:numCache>
                <c:formatCode>General</c:formatCode>
                <c:ptCount val="43"/>
                <c:pt idx="0">
                  <c:v>913</c:v>
                </c:pt>
                <c:pt idx="1">
                  <c:v>1130</c:v>
                </c:pt>
                <c:pt idx="2">
                  <c:v>1286</c:v>
                </c:pt>
                <c:pt idx="3">
                  <c:v>1438</c:v>
                </c:pt>
                <c:pt idx="4">
                  <c:v>1339</c:v>
                </c:pt>
                <c:pt idx="5">
                  <c:v>1286</c:v>
                </c:pt>
                <c:pt idx="6">
                  <c:v>1333</c:v>
                </c:pt>
                <c:pt idx="7">
                  <c:v>1367</c:v>
                </c:pt>
                <c:pt idx="8">
                  <c:v>1400</c:v>
                </c:pt>
                <c:pt idx="9">
                  <c:v>1436</c:v>
                </c:pt>
                <c:pt idx="10">
                  <c:v>1502</c:v>
                </c:pt>
                <c:pt idx="11">
                  <c:v>1576</c:v>
                </c:pt>
                <c:pt idx="12">
                  <c:v>1568</c:v>
                </c:pt>
                <c:pt idx="13">
                  <c:v>1602</c:v>
                </c:pt>
                <c:pt idx="14">
                  <c:v>1626</c:v>
                </c:pt>
                <c:pt idx="15">
                  <c:v>1662</c:v>
                </c:pt>
                <c:pt idx="16">
                  <c:v>1635</c:v>
                </c:pt>
                <c:pt idx="17">
                  <c:v>1712</c:v>
                </c:pt>
                <c:pt idx="18">
                  <c:v>1706</c:v>
                </c:pt>
                <c:pt idx="19">
                  <c:v>1753</c:v>
                </c:pt>
                <c:pt idx="20">
                  <c:v>1730</c:v>
                </c:pt>
                <c:pt idx="21">
                  <c:v>1792</c:v>
                </c:pt>
                <c:pt idx="22">
                  <c:v>1752</c:v>
                </c:pt>
                <c:pt idx="23">
                  <c:v>1799</c:v>
                </c:pt>
                <c:pt idx="24">
                  <c:v>1812</c:v>
                </c:pt>
                <c:pt idx="25">
                  <c:v>1848</c:v>
                </c:pt>
                <c:pt idx="26">
                  <c:v>1935</c:v>
                </c:pt>
                <c:pt idx="27">
                  <c:v>1987</c:v>
                </c:pt>
                <c:pt idx="28">
                  <c:v>1961</c:v>
                </c:pt>
                <c:pt idx="29">
                  <c:v>1991</c:v>
                </c:pt>
                <c:pt idx="30">
                  <c:v>2123</c:v>
                </c:pt>
                <c:pt idx="31">
                  <c:v>2090</c:v>
                </c:pt>
                <c:pt idx="32">
                  <c:v>2048</c:v>
                </c:pt>
                <c:pt idx="33">
                  <c:v>2045</c:v>
                </c:pt>
                <c:pt idx="34">
                  <c:v>2057</c:v>
                </c:pt>
                <c:pt idx="35">
                  <c:v>2213</c:v>
                </c:pt>
                <c:pt idx="36">
                  <c:v>2170</c:v>
                </c:pt>
                <c:pt idx="37">
                  <c:v>2072</c:v>
                </c:pt>
                <c:pt idx="38">
                  <c:v>2089</c:v>
                </c:pt>
                <c:pt idx="39">
                  <c:v>2025</c:v>
                </c:pt>
                <c:pt idx="40">
                  <c:v>2010</c:v>
                </c:pt>
                <c:pt idx="41">
                  <c:v>1994</c:v>
                </c:pt>
                <c:pt idx="42">
                  <c:v>1963</c:v>
                </c:pt>
              </c:numCache>
            </c:numRef>
          </c:val>
          <c:smooth val="0"/>
        </c:ser>
        <c:ser>
          <c:idx val="3"/>
          <c:order val="3"/>
          <c:tx>
            <c:strRef>
              <c:f>'Sheet1 (3)'!$G$3:$G$5</c:f>
              <c:strCache>
                <c:ptCount val="1"/>
                <c:pt idx="0">
                  <c:v>TRASTUZUMAB - Locally advanced</c:v>
                </c:pt>
              </c:strCache>
            </c:strRef>
          </c:tx>
          <c:cat>
            <c:strRef>
              <c:f>'Sheet1 (3)'!$A$6:$A$49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(3)'!$G$6:$G$49</c:f>
              <c:numCache>
                <c:formatCode>General</c:formatCode>
                <c:ptCount val="43"/>
                <c:pt idx="24">
                  <c:v>19</c:v>
                </c:pt>
                <c:pt idx="25">
                  <c:v>80</c:v>
                </c:pt>
                <c:pt idx="26">
                  <c:v>82</c:v>
                </c:pt>
                <c:pt idx="27">
                  <c:v>105</c:v>
                </c:pt>
                <c:pt idx="28">
                  <c:v>139</c:v>
                </c:pt>
                <c:pt idx="29">
                  <c:v>197</c:v>
                </c:pt>
                <c:pt idx="30">
                  <c:v>171</c:v>
                </c:pt>
                <c:pt idx="31">
                  <c:v>191</c:v>
                </c:pt>
                <c:pt idx="32">
                  <c:v>222</c:v>
                </c:pt>
                <c:pt idx="33">
                  <c:v>255</c:v>
                </c:pt>
                <c:pt idx="34">
                  <c:v>221</c:v>
                </c:pt>
                <c:pt idx="35">
                  <c:v>254</c:v>
                </c:pt>
                <c:pt idx="36">
                  <c:v>251</c:v>
                </c:pt>
                <c:pt idx="37">
                  <c:v>280</c:v>
                </c:pt>
                <c:pt idx="38">
                  <c:v>295</c:v>
                </c:pt>
                <c:pt idx="39">
                  <c:v>290</c:v>
                </c:pt>
                <c:pt idx="40">
                  <c:v>335</c:v>
                </c:pt>
                <c:pt idx="41">
                  <c:v>361</c:v>
                </c:pt>
                <c:pt idx="42">
                  <c:v>372</c:v>
                </c:pt>
              </c:numCache>
            </c:numRef>
          </c:val>
          <c:smooth val="0"/>
        </c:ser>
        <c:ser>
          <c:idx val="4"/>
          <c:order val="4"/>
          <c:tx>
            <c:strRef>
              <c:f>'Sheet1 (3)'!$H$3:$H$5</c:f>
              <c:strCache>
                <c:ptCount val="1"/>
                <c:pt idx="0">
                  <c:v>TRASTUZUMAB - Metastatic</c:v>
                </c:pt>
              </c:strCache>
            </c:strRef>
          </c:tx>
          <c:cat>
            <c:strRef>
              <c:f>'Sheet1 (3)'!$A$6:$A$49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(3)'!$H$6:$H$49</c:f>
              <c:numCache>
                <c:formatCode>General</c:formatCode>
                <c:ptCount val="43"/>
                <c:pt idx="35">
                  <c:v>1078</c:v>
                </c:pt>
                <c:pt idx="36">
                  <c:v>1264</c:v>
                </c:pt>
                <c:pt idx="37">
                  <c:v>1272</c:v>
                </c:pt>
                <c:pt idx="38">
                  <c:v>1345</c:v>
                </c:pt>
                <c:pt idx="39">
                  <c:v>1289</c:v>
                </c:pt>
                <c:pt idx="40">
                  <c:v>1275</c:v>
                </c:pt>
                <c:pt idx="41">
                  <c:v>1302</c:v>
                </c:pt>
                <c:pt idx="42">
                  <c:v>1348</c:v>
                </c:pt>
              </c:numCache>
            </c:numRef>
          </c:val>
          <c:smooth val="0"/>
        </c:ser>
        <c:ser>
          <c:idx val="5"/>
          <c:order val="5"/>
          <c:tx>
            <c:strRef>
              <c:f>'Sheet1 (3)'!$J$3:$J$5</c:f>
              <c:strCache>
                <c:ptCount val="1"/>
                <c:pt idx="0">
                  <c:v>TRASTUZUMAB EMTANSINE - Metastatic</c:v>
                </c:pt>
              </c:strCache>
            </c:strRef>
          </c:tx>
          <c:cat>
            <c:strRef>
              <c:f>'Sheet1 (3)'!$A$6:$A$49</c:f>
              <c:strCache>
                <c:ptCount val="43"/>
                <c:pt idx="0">
                  <c:v>2006Q4</c:v>
                </c:pt>
                <c:pt idx="1">
                  <c:v>2007Q1</c:v>
                </c:pt>
                <c:pt idx="2">
                  <c:v>2007Q2</c:v>
                </c:pt>
                <c:pt idx="3">
                  <c:v>2007Q3</c:v>
                </c:pt>
                <c:pt idx="4">
                  <c:v>2007Q4</c:v>
                </c:pt>
                <c:pt idx="5">
                  <c:v>2008Q1</c:v>
                </c:pt>
                <c:pt idx="6">
                  <c:v>2008Q2</c:v>
                </c:pt>
                <c:pt idx="7">
                  <c:v>2008Q3</c:v>
                </c:pt>
                <c:pt idx="8">
                  <c:v>2008Q4</c:v>
                </c:pt>
                <c:pt idx="9">
                  <c:v>2009Q1</c:v>
                </c:pt>
                <c:pt idx="10">
                  <c:v>2009Q2</c:v>
                </c:pt>
                <c:pt idx="11">
                  <c:v>2009Q3</c:v>
                </c:pt>
                <c:pt idx="12">
                  <c:v>2009Q4</c:v>
                </c:pt>
                <c:pt idx="13">
                  <c:v>2010Q1</c:v>
                </c:pt>
                <c:pt idx="14">
                  <c:v>2010Q2</c:v>
                </c:pt>
                <c:pt idx="15">
                  <c:v>2010Q3</c:v>
                </c:pt>
                <c:pt idx="16">
                  <c:v>2010Q4</c:v>
                </c:pt>
                <c:pt idx="17">
                  <c:v>2011Q1</c:v>
                </c:pt>
                <c:pt idx="18">
                  <c:v>2011Q2</c:v>
                </c:pt>
                <c:pt idx="19">
                  <c:v>2011Q3</c:v>
                </c:pt>
                <c:pt idx="20">
                  <c:v>2011Q4</c:v>
                </c:pt>
                <c:pt idx="21">
                  <c:v>2012Q1</c:v>
                </c:pt>
                <c:pt idx="22">
                  <c:v>2012Q2</c:v>
                </c:pt>
                <c:pt idx="23">
                  <c:v>2012Q3</c:v>
                </c:pt>
                <c:pt idx="24">
                  <c:v>2012Q4</c:v>
                </c:pt>
                <c:pt idx="25">
                  <c:v>2013Q1</c:v>
                </c:pt>
                <c:pt idx="26">
                  <c:v>2013Q2</c:v>
                </c:pt>
                <c:pt idx="27">
                  <c:v>2013Q3</c:v>
                </c:pt>
                <c:pt idx="28">
                  <c:v>2013Q4</c:v>
                </c:pt>
                <c:pt idx="29">
                  <c:v>2014Q1</c:v>
                </c:pt>
                <c:pt idx="30">
                  <c:v>2014Q2</c:v>
                </c:pt>
                <c:pt idx="31">
                  <c:v>2014Q3</c:v>
                </c:pt>
                <c:pt idx="32">
                  <c:v>2014Q4</c:v>
                </c:pt>
                <c:pt idx="33">
                  <c:v>2015Q1</c:v>
                </c:pt>
                <c:pt idx="34">
                  <c:v>2015Q2</c:v>
                </c:pt>
                <c:pt idx="35">
                  <c:v>2015Q3</c:v>
                </c:pt>
                <c:pt idx="36">
                  <c:v>2015Q4</c:v>
                </c:pt>
                <c:pt idx="37">
                  <c:v>2016Q1</c:v>
                </c:pt>
                <c:pt idx="38">
                  <c:v>2016Q2</c:v>
                </c:pt>
                <c:pt idx="39">
                  <c:v>2016Q3</c:v>
                </c:pt>
                <c:pt idx="40">
                  <c:v>2016Q4</c:v>
                </c:pt>
                <c:pt idx="41">
                  <c:v>2017Q1</c:v>
                </c:pt>
                <c:pt idx="42">
                  <c:v>2017Q2</c:v>
                </c:pt>
              </c:strCache>
            </c:strRef>
          </c:cat>
          <c:val>
            <c:numRef>
              <c:f>'Sheet1 (3)'!$J$6:$J$49</c:f>
              <c:numCache>
                <c:formatCode>General</c:formatCode>
                <c:ptCount val="43"/>
                <c:pt idx="35">
                  <c:v>258</c:v>
                </c:pt>
                <c:pt idx="36">
                  <c:v>303</c:v>
                </c:pt>
                <c:pt idx="37">
                  <c:v>296</c:v>
                </c:pt>
                <c:pt idx="38">
                  <c:v>296</c:v>
                </c:pt>
                <c:pt idx="39">
                  <c:v>304</c:v>
                </c:pt>
                <c:pt idx="40">
                  <c:v>309</c:v>
                </c:pt>
                <c:pt idx="41">
                  <c:v>294</c:v>
                </c:pt>
                <c:pt idx="42">
                  <c:v>303</c:v>
                </c:pt>
              </c:numCache>
            </c:numRef>
          </c:val>
          <c:smooth val="0"/>
        </c:ser>
        <c:dLbls>
          <c:showLegendKey val="0"/>
          <c:showVal val="0"/>
          <c:showCatName val="0"/>
          <c:showSerName val="0"/>
          <c:showPercent val="0"/>
          <c:showBubbleSize val="0"/>
        </c:dLbls>
        <c:marker val="1"/>
        <c:smooth val="0"/>
        <c:axId val="788649856"/>
        <c:axId val="788651392"/>
      </c:lineChart>
      <c:catAx>
        <c:axId val="788649856"/>
        <c:scaling>
          <c:orientation val="minMax"/>
        </c:scaling>
        <c:delete val="0"/>
        <c:axPos val="b"/>
        <c:majorTickMark val="out"/>
        <c:minorTickMark val="none"/>
        <c:tickLblPos val="nextTo"/>
        <c:crossAx val="788651392"/>
        <c:crosses val="autoZero"/>
        <c:auto val="1"/>
        <c:lblAlgn val="ctr"/>
        <c:lblOffset val="100"/>
        <c:noMultiLvlLbl val="0"/>
      </c:catAx>
      <c:valAx>
        <c:axId val="788651392"/>
        <c:scaling>
          <c:orientation val="minMax"/>
        </c:scaling>
        <c:delete val="0"/>
        <c:axPos val="l"/>
        <c:majorGridlines/>
        <c:title>
          <c:tx>
            <c:rich>
              <a:bodyPr rot="-5400000" vert="horz"/>
              <a:lstStyle/>
              <a:p>
                <a:pPr>
                  <a:defRPr b="0"/>
                </a:pPr>
                <a:r>
                  <a:rPr lang="en-AU" b="0"/>
                  <a:t>Patients</a:t>
                </a:r>
              </a:p>
            </c:rich>
          </c:tx>
          <c:layout/>
          <c:overlay val="0"/>
        </c:title>
        <c:numFmt formatCode="#,##0" sourceLinked="0"/>
        <c:majorTickMark val="out"/>
        <c:minorTickMark val="none"/>
        <c:tickLblPos val="nextTo"/>
        <c:crossAx val="788649856"/>
        <c:crosses val="autoZero"/>
        <c:crossBetween val="between"/>
      </c:valAx>
    </c:plotArea>
    <c:legend>
      <c:legendPos val="b"/>
      <c:layout>
        <c:manualLayout>
          <c:xMode val="edge"/>
          <c:yMode val="edge"/>
          <c:x val="0.12869736655818206"/>
          <c:y val="0.84643408035534018"/>
          <c:w val="0.75131276375528611"/>
          <c:h val="0.1335181975183061"/>
        </c:manualLayout>
      </c:layout>
      <c:overlay val="0"/>
      <c:txPr>
        <a:bodyPr/>
        <a:lstStyle/>
        <a:p>
          <a:pPr>
            <a:defRPr sz="800"/>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0.52285</cdr:x>
      <cdr:y>0.03634</cdr:y>
    </cdr:from>
    <cdr:to>
      <cdr:x>0.77751</cdr:x>
      <cdr:y>0.19883</cdr:y>
    </cdr:to>
    <cdr:sp macro="" textlink="">
      <cdr:nvSpPr>
        <cdr:cNvPr id="3" name="Text Box 2"/>
        <cdr:cNvSpPr txBox="1">
          <a:spLocks xmlns:a="http://schemas.openxmlformats.org/drawingml/2006/main" noChangeArrowheads="1"/>
        </cdr:cNvSpPr>
      </cdr:nvSpPr>
      <cdr:spPr bwMode="auto">
        <a:xfrm xmlns:a="http://schemas.openxmlformats.org/drawingml/2006/main">
          <a:off x="2973787" y="135172"/>
          <a:ext cx="1448464" cy="60430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sz="1000">
              <a:effectLst/>
              <a:latin typeface="+mn-lt"/>
              <a:ea typeface="+mn-ea"/>
              <a:cs typeface="+mn-cs"/>
            </a:rPr>
            <a:t>Trastuzumab PBS listed for metastatic breast cancer,</a:t>
          </a:r>
          <a:r>
            <a:rPr lang="en-AU" sz="1000" baseline="0">
              <a:effectLst/>
              <a:latin typeface="+mn-lt"/>
              <a:ea typeface="+mn-ea"/>
              <a:cs typeface="+mn-cs"/>
            </a:rPr>
            <a:t> 1 July 2015</a:t>
          </a:r>
          <a:endParaRPr lang="en-AU" sz="1000"/>
        </a:p>
      </cdr:txBody>
    </cdr:sp>
  </cdr:relSizeAnchor>
</c:userShapes>
</file>

<file path=word/drawings/drawing2.xml><?xml version="1.0" encoding="utf-8"?>
<c:userShapes xmlns:c="http://schemas.openxmlformats.org/drawingml/2006/chart">
  <cdr:relSizeAnchor xmlns:cdr="http://schemas.openxmlformats.org/drawingml/2006/chartDrawing">
    <cdr:from>
      <cdr:x>0.30047</cdr:x>
      <cdr:y>0</cdr:y>
    </cdr:from>
    <cdr:to>
      <cdr:x>0.97636</cdr:x>
      <cdr:y>0.80504</cdr:y>
    </cdr:to>
    <cdr:grpSp>
      <cdr:nvGrpSpPr>
        <cdr:cNvPr id="5" name="Group 4" title="grouped arrows &amp; lines"/>
        <cdr:cNvGrpSpPr/>
      </cdr:nvGrpSpPr>
      <cdr:grpSpPr>
        <a:xfrm xmlns:a="http://schemas.openxmlformats.org/drawingml/2006/main">
          <a:off x="1708982" y="0"/>
          <a:ext cx="3844256" cy="2988478"/>
          <a:chOff x="1708982" y="0"/>
          <a:chExt cx="3844256" cy="2988478"/>
        </a:xfrm>
      </cdr:grpSpPr>
      <cdr:sp macro="" textlink="">
        <cdr:nvSpPr>
          <cdr:cNvPr id="2" name="TextBox 1" title="grouped arrows &amp;lines"/>
          <cdr:cNvSpPr txBox="1"/>
        </cdr:nvSpPr>
        <cdr:spPr>
          <a:xfrm xmlns:a="http://schemas.openxmlformats.org/drawingml/2006/main">
            <a:off x="1708982" y="1842258"/>
            <a:ext cx="957523" cy="3623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t>Conversion from</a:t>
            </a:r>
            <a:r>
              <a:rPr lang="en-AU" sz="800" baseline="0"/>
              <a:t> CPAP to EFC.</a:t>
            </a:r>
            <a:endParaRPr lang="en-AU" sz="800"/>
          </a:p>
        </cdr:txBody>
      </cdr:sp>
      <cdr:cxnSp macro="">
        <cdr:nvCxnSpPr>
          <cdr:cNvPr id="4" name="Straight Connector 3"/>
          <cdr:cNvCxnSpPr/>
        </cdr:nvCxnSpPr>
        <cdr:spPr>
          <a:xfrm xmlns:a="http://schemas.openxmlformats.org/drawingml/2006/main">
            <a:off x="3020109" y="0"/>
            <a:ext cx="16551" cy="2950761"/>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Straight Arrow Connector 5"/>
          <cdr:cNvCxnSpPr/>
        </cdr:nvCxnSpPr>
        <cdr:spPr>
          <a:xfrm xmlns:a="http://schemas.openxmlformats.org/drawingml/2006/main">
            <a:off x="2493201" y="2178436"/>
            <a:ext cx="427885" cy="212561"/>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8" name="Straight Connector 7"/>
          <cdr:cNvCxnSpPr/>
        </cdr:nvCxnSpPr>
        <cdr:spPr>
          <a:xfrm xmlns:a="http://schemas.openxmlformats.org/drawingml/2006/main">
            <a:off x="4621082" y="0"/>
            <a:ext cx="3810" cy="2988478"/>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9" name="TextBox 1"/>
          <cdr:cNvSpPr txBox="1"/>
        </cdr:nvSpPr>
        <cdr:spPr>
          <a:xfrm xmlns:a="http://schemas.openxmlformats.org/drawingml/2006/main">
            <a:off x="4747633" y="40352"/>
            <a:ext cx="805605" cy="568673"/>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t>PBS</a:t>
            </a:r>
            <a:r>
              <a:rPr lang="en-AU" sz="800" baseline="0"/>
              <a:t> listing of trastuzumab for metastatic breast cancer</a:t>
            </a:r>
          </a:p>
          <a:p xmlns:a="http://schemas.openxmlformats.org/drawingml/2006/main">
            <a:endParaRPr lang="en-AU" sz="800"/>
          </a:p>
        </cdr:txBody>
      </cdr:sp>
      <cdr:cxnSp macro="">
        <cdr:nvCxnSpPr>
          <cdr:cNvPr id="10" name="Straight Arrow Connector 9"/>
          <cdr:cNvCxnSpPr/>
        </cdr:nvCxnSpPr>
        <cdr:spPr>
          <a:xfrm xmlns:a="http://schemas.openxmlformats.org/drawingml/2006/main" flipH="1">
            <a:off x="4675001" y="605127"/>
            <a:ext cx="519286" cy="95961"/>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3.xml><?xml version="1.0" encoding="utf-8"?>
<c:userShapes xmlns:c="http://schemas.openxmlformats.org/drawingml/2006/chart">
  <cdr:relSizeAnchor xmlns:cdr="http://schemas.openxmlformats.org/drawingml/2006/chartDrawing">
    <cdr:from>
      <cdr:x>0.22682</cdr:x>
      <cdr:y>0.45231</cdr:y>
    </cdr:from>
    <cdr:to>
      <cdr:x>0.39517</cdr:x>
      <cdr:y>0.54995</cdr:y>
    </cdr:to>
    <cdr:sp macro="" textlink="">
      <cdr:nvSpPr>
        <cdr:cNvPr id="11" name="TextBox 1"/>
        <cdr:cNvSpPr txBox="1"/>
      </cdr:nvSpPr>
      <cdr:spPr>
        <a:xfrm xmlns:a="http://schemas.openxmlformats.org/drawingml/2006/main">
          <a:off x="1290056" y="1678501"/>
          <a:ext cx="957524" cy="362312"/>
        </a:xfrm>
        <a:prstGeom xmlns:a="http://schemas.openxmlformats.org/drawingml/2006/main" prst="rect">
          <a:avLst/>
        </a:prstGeom>
      </cdr:spPr>
    </cdr:sp>
  </cdr:relSizeAnchor>
  <cdr:relSizeAnchor xmlns:cdr="http://schemas.openxmlformats.org/drawingml/2006/chartDrawing">
    <cdr:from>
      <cdr:x>0.44536</cdr:x>
      <cdr:y>0.56697</cdr:y>
    </cdr:from>
    <cdr:to>
      <cdr:x>0.52059</cdr:x>
      <cdr:y>0.62425</cdr:y>
    </cdr:to>
    <cdr:cxnSp macro="">
      <cdr:nvCxnSpPr>
        <cdr:cNvPr id="13" name="Straight Arrow Connector 12" title="grouped arrows and lines"/>
        <cdr:cNvCxnSpPr/>
      </cdr:nvCxnSpPr>
      <cdr:spPr>
        <a:xfrm xmlns:a="http://schemas.openxmlformats.org/drawingml/2006/main">
          <a:off x="2533064" y="2103998"/>
          <a:ext cx="427885" cy="212563"/>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0.18986</cdr:x>
      <cdr:y>0.44381</cdr:y>
    </cdr:from>
    <cdr:to>
      <cdr:x>0.35821</cdr:x>
      <cdr:y>0.54145</cdr:y>
    </cdr:to>
    <cdr:sp macro="" textlink="">
      <cdr:nvSpPr>
        <cdr:cNvPr id="14" name="TextBox 1"/>
        <cdr:cNvSpPr txBox="1"/>
      </cdr:nvSpPr>
      <cdr:spPr>
        <a:xfrm xmlns:a="http://schemas.openxmlformats.org/drawingml/2006/main">
          <a:off x="1079849" y="1646970"/>
          <a:ext cx="957524" cy="362312"/>
        </a:xfrm>
        <a:prstGeom xmlns:a="http://schemas.openxmlformats.org/drawingml/2006/main" prst="rect">
          <a:avLst/>
        </a:prstGeom>
      </cdr:spPr>
    </cdr:sp>
  </cdr:relSizeAnchor>
  <cdr:relSizeAnchor xmlns:cdr="http://schemas.openxmlformats.org/drawingml/2006/chartDrawing">
    <cdr:from>
      <cdr:x>0.53052</cdr:x>
      <cdr:y>0</cdr:y>
    </cdr:from>
    <cdr:to>
      <cdr:x>0.81449</cdr:x>
      <cdr:y>0.80971</cdr:y>
    </cdr:to>
    <cdr:grpSp>
      <cdr:nvGrpSpPr>
        <cdr:cNvPr id="2" name="Group 1"/>
        <cdr:cNvGrpSpPr/>
      </cdr:nvGrpSpPr>
      <cdr:grpSpPr>
        <a:xfrm xmlns:a="http://schemas.openxmlformats.org/drawingml/2006/main">
          <a:off x="3017436" y="0"/>
          <a:ext cx="1615135" cy="3004785"/>
          <a:chOff x="3017436" y="0"/>
          <a:chExt cx="1615135" cy="3004785"/>
        </a:xfrm>
      </cdr:grpSpPr>
      <cdr:cxnSp macro="">
        <cdr:nvCxnSpPr>
          <cdr:cNvPr id="12" name="Straight Connector 11"/>
          <cdr:cNvCxnSpPr/>
        </cdr:nvCxnSpPr>
        <cdr:spPr>
          <a:xfrm xmlns:a="http://schemas.openxmlformats.org/drawingml/2006/main">
            <a:off x="3017436" y="0"/>
            <a:ext cx="16551" cy="2950754"/>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 name="Straight Connector 5"/>
          <cdr:cNvCxnSpPr/>
        </cdr:nvCxnSpPr>
        <cdr:spPr>
          <a:xfrm xmlns:a="http://schemas.openxmlformats.org/drawingml/2006/main">
            <a:off x="4628760" y="16291"/>
            <a:ext cx="3811" cy="2988494"/>
          </a:xfrm>
          <a:prstGeom xmlns:a="http://schemas.openxmlformats.org/drawingml/2006/main" prst="line">
            <a:avLst/>
          </a:prstGeom>
          <a:ln xmlns:a="http://schemas.openxmlformats.org/drawingml/2006/main" w="12700">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sp macro="" textlink="">
        <cdr:nvSpPr>
          <cdr:cNvPr id="7" name="TextBox 1"/>
          <cdr:cNvSpPr txBox="1"/>
        </cdr:nvSpPr>
        <cdr:spPr>
          <a:xfrm xmlns:a="http://schemas.openxmlformats.org/drawingml/2006/main">
            <a:off x="3461361" y="815776"/>
            <a:ext cx="805605" cy="624848"/>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p xmlns:a="http://schemas.openxmlformats.org/drawingml/2006/main">
            <a:r>
              <a:rPr lang="en-AU" sz="800"/>
              <a:t>PBS listing of trastuzumab for metastatic breast cancer</a:t>
            </a:r>
          </a:p>
          <a:p xmlns:a="http://schemas.openxmlformats.org/drawingml/2006/main">
            <a:endParaRPr lang="en-AU"/>
          </a:p>
        </cdr:txBody>
      </cdr:sp>
      <cdr:cxnSp macro="">
        <cdr:nvCxnSpPr>
          <cdr:cNvPr id="8" name="Straight Arrow Connector 7"/>
          <cdr:cNvCxnSpPr/>
        </cdr:nvCxnSpPr>
        <cdr:spPr>
          <a:xfrm xmlns:a="http://schemas.openxmlformats.org/drawingml/2006/main" flipV="1">
            <a:off x="4235570" y="656985"/>
            <a:ext cx="360827" cy="274684"/>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userShapes>
</file>

<file path=word/drawings/drawing4.xml><?xml version="1.0" encoding="utf-8"?>
<c:userShapes xmlns:c="http://schemas.openxmlformats.org/drawingml/2006/chart">
  <cdr:relSizeAnchor xmlns:cdr="http://schemas.openxmlformats.org/drawingml/2006/chartDrawing">
    <cdr:from>
      <cdr:x>0.76968</cdr:x>
      <cdr:y>0.21282</cdr:y>
    </cdr:from>
    <cdr:to>
      <cdr:x>0.79547</cdr:x>
      <cdr:y>0.36923</cdr:y>
    </cdr:to>
    <cdr:cxnSp macro="">
      <cdr:nvCxnSpPr>
        <cdr:cNvPr id="3" name="Straight Arrow Connector 2" title="Arrow"/>
        <cdr:cNvCxnSpPr/>
      </cdr:nvCxnSpPr>
      <cdr:spPr>
        <a:xfrm xmlns:a="http://schemas.openxmlformats.org/drawingml/2006/main">
          <a:off x="4377690" y="790575"/>
          <a:ext cx="146685" cy="581025"/>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757A4-97A0-4D4C-8C00-88BC4346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10394</Words>
  <Characters>59246</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2018-06-20T02:01:00Z</dcterms:created>
  <dcterms:modified xsi:type="dcterms:W3CDTF">2018-06-20T02:02:00Z</dcterms:modified>
</cp:coreProperties>
</file>