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E10019" w:rsidP="000F0544">
      <w:pPr>
        <w:pStyle w:val="Title"/>
        <w:spacing w:line="240" w:lineRule="auto"/>
      </w:pPr>
      <w:bookmarkStart w:id="0" w:name="_GoBack"/>
      <w:bookmarkEnd w:id="0"/>
      <w:proofErr w:type="spellStart"/>
      <w:r w:rsidRPr="00E10019">
        <w:t>Posaconazole</w:t>
      </w:r>
      <w:proofErr w:type="spellEnd"/>
      <w:r w:rsidR="00CD0BFD">
        <w:t xml:space="preserve"> </w:t>
      </w:r>
      <w:r w:rsidR="00AC0458">
        <w:t>tablets</w:t>
      </w:r>
      <w:r w:rsidR="00415362">
        <w:t>: Predicted vs actual analysis</w:t>
      </w:r>
      <w:r w:rsidR="001C4016">
        <w:t xml:space="preserve"> </w:t>
      </w:r>
    </w:p>
    <w:p w:rsidR="00736041" w:rsidRDefault="009053D3" w:rsidP="000F0544">
      <w:pPr>
        <w:pStyle w:val="Heading1"/>
        <w:spacing w:line="240" w:lineRule="auto"/>
      </w:pPr>
      <w:r>
        <w:t>D</w:t>
      </w:r>
      <w:r w:rsidR="00832324" w:rsidRPr="0063631C">
        <w:t xml:space="preserve">rug utilisation sub-committee </w:t>
      </w:r>
      <w:r w:rsidR="00832324">
        <w:t>(DUSC)</w:t>
      </w:r>
    </w:p>
    <w:p w:rsidR="009053D3" w:rsidRPr="000C46BB" w:rsidRDefault="00277FE9" w:rsidP="000F0544">
      <w:pPr>
        <w:pStyle w:val="Heading2"/>
        <w:spacing w:line="240" w:lineRule="auto"/>
      </w:pPr>
      <w:r>
        <w:t>May</w:t>
      </w:r>
      <w:r w:rsidR="00E10019">
        <w:t xml:space="preserve"> 2018</w:t>
      </w:r>
    </w:p>
    <w:p w:rsidR="005C6661" w:rsidRDefault="005C6661" w:rsidP="000F0544">
      <w:pPr>
        <w:pStyle w:val="Heading3"/>
        <w:tabs>
          <w:tab w:val="left" w:pos="2679"/>
        </w:tabs>
        <w:spacing w:line="240" w:lineRule="auto"/>
      </w:pPr>
      <w:r>
        <w:t>Abstract</w:t>
      </w:r>
    </w:p>
    <w:p w:rsidR="005C6661" w:rsidRDefault="005C6661" w:rsidP="000F0544">
      <w:pPr>
        <w:pStyle w:val="Heading2"/>
        <w:spacing w:line="240" w:lineRule="auto"/>
      </w:pPr>
      <w:r>
        <w:t>Purpose</w:t>
      </w:r>
    </w:p>
    <w:p w:rsidR="000C0FD6" w:rsidRDefault="00E10019" w:rsidP="000F0544">
      <w:pPr>
        <w:pStyle w:val="NoSpacing"/>
      </w:pPr>
      <w:r>
        <w:t xml:space="preserve">To compare the </w:t>
      </w:r>
      <w:r w:rsidR="00963FAC">
        <w:t>predicted and actual use</w:t>
      </w:r>
      <w:r>
        <w:t xml:space="preserve"> of </w:t>
      </w:r>
      <w:proofErr w:type="spellStart"/>
      <w:r>
        <w:t>posaconazole</w:t>
      </w:r>
      <w:proofErr w:type="spellEnd"/>
      <w:r>
        <w:t xml:space="preserve"> for </w:t>
      </w:r>
      <w:r w:rsidR="000C0FD6">
        <w:t xml:space="preserve">the treatment </w:t>
      </w:r>
      <w:r w:rsidR="00C32521">
        <w:t>and prophylaxis of</w:t>
      </w:r>
      <w:r>
        <w:t xml:space="preserve"> fungal infections since the tablet form listed</w:t>
      </w:r>
      <w:r w:rsidR="00AC0458">
        <w:t xml:space="preserve"> on the Pharmaceutical Benefits Scheme (PBS) </w:t>
      </w:r>
      <w:r>
        <w:t xml:space="preserve">in </w:t>
      </w:r>
      <w:r w:rsidRPr="00AF2ACE">
        <w:t>September 2015</w:t>
      </w:r>
      <w:r>
        <w:t>.</w:t>
      </w:r>
      <w:r w:rsidR="000C0FD6">
        <w:t xml:space="preserve"> </w:t>
      </w:r>
    </w:p>
    <w:p w:rsidR="002D144A" w:rsidRDefault="00AC0458" w:rsidP="000F0544">
      <w:pPr>
        <w:pStyle w:val="Heading2"/>
        <w:spacing w:line="240" w:lineRule="auto"/>
      </w:pPr>
      <w:r>
        <w:t>PBS Listing (abridged)</w:t>
      </w:r>
    </w:p>
    <w:p w:rsidR="00AC0458" w:rsidRDefault="006A5823" w:rsidP="000F0544">
      <w:pPr>
        <w:spacing w:line="240" w:lineRule="auto"/>
        <w:rPr>
          <w:b/>
          <w:i/>
        </w:rPr>
      </w:pPr>
      <w:proofErr w:type="spellStart"/>
      <w:r>
        <w:t>Posaconazole</w:t>
      </w:r>
      <w:proofErr w:type="spellEnd"/>
      <w:r>
        <w:t xml:space="preserve"> is listed </w:t>
      </w:r>
      <w:r w:rsidR="006D4DDA">
        <w:t xml:space="preserve">on </w:t>
      </w:r>
      <w:r w:rsidR="004C72C5">
        <w:t xml:space="preserve">the PBS </w:t>
      </w:r>
      <w:r>
        <w:t>for the</w:t>
      </w:r>
      <w:r w:rsidR="00AC0458">
        <w:t>:</w:t>
      </w:r>
    </w:p>
    <w:p w:rsidR="00AC0458" w:rsidRPr="00992D61" w:rsidRDefault="006A5823" w:rsidP="000F0544">
      <w:pPr>
        <w:pStyle w:val="ListParagraph"/>
        <w:numPr>
          <w:ilvl w:val="0"/>
          <w:numId w:val="33"/>
        </w:numPr>
        <w:spacing w:line="240" w:lineRule="auto"/>
        <w:rPr>
          <w:b/>
          <w:i/>
        </w:rPr>
      </w:pPr>
      <w:proofErr w:type="gramStart"/>
      <w:r>
        <w:t>treatment</w:t>
      </w:r>
      <w:proofErr w:type="gramEnd"/>
      <w:r>
        <w:t xml:space="preserve"> of invasive aspergillosis and other</w:t>
      </w:r>
      <w:r w:rsidR="00AC0458">
        <w:t xml:space="preserve"> specified </w:t>
      </w:r>
      <w:r>
        <w:t>fungal infections in patients who are unable to tolerate</w:t>
      </w:r>
      <w:r w:rsidR="00AC0458">
        <w:t>,</w:t>
      </w:r>
      <w:r>
        <w:t xml:space="preserve"> or have disease refractory to</w:t>
      </w:r>
      <w:r w:rsidR="00AC0458">
        <w:t>,</w:t>
      </w:r>
      <w:r>
        <w:t xml:space="preserve"> alternative therapy. </w:t>
      </w:r>
    </w:p>
    <w:p w:rsidR="00AC0458" w:rsidRPr="00992D61" w:rsidRDefault="006A5823" w:rsidP="000F0544">
      <w:pPr>
        <w:pStyle w:val="ListParagraph"/>
        <w:numPr>
          <w:ilvl w:val="0"/>
          <w:numId w:val="33"/>
        </w:numPr>
        <w:spacing w:line="240" w:lineRule="auto"/>
        <w:rPr>
          <w:b/>
          <w:i/>
        </w:rPr>
      </w:pPr>
      <w:r>
        <w:t xml:space="preserve">prophylaxis of invasive fungal infections in </w:t>
      </w:r>
      <w:r w:rsidR="000A4A0A">
        <w:t xml:space="preserve">specific </w:t>
      </w:r>
      <w:r>
        <w:t>high risk groups</w:t>
      </w:r>
      <w:r w:rsidR="00AC0458">
        <w:t>:</w:t>
      </w:r>
    </w:p>
    <w:p w:rsidR="00AC0458" w:rsidRPr="00992D61" w:rsidRDefault="00AC0458" w:rsidP="000F0544">
      <w:pPr>
        <w:pStyle w:val="ListParagraph"/>
        <w:numPr>
          <w:ilvl w:val="1"/>
          <w:numId w:val="34"/>
        </w:numPr>
        <w:spacing w:line="240" w:lineRule="auto"/>
        <w:rPr>
          <w:b/>
          <w:i/>
        </w:rPr>
      </w:pPr>
      <w:r>
        <w:t>patients with</w:t>
      </w:r>
      <w:r w:rsidR="006A5823">
        <w:t xml:space="preserve"> anticipated neutropenia whilst receiving chemotherapy for acute myeloid leukaemia or myelodysplastic syndrome</w:t>
      </w:r>
    </w:p>
    <w:p w:rsidR="006A5823" w:rsidRPr="00992D61" w:rsidRDefault="006A5823" w:rsidP="000F0544">
      <w:pPr>
        <w:pStyle w:val="ListParagraph"/>
        <w:numPr>
          <w:ilvl w:val="1"/>
          <w:numId w:val="34"/>
        </w:numPr>
        <w:spacing w:line="240" w:lineRule="auto"/>
        <w:rPr>
          <w:b/>
          <w:i/>
        </w:rPr>
      </w:pPr>
      <w:proofErr w:type="gramStart"/>
      <w:r>
        <w:t>patients</w:t>
      </w:r>
      <w:proofErr w:type="gramEnd"/>
      <w:r>
        <w:t xml:space="preserve"> with </w:t>
      </w:r>
      <w:r w:rsidR="00AC0458">
        <w:t>acute (grade II-IV)</w:t>
      </w:r>
      <w:r w:rsidR="000A4A0A">
        <w:t>,</w:t>
      </w:r>
      <w:r w:rsidR="00AC0458">
        <w:t xml:space="preserve"> or extensive chronic</w:t>
      </w:r>
      <w:r w:rsidR="000A4A0A">
        <w:t>,</w:t>
      </w:r>
      <w:r w:rsidR="00AC0458">
        <w:t xml:space="preserve"> </w:t>
      </w:r>
      <w:r>
        <w:t>graft versus host disease and who are receiving intensive immunosuppressive therapy</w:t>
      </w:r>
      <w:r w:rsidR="009F4396">
        <w:t xml:space="preserve"> following an allogenic haematopoietic stem cell transplant. </w:t>
      </w:r>
      <w:r>
        <w:t xml:space="preserve"> </w:t>
      </w:r>
    </w:p>
    <w:p w:rsidR="005C6661" w:rsidRDefault="005C6661" w:rsidP="000F0544">
      <w:pPr>
        <w:pStyle w:val="Heading2"/>
        <w:spacing w:line="240" w:lineRule="auto"/>
      </w:pPr>
      <w:r>
        <w:t>Data Source</w:t>
      </w:r>
    </w:p>
    <w:p w:rsidR="004C72C5" w:rsidRPr="004C72C5" w:rsidRDefault="004C72C5" w:rsidP="000F0544">
      <w:pPr>
        <w:spacing w:line="240" w:lineRule="auto"/>
      </w:pPr>
      <w:r>
        <w:t xml:space="preserve">Data to assess the utilisation of </w:t>
      </w:r>
      <w:proofErr w:type="spellStart"/>
      <w:r>
        <w:t>posaconazole</w:t>
      </w:r>
      <w:proofErr w:type="spellEnd"/>
      <w:r>
        <w:t xml:space="preserve"> and other azole antifungals listed on the PBS</w:t>
      </w:r>
      <w:r w:rsidR="006D4DDA">
        <w:t xml:space="preserve"> was obtained from the Departme</w:t>
      </w:r>
      <w:r>
        <w:t>n</w:t>
      </w:r>
      <w:r w:rsidR="006D4DDA">
        <w:t>t</w:t>
      </w:r>
      <w:r>
        <w:t xml:space="preserve"> of Human Services (DHS) PBS prescription claims database.</w:t>
      </w:r>
    </w:p>
    <w:p w:rsidR="006A5823" w:rsidRDefault="005C6661" w:rsidP="000F0544">
      <w:pPr>
        <w:pStyle w:val="Heading2"/>
        <w:spacing w:line="240" w:lineRule="auto"/>
      </w:pPr>
      <w:r>
        <w:t>Key Findings</w:t>
      </w:r>
    </w:p>
    <w:p w:rsidR="00A23E11" w:rsidRPr="000C55F1" w:rsidRDefault="004C72C5" w:rsidP="000F0544">
      <w:pPr>
        <w:pStyle w:val="ListParagraph"/>
        <w:numPr>
          <w:ilvl w:val="0"/>
          <w:numId w:val="32"/>
        </w:numPr>
        <w:spacing w:line="240" w:lineRule="auto"/>
      </w:pPr>
      <w:r w:rsidRPr="000C55F1">
        <w:t xml:space="preserve">In 2017, compared with </w:t>
      </w:r>
      <w:r w:rsidR="006A5823" w:rsidRPr="000C55F1">
        <w:t>2014</w:t>
      </w:r>
      <w:r w:rsidR="00944AA8" w:rsidRPr="000C55F1">
        <w:t xml:space="preserve"> (</w:t>
      </w:r>
      <w:r w:rsidRPr="000C55F1">
        <w:t xml:space="preserve">the </w:t>
      </w:r>
      <w:r w:rsidR="00944AA8" w:rsidRPr="000C55F1">
        <w:t>calendar year prior to listing of the tablet</w:t>
      </w:r>
      <w:r w:rsidRPr="000C55F1">
        <w:t xml:space="preserve"> formulation</w:t>
      </w:r>
      <w:r w:rsidR="00944AA8" w:rsidRPr="000C55F1">
        <w:t>)</w:t>
      </w:r>
      <w:r w:rsidRPr="000C55F1">
        <w:t xml:space="preserve"> the</w:t>
      </w:r>
      <w:r w:rsidR="00B749E8">
        <w:t xml:space="preserve"> number of PBS prescriptions of </w:t>
      </w:r>
      <w:proofErr w:type="spellStart"/>
      <w:r w:rsidR="00B749E8">
        <w:t>posaconazole</w:t>
      </w:r>
      <w:proofErr w:type="spellEnd"/>
      <w:r w:rsidR="00B749E8">
        <w:t xml:space="preserve"> more than doubled.</w:t>
      </w:r>
    </w:p>
    <w:p w:rsidR="00C201C9" w:rsidRPr="00992D61" w:rsidRDefault="00C201C9" w:rsidP="000F0544">
      <w:pPr>
        <w:pStyle w:val="ListParagraph"/>
        <w:numPr>
          <w:ilvl w:val="0"/>
          <w:numId w:val="32"/>
        </w:numPr>
        <w:spacing w:line="240" w:lineRule="auto"/>
        <w:rPr>
          <w:b/>
          <w:i/>
        </w:rPr>
      </w:pPr>
      <w:r w:rsidRPr="000C55F1">
        <w:t xml:space="preserve">Changes in the utilisation of </w:t>
      </w:r>
      <w:proofErr w:type="spellStart"/>
      <w:r w:rsidRPr="000C55F1">
        <w:t>posaconazole</w:t>
      </w:r>
      <w:proofErr w:type="spellEnd"/>
      <w:r w:rsidRPr="000C55F1">
        <w:t xml:space="preserve"> are mainly driven by the prophylaxis indication as this comprises </w:t>
      </w:r>
      <w:r w:rsidR="00AC1438">
        <w:t>approximately two thirds</w:t>
      </w:r>
      <w:r w:rsidRPr="000C55F1">
        <w:t xml:space="preserve"> of prescriptions dispensed.</w:t>
      </w:r>
      <w:r w:rsidR="0070691D">
        <w:t xml:space="preserve"> However</w:t>
      </w:r>
      <w:r w:rsidR="00E62B16">
        <w:t>,</w:t>
      </w:r>
      <w:r w:rsidR="0070691D">
        <w:t xml:space="preserve"> towards the end of 2017 there was an upswing </w:t>
      </w:r>
      <w:r w:rsidR="00E8228F">
        <w:t xml:space="preserve">in </w:t>
      </w:r>
      <w:r w:rsidR="0070691D">
        <w:t xml:space="preserve">the utilisation of </w:t>
      </w:r>
      <w:proofErr w:type="spellStart"/>
      <w:r w:rsidR="0070691D">
        <w:t>posaconazole</w:t>
      </w:r>
      <w:proofErr w:type="spellEnd"/>
      <w:r w:rsidR="0070691D">
        <w:t xml:space="preserve"> for the treatment of ‘other’ fungal infections.</w:t>
      </w:r>
      <w:r w:rsidR="00711F98">
        <w:t xml:space="preserve"> </w:t>
      </w:r>
      <w:r w:rsidR="00B749E8">
        <w:t xml:space="preserve">As a result, in </w:t>
      </w:r>
      <w:r w:rsidR="00711F98">
        <w:t xml:space="preserve">December 2017 only 53% of prescriptions were for </w:t>
      </w:r>
      <w:r w:rsidR="00711F98" w:rsidRPr="000C55F1">
        <w:t>prophylaxis</w:t>
      </w:r>
      <w:r w:rsidR="00711F98">
        <w:t>.</w:t>
      </w:r>
    </w:p>
    <w:p w:rsidR="00C201C9" w:rsidRPr="00992D61" w:rsidRDefault="00C201C9" w:rsidP="000F0544">
      <w:pPr>
        <w:pStyle w:val="ListParagraph"/>
        <w:numPr>
          <w:ilvl w:val="0"/>
          <w:numId w:val="32"/>
        </w:numPr>
        <w:spacing w:line="240" w:lineRule="auto"/>
        <w:rPr>
          <w:b/>
          <w:i/>
        </w:rPr>
      </w:pPr>
      <w:r w:rsidRPr="000C55F1">
        <w:lastRenderedPageBreak/>
        <w:t xml:space="preserve">The number of incident patients commencing </w:t>
      </w:r>
      <w:proofErr w:type="spellStart"/>
      <w:r w:rsidRPr="000C55F1">
        <w:t>posaconazole</w:t>
      </w:r>
      <w:proofErr w:type="spellEnd"/>
      <w:r w:rsidRPr="000C55F1">
        <w:t xml:space="preserve"> has increased. In the two years prior to the listing of the tablet form, an average of 73 patients commenced </w:t>
      </w:r>
      <w:proofErr w:type="spellStart"/>
      <w:r w:rsidRPr="000C55F1">
        <w:t>posaconazole</w:t>
      </w:r>
      <w:proofErr w:type="spellEnd"/>
      <w:r w:rsidRPr="000C55F1">
        <w:t xml:space="preserve"> each month. In the two years after the tablet listed this increased to 110 patients per month</w:t>
      </w:r>
      <w:r w:rsidR="00E8228F">
        <w:t>.</w:t>
      </w:r>
    </w:p>
    <w:p w:rsidR="00997BA0" w:rsidRPr="000C55F1" w:rsidRDefault="00A23E11" w:rsidP="000F0544">
      <w:pPr>
        <w:pStyle w:val="ListParagraph"/>
        <w:numPr>
          <w:ilvl w:val="0"/>
          <w:numId w:val="32"/>
        </w:numPr>
        <w:spacing w:line="240" w:lineRule="auto"/>
      </w:pPr>
      <w:r w:rsidRPr="000C55F1">
        <w:t xml:space="preserve">The increasing utilisation </w:t>
      </w:r>
      <w:r w:rsidR="004B2133" w:rsidRPr="000C55F1">
        <w:t xml:space="preserve">of </w:t>
      </w:r>
      <w:proofErr w:type="spellStart"/>
      <w:r w:rsidR="004B2133" w:rsidRPr="000C55F1">
        <w:t>posaconazole</w:t>
      </w:r>
      <w:proofErr w:type="spellEnd"/>
      <w:r w:rsidR="004B2133" w:rsidRPr="000C55F1">
        <w:t xml:space="preserve"> </w:t>
      </w:r>
      <w:r w:rsidRPr="000C55F1">
        <w:t xml:space="preserve">seems to </w:t>
      </w:r>
      <w:r w:rsidR="00CF70FC">
        <w:t xml:space="preserve">be due to a combination of </w:t>
      </w:r>
      <w:r w:rsidR="00B749E8">
        <w:t>more patients</w:t>
      </w:r>
      <w:r w:rsidR="00CF70FC">
        <w:t xml:space="preserve"> initiating </w:t>
      </w:r>
      <w:r w:rsidR="00B749E8">
        <w:t>treatment</w:t>
      </w:r>
      <w:r w:rsidR="00CF70FC">
        <w:t xml:space="preserve"> and slightly longer </w:t>
      </w:r>
      <w:r w:rsidR="00CF70FC" w:rsidRPr="000C55F1">
        <w:t>durations of treatment with the tablets compared with the oral liquid</w:t>
      </w:r>
      <w:r w:rsidRPr="000C55F1">
        <w:t>.</w:t>
      </w:r>
      <w:r w:rsidR="00997BA0" w:rsidRPr="000C55F1">
        <w:t xml:space="preserve"> </w:t>
      </w:r>
      <w:r w:rsidR="008B7D87" w:rsidRPr="000C55F1">
        <w:t>The</w:t>
      </w:r>
      <w:r w:rsidR="00997BA0" w:rsidRPr="000C55F1">
        <w:t xml:space="preserve"> cohort of patients initiating on </w:t>
      </w:r>
      <w:proofErr w:type="spellStart"/>
      <w:r w:rsidR="00997BA0" w:rsidRPr="000C55F1">
        <w:t>posaconazole</w:t>
      </w:r>
      <w:proofErr w:type="spellEnd"/>
      <w:r w:rsidR="00997BA0" w:rsidRPr="000C55F1">
        <w:t xml:space="preserve"> </w:t>
      </w:r>
      <w:r w:rsidR="008B7D87" w:rsidRPr="000C55F1">
        <w:t xml:space="preserve">for prophylaxis in </w:t>
      </w:r>
      <w:r w:rsidR="00CF70FC" w:rsidRPr="000C55F1">
        <w:t>201</w:t>
      </w:r>
      <w:r w:rsidR="00CF70FC">
        <w:t>4</w:t>
      </w:r>
      <w:r w:rsidR="00CF70FC" w:rsidRPr="000C55F1">
        <w:t xml:space="preserve"> </w:t>
      </w:r>
      <w:r w:rsidR="008B7D87" w:rsidRPr="000C55F1">
        <w:t>had a median time (</w:t>
      </w:r>
      <w:r w:rsidR="00CF70FC">
        <w:t>excluding</w:t>
      </w:r>
      <w:r w:rsidR="008B7D87" w:rsidRPr="000C55F1">
        <w:t xml:space="preserve"> breaks) on treatment of </w:t>
      </w:r>
      <w:r w:rsidR="00CF70FC">
        <w:t>86 days</w:t>
      </w:r>
      <w:r w:rsidR="008B7D87" w:rsidRPr="000C55F1">
        <w:t>. For a cohort</w:t>
      </w:r>
      <w:r w:rsidR="004B2133" w:rsidRPr="000C55F1">
        <w:t xml:space="preserve"> initiating </w:t>
      </w:r>
      <w:r w:rsidR="00B749E8">
        <w:t>from</w:t>
      </w:r>
      <w:r w:rsidR="00CF70FC">
        <w:t xml:space="preserve"> September 2015 to August 2016 (inclusive)</w:t>
      </w:r>
      <w:r w:rsidR="008B7D87" w:rsidRPr="000C55F1">
        <w:t xml:space="preserve"> </w:t>
      </w:r>
      <w:r w:rsidR="00CF70FC">
        <w:t>the median time on treatment was 96 days.</w:t>
      </w:r>
    </w:p>
    <w:p w:rsidR="004C72C5" w:rsidRPr="000C55F1" w:rsidRDefault="00A23E11" w:rsidP="000F0544">
      <w:pPr>
        <w:pStyle w:val="ListParagraph"/>
        <w:numPr>
          <w:ilvl w:val="0"/>
          <w:numId w:val="32"/>
        </w:numPr>
        <w:spacing w:line="240" w:lineRule="auto"/>
      </w:pPr>
      <w:r w:rsidRPr="000C55F1">
        <w:t xml:space="preserve">A time to refill analysis shows similar time to dispensing of the tablet and the </w:t>
      </w:r>
      <w:r w:rsidR="00E558E9" w:rsidRPr="000C55F1">
        <w:t xml:space="preserve">liquid </w:t>
      </w:r>
      <w:r w:rsidRPr="000C55F1">
        <w:t xml:space="preserve">form </w:t>
      </w:r>
      <w:r w:rsidR="00997BA0" w:rsidRPr="000C55F1">
        <w:t>indicating</w:t>
      </w:r>
      <w:r w:rsidRPr="000C55F1">
        <w:t xml:space="preserve"> that adherence </w:t>
      </w:r>
      <w:r w:rsidR="00997BA0" w:rsidRPr="000C55F1">
        <w:t>may be similar for the two formulations.</w:t>
      </w:r>
      <w:r w:rsidRPr="000C55F1">
        <w:t xml:space="preserve"> </w:t>
      </w:r>
    </w:p>
    <w:p w:rsidR="006D4DDA" w:rsidRPr="006D4DDA" w:rsidRDefault="00997BA0" w:rsidP="000F0544">
      <w:pPr>
        <w:pStyle w:val="ListParagraph"/>
        <w:numPr>
          <w:ilvl w:val="0"/>
          <w:numId w:val="32"/>
        </w:numPr>
        <w:spacing w:line="240" w:lineRule="auto"/>
      </w:pPr>
      <w:r w:rsidRPr="000C55F1">
        <w:t xml:space="preserve">The use of </w:t>
      </w:r>
      <w:proofErr w:type="spellStart"/>
      <w:r w:rsidRPr="000C55F1">
        <w:t>voriconazole</w:t>
      </w:r>
      <w:proofErr w:type="spellEnd"/>
      <w:r w:rsidR="00C9268B" w:rsidRPr="000C55F1">
        <w:t xml:space="preserve"> for prophylaxis of fungal infections is low and remained</w:t>
      </w:r>
      <w:r w:rsidR="00C9268B">
        <w:t xml:space="preserve"> relatively unchanged following the listing of </w:t>
      </w:r>
      <w:proofErr w:type="spellStart"/>
      <w:r w:rsidR="00C9268B">
        <w:t>posaconazole</w:t>
      </w:r>
      <w:proofErr w:type="spellEnd"/>
      <w:r w:rsidR="00C9268B">
        <w:t xml:space="preserve"> tablets. The increase in </w:t>
      </w:r>
      <w:proofErr w:type="spellStart"/>
      <w:r w:rsidR="00C9268B">
        <w:t>posaconazole</w:t>
      </w:r>
      <w:proofErr w:type="spellEnd"/>
      <w:r w:rsidR="00C9268B">
        <w:t xml:space="preserve"> use cannot be attributed to substitution from </w:t>
      </w:r>
      <w:proofErr w:type="spellStart"/>
      <w:r w:rsidR="00C9268B">
        <w:t>voriconazole</w:t>
      </w:r>
      <w:proofErr w:type="spellEnd"/>
      <w:r w:rsidR="00C9268B">
        <w:t xml:space="preserve">. </w:t>
      </w:r>
      <w:r>
        <w:t xml:space="preserve"> </w:t>
      </w:r>
    </w:p>
    <w:p w:rsidR="004B2133" w:rsidRPr="000C55F1" w:rsidRDefault="004B2133" w:rsidP="000F0544">
      <w:pPr>
        <w:spacing w:line="240" w:lineRule="auto"/>
        <w:rPr>
          <w:b/>
          <w:sz w:val="32"/>
          <w:szCs w:val="32"/>
        </w:rPr>
      </w:pPr>
      <w:r w:rsidRPr="000C55F1">
        <w:rPr>
          <w:b/>
        </w:rPr>
        <w:br w:type="page"/>
      </w:r>
    </w:p>
    <w:p w:rsidR="00E677DD" w:rsidRDefault="00E677DD" w:rsidP="000F0544">
      <w:pPr>
        <w:pStyle w:val="Heading4"/>
        <w:spacing w:line="240" w:lineRule="auto"/>
      </w:pPr>
      <w:r w:rsidRPr="000C46BB">
        <w:lastRenderedPageBreak/>
        <w:t xml:space="preserve">Purpose of </w:t>
      </w:r>
      <w:r w:rsidR="00D151EB" w:rsidRPr="000C46BB">
        <w:t>analysis</w:t>
      </w:r>
    </w:p>
    <w:p w:rsidR="00AC0458" w:rsidRDefault="00AC0458" w:rsidP="000F0544">
      <w:pPr>
        <w:spacing w:line="240" w:lineRule="auto"/>
      </w:pPr>
      <w:r>
        <w:t xml:space="preserve">To compare the predicted and actual use of </w:t>
      </w:r>
      <w:proofErr w:type="spellStart"/>
      <w:r>
        <w:t>posaconazole</w:t>
      </w:r>
      <w:proofErr w:type="spellEnd"/>
      <w:r>
        <w:t xml:space="preserve"> for the treatment and prophylaxis of fungal infections since the tablet form listed on the Pharmaceutical Benefits Scheme (PBS) in </w:t>
      </w:r>
      <w:r w:rsidRPr="00AF2ACE">
        <w:t>September 2015</w:t>
      </w:r>
      <w:r>
        <w:t>.</w:t>
      </w:r>
    </w:p>
    <w:p w:rsidR="000C0FD6" w:rsidRPr="00E10019" w:rsidRDefault="003D4B2A" w:rsidP="000F0544">
      <w:pPr>
        <w:spacing w:line="240" w:lineRule="auto"/>
      </w:pPr>
      <w:r>
        <w:t xml:space="preserve">When recommending </w:t>
      </w:r>
      <w:proofErr w:type="spellStart"/>
      <w:r>
        <w:t>posaconazole</w:t>
      </w:r>
      <w:proofErr w:type="spellEnd"/>
      <w:r>
        <w:t xml:space="preserve"> tablets for listing on the PBS, the Pharmaceutical Benefits Advisory Committee (PBAC) </w:t>
      </w:r>
      <w:r w:rsidRPr="007A2C89">
        <w:t xml:space="preserve">considered that utilisation of </w:t>
      </w:r>
      <w:proofErr w:type="spellStart"/>
      <w:r w:rsidRPr="007A2C89">
        <w:t>posacon</w:t>
      </w:r>
      <w:r w:rsidR="0032165E">
        <w:t>a</w:t>
      </w:r>
      <w:r w:rsidRPr="007A2C89">
        <w:t>zole</w:t>
      </w:r>
      <w:proofErr w:type="spellEnd"/>
      <w:r w:rsidRPr="007A2C89">
        <w:t xml:space="preserve"> tablets should be reviewed by DUSC</w:t>
      </w:r>
      <w:r>
        <w:t xml:space="preserve"> after listing</w:t>
      </w:r>
      <w:r w:rsidRPr="007A2C89">
        <w:t xml:space="preserve">, noting that usage </w:t>
      </w:r>
      <w:r w:rsidR="00E62B16">
        <w:t>was</w:t>
      </w:r>
      <w:r w:rsidRPr="007A2C89">
        <w:t xml:space="preserve"> likely to increase due to ease of use of tablets over liquid. The Committee considered it uncertain whether any additional patient benefit from such increased use </w:t>
      </w:r>
      <w:r w:rsidR="006D3DA2">
        <w:t>would</w:t>
      </w:r>
      <w:r w:rsidRPr="007A2C89">
        <w:t xml:space="preserve"> accrue.</w:t>
      </w:r>
      <w:r w:rsidR="00A22B4E">
        <w:rPr>
          <w:rStyle w:val="FootnoteReference"/>
        </w:rPr>
        <w:footnoteReference w:id="1"/>
      </w:r>
      <w:r w:rsidR="000C0FD6">
        <w:t xml:space="preserve"> </w:t>
      </w:r>
    </w:p>
    <w:p w:rsidR="006537D9" w:rsidRPr="005E22C2" w:rsidRDefault="00736041" w:rsidP="000F0544">
      <w:pPr>
        <w:pStyle w:val="Heading4"/>
        <w:spacing w:line="240" w:lineRule="auto"/>
      </w:pPr>
      <w:r w:rsidRPr="005E22C2">
        <w:t>Background</w:t>
      </w:r>
    </w:p>
    <w:p w:rsidR="004309ED" w:rsidRDefault="004309ED" w:rsidP="000F0544">
      <w:pPr>
        <w:spacing w:line="240" w:lineRule="auto"/>
        <w:rPr>
          <w:b/>
        </w:rPr>
      </w:pPr>
      <w:proofErr w:type="spellStart"/>
      <w:r>
        <w:t>Posaconazole</w:t>
      </w:r>
      <w:proofErr w:type="spellEnd"/>
      <w:r>
        <w:t xml:space="preserve"> </w:t>
      </w:r>
      <w:r w:rsidR="00F45A6A">
        <w:t>is a</w:t>
      </w:r>
      <w:r>
        <w:t xml:space="preserve"> broad-spectrum </w:t>
      </w:r>
      <w:r w:rsidR="00F45A6A">
        <w:t xml:space="preserve">azole </w:t>
      </w:r>
      <w:r>
        <w:t xml:space="preserve">antifungal </w:t>
      </w:r>
      <w:r w:rsidR="00F45A6A">
        <w:t xml:space="preserve">with </w:t>
      </w:r>
      <w:r>
        <w:t>activity</w:t>
      </w:r>
      <w:r w:rsidR="00F45A6A">
        <w:t xml:space="preserve"> </w:t>
      </w:r>
      <w:r>
        <w:t>against some yeasts and moulds not generally responsive to azoles, or resistant to other azoles</w:t>
      </w:r>
      <w:r w:rsidR="00E62B16">
        <w:t>,</w:t>
      </w:r>
      <w:r>
        <w:t xml:space="preserve"> including species of </w:t>
      </w:r>
      <w:r>
        <w:rPr>
          <w:i/>
        </w:rPr>
        <w:t>Candida, Aspergillus</w:t>
      </w:r>
      <w:r w:rsidR="00E62B16">
        <w:rPr>
          <w:i/>
        </w:rPr>
        <w:t>,</w:t>
      </w:r>
      <w:r>
        <w:rPr>
          <w:i/>
        </w:rPr>
        <w:t xml:space="preserve"> </w:t>
      </w:r>
      <w:r>
        <w:t>and organisms not previously regarded as being susceptible to azoles</w:t>
      </w:r>
      <w:r w:rsidR="00E62B16">
        <w:t>,</w:t>
      </w:r>
      <w:r>
        <w:t xml:space="preserve"> such as the </w:t>
      </w:r>
      <w:proofErr w:type="spellStart"/>
      <w:r>
        <w:t>zygomycetes</w:t>
      </w:r>
      <w:proofErr w:type="spellEnd"/>
      <w:r w:rsidR="00A22B4E">
        <w:t>.</w:t>
      </w:r>
      <w:bookmarkStart w:id="1" w:name="_Ref512845683"/>
      <w:r w:rsidR="00A22B4E">
        <w:rPr>
          <w:rStyle w:val="FootnoteReference"/>
        </w:rPr>
        <w:footnoteReference w:id="2"/>
      </w:r>
      <w:bookmarkEnd w:id="1"/>
      <w:r>
        <w:t xml:space="preserve"> </w:t>
      </w:r>
    </w:p>
    <w:p w:rsidR="008119A7" w:rsidRPr="008119A7" w:rsidRDefault="008119A7" w:rsidP="000F0544">
      <w:pPr>
        <w:spacing w:line="240" w:lineRule="auto"/>
      </w:pPr>
      <w:r w:rsidRPr="008119A7">
        <w:t xml:space="preserve">The other azole antifungals for systemic fungal infections are fluconazole, </w:t>
      </w:r>
      <w:proofErr w:type="spellStart"/>
      <w:r w:rsidRPr="008119A7">
        <w:t>itraconazole</w:t>
      </w:r>
      <w:proofErr w:type="spellEnd"/>
      <w:r w:rsidRPr="008119A7">
        <w:t xml:space="preserve"> and </w:t>
      </w:r>
      <w:proofErr w:type="spellStart"/>
      <w:r w:rsidRPr="008119A7">
        <w:t>voriconazole</w:t>
      </w:r>
      <w:proofErr w:type="spellEnd"/>
      <w:r w:rsidRPr="008119A7">
        <w:t xml:space="preserve">. Fluconazole is active against yeasts, including </w:t>
      </w:r>
      <w:r w:rsidRPr="008119A7">
        <w:rPr>
          <w:i/>
        </w:rPr>
        <w:t>Candida</w:t>
      </w:r>
      <w:r w:rsidRPr="008119A7">
        <w:t xml:space="preserve"> species and </w:t>
      </w:r>
      <w:r w:rsidRPr="008119A7">
        <w:rPr>
          <w:i/>
        </w:rPr>
        <w:t>Cryptococcus</w:t>
      </w:r>
      <w:r w:rsidRPr="008119A7">
        <w:t xml:space="preserve">. </w:t>
      </w:r>
      <w:proofErr w:type="spellStart"/>
      <w:r w:rsidRPr="008119A7">
        <w:t>Itraconazole</w:t>
      </w:r>
      <w:proofErr w:type="spellEnd"/>
      <w:r w:rsidRPr="008119A7">
        <w:t xml:space="preserve"> has activity against yeasts and </w:t>
      </w:r>
      <w:r w:rsidRPr="00E62B16">
        <w:rPr>
          <w:i/>
        </w:rPr>
        <w:t>Aspergillus</w:t>
      </w:r>
      <w:r w:rsidRPr="008119A7">
        <w:t xml:space="preserve"> species. </w:t>
      </w:r>
      <w:proofErr w:type="spellStart"/>
      <w:r w:rsidRPr="008119A7">
        <w:t>Voriconazole</w:t>
      </w:r>
      <w:proofErr w:type="spellEnd"/>
      <w:r w:rsidRPr="008119A7">
        <w:t xml:space="preserve"> is active against yeasts, </w:t>
      </w:r>
      <w:r w:rsidRPr="008119A7">
        <w:rPr>
          <w:i/>
        </w:rPr>
        <w:t>Aspergillus</w:t>
      </w:r>
      <w:r w:rsidRPr="008119A7">
        <w:t xml:space="preserve"> species, and some </w:t>
      </w:r>
      <w:proofErr w:type="spellStart"/>
      <w:r w:rsidRPr="008119A7">
        <w:rPr>
          <w:i/>
        </w:rPr>
        <w:t>Scedosporium</w:t>
      </w:r>
      <w:proofErr w:type="spellEnd"/>
      <w:r w:rsidRPr="008119A7">
        <w:t xml:space="preserve"> and </w:t>
      </w:r>
      <w:r w:rsidRPr="008119A7">
        <w:rPr>
          <w:i/>
        </w:rPr>
        <w:t>Fusarium</w:t>
      </w:r>
      <w:r w:rsidRPr="008119A7">
        <w:t xml:space="preserve"> species.</w:t>
      </w:r>
      <w:r w:rsidRPr="008119A7">
        <w:rPr>
          <w:vertAlign w:val="superscript"/>
        </w:rPr>
        <w:footnoteReference w:id="3"/>
      </w:r>
      <w:r w:rsidRPr="008119A7">
        <w:t xml:space="preserve"> </w:t>
      </w:r>
    </w:p>
    <w:p w:rsidR="005F76D3" w:rsidRDefault="005F76D3" w:rsidP="000F0544">
      <w:pPr>
        <w:pStyle w:val="Heading3"/>
        <w:spacing w:line="240" w:lineRule="auto"/>
      </w:pPr>
      <w:r w:rsidRPr="00A52918">
        <w:t xml:space="preserve">Therapeutic Goods Administration </w:t>
      </w:r>
      <w:r>
        <w:t>(</w:t>
      </w:r>
      <w:r w:rsidRPr="005E22C2">
        <w:t>TGA</w:t>
      </w:r>
      <w:r>
        <w:t>)</w:t>
      </w:r>
      <w:r w:rsidRPr="005E22C2">
        <w:t xml:space="preserve"> approved </w:t>
      </w:r>
      <w:r>
        <w:t>i</w:t>
      </w:r>
      <w:r w:rsidRPr="005E22C2">
        <w:t>ndications</w:t>
      </w:r>
      <w:r w:rsidR="00AA77A1">
        <w:rPr>
          <w:b w:val="0"/>
          <w:vertAlign w:val="superscript"/>
        </w:rPr>
        <w:t>2</w:t>
      </w:r>
    </w:p>
    <w:p w:rsidR="005F76D3" w:rsidRDefault="005F76D3" w:rsidP="000F0544">
      <w:pPr>
        <w:spacing w:line="240" w:lineRule="auto"/>
      </w:pPr>
      <w:proofErr w:type="spellStart"/>
      <w:r>
        <w:t>Posaconazole</w:t>
      </w:r>
      <w:proofErr w:type="spellEnd"/>
      <w:r>
        <w:t xml:space="preserve"> is indicated for use in the treatment of the following invasive fungal infections in patients 13 years of age or older:</w:t>
      </w:r>
    </w:p>
    <w:p w:rsidR="005F76D3" w:rsidRDefault="005F76D3" w:rsidP="000F0544">
      <w:pPr>
        <w:pStyle w:val="ListParagraph"/>
        <w:numPr>
          <w:ilvl w:val="0"/>
          <w:numId w:val="35"/>
        </w:numPr>
        <w:spacing w:line="240" w:lineRule="auto"/>
      </w:pPr>
      <w:r>
        <w:t>Invasive aspergillosis in patients intolerant of, or with disease that is refractory to, alternative therapy.</w:t>
      </w:r>
    </w:p>
    <w:p w:rsidR="005F76D3" w:rsidRDefault="005F76D3" w:rsidP="000F0544">
      <w:pPr>
        <w:pStyle w:val="ListParagraph"/>
        <w:numPr>
          <w:ilvl w:val="0"/>
          <w:numId w:val="35"/>
        </w:numPr>
        <w:spacing w:line="240" w:lineRule="auto"/>
      </w:pPr>
      <w:proofErr w:type="spellStart"/>
      <w:r>
        <w:t>Fusariosis</w:t>
      </w:r>
      <w:proofErr w:type="spellEnd"/>
      <w:r>
        <w:t xml:space="preserve">, </w:t>
      </w:r>
      <w:proofErr w:type="spellStart"/>
      <w:r>
        <w:t>zygomycosis</w:t>
      </w:r>
      <w:proofErr w:type="spellEnd"/>
      <w:r>
        <w:t xml:space="preserve">, </w:t>
      </w:r>
      <w:proofErr w:type="spellStart"/>
      <w:r>
        <w:t>coccidioidomycosis</w:t>
      </w:r>
      <w:proofErr w:type="spellEnd"/>
      <w:r>
        <w:t xml:space="preserve">, </w:t>
      </w:r>
      <w:proofErr w:type="spellStart"/>
      <w:r>
        <w:t>chromoblastomycosis</w:t>
      </w:r>
      <w:proofErr w:type="spellEnd"/>
      <w:r>
        <w:t xml:space="preserve">, and </w:t>
      </w:r>
      <w:proofErr w:type="spellStart"/>
      <w:r>
        <w:t>mycetoma</w:t>
      </w:r>
      <w:proofErr w:type="spellEnd"/>
      <w:r>
        <w:t xml:space="preserve"> in patients intolerant of, or with disease that is refractory to, alternative therapy. </w:t>
      </w:r>
    </w:p>
    <w:p w:rsidR="005F76D3" w:rsidRDefault="005F76D3" w:rsidP="000F0544">
      <w:pPr>
        <w:spacing w:line="240" w:lineRule="auto"/>
      </w:pPr>
      <w:proofErr w:type="spellStart"/>
      <w:r>
        <w:t>Posaconazole</w:t>
      </w:r>
      <w:proofErr w:type="spellEnd"/>
      <w:r>
        <w:t xml:space="preserve"> is also indicated for the: </w:t>
      </w:r>
    </w:p>
    <w:p w:rsidR="005F76D3" w:rsidRDefault="005F76D3" w:rsidP="000F0544">
      <w:pPr>
        <w:pStyle w:val="ListParagraph"/>
        <w:numPr>
          <w:ilvl w:val="0"/>
          <w:numId w:val="36"/>
        </w:numPr>
        <w:spacing w:line="240" w:lineRule="auto"/>
      </w:pPr>
      <w:r w:rsidRPr="00950F2C">
        <w:t xml:space="preserve">Treatment of oropharyngeal candidiasis in immunocompromised adults, including patients with disease that is refractory to </w:t>
      </w:r>
      <w:proofErr w:type="spellStart"/>
      <w:r>
        <w:t>itraconazole</w:t>
      </w:r>
      <w:proofErr w:type="spellEnd"/>
      <w:r>
        <w:t xml:space="preserve"> and fluconazole. Only the oral suspension should be used for this indication. </w:t>
      </w:r>
    </w:p>
    <w:p w:rsidR="005F76D3" w:rsidRDefault="005F76D3" w:rsidP="000F0544">
      <w:pPr>
        <w:pStyle w:val="ListParagraph"/>
        <w:numPr>
          <w:ilvl w:val="0"/>
          <w:numId w:val="36"/>
        </w:numPr>
        <w:spacing w:line="240" w:lineRule="auto"/>
      </w:pPr>
      <w:r w:rsidRPr="00950F2C">
        <w:lastRenderedPageBreak/>
        <w:t>Prophylaxis of invasive fungal infections among patients 13 years of age and older, who are at high risk of developing these infections, such as patients with prolonged neutropenia or haematopoietic stem cel</w:t>
      </w:r>
      <w:r>
        <w:t>l transplant (HSCT) recipients.</w:t>
      </w:r>
    </w:p>
    <w:p w:rsidR="002B4D2A" w:rsidRPr="007158EE" w:rsidRDefault="002B4D2A" w:rsidP="000F0544">
      <w:pPr>
        <w:spacing w:line="240" w:lineRule="auto"/>
      </w:pPr>
      <w:r w:rsidRPr="002B4D2A">
        <w:t xml:space="preserve">The </w:t>
      </w:r>
      <w:r w:rsidR="006D4DDA">
        <w:t xml:space="preserve">PBS restrictions are narrower than the </w:t>
      </w:r>
      <w:r w:rsidRPr="002B4D2A">
        <w:t xml:space="preserve">TGA approved indications </w:t>
      </w:r>
      <w:r w:rsidR="006D4DDA">
        <w:t xml:space="preserve">in that PBS </w:t>
      </w:r>
      <w:r w:rsidRPr="002B4D2A">
        <w:t>subsidy for prophylaxis is limited to the high risk groups where prove</w:t>
      </w:r>
      <w:r w:rsidR="003D0EAD">
        <w:t>n</w:t>
      </w:r>
      <w:r w:rsidRPr="002B4D2A">
        <w:t xml:space="preserve"> benefit</w:t>
      </w:r>
      <w:r w:rsidR="003D0EAD">
        <w:t xml:space="preserve"> was shown</w:t>
      </w:r>
      <w:r w:rsidR="006D4DDA">
        <w:t xml:space="preserve"> in clinical trials, and treatment of oropharyngeal candidiasis in immunocompromised adults is not</w:t>
      </w:r>
      <w:r w:rsidR="003D0EAD">
        <w:t xml:space="preserve"> </w:t>
      </w:r>
      <w:r w:rsidR="006D4DDA">
        <w:t xml:space="preserve">PBS listed. </w:t>
      </w:r>
      <w:r w:rsidR="003D0EAD">
        <w:t xml:space="preserve">See the </w:t>
      </w:r>
      <w:r w:rsidR="00817C8B">
        <w:t>‘</w:t>
      </w:r>
      <w:r w:rsidR="003D0EAD">
        <w:t>PBS listing details</w:t>
      </w:r>
      <w:r w:rsidR="00817C8B">
        <w:t>’</w:t>
      </w:r>
      <w:r w:rsidR="003D0EAD">
        <w:t xml:space="preserve"> and </w:t>
      </w:r>
      <w:r w:rsidR="00817C8B">
        <w:t>‘</w:t>
      </w:r>
      <w:r w:rsidR="003D0EAD">
        <w:t>Relevant Asp</w:t>
      </w:r>
      <w:r w:rsidR="00817C8B">
        <w:t>ec</w:t>
      </w:r>
      <w:r w:rsidR="003D0EAD">
        <w:t>ts of PBAC Consideration</w:t>
      </w:r>
      <w:r w:rsidR="00817C8B">
        <w:t>’ sections for fu</w:t>
      </w:r>
      <w:r w:rsidR="003D0EAD">
        <w:t>rther details.</w:t>
      </w:r>
    </w:p>
    <w:p w:rsidR="00817C8B" w:rsidRPr="00A22B4E" w:rsidRDefault="00817C8B" w:rsidP="000F0544">
      <w:pPr>
        <w:pStyle w:val="Heading3"/>
        <w:spacing w:line="240" w:lineRule="auto"/>
        <w:rPr>
          <w:vertAlign w:val="superscript"/>
        </w:rPr>
      </w:pPr>
      <w:r>
        <w:t>Dosage and administration</w:t>
      </w:r>
      <w:r w:rsidR="00AA77A1">
        <w:rPr>
          <w:b w:val="0"/>
          <w:vertAlign w:val="superscript"/>
        </w:rPr>
        <w:t>2</w:t>
      </w:r>
    </w:p>
    <w:p w:rsidR="00817C8B" w:rsidRPr="0096477F" w:rsidRDefault="00817C8B" w:rsidP="000F0544">
      <w:pPr>
        <w:spacing w:line="240" w:lineRule="auto"/>
      </w:pPr>
      <w:proofErr w:type="spellStart"/>
      <w:r>
        <w:t>Posaconazole</w:t>
      </w:r>
      <w:proofErr w:type="spellEnd"/>
      <w:r>
        <w:t xml:space="preserve"> oral suspension</w:t>
      </w:r>
      <w:r w:rsidR="00995B6A">
        <w:rPr>
          <w:rStyle w:val="FootnoteReference"/>
        </w:rPr>
        <w:footnoteReference w:id="4"/>
      </w:r>
      <w:r>
        <w:t xml:space="preserve"> should be administered with a full meal or with a liquid nutritional supplement in patients who cannot eat a full meal. </w:t>
      </w:r>
      <w:proofErr w:type="spellStart"/>
      <w:r>
        <w:t>Posaconazole</w:t>
      </w:r>
      <w:proofErr w:type="spellEnd"/>
      <w:r>
        <w:t xml:space="preserve"> modified release tablets n</w:t>
      </w:r>
      <w:r w:rsidR="006D4DDA">
        <w:t>e</w:t>
      </w:r>
      <w:r>
        <w:t>ed to be swallowe</w:t>
      </w:r>
      <w:r w:rsidR="006D4DDA">
        <w:t>d</w:t>
      </w:r>
      <w:r>
        <w:t xml:space="preserve"> whole but may be taken without regard to food intake. The modified release tablet and oral suspension are not to be used interchangeably due to the differences in the dosing of each formulation.</w:t>
      </w:r>
    </w:p>
    <w:p w:rsidR="00817C8B" w:rsidRPr="00A10E49" w:rsidRDefault="00817C8B" w:rsidP="000F0544">
      <w:pPr>
        <w:pStyle w:val="Tabletitle"/>
        <w:spacing w:line="240" w:lineRule="auto"/>
      </w:pPr>
      <w:r>
        <w:t>Table 1</w:t>
      </w:r>
      <w:r w:rsidRPr="001420B3">
        <w:t xml:space="preserve">: </w:t>
      </w:r>
      <w:r>
        <w:t xml:space="preserve">Dosage and administration of </w:t>
      </w:r>
      <w:proofErr w:type="spellStart"/>
      <w:r>
        <w:t>posaconazole</w:t>
      </w:r>
      <w:proofErr w:type="spellEnd"/>
    </w:p>
    <w:tbl>
      <w:tblPr>
        <w:tblStyle w:val="TableGrid"/>
        <w:tblW w:w="9180" w:type="dxa"/>
        <w:tblLook w:val="04A0" w:firstRow="1" w:lastRow="0" w:firstColumn="1" w:lastColumn="0" w:noHBand="0" w:noVBand="1"/>
        <w:tblCaption w:val="Dosage and administration of posaconazole"/>
        <w:tblDescription w:val="Dosage and administration of posaconazole"/>
      </w:tblPr>
      <w:tblGrid>
        <w:gridCol w:w="2660"/>
        <w:gridCol w:w="3260"/>
        <w:gridCol w:w="3260"/>
      </w:tblGrid>
      <w:tr w:rsidR="00817C8B" w:rsidRPr="00A35800" w:rsidTr="006D4DDA">
        <w:trPr>
          <w:tblHeader/>
        </w:trPr>
        <w:tc>
          <w:tcPr>
            <w:tcW w:w="2660" w:type="dxa"/>
            <w:shd w:val="clear" w:color="auto" w:fill="BFBFBF" w:themeFill="background1" w:themeFillShade="BF"/>
          </w:tcPr>
          <w:p w:rsidR="00817C8B" w:rsidRPr="00CB49D0" w:rsidRDefault="00817C8B" w:rsidP="000F0544">
            <w:pPr>
              <w:pStyle w:val="Tableheading"/>
              <w:jc w:val="left"/>
              <w:rPr>
                <w:sz w:val="20"/>
                <w:szCs w:val="20"/>
              </w:rPr>
            </w:pPr>
            <w:r w:rsidRPr="00CB49D0">
              <w:rPr>
                <w:sz w:val="20"/>
                <w:szCs w:val="20"/>
              </w:rPr>
              <w:t>Indication</w:t>
            </w:r>
          </w:p>
        </w:tc>
        <w:tc>
          <w:tcPr>
            <w:tcW w:w="3260" w:type="dxa"/>
            <w:shd w:val="clear" w:color="auto" w:fill="BFBFBF" w:themeFill="background1" w:themeFillShade="BF"/>
          </w:tcPr>
          <w:p w:rsidR="00817C8B" w:rsidRPr="00CB49D0" w:rsidRDefault="00817C8B" w:rsidP="000F0544">
            <w:pPr>
              <w:pStyle w:val="Tableheading"/>
              <w:jc w:val="left"/>
              <w:rPr>
                <w:sz w:val="20"/>
                <w:szCs w:val="20"/>
              </w:rPr>
            </w:pPr>
            <w:r w:rsidRPr="00CB49D0">
              <w:rPr>
                <w:sz w:val="20"/>
                <w:szCs w:val="20"/>
              </w:rPr>
              <w:t>Oral suspension</w:t>
            </w:r>
          </w:p>
        </w:tc>
        <w:tc>
          <w:tcPr>
            <w:tcW w:w="3260" w:type="dxa"/>
            <w:shd w:val="clear" w:color="auto" w:fill="BFBFBF" w:themeFill="background1" w:themeFillShade="BF"/>
          </w:tcPr>
          <w:p w:rsidR="00817C8B" w:rsidRPr="00CB49D0" w:rsidRDefault="00817C8B" w:rsidP="000F0544">
            <w:pPr>
              <w:pStyle w:val="Tableheading"/>
              <w:jc w:val="left"/>
              <w:rPr>
                <w:sz w:val="20"/>
                <w:szCs w:val="20"/>
              </w:rPr>
            </w:pPr>
            <w:r w:rsidRPr="00CB49D0">
              <w:rPr>
                <w:sz w:val="20"/>
                <w:szCs w:val="20"/>
              </w:rPr>
              <w:t xml:space="preserve">Tablets </w:t>
            </w:r>
          </w:p>
        </w:tc>
      </w:tr>
      <w:tr w:rsidR="00817C8B" w:rsidRPr="00A35800" w:rsidTr="006D4DDA">
        <w:tc>
          <w:tcPr>
            <w:tcW w:w="2660" w:type="dxa"/>
          </w:tcPr>
          <w:p w:rsidR="00817C8B" w:rsidRPr="00A35800" w:rsidRDefault="00817C8B" w:rsidP="000F0544">
            <w:pPr>
              <w:pStyle w:val="Tablewriting"/>
            </w:pPr>
            <w:r>
              <w:t>Refractory invasive fungal infection (IFI) / intolerant patients with IFI</w:t>
            </w:r>
          </w:p>
        </w:tc>
        <w:tc>
          <w:tcPr>
            <w:tcW w:w="3260" w:type="dxa"/>
          </w:tcPr>
          <w:p w:rsidR="00817C8B" w:rsidRPr="00A35800" w:rsidRDefault="00817C8B" w:rsidP="000F0544">
            <w:pPr>
              <w:pStyle w:val="Tablewriting"/>
            </w:pPr>
            <w:r>
              <w:t>400 mg (10 mL) twice daily with a meal or 240 mL of nutritional supplement.</w:t>
            </w:r>
          </w:p>
        </w:tc>
        <w:tc>
          <w:tcPr>
            <w:tcW w:w="3260" w:type="dxa"/>
          </w:tcPr>
          <w:p w:rsidR="00817C8B" w:rsidRDefault="00817C8B" w:rsidP="000F0544">
            <w:pPr>
              <w:pStyle w:val="Tablewriting"/>
            </w:pPr>
            <w:r>
              <w:t>Loading dose of 300 mg (three 100</w:t>
            </w:r>
            <w:r w:rsidR="00B70E9D">
              <w:t> </w:t>
            </w:r>
            <w:r w:rsidRPr="00B03404">
              <w:t>mg modified release tablets) twice a day on the first day, then 300</w:t>
            </w:r>
            <w:r w:rsidR="00B70E9D">
              <w:t> </w:t>
            </w:r>
            <w:r w:rsidRPr="00B03404">
              <w:t>mg (three 100 mg modified release tablets) once a day thereafter.</w:t>
            </w:r>
            <w:r>
              <w:t xml:space="preserve"> </w:t>
            </w:r>
          </w:p>
          <w:p w:rsidR="00817C8B" w:rsidRPr="00A35800" w:rsidRDefault="00817C8B" w:rsidP="000F0544">
            <w:pPr>
              <w:pStyle w:val="Tablewriting"/>
            </w:pPr>
            <w:r w:rsidRPr="00B03404">
              <w:t>Duration of therapy should be based on the severity of the patient’s underlying disease, recovery from immunosuppression, and clinical response.</w:t>
            </w:r>
          </w:p>
        </w:tc>
      </w:tr>
      <w:tr w:rsidR="00817C8B" w:rsidRPr="00A35800" w:rsidTr="006D4DDA">
        <w:tc>
          <w:tcPr>
            <w:tcW w:w="2660" w:type="dxa"/>
          </w:tcPr>
          <w:p w:rsidR="00817C8B" w:rsidRPr="00A35800" w:rsidRDefault="00817C8B" w:rsidP="000F0544">
            <w:pPr>
              <w:pStyle w:val="Tablewriting"/>
            </w:pPr>
            <w:r>
              <w:t>Oropharyngeal candidiasis (HIV-infected patients)</w:t>
            </w:r>
          </w:p>
        </w:tc>
        <w:tc>
          <w:tcPr>
            <w:tcW w:w="3260" w:type="dxa"/>
          </w:tcPr>
          <w:p w:rsidR="00817C8B" w:rsidRPr="00A35800" w:rsidRDefault="00817C8B" w:rsidP="000F0544">
            <w:pPr>
              <w:pStyle w:val="Tablewriting"/>
            </w:pPr>
            <w:r>
              <w:t>Loading dose of 200 mg (5 mL) once a day on the first day, then 100 mg (2.5 mL) once a day for 13 days.</w:t>
            </w:r>
          </w:p>
        </w:tc>
        <w:tc>
          <w:tcPr>
            <w:tcW w:w="3260" w:type="dxa"/>
          </w:tcPr>
          <w:p w:rsidR="00817C8B" w:rsidRPr="00A35800" w:rsidRDefault="00817C8B" w:rsidP="000F0544">
            <w:pPr>
              <w:pStyle w:val="Tablewriting"/>
            </w:pPr>
            <w:r>
              <w:t>None specified.</w:t>
            </w:r>
          </w:p>
        </w:tc>
      </w:tr>
      <w:tr w:rsidR="00817C8B" w:rsidRPr="00A35800" w:rsidTr="006D4DDA">
        <w:tc>
          <w:tcPr>
            <w:tcW w:w="2660" w:type="dxa"/>
          </w:tcPr>
          <w:p w:rsidR="00817C8B" w:rsidRPr="00A35800" w:rsidRDefault="00817C8B" w:rsidP="000F0544">
            <w:pPr>
              <w:pStyle w:val="Tablewriting"/>
            </w:pPr>
            <w:r>
              <w:t>Prophylaxis of invasive fungal infections</w:t>
            </w:r>
          </w:p>
        </w:tc>
        <w:tc>
          <w:tcPr>
            <w:tcW w:w="3260" w:type="dxa"/>
          </w:tcPr>
          <w:p w:rsidR="00817C8B" w:rsidRDefault="00817C8B" w:rsidP="000F0544">
            <w:pPr>
              <w:pStyle w:val="Tablewriting"/>
            </w:pPr>
            <w:r>
              <w:t>200 mg (5 mL) three times daily with a meal or with a nutritional supplement in patients who cannot tolerate food.</w:t>
            </w:r>
          </w:p>
          <w:p w:rsidR="00817C8B" w:rsidRPr="00A35800" w:rsidRDefault="00817C8B" w:rsidP="000F0544">
            <w:pPr>
              <w:pStyle w:val="Tablewriting"/>
            </w:pPr>
            <w:r>
              <w:t>D</w:t>
            </w:r>
            <w:r w:rsidRPr="00281DF8">
              <w:t xml:space="preserve">uration of therapy is based </w:t>
            </w:r>
            <w:r>
              <w:t xml:space="preserve">on recovery from neutropenia or </w:t>
            </w:r>
            <w:r w:rsidRPr="00281DF8">
              <w:t>immunosuppression.</w:t>
            </w:r>
          </w:p>
        </w:tc>
        <w:tc>
          <w:tcPr>
            <w:tcW w:w="3260" w:type="dxa"/>
          </w:tcPr>
          <w:p w:rsidR="00817C8B" w:rsidRDefault="00817C8B" w:rsidP="000F0544">
            <w:pPr>
              <w:pStyle w:val="Tablewriting"/>
            </w:pPr>
            <w:r>
              <w:t>L</w:t>
            </w:r>
            <w:r w:rsidRPr="00281DF8">
              <w:t>oading dose of 300 mg (three 100</w:t>
            </w:r>
            <w:r w:rsidR="00B70E9D">
              <w:t> </w:t>
            </w:r>
            <w:r w:rsidRPr="00281DF8">
              <w:t>mg modified release tablets) twice a day on the first day, then 300</w:t>
            </w:r>
            <w:r w:rsidR="00B70E9D">
              <w:t> </w:t>
            </w:r>
            <w:r w:rsidRPr="00281DF8">
              <w:t>mg (three 100 mg modified release tablets) once a day thereafter.</w:t>
            </w:r>
          </w:p>
          <w:p w:rsidR="00817C8B" w:rsidRPr="00A35800" w:rsidRDefault="00817C8B" w:rsidP="000F0544">
            <w:pPr>
              <w:pStyle w:val="Tablewriting"/>
            </w:pPr>
            <w:r w:rsidRPr="00281DF8">
              <w:t>Duration of therapy is based on recovery from neutropenia or immunosuppression.</w:t>
            </w:r>
          </w:p>
        </w:tc>
      </w:tr>
    </w:tbl>
    <w:p w:rsidR="00817C8B" w:rsidRPr="002F61CA" w:rsidRDefault="00817C8B" w:rsidP="000F0544">
      <w:pPr>
        <w:spacing w:before="240" w:line="240" w:lineRule="auto"/>
      </w:pPr>
      <w:r>
        <w:lastRenderedPageBreak/>
        <w:t>The current PI</w:t>
      </w:r>
      <w:r w:rsidRPr="002F61CA">
        <w:t xml:space="preserve"> and Consumer Medicine Information (CMI) are available from </w:t>
      </w:r>
      <w:r w:rsidRPr="00C74C98">
        <w:t>the TGA (Product Information)</w:t>
      </w:r>
      <w:r>
        <w:t xml:space="preserve"> and </w:t>
      </w:r>
      <w:r w:rsidRPr="00C74C98">
        <w:t>the TGA (Consumer Medicines Information)</w:t>
      </w:r>
      <w:r>
        <w:t>.</w:t>
      </w:r>
    </w:p>
    <w:p w:rsidR="002B4D2A" w:rsidRPr="007247B9" w:rsidRDefault="002B4D2A" w:rsidP="000F0544">
      <w:pPr>
        <w:pStyle w:val="Heading3"/>
        <w:spacing w:line="240" w:lineRule="auto"/>
      </w:pPr>
      <w:r w:rsidRPr="007247B9">
        <w:t>PBS listing details</w:t>
      </w:r>
    </w:p>
    <w:p w:rsidR="0085133A" w:rsidRPr="004B6073" w:rsidRDefault="0085133A" w:rsidP="000F0544">
      <w:pPr>
        <w:spacing w:line="240" w:lineRule="auto"/>
      </w:pPr>
      <w:proofErr w:type="spellStart"/>
      <w:r>
        <w:t>Posaconazole</w:t>
      </w:r>
      <w:proofErr w:type="spellEnd"/>
      <w:r>
        <w:t xml:space="preserve"> 40 mg/mL oral liquid</w:t>
      </w:r>
      <w:r w:rsidR="0063511A">
        <w:t xml:space="preserve"> and 100mg</w:t>
      </w:r>
      <w:r w:rsidR="00F06B29">
        <w:t xml:space="preserve"> modified release</w:t>
      </w:r>
      <w:r w:rsidR="0063511A">
        <w:t xml:space="preserve"> tablets were</w:t>
      </w:r>
      <w:r>
        <w:t xml:space="preserve"> listed on the PBS </w:t>
      </w:r>
      <w:r w:rsidRPr="00C71B6A">
        <w:t xml:space="preserve">on 1 </w:t>
      </w:r>
      <w:r w:rsidR="00C71B6A" w:rsidRPr="00C71B6A">
        <w:t>January</w:t>
      </w:r>
      <w:r w:rsidRPr="00C71B6A">
        <w:t xml:space="preserve"> 200</w:t>
      </w:r>
      <w:r w:rsidR="00C71B6A" w:rsidRPr="00C71B6A">
        <w:t>9</w:t>
      </w:r>
      <w:r w:rsidR="0063511A" w:rsidRPr="00C71B6A">
        <w:t xml:space="preserve"> and</w:t>
      </w:r>
      <w:r w:rsidR="0063511A">
        <w:t xml:space="preserve"> </w:t>
      </w:r>
      <w:r>
        <w:t>1 September 2015</w:t>
      </w:r>
      <w:r w:rsidR="0063511A">
        <w:t>, respectively</w:t>
      </w:r>
      <w:r>
        <w:t>.</w:t>
      </w:r>
    </w:p>
    <w:p w:rsidR="002B4D2A" w:rsidRDefault="002B4D2A" w:rsidP="000F0544">
      <w:pPr>
        <w:spacing w:line="240" w:lineRule="auto"/>
      </w:pPr>
      <w:r w:rsidRPr="004B6073">
        <w:t xml:space="preserve">Table </w:t>
      </w:r>
      <w:r w:rsidR="00F06B29">
        <w:t>2</w:t>
      </w:r>
      <w:r w:rsidRPr="004B6073">
        <w:t xml:space="preserve"> presents the PBS listing of </w:t>
      </w:r>
      <w:proofErr w:type="spellStart"/>
      <w:r w:rsidRPr="004B6073">
        <w:t>posaconazole</w:t>
      </w:r>
      <w:proofErr w:type="spellEnd"/>
      <w:r w:rsidRPr="004B6073">
        <w:t xml:space="preserve"> </w:t>
      </w:r>
      <w:r>
        <w:t>(current as at 1 April</w:t>
      </w:r>
      <w:r w:rsidRPr="004B6073">
        <w:t xml:space="preserve"> 2018</w:t>
      </w:r>
      <w:r>
        <w:t>)</w:t>
      </w:r>
      <w:r w:rsidRPr="004B6073">
        <w:t>.</w:t>
      </w:r>
    </w:p>
    <w:p w:rsidR="002B4D2A" w:rsidRPr="001420B3" w:rsidRDefault="002B4D2A" w:rsidP="000F0544">
      <w:pPr>
        <w:pStyle w:val="Tabletitle"/>
        <w:spacing w:line="240" w:lineRule="auto"/>
      </w:pPr>
      <w:r>
        <w:t xml:space="preserve">Table </w:t>
      </w:r>
      <w:r w:rsidR="00F06B29">
        <w:t>2</w:t>
      </w:r>
      <w:r w:rsidRPr="001420B3">
        <w:t xml:space="preserve">: </w:t>
      </w:r>
      <w:r>
        <w:t xml:space="preserve">PBS listing of </w:t>
      </w:r>
      <w:proofErr w:type="spellStart"/>
      <w:r>
        <w:t>posaconazole</w:t>
      </w:r>
      <w:proofErr w:type="spellEnd"/>
    </w:p>
    <w:tbl>
      <w:tblPr>
        <w:tblStyle w:val="TableGrid"/>
        <w:tblW w:w="9064" w:type="dxa"/>
        <w:tblLayout w:type="fixed"/>
        <w:tblLook w:val="04A0" w:firstRow="1" w:lastRow="0" w:firstColumn="1" w:lastColumn="0" w:noHBand="0" w:noVBand="1"/>
        <w:tblCaption w:val="PBS listing of posaconazole"/>
        <w:tblDescription w:val="PBS listing of posaconazole"/>
      </w:tblPr>
      <w:tblGrid>
        <w:gridCol w:w="969"/>
        <w:gridCol w:w="2683"/>
        <w:gridCol w:w="1418"/>
        <w:gridCol w:w="850"/>
        <w:gridCol w:w="1040"/>
        <w:gridCol w:w="2104"/>
      </w:tblGrid>
      <w:tr w:rsidR="002B4D2A" w:rsidRPr="00A35800" w:rsidTr="006D4DDA">
        <w:trPr>
          <w:trHeight w:val="694"/>
          <w:tblHeader/>
        </w:trPr>
        <w:tc>
          <w:tcPr>
            <w:tcW w:w="969" w:type="dxa"/>
            <w:shd w:val="clear" w:color="auto" w:fill="BFBFBF" w:themeFill="background1" w:themeFillShade="BF"/>
          </w:tcPr>
          <w:p w:rsidR="002B4D2A" w:rsidRPr="00A35800" w:rsidRDefault="002B4D2A" w:rsidP="000F0544">
            <w:pPr>
              <w:pStyle w:val="Tableheading"/>
              <w:jc w:val="left"/>
              <w:rPr>
                <w:sz w:val="20"/>
                <w:szCs w:val="20"/>
              </w:rPr>
            </w:pPr>
            <w:r w:rsidRPr="00A35800">
              <w:rPr>
                <w:sz w:val="20"/>
                <w:szCs w:val="20"/>
              </w:rPr>
              <w:t>Item</w:t>
            </w:r>
          </w:p>
        </w:tc>
        <w:tc>
          <w:tcPr>
            <w:tcW w:w="2683" w:type="dxa"/>
            <w:shd w:val="clear" w:color="auto" w:fill="BFBFBF" w:themeFill="background1" w:themeFillShade="BF"/>
          </w:tcPr>
          <w:p w:rsidR="002B4D2A" w:rsidRPr="00A35800" w:rsidRDefault="002B4D2A" w:rsidP="000F0544">
            <w:pPr>
              <w:pStyle w:val="Tableheading"/>
              <w:jc w:val="left"/>
              <w:rPr>
                <w:sz w:val="20"/>
                <w:szCs w:val="20"/>
              </w:rPr>
            </w:pPr>
            <w:r w:rsidRPr="00A35800">
              <w:rPr>
                <w:sz w:val="20"/>
                <w:szCs w:val="20"/>
              </w:rPr>
              <w:t>Name, form &amp; strength, pack size</w:t>
            </w:r>
          </w:p>
        </w:tc>
        <w:tc>
          <w:tcPr>
            <w:tcW w:w="1418" w:type="dxa"/>
            <w:shd w:val="clear" w:color="auto" w:fill="BFBFBF" w:themeFill="background1" w:themeFillShade="BF"/>
          </w:tcPr>
          <w:p w:rsidR="002B4D2A" w:rsidRPr="00A35800" w:rsidRDefault="002B4D2A" w:rsidP="000F0544">
            <w:pPr>
              <w:pStyle w:val="Tableheading"/>
              <w:jc w:val="left"/>
              <w:rPr>
                <w:sz w:val="20"/>
                <w:szCs w:val="20"/>
              </w:rPr>
            </w:pPr>
            <w:r w:rsidRPr="00A35800">
              <w:rPr>
                <w:sz w:val="20"/>
                <w:szCs w:val="20"/>
              </w:rPr>
              <w:t xml:space="preserve">Max. quant. </w:t>
            </w:r>
          </w:p>
        </w:tc>
        <w:tc>
          <w:tcPr>
            <w:tcW w:w="850" w:type="dxa"/>
            <w:shd w:val="clear" w:color="auto" w:fill="BFBFBF" w:themeFill="background1" w:themeFillShade="BF"/>
          </w:tcPr>
          <w:p w:rsidR="002B4D2A" w:rsidRPr="00A35800" w:rsidRDefault="002B4D2A" w:rsidP="000F0544">
            <w:pPr>
              <w:pStyle w:val="Tableheading"/>
              <w:jc w:val="left"/>
              <w:rPr>
                <w:sz w:val="20"/>
                <w:szCs w:val="20"/>
              </w:rPr>
            </w:pPr>
            <w:proofErr w:type="spellStart"/>
            <w:r w:rsidRPr="00A35800">
              <w:rPr>
                <w:sz w:val="20"/>
                <w:szCs w:val="20"/>
              </w:rPr>
              <w:t>Rpts</w:t>
            </w:r>
            <w:proofErr w:type="spellEnd"/>
            <w:r w:rsidRPr="00A35800">
              <w:rPr>
                <w:sz w:val="20"/>
                <w:szCs w:val="20"/>
              </w:rPr>
              <w:t xml:space="preserve"> </w:t>
            </w:r>
          </w:p>
        </w:tc>
        <w:tc>
          <w:tcPr>
            <w:tcW w:w="1040" w:type="dxa"/>
            <w:shd w:val="clear" w:color="auto" w:fill="BFBFBF" w:themeFill="background1" w:themeFillShade="BF"/>
          </w:tcPr>
          <w:p w:rsidR="002B4D2A" w:rsidRPr="00A35800" w:rsidRDefault="002B4D2A" w:rsidP="000F0544">
            <w:pPr>
              <w:pStyle w:val="Tableheading"/>
              <w:jc w:val="left"/>
              <w:rPr>
                <w:sz w:val="20"/>
                <w:szCs w:val="20"/>
              </w:rPr>
            </w:pPr>
            <w:r w:rsidRPr="00A35800">
              <w:rPr>
                <w:sz w:val="20"/>
                <w:szCs w:val="20"/>
              </w:rPr>
              <w:t>DPMQ</w:t>
            </w:r>
          </w:p>
        </w:tc>
        <w:tc>
          <w:tcPr>
            <w:tcW w:w="2104" w:type="dxa"/>
            <w:shd w:val="clear" w:color="auto" w:fill="BFBFBF" w:themeFill="background1" w:themeFillShade="BF"/>
          </w:tcPr>
          <w:p w:rsidR="002B4D2A" w:rsidRPr="00A35800" w:rsidRDefault="002B4D2A" w:rsidP="000F0544">
            <w:pPr>
              <w:pStyle w:val="Tableheading"/>
              <w:jc w:val="left"/>
              <w:rPr>
                <w:sz w:val="20"/>
                <w:szCs w:val="20"/>
              </w:rPr>
            </w:pPr>
            <w:r w:rsidRPr="00A35800">
              <w:rPr>
                <w:sz w:val="20"/>
                <w:szCs w:val="20"/>
              </w:rPr>
              <w:t>Brand name and manufacturer</w:t>
            </w:r>
          </w:p>
        </w:tc>
      </w:tr>
      <w:tr w:rsidR="002B4D2A" w:rsidRPr="00A35800" w:rsidTr="006D4DDA">
        <w:trPr>
          <w:trHeight w:val="552"/>
          <w:tblHeader/>
        </w:trPr>
        <w:tc>
          <w:tcPr>
            <w:tcW w:w="969" w:type="dxa"/>
            <w:shd w:val="clear" w:color="auto" w:fill="auto"/>
          </w:tcPr>
          <w:p w:rsidR="002B4D2A" w:rsidRPr="00A35800" w:rsidRDefault="002B4D2A" w:rsidP="000F0544">
            <w:pPr>
              <w:pStyle w:val="Tablewriting"/>
            </w:pPr>
            <w:r>
              <w:t>9360P</w:t>
            </w:r>
          </w:p>
        </w:tc>
        <w:tc>
          <w:tcPr>
            <w:tcW w:w="2683" w:type="dxa"/>
            <w:shd w:val="clear" w:color="auto" w:fill="auto"/>
          </w:tcPr>
          <w:p w:rsidR="002B4D2A" w:rsidRPr="00A35800" w:rsidRDefault="002B4D2A" w:rsidP="000F0544">
            <w:pPr>
              <w:pStyle w:val="Tablewriting"/>
            </w:pPr>
            <w:proofErr w:type="spellStart"/>
            <w:r>
              <w:t>Posaconazole</w:t>
            </w:r>
            <w:proofErr w:type="spellEnd"/>
            <w:r>
              <w:t xml:space="preserve"> 40 mg/mL oral liquid, 105 mL</w:t>
            </w:r>
          </w:p>
        </w:tc>
        <w:tc>
          <w:tcPr>
            <w:tcW w:w="1418" w:type="dxa"/>
            <w:shd w:val="clear" w:color="auto" w:fill="auto"/>
          </w:tcPr>
          <w:p w:rsidR="002B4D2A" w:rsidRPr="00A35800" w:rsidRDefault="002B4D2A" w:rsidP="000F0544">
            <w:pPr>
              <w:pStyle w:val="Tablewriting"/>
            </w:pPr>
            <w:r>
              <w:t>1</w:t>
            </w:r>
          </w:p>
        </w:tc>
        <w:tc>
          <w:tcPr>
            <w:tcW w:w="850" w:type="dxa"/>
            <w:shd w:val="clear" w:color="auto" w:fill="auto"/>
          </w:tcPr>
          <w:p w:rsidR="002B4D2A" w:rsidRPr="00A35800" w:rsidRDefault="002B4D2A" w:rsidP="000F0544">
            <w:pPr>
              <w:pStyle w:val="Tablewriting"/>
            </w:pPr>
            <w:r>
              <w:sym w:font="Symbol" w:char="F0D7"/>
            </w:r>
            <w:r>
              <w:sym w:font="Symbol" w:char="F0D7"/>
            </w:r>
          </w:p>
        </w:tc>
        <w:tc>
          <w:tcPr>
            <w:tcW w:w="1040" w:type="dxa"/>
            <w:shd w:val="clear" w:color="auto" w:fill="auto"/>
          </w:tcPr>
          <w:p w:rsidR="002B4D2A" w:rsidRPr="00A35800" w:rsidRDefault="002B4D2A" w:rsidP="000F0544">
            <w:pPr>
              <w:pStyle w:val="Tablewriting"/>
            </w:pPr>
            <w:r>
              <w:t>$691.97</w:t>
            </w:r>
          </w:p>
        </w:tc>
        <w:tc>
          <w:tcPr>
            <w:tcW w:w="2104" w:type="dxa"/>
            <w:shd w:val="clear" w:color="auto" w:fill="auto"/>
          </w:tcPr>
          <w:p w:rsidR="002B4D2A" w:rsidRPr="00A35800" w:rsidRDefault="002B4D2A" w:rsidP="000F0544">
            <w:pPr>
              <w:pStyle w:val="Tablewriting"/>
            </w:pPr>
            <w:proofErr w:type="spellStart"/>
            <w:r>
              <w:t>Noxafil</w:t>
            </w:r>
            <w:proofErr w:type="spellEnd"/>
            <w:r>
              <w:t xml:space="preserve"> [MK]</w:t>
            </w:r>
          </w:p>
        </w:tc>
      </w:tr>
      <w:tr w:rsidR="002B4D2A" w:rsidRPr="00A35800" w:rsidTr="006D4DDA">
        <w:trPr>
          <w:trHeight w:val="546"/>
          <w:tblHeader/>
        </w:trPr>
        <w:tc>
          <w:tcPr>
            <w:tcW w:w="969" w:type="dxa"/>
            <w:shd w:val="clear" w:color="auto" w:fill="auto"/>
          </w:tcPr>
          <w:p w:rsidR="002B4D2A" w:rsidRPr="00A35800" w:rsidRDefault="002B4D2A" w:rsidP="000F0544">
            <w:pPr>
              <w:pStyle w:val="Tablewriting"/>
            </w:pPr>
            <w:r>
              <w:t>10460M</w:t>
            </w:r>
          </w:p>
        </w:tc>
        <w:tc>
          <w:tcPr>
            <w:tcW w:w="2683" w:type="dxa"/>
            <w:shd w:val="clear" w:color="auto" w:fill="auto"/>
          </w:tcPr>
          <w:p w:rsidR="002B4D2A" w:rsidRPr="00A35800" w:rsidRDefault="002B4D2A" w:rsidP="000F0544">
            <w:pPr>
              <w:pStyle w:val="Tablewriting"/>
            </w:pPr>
            <w:proofErr w:type="spellStart"/>
            <w:r>
              <w:t>Posaconazole</w:t>
            </w:r>
            <w:proofErr w:type="spellEnd"/>
            <w:r>
              <w:t xml:space="preserve"> 100 mg modified release tablet, 24</w:t>
            </w:r>
          </w:p>
        </w:tc>
        <w:tc>
          <w:tcPr>
            <w:tcW w:w="1418" w:type="dxa"/>
            <w:shd w:val="clear" w:color="auto" w:fill="auto"/>
          </w:tcPr>
          <w:p w:rsidR="002B4D2A" w:rsidRPr="00A35800" w:rsidRDefault="002B4D2A" w:rsidP="000F0544">
            <w:pPr>
              <w:pStyle w:val="Tablewriting"/>
            </w:pPr>
            <w:r>
              <w:t>1</w:t>
            </w:r>
          </w:p>
        </w:tc>
        <w:tc>
          <w:tcPr>
            <w:tcW w:w="850" w:type="dxa"/>
            <w:shd w:val="clear" w:color="auto" w:fill="auto"/>
          </w:tcPr>
          <w:p w:rsidR="002B4D2A" w:rsidRPr="00A35800" w:rsidRDefault="002B4D2A" w:rsidP="000F0544">
            <w:pPr>
              <w:pStyle w:val="Tablewriting"/>
            </w:pPr>
            <w:r>
              <w:sym w:font="Symbol" w:char="F0D7"/>
            </w:r>
            <w:r>
              <w:sym w:font="Symbol" w:char="F0D7"/>
            </w:r>
          </w:p>
        </w:tc>
        <w:tc>
          <w:tcPr>
            <w:tcW w:w="1040" w:type="dxa"/>
            <w:shd w:val="clear" w:color="auto" w:fill="auto"/>
          </w:tcPr>
          <w:p w:rsidR="002B4D2A" w:rsidRPr="00A35800" w:rsidRDefault="002B4D2A" w:rsidP="000F0544">
            <w:pPr>
              <w:pStyle w:val="Tablewriting"/>
            </w:pPr>
            <w:r w:rsidRPr="00A10E49">
              <w:t>$834.65</w:t>
            </w:r>
          </w:p>
        </w:tc>
        <w:tc>
          <w:tcPr>
            <w:tcW w:w="2104" w:type="dxa"/>
            <w:shd w:val="clear" w:color="auto" w:fill="auto"/>
          </w:tcPr>
          <w:p w:rsidR="002B4D2A" w:rsidRPr="00A35800" w:rsidRDefault="002B4D2A" w:rsidP="000F0544">
            <w:pPr>
              <w:pStyle w:val="Tablewriting"/>
            </w:pPr>
            <w:proofErr w:type="spellStart"/>
            <w:r>
              <w:t>Noxafil</w:t>
            </w:r>
            <w:proofErr w:type="spellEnd"/>
            <w:r>
              <w:t xml:space="preserve"> [MK]</w:t>
            </w:r>
          </w:p>
        </w:tc>
      </w:tr>
    </w:tbl>
    <w:p w:rsidR="002B4D2A" w:rsidRPr="00A35800" w:rsidRDefault="002B4D2A" w:rsidP="000F0544">
      <w:pPr>
        <w:pStyle w:val="Notes"/>
        <w:spacing w:line="240" w:lineRule="auto"/>
      </w:pPr>
      <w:r w:rsidRPr="00A35800">
        <w:t xml:space="preserve">Source: </w:t>
      </w:r>
      <w:r>
        <w:t xml:space="preserve">the </w:t>
      </w:r>
      <w:r w:rsidRPr="00C74C98">
        <w:t>PBS website</w:t>
      </w:r>
      <w:r>
        <w:t xml:space="preserve">. </w:t>
      </w:r>
    </w:p>
    <w:p w:rsidR="002B4D2A" w:rsidRDefault="002B4D2A" w:rsidP="000F0544">
      <w:pPr>
        <w:pStyle w:val="Heading2"/>
        <w:spacing w:line="240" w:lineRule="auto"/>
      </w:pPr>
      <w:r>
        <w:t>PBS Restriction</w:t>
      </w:r>
    </w:p>
    <w:p w:rsidR="002B4D2A" w:rsidRPr="007158EE" w:rsidRDefault="002B4D2A" w:rsidP="000F0544">
      <w:pPr>
        <w:spacing w:line="240" w:lineRule="auto"/>
      </w:pPr>
      <w:r w:rsidRPr="007158EE">
        <w:t>Authority required (telephone) for the treatment of the following fungal infections in patients who are unable to tolerate alternative therapy or have disease refractory to alternative therapy:</w:t>
      </w:r>
    </w:p>
    <w:p w:rsidR="002B4D2A" w:rsidRPr="007158EE" w:rsidRDefault="002B4D2A" w:rsidP="000F0544">
      <w:pPr>
        <w:pStyle w:val="ListParagraph"/>
        <w:numPr>
          <w:ilvl w:val="0"/>
          <w:numId w:val="11"/>
        </w:numPr>
        <w:spacing w:line="240" w:lineRule="auto"/>
      </w:pPr>
      <w:r w:rsidRPr="007158EE">
        <w:t>Invasive aspergillosis</w:t>
      </w:r>
    </w:p>
    <w:p w:rsidR="002B4D2A" w:rsidRPr="007158EE" w:rsidRDefault="002B4D2A" w:rsidP="000F0544">
      <w:pPr>
        <w:pStyle w:val="ListParagraph"/>
        <w:numPr>
          <w:ilvl w:val="0"/>
          <w:numId w:val="11"/>
        </w:numPr>
        <w:spacing w:line="240" w:lineRule="auto"/>
      </w:pPr>
      <w:proofErr w:type="spellStart"/>
      <w:r w:rsidRPr="007158EE">
        <w:t>Fusariosis</w:t>
      </w:r>
      <w:proofErr w:type="spellEnd"/>
    </w:p>
    <w:p w:rsidR="002B4D2A" w:rsidRPr="007158EE" w:rsidRDefault="002B4D2A" w:rsidP="000F0544">
      <w:pPr>
        <w:pStyle w:val="ListParagraph"/>
        <w:numPr>
          <w:ilvl w:val="0"/>
          <w:numId w:val="11"/>
        </w:numPr>
        <w:spacing w:line="240" w:lineRule="auto"/>
      </w:pPr>
      <w:proofErr w:type="spellStart"/>
      <w:r w:rsidRPr="007158EE">
        <w:t>Zygomycosis</w:t>
      </w:r>
      <w:proofErr w:type="spellEnd"/>
    </w:p>
    <w:p w:rsidR="002B4D2A" w:rsidRPr="007158EE" w:rsidRDefault="002B4D2A" w:rsidP="000F0544">
      <w:pPr>
        <w:pStyle w:val="ListParagraph"/>
        <w:numPr>
          <w:ilvl w:val="0"/>
          <w:numId w:val="11"/>
        </w:numPr>
        <w:spacing w:line="240" w:lineRule="auto"/>
      </w:pPr>
      <w:proofErr w:type="spellStart"/>
      <w:r w:rsidRPr="007158EE">
        <w:t>Coccidioidomycosis</w:t>
      </w:r>
      <w:proofErr w:type="spellEnd"/>
    </w:p>
    <w:p w:rsidR="002B4D2A" w:rsidRPr="007158EE" w:rsidRDefault="002B4D2A" w:rsidP="000F0544">
      <w:pPr>
        <w:pStyle w:val="ListParagraph"/>
        <w:numPr>
          <w:ilvl w:val="0"/>
          <w:numId w:val="11"/>
        </w:numPr>
        <w:spacing w:line="240" w:lineRule="auto"/>
      </w:pPr>
      <w:proofErr w:type="spellStart"/>
      <w:r w:rsidRPr="007158EE">
        <w:t>Chromoblastomycosis</w:t>
      </w:r>
      <w:proofErr w:type="spellEnd"/>
    </w:p>
    <w:p w:rsidR="002B4D2A" w:rsidRDefault="002B4D2A" w:rsidP="000F0544">
      <w:pPr>
        <w:pStyle w:val="ListParagraph"/>
        <w:numPr>
          <w:ilvl w:val="0"/>
          <w:numId w:val="11"/>
        </w:numPr>
        <w:spacing w:line="240" w:lineRule="auto"/>
      </w:pPr>
      <w:proofErr w:type="spellStart"/>
      <w:r w:rsidRPr="007158EE">
        <w:t>Mycetoma</w:t>
      </w:r>
      <w:proofErr w:type="spellEnd"/>
    </w:p>
    <w:p w:rsidR="002B4D2A" w:rsidRDefault="002B4D2A" w:rsidP="000F0544">
      <w:pPr>
        <w:spacing w:line="240" w:lineRule="auto"/>
      </w:pPr>
      <w:r>
        <w:t>Authority required (telephone) for the prophylaxis of invasive fungal infections including both yeasts and moulds in patients who are:</w:t>
      </w:r>
    </w:p>
    <w:p w:rsidR="002B4D2A" w:rsidRDefault="002B4D2A" w:rsidP="000F0544">
      <w:pPr>
        <w:pStyle w:val="ListParagraph"/>
        <w:numPr>
          <w:ilvl w:val="0"/>
          <w:numId w:val="12"/>
        </w:numPr>
        <w:spacing w:line="240" w:lineRule="auto"/>
        <w:ind w:left="624" w:hanging="340"/>
      </w:pPr>
      <w:r>
        <w:t>considered at high risk of developing an invasive fungal infection due to anticipated neutropenia (an absolute neutrophil count less than 500 cells per cubic millimetre), for at least 10 days whilst receiving chemotherapy for acute myeloid leukaemia or myelodysplastic syndrome; OR</w:t>
      </w:r>
    </w:p>
    <w:p w:rsidR="002B4D2A" w:rsidRDefault="002B4D2A" w:rsidP="000F0544">
      <w:pPr>
        <w:pStyle w:val="ListParagraph"/>
        <w:numPr>
          <w:ilvl w:val="0"/>
          <w:numId w:val="12"/>
        </w:numPr>
        <w:spacing w:line="240" w:lineRule="auto"/>
        <w:ind w:left="624" w:hanging="340"/>
      </w:pPr>
      <w:r>
        <w:t>considered at high risk of developing an invasive fungal infection due to having acute graft versus host disease (GVHD) grade II, III or IV, or extensive chronic GVHD, and receiving intensive immunosuppressive therapy after allogeneic haematopoietic stem cell transplant</w:t>
      </w:r>
    </w:p>
    <w:p w:rsidR="00770B28" w:rsidRDefault="001711EC" w:rsidP="000F0544">
      <w:pPr>
        <w:spacing w:line="240" w:lineRule="auto"/>
        <w:ind w:left="284" w:hanging="284"/>
      </w:pPr>
      <w:r>
        <w:t>For prophylaxis, no</w:t>
      </w:r>
      <w:r w:rsidR="00770B28">
        <w:t xml:space="preserve"> more than 6 months</w:t>
      </w:r>
      <w:r w:rsidR="00E62B16">
        <w:t>’</w:t>
      </w:r>
      <w:r w:rsidR="00770B28">
        <w:t xml:space="preserve"> therapy per episode will be PBS subsidised</w:t>
      </w:r>
      <w:r>
        <w:t>.</w:t>
      </w:r>
    </w:p>
    <w:p w:rsidR="002B4D2A" w:rsidRDefault="001711EC" w:rsidP="000F0544">
      <w:pPr>
        <w:spacing w:line="240" w:lineRule="auto"/>
      </w:pPr>
      <w:r>
        <w:t>The restriction for tablets (but not the liquid) states that t</w:t>
      </w:r>
      <w:r w:rsidR="002B4D2A">
        <w:t>reatment of neutropenia should continue until recovery of the neutrophil count to at least 500 cells per cubic milli</w:t>
      </w:r>
      <w:r>
        <w:t xml:space="preserve">metre, </w:t>
      </w:r>
      <w:r>
        <w:lastRenderedPageBreak/>
        <w:t xml:space="preserve">and </w:t>
      </w:r>
      <w:proofErr w:type="gramStart"/>
      <w:r>
        <w:t>that p</w:t>
      </w:r>
      <w:r w:rsidR="002B4D2A">
        <w:t>atients</w:t>
      </w:r>
      <w:proofErr w:type="gramEnd"/>
      <w:r w:rsidR="002B4D2A">
        <w:t xml:space="preserve"> who have had a previous invasive fungal infection should have secondary prophylaxis during subsequent episodes of neutropenia.</w:t>
      </w:r>
    </w:p>
    <w:p w:rsidR="002B4D2A" w:rsidRDefault="002B4D2A" w:rsidP="000F0544">
      <w:pPr>
        <w:spacing w:line="240" w:lineRule="auto"/>
      </w:pPr>
      <w:r w:rsidRPr="00D20060">
        <w:t xml:space="preserve">A note to the restriction </w:t>
      </w:r>
      <w:r w:rsidR="001711EC">
        <w:t xml:space="preserve">allows </w:t>
      </w:r>
      <w:r w:rsidRPr="00D20060">
        <w:t>application</w:t>
      </w:r>
      <w:r w:rsidR="001711EC">
        <w:t>s</w:t>
      </w:r>
      <w:r w:rsidRPr="00D20060">
        <w:t xml:space="preserve"> for an increased maximum quantity for up to 1</w:t>
      </w:r>
      <w:r w:rsidR="00194619">
        <w:t> </w:t>
      </w:r>
      <w:r w:rsidRPr="00D20060">
        <w:t>month</w:t>
      </w:r>
      <w:r w:rsidR="0063511A">
        <w:t xml:space="preserve"> supply</w:t>
      </w:r>
      <w:r w:rsidRPr="00D20060">
        <w:t xml:space="preserve"> and repeats sufficient for up to 6 month</w:t>
      </w:r>
      <w:r w:rsidR="00EF0D50">
        <w:t>s</w:t>
      </w:r>
      <w:r w:rsidR="00F06B29">
        <w:t>’</w:t>
      </w:r>
      <w:r w:rsidR="0063511A">
        <w:t xml:space="preserve"> </w:t>
      </w:r>
      <w:r w:rsidRPr="00D20060">
        <w:t>s</w:t>
      </w:r>
      <w:r w:rsidR="0063511A">
        <w:t>upply to be au</w:t>
      </w:r>
      <w:r w:rsidRPr="00D20060">
        <w:t>thorised.</w:t>
      </w:r>
      <w:r w:rsidR="00770B28">
        <w:t xml:space="preserve"> Based on the recommended doses in Table </w:t>
      </w:r>
      <w:r w:rsidR="00F06B29">
        <w:t>1</w:t>
      </w:r>
      <w:r w:rsidR="00770B28">
        <w:t>, one pack of tablets provides a sufficient quantity for</w:t>
      </w:r>
      <w:r w:rsidR="00194619">
        <w:t xml:space="preserve"> approximately </w:t>
      </w:r>
      <w:r w:rsidR="00770B28">
        <w:t xml:space="preserve">7 days of treatment or prophylaxis. One bottle of oral liquid provides a quantity sufficient for approximately 5 days of treatment or 7 days of </w:t>
      </w:r>
      <w:r w:rsidR="0063511A">
        <w:t>prophylaxis</w:t>
      </w:r>
      <w:r w:rsidR="00770B28">
        <w:t>.</w:t>
      </w:r>
    </w:p>
    <w:p w:rsidR="002B4D2A" w:rsidRDefault="002B4D2A" w:rsidP="000F0544">
      <w:pPr>
        <w:spacing w:line="240" w:lineRule="auto"/>
        <w:rPr>
          <w:rStyle w:val="Hyperlink"/>
        </w:rPr>
      </w:pPr>
      <w:r w:rsidRPr="006775F1">
        <w:t xml:space="preserve">For </w:t>
      </w:r>
      <w:r w:rsidR="00817C8B">
        <w:t xml:space="preserve">full </w:t>
      </w:r>
      <w:r>
        <w:t xml:space="preserve">details of the current PBS listing refer to the </w:t>
      </w:r>
      <w:r w:rsidRPr="00C74C98">
        <w:t>PBS website</w:t>
      </w:r>
      <w:r>
        <w:rPr>
          <w:rStyle w:val="Hyperlink"/>
        </w:rPr>
        <w:t>.</w:t>
      </w:r>
    </w:p>
    <w:p w:rsidR="00817C8B" w:rsidRPr="005E22C2" w:rsidRDefault="00817C8B" w:rsidP="000F0544">
      <w:pPr>
        <w:pStyle w:val="Heading3"/>
        <w:spacing w:line="240" w:lineRule="auto"/>
      </w:pPr>
      <w:r>
        <w:t>Relevant aspects of</w:t>
      </w:r>
      <w:r w:rsidRPr="005E22C2">
        <w:t xml:space="preserve"> consideration</w:t>
      </w:r>
      <w:r>
        <w:t xml:space="preserve"> by the Pharmaceutical Benefits Advisory Committee (PBAC)</w:t>
      </w:r>
    </w:p>
    <w:p w:rsidR="00DB7095" w:rsidRPr="00DB7095" w:rsidRDefault="00DB7095" w:rsidP="000F0544">
      <w:pPr>
        <w:spacing w:line="240" w:lineRule="auto"/>
        <w:rPr>
          <w:b/>
          <w:i/>
        </w:rPr>
      </w:pPr>
      <w:proofErr w:type="spellStart"/>
      <w:r w:rsidRPr="00DB7095">
        <w:rPr>
          <w:b/>
          <w:i/>
        </w:rPr>
        <w:t>Posaconazole</w:t>
      </w:r>
      <w:proofErr w:type="spellEnd"/>
    </w:p>
    <w:p w:rsidR="00817C8B" w:rsidRDefault="00817C8B" w:rsidP="000F0544">
      <w:pPr>
        <w:spacing w:line="240" w:lineRule="auto"/>
      </w:pPr>
      <w:r>
        <w:t xml:space="preserve">The PBAC recommended the listing of </w:t>
      </w:r>
      <w:proofErr w:type="spellStart"/>
      <w:r>
        <w:t>posaconazole</w:t>
      </w:r>
      <w:proofErr w:type="spellEnd"/>
      <w:r>
        <w:t xml:space="preserve"> </w:t>
      </w:r>
      <w:r w:rsidRPr="007D301F">
        <w:rPr>
          <w:u w:val="single"/>
        </w:rPr>
        <w:t>oral suspension</w:t>
      </w:r>
      <w:r>
        <w:t xml:space="preserve"> at the July 2006 meeting for the </w:t>
      </w:r>
      <w:r w:rsidRPr="00F46349">
        <w:rPr>
          <w:u w:val="single"/>
        </w:rPr>
        <w:t>treatment</w:t>
      </w:r>
      <w:r>
        <w:t xml:space="preserve"> of invasive aspergillosis and other fungal infections (</w:t>
      </w:r>
      <w:proofErr w:type="spellStart"/>
      <w:r>
        <w:t>fusarosis</w:t>
      </w:r>
      <w:proofErr w:type="spellEnd"/>
      <w:r>
        <w:t xml:space="preserve">, </w:t>
      </w:r>
      <w:proofErr w:type="spellStart"/>
      <w:r>
        <w:t>zygomycosis</w:t>
      </w:r>
      <w:proofErr w:type="spellEnd"/>
      <w:r>
        <w:t xml:space="preserve">, </w:t>
      </w:r>
      <w:proofErr w:type="spellStart"/>
      <w:r>
        <w:t>coccidiodomycosis</w:t>
      </w:r>
      <w:proofErr w:type="spellEnd"/>
      <w:r>
        <w:t xml:space="preserve">, </w:t>
      </w:r>
      <w:proofErr w:type="spellStart"/>
      <w:r>
        <w:t>chromblastomycosis</w:t>
      </w:r>
      <w:proofErr w:type="spellEnd"/>
      <w:r>
        <w:t xml:space="preserve">, </w:t>
      </w:r>
      <w:proofErr w:type="spellStart"/>
      <w:proofErr w:type="gramStart"/>
      <w:r>
        <w:t>mycetoma</w:t>
      </w:r>
      <w:proofErr w:type="spellEnd"/>
      <w:proofErr w:type="gramEnd"/>
      <w:r>
        <w:t xml:space="preserve">) in patients intolerant to, or </w:t>
      </w:r>
      <w:r w:rsidR="005F1B1F">
        <w:t xml:space="preserve">with disease </w:t>
      </w:r>
      <w:r>
        <w:t>refractory to, other therapy.</w:t>
      </w:r>
    </w:p>
    <w:p w:rsidR="00817C8B" w:rsidRDefault="00817C8B" w:rsidP="000F0544">
      <w:pPr>
        <w:spacing w:line="240" w:lineRule="auto"/>
      </w:pPr>
      <w:r>
        <w:t>The recommendation was made on the grounds of high but acceptable cost</w:t>
      </w:r>
      <w:r>
        <w:noBreakHyphen/>
        <w:t xml:space="preserve">effectiveness compared to a suite of salvage therapies. The submission had nominated </w:t>
      </w:r>
      <w:proofErr w:type="spellStart"/>
      <w:r>
        <w:t>voriconazole</w:t>
      </w:r>
      <w:proofErr w:type="spellEnd"/>
      <w:r>
        <w:t xml:space="preserve"> as the major comparator. The PBAC considered other salvage therapies including </w:t>
      </w:r>
      <w:proofErr w:type="spellStart"/>
      <w:r>
        <w:t>caspofungin</w:t>
      </w:r>
      <w:proofErr w:type="spellEnd"/>
      <w:r>
        <w:t xml:space="preserve">, and amphotericin B lipid complex were also appropriate comparators because </w:t>
      </w:r>
      <w:proofErr w:type="spellStart"/>
      <w:r>
        <w:t>voriconazole</w:t>
      </w:r>
      <w:proofErr w:type="spellEnd"/>
      <w:r>
        <w:t xml:space="preserve"> is unlikely to be the only drug chosen for treatment of all the conditions in the listed indication.</w:t>
      </w:r>
    </w:p>
    <w:p w:rsidR="008356A4" w:rsidRPr="00255EF3" w:rsidRDefault="008356A4" w:rsidP="000F0544">
      <w:pPr>
        <w:spacing w:line="240" w:lineRule="auto"/>
      </w:pPr>
      <w:r>
        <w:t xml:space="preserve">At the time of recommendation, the </w:t>
      </w:r>
      <w:r w:rsidRPr="008356A4">
        <w:t>current standard</w:t>
      </w:r>
      <w:r>
        <w:t xml:space="preserve"> first line</w:t>
      </w:r>
      <w:r w:rsidRPr="008356A4">
        <w:t xml:space="preserve"> therapy for proven or probabl</w:t>
      </w:r>
      <w:r>
        <w:t xml:space="preserve">e acute invasive aspergillosis according to the </w:t>
      </w:r>
      <w:r w:rsidRPr="008356A4">
        <w:t>Australasian Society for Infectious Diseases (ASID): Guidelines for use of antifungal agents in treatment of invasive fungal infection (July 2003)</w:t>
      </w:r>
      <w:r>
        <w:t>,</w:t>
      </w:r>
      <w:r w:rsidRPr="008356A4">
        <w:t xml:space="preserve"> </w:t>
      </w:r>
      <w:r>
        <w:t>wa</w:t>
      </w:r>
      <w:r w:rsidRPr="008356A4">
        <w:t xml:space="preserve">s conventional amphotericin B, </w:t>
      </w:r>
      <w:proofErr w:type="spellStart"/>
      <w:r w:rsidRPr="008356A4">
        <w:t>voriconazole</w:t>
      </w:r>
      <w:proofErr w:type="spellEnd"/>
      <w:r w:rsidRPr="008356A4">
        <w:t xml:space="preserve">, liposomal amphotericin B, amphotericin B lipid complex or </w:t>
      </w:r>
      <w:proofErr w:type="spellStart"/>
      <w:r w:rsidRPr="008356A4">
        <w:t>caspofungin</w:t>
      </w:r>
      <w:proofErr w:type="spellEnd"/>
      <w:r w:rsidRPr="008356A4">
        <w:t xml:space="preserve">. Among these anti-fungal agents recommended by ASID, </w:t>
      </w:r>
      <w:r>
        <w:t>only conventional amphotericin wa</w:t>
      </w:r>
      <w:r w:rsidRPr="008356A4">
        <w:t>s PBS listed</w:t>
      </w:r>
      <w:r w:rsidR="00194619">
        <w:t xml:space="preserve"> for first li</w:t>
      </w:r>
      <w:r w:rsidR="00AF5BCC">
        <w:t>n</w:t>
      </w:r>
      <w:r w:rsidR="00194619">
        <w:t>e</w:t>
      </w:r>
      <w:r w:rsidR="00AF5BCC">
        <w:t xml:space="preserve"> therapy</w:t>
      </w:r>
      <w:r w:rsidRPr="008356A4">
        <w:t>.</w:t>
      </w:r>
      <w:r>
        <w:t xml:space="preserve"> </w:t>
      </w:r>
      <w:r w:rsidR="00AF5BCC">
        <w:t>Conventional a</w:t>
      </w:r>
      <w:r>
        <w:t xml:space="preserve">mphotericin B </w:t>
      </w:r>
      <w:r w:rsidR="00B610C9">
        <w:t>(</w:t>
      </w:r>
      <w:proofErr w:type="spellStart"/>
      <w:r w:rsidR="00B610C9">
        <w:t>deoxycholate</w:t>
      </w:r>
      <w:proofErr w:type="spellEnd"/>
      <w:r w:rsidR="00B610C9">
        <w:t xml:space="preserve">) </w:t>
      </w:r>
      <w:r>
        <w:t xml:space="preserve">was subsequently discontinued </w:t>
      </w:r>
      <w:r w:rsidR="00AF5BCC" w:rsidRPr="00255EF3">
        <w:t>and deleted from the PBS</w:t>
      </w:r>
      <w:r w:rsidR="00194619" w:rsidRPr="00255EF3">
        <w:t xml:space="preserve"> in mid-2010</w:t>
      </w:r>
      <w:r w:rsidR="00AF5BCC" w:rsidRPr="00255EF3">
        <w:t>.</w:t>
      </w:r>
    </w:p>
    <w:p w:rsidR="00D1777B" w:rsidRDefault="00D1777B" w:rsidP="000F0544">
      <w:pPr>
        <w:spacing w:line="240" w:lineRule="auto"/>
      </w:pPr>
      <w:r>
        <w:t xml:space="preserve">The July 2006 recommendation was </w:t>
      </w:r>
      <w:r w:rsidRPr="00D1777B">
        <w:t>not implemented due to financial considerations.</w:t>
      </w:r>
      <w:r>
        <w:t xml:space="preserve"> In March 2008 the PBAC considered a resubmission </w:t>
      </w:r>
      <w:r w:rsidRPr="00D1777B">
        <w:t>which provided revised economic and financial estimates</w:t>
      </w:r>
      <w:r w:rsidR="00194619">
        <w:t>. T</w:t>
      </w:r>
      <w:r w:rsidR="003821EF">
        <w:t xml:space="preserve">he listing was implemented </w:t>
      </w:r>
      <w:r w:rsidR="00194619">
        <w:t>January 2009.</w:t>
      </w:r>
    </w:p>
    <w:p w:rsidR="00817C8B" w:rsidRPr="00F65F0D" w:rsidRDefault="00817C8B" w:rsidP="000F0544">
      <w:pPr>
        <w:spacing w:line="240" w:lineRule="auto"/>
      </w:pPr>
      <w:r>
        <w:t xml:space="preserve">For further details refer to </w:t>
      </w:r>
      <w:r w:rsidRPr="00F65F0D">
        <w:t xml:space="preserve">the </w:t>
      </w:r>
      <w:r w:rsidRPr="00C74C98">
        <w:t>Public Summary Document</w:t>
      </w:r>
      <w:r w:rsidRPr="00F65F0D">
        <w:t xml:space="preserve"> from the </w:t>
      </w:r>
      <w:r>
        <w:t>July 2006 PBAC meeting.</w:t>
      </w:r>
    </w:p>
    <w:p w:rsidR="00817C8B" w:rsidRPr="00F65F0D" w:rsidRDefault="00817C8B" w:rsidP="000F0544">
      <w:pPr>
        <w:spacing w:line="240" w:lineRule="auto"/>
      </w:pPr>
      <w:r>
        <w:t xml:space="preserve">The PBAC recommended the listing of </w:t>
      </w:r>
      <w:proofErr w:type="spellStart"/>
      <w:r>
        <w:t>posaconazole</w:t>
      </w:r>
      <w:proofErr w:type="spellEnd"/>
      <w:r>
        <w:t xml:space="preserve"> </w:t>
      </w:r>
      <w:r w:rsidRPr="007D301F">
        <w:rPr>
          <w:u w:val="single"/>
        </w:rPr>
        <w:t>oral suspension</w:t>
      </w:r>
      <w:r>
        <w:t xml:space="preserve"> at the </w:t>
      </w:r>
      <w:r w:rsidR="00AF5BCC">
        <w:t>March</w:t>
      </w:r>
      <w:r>
        <w:t xml:space="preserve"> 200</w:t>
      </w:r>
      <w:r w:rsidR="00AF5BCC">
        <w:t>8</w:t>
      </w:r>
      <w:r>
        <w:t xml:space="preserve"> meeting for the </w:t>
      </w:r>
      <w:r w:rsidRPr="00F46349">
        <w:rPr>
          <w:u w:val="single"/>
        </w:rPr>
        <w:t>prophylaxis</w:t>
      </w:r>
      <w:r>
        <w:t xml:space="preserve"> </w:t>
      </w:r>
      <w:r w:rsidR="005F1B1F">
        <w:t xml:space="preserve">of </w:t>
      </w:r>
      <w:r>
        <w:t xml:space="preserve">invasive fungal infections, including both yeasts and moulds, in a patient </w:t>
      </w:r>
      <w:r w:rsidRPr="00F46349">
        <w:t>who is at high risk of developing these infections and who meets certain criteria</w:t>
      </w:r>
      <w:r w:rsidR="005F1B1F">
        <w:t>,</w:t>
      </w:r>
      <w:r w:rsidRPr="00F46349">
        <w:t xml:space="preserve"> based on acceptable cost-effectiveness compared with fluconazole and </w:t>
      </w:r>
      <w:proofErr w:type="spellStart"/>
      <w:r w:rsidRPr="00F46349">
        <w:lastRenderedPageBreak/>
        <w:t>itraconazole</w:t>
      </w:r>
      <w:proofErr w:type="spellEnd"/>
      <w:r w:rsidRPr="00F46349">
        <w:t>.</w:t>
      </w:r>
      <w:r w:rsidRPr="00F46349">
        <w:br/>
      </w:r>
      <w:r w:rsidRPr="00F46349">
        <w:br/>
        <w:t xml:space="preserve">The PBAC considered that </w:t>
      </w:r>
      <w:proofErr w:type="spellStart"/>
      <w:r w:rsidRPr="00F46349">
        <w:t>posaconazole</w:t>
      </w:r>
      <w:proofErr w:type="spellEnd"/>
      <w:r w:rsidRPr="00F46349">
        <w:t xml:space="preserve"> was superior to fluconazole and </w:t>
      </w:r>
      <w:proofErr w:type="spellStart"/>
      <w:r w:rsidRPr="00F46349">
        <w:t>itraconazole</w:t>
      </w:r>
      <w:proofErr w:type="spellEnd"/>
      <w:r w:rsidRPr="00F46349">
        <w:t xml:space="preserve"> in the trial populations. However, the PBAC noted that the population in the trials did not reflect all po</w:t>
      </w:r>
      <w:r w:rsidR="005F1B1F">
        <w:t>pulations for whom PBS listing wa</w:t>
      </w:r>
      <w:r w:rsidRPr="00F46349">
        <w:t xml:space="preserve">s sought, such as solid organ transplants for liver, lung and pancreas. The PBAC considered that the listing should be restricted to the populations in trial 1899 and trial 316, where proven benefit was shown in patients with prolonged neutropenia and in patients with severe GVHD who are at high risk of invasive fungal infection. The PBAC considered that PBS-subsidised treatment with </w:t>
      </w:r>
      <w:proofErr w:type="spellStart"/>
      <w:r w:rsidRPr="00F46349">
        <w:t>posaconazole</w:t>
      </w:r>
      <w:proofErr w:type="spellEnd"/>
      <w:r w:rsidRPr="00F46349">
        <w:t xml:space="preserve"> in the GVHD population should be limited to 6 months based on the median duration of treatment in trial 316 of 111 days (range 1-138).</w:t>
      </w:r>
      <w:r w:rsidRPr="00F46349">
        <w:br/>
      </w:r>
      <w:r w:rsidRPr="00F46349">
        <w:br/>
        <w:t xml:space="preserve">The PBAC recommended removal of the age restriction to enable access for paediatric patients noting that </w:t>
      </w:r>
      <w:proofErr w:type="spellStart"/>
      <w:r w:rsidRPr="00F46349">
        <w:t>posaconazole</w:t>
      </w:r>
      <w:proofErr w:type="spellEnd"/>
      <w:r w:rsidRPr="00F46349">
        <w:t xml:space="preserve"> is not contraindicated in children.</w:t>
      </w:r>
      <w:r w:rsidRPr="00F46349">
        <w:br/>
      </w:r>
      <w:r w:rsidRPr="00F46349">
        <w:br/>
      </w:r>
      <w:r>
        <w:t xml:space="preserve">For further details refer to </w:t>
      </w:r>
      <w:r w:rsidRPr="00F65F0D">
        <w:t xml:space="preserve">the </w:t>
      </w:r>
      <w:r w:rsidRPr="00C74C98">
        <w:t>Public Summary Document</w:t>
      </w:r>
      <w:r w:rsidRPr="00F65F0D">
        <w:t xml:space="preserve"> from the </w:t>
      </w:r>
      <w:r>
        <w:t>March 2008 PBAC meeting.</w:t>
      </w:r>
    </w:p>
    <w:p w:rsidR="00817C8B" w:rsidRPr="007A2C89" w:rsidRDefault="00817C8B" w:rsidP="000F0544">
      <w:pPr>
        <w:spacing w:line="240" w:lineRule="auto"/>
      </w:pPr>
      <w:r>
        <w:t xml:space="preserve">At the March 2015 meeting, the PBAC recommended the listing of </w:t>
      </w:r>
      <w:proofErr w:type="spellStart"/>
      <w:r w:rsidRPr="007D301F">
        <w:rPr>
          <w:u w:val="single"/>
        </w:rPr>
        <w:t>posaconazole</w:t>
      </w:r>
      <w:proofErr w:type="spellEnd"/>
      <w:r w:rsidRPr="007D301F">
        <w:rPr>
          <w:u w:val="single"/>
        </w:rPr>
        <w:t xml:space="preserve"> tablets</w:t>
      </w:r>
      <w:r>
        <w:rPr>
          <w:u w:val="single"/>
        </w:rPr>
        <w:t xml:space="preserve"> </w:t>
      </w:r>
      <w:r w:rsidRPr="007A2C89">
        <w:t xml:space="preserve">for </w:t>
      </w:r>
      <w:r w:rsidR="00B610C9">
        <w:t xml:space="preserve">the </w:t>
      </w:r>
      <w:r>
        <w:t>same</w:t>
      </w:r>
      <w:r w:rsidRPr="007A2C89">
        <w:t xml:space="preserve"> </w:t>
      </w:r>
      <w:r w:rsidRPr="007D301F">
        <w:rPr>
          <w:u w:val="single"/>
        </w:rPr>
        <w:t>prophylaxis</w:t>
      </w:r>
      <w:r w:rsidRPr="007A2C89">
        <w:t xml:space="preserve"> and </w:t>
      </w:r>
      <w:r w:rsidRPr="007D301F">
        <w:rPr>
          <w:u w:val="single"/>
        </w:rPr>
        <w:t>treatment</w:t>
      </w:r>
      <w:r w:rsidRPr="007A2C89">
        <w:t xml:space="preserve"> of invasive fungal infections</w:t>
      </w:r>
      <w:r>
        <w:t xml:space="preserve"> criteria as the oral suspension</w:t>
      </w:r>
      <w:r w:rsidRPr="007A2C89">
        <w:t xml:space="preserve">.  </w:t>
      </w:r>
      <w:r>
        <w:t>T</w:t>
      </w:r>
      <w:r w:rsidRPr="007A2C89">
        <w:t xml:space="preserve">he PBAC </w:t>
      </w:r>
      <w:r>
        <w:t xml:space="preserve">considered that </w:t>
      </w:r>
      <w:r w:rsidR="0032165E">
        <w:t xml:space="preserve">the </w:t>
      </w:r>
      <w:r w:rsidR="0032165E" w:rsidRPr="007A2C89">
        <w:t>tablets</w:t>
      </w:r>
      <w:r w:rsidRPr="007A2C89">
        <w:rPr>
          <w:i/>
        </w:rPr>
        <w:t xml:space="preserve"> </w:t>
      </w:r>
      <w:r w:rsidRPr="007A2C89">
        <w:t xml:space="preserve">provide the same benefits as seen with </w:t>
      </w:r>
      <w:proofErr w:type="spellStart"/>
      <w:r w:rsidRPr="007A2C89">
        <w:t>posaconazole</w:t>
      </w:r>
      <w:proofErr w:type="spellEnd"/>
      <w:r w:rsidRPr="007A2C89">
        <w:t xml:space="preserve"> liquid but with the potential for greater ease of administration</w:t>
      </w:r>
      <w:r w:rsidR="00E62B16">
        <w:t>;</w:t>
      </w:r>
      <w:r w:rsidRPr="007A2C89">
        <w:t xml:space="preserve"> as the tablet formulation does not need to be taken with food.</w:t>
      </w:r>
    </w:p>
    <w:p w:rsidR="00817C8B" w:rsidRDefault="00817C8B" w:rsidP="000F0544">
      <w:pPr>
        <w:spacing w:line="240" w:lineRule="auto"/>
      </w:pPr>
      <w:r w:rsidRPr="007A2C89">
        <w:t xml:space="preserve"> The PBAC noted the TGA recommendation that the tablet and liquid forms of </w:t>
      </w:r>
      <w:proofErr w:type="spellStart"/>
      <w:r w:rsidRPr="007A2C89">
        <w:t>posaconazole</w:t>
      </w:r>
      <w:proofErr w:type="spellEnd"/>
      <w:r w:rsidRPr="007A2C89">
        <w:t xml:space="preserve"> are not considered interchangeable due to the differing treatment regimens and considered that the two formulations should not be able to be substituted on the PBS</w:t>
      </w:r>
      <w:r w:rsidR="00E8228F">
        <w:t>.</w:t>
      </w:r>
    </w:p>
    <w:p w:rsidR="00817C8B" w:rsidRPr="007A2C89" w:rsidRDefault="00817C8B" w:rsidP="000F0544">
      <w:pPr>
        <w:spacing w:line="240" w:lineRule="auto"/>
      </w:pPr>
      <w:r w:rsidRPr="007E0A8F">
        <w:t xml:space="preserve">The PBAC noted that due to the differing treatment regimens between the tablet and liquid preparations, it was not possible to calculate </w:t>
      </w:r>
      <w:proofErr w:type="spellStart"/>
      <w:r w:rsidRPr="007E0A8F">
        <w:t>equi</w:t>
      </w:r>
      <w:proofErr w:type="spellEnd"/>
      <w:r w:rsidRPr="007E0A8F">
        <w:t>-effective doses or a simple comparative price per milligram. The</w:t>
      </w:r>
      <w:r w:rsidRPr="007A2C89">
        <w:t xml:space="preserve"> PBAC considered that the price per treatment course should be equivalent for the two formulations of </w:t>
      </w:r>
      <w:proofErr w:type="spellStart"/>
      <w:r w:rsidRPr="007A2C89">
        <w:t>posaconazole</w:t>
      </w:r>
      <w:proofErr w:type="spellEnd"/>
      <w:r w:rsidRPr="007A2C89">
        <w:t xml:space="preserve">. </w:t>
      </w:r>
    </w:p>
    <w:p w:rsidR="00817C8B" w:rsidRPr="007A2C89" w:rsidRDefault="00817C8B" w:rsidP="000F0544">
      <w:pPr>
        <w:spacing w:line="240" w:lineRule="auto"/>
      </w:pPr>
      <w:r w:rsidRPr="007A2C89">
        <w:t xml:space="preserve">The PBAC considered that duration of therapy is a significant source of uncertainty.  As there are no conclusive data to inform a clinical decision to discontinue treatment or discontinue prophylaxis in chronic </w:t>
      </w:r>
      <w:r w:rsidR="00E62B16">
        <w:t>GVHD</w:t>
      </w:r>
      <w:r w:rsidRPr="007A2C89">
        <w:t xml:space="preserve">, the PBAC considered that there is a risk that patients will persist on treatment in the absence of clear additional clinical benefit.   </w:t>
      </w:r>
    </w:p>
    <w:p w:rsidR="00817C8B" w:rsidRPr="007A2C89" w:rsidRDefault="00817C8B" w:rsidP="000F0544">
      <w:pPr>
        <w:spacing w:line="240" w:lineRule="auto"/>
      </w:pPr>
      <w:r>
        <w:t xml:space="preserve">The submission had proposed that the listing of </w:t>
      </w:r>
      <w:proofErr w:type="spellStart"/>
      <w:r>
        <w:t>posaconazole</w:t>
      </w:r>
      <w:proofErr w:type="spellEnd"/>
      <w:r>
        <w:t xml:space="preserve"> would be cost neutral. </w:t>
      </w:r>
      <w:r w:rsidRPr="007A2C89">
        <w:t xml:space="preserve">The PBAC considered that utilisation of </w:t>
      </w:r>
      <w:proofErr w:type="spellStart"/>
      <w:r w:rsidR="0032165E" w:rsidRPr="007A2C89">
        <w:t>posaconazole</w:t>
      </w:r>
      <w:proofErr w:type="spellEnd"/>
      <w:r w:rsidRPr="007A2C89">
        <w:t xml:space="preserve"> tablets should be reviewed by DUSC after lis</w:t>
      </w:r>
      <w:r w:rsidR="00E62B16">
        <w:t>ting, noting that usage wa</w:t>
      </w:r>
      <w:r w:rsidRPr="007A2C89">
        <w:t>s likely to increase due to ease of use of tablets over liquid. The</w:t>
      </w:r>
      <w:r w:rsidR="00E62B16">
        <w:t xml:space="preserve"> Committee considered that it was</w:t>
      </w:r>
      <w:r w:rsidRPr="007A2C89">
        <w:t xml:space="preserve"> uncertain whether any additional patient benefit from such increased use will accrue. In the context of a DUSC analysis, the PBAC considered it appropriate to consult experts responsible for the current antifungal treatment guidelines to ascertain the most appropriate duration of therapy for both prophylaxis and treatment in order to form a basis for accurately analysing usage. </w:t>
      </w:r>
    </w:p>
    <w:p w:rsidR="00817C8B" w:rsidRPr="007A2C89" w:rsidRDefault="00817C8B" w:rsidP="000F0544">
      <w:pPr>
        <w:spacing w:line="240" w:lineRule="auto"/>
      </w:pPr>
      <w:r w:rsidRPr="007A2C89">
        <w:lastRenderedPageBreak/>
        <w:t xml:space="preserve">The PBAC considered that there may be uptake from the current </w:t>
      </w:r>
      <w:proofErr w:type="spellStart"/>
      <w:r w:rsidRPr="007E0A8F">
        <w:t>voriconazole</w:t>
      </w:r>
      <w:proofErr w:type="spellEnd"/>
      <w:r w:rsidRPr="007A2C89">
        <w:t xml:space="preserve"> market, and that the market share of </w:t>
      </w:r>
      <w:proofErr w:type="spellStart"/>
      <w:r w:rsidRPr="007A2C89">
        <w:t>posaconazole</w:t>
      </w:r>
      <w:proofErr w:type="spellEnd"/>
      <w:r w:rsidRPr="007A2C89">
        <w:t xml:space="preserve"> may increase with listing of the tablet formulation. </w:t>
      </w:r>
    </w:p>
    <w:p w:rsidR="00817C8B" w:rsidRDefault="00817C8B" w:rsidP="000F0544">
      <w:pPr>
        <w:spacing w:line="240" w:lineRule="auto"/>
      </w:pPr>
      <w:r>
        <w:t xml:space="preserve">For further details refer to </w:t>
      </w:r>
      <w:r w:rsidRPr="00F65F0D">
        <w:t xml:space="preserve">the </w:t>
      </w:r>
      <w:r w:rsidRPr="00C74C98">
        <w:t>Public Summary Document</w:t>
      </w:r>
      <w:r w:rsidRPr="00F65F0D">
        <w:t xml:space="preserve"> from the </w:t>
      </w:r>
      <w:r>
        <w:t>March 2015 PBAC meeting.</w:t>
      </w:r>
    </w:p>
    <w:p w:rsidR="00DB7095" w:rsidRPr="00DB7095" w:rsidRDefault="00DB7095" w:rsidP="000F0544">
      <w:pPr>
        <w:spacing w:line="240" w:lineRule="auto"/>
        <w:rPr>
          <w:b/>
          <w:i/>
        </w:rPr>
      </w:pPr>
      <w:r w:rsidRPr="00DB7095">
        <w:rPr>
          <w:b/>
          <w:i/>
        </w:rPr>
        <w:t>Other relevant considerations</w:t>
      </w:r>
    </w:p>
    <w:p w:rsidR="00DB7095" w:rsidRPr="004B2133" w:rsidRDefault="00DB7095" w:rsidP="000F0544">
      <w:pPr>
        <w:spacing w:line="240" w:lineRule="auto"/>
      </w:pPr>
      <w:proofErr w:type="spellStart"/>
      <w:r w:rsidRPr="004B2133">
        <w:t>Voriconazole</w:t>
      </w:r>
      <w:proofErr w:type="spellEnd"/>
      <w:r w:rsidRPr="004B2133">
        <w:t xml:space="preserve"> was recommended for PBS listing for treatment indications at the June 2003 PBAC meeting</w:t>
      </w:r>
      <w:r w:rsidR="00B55DA2" w:rsidRPr="004B2133">
        <w:t>.</w:t>
      </w:r>
    </w:p>
    <w:p w:rsidR="00B55DA2" w:rsidRPr="004B2133" w:rsidRDefault="00DB7095" w:rsidP="000F0544">
      <w:pPr>
        <w:spacing w:line="240" w:lineRule="auto"/>
      </w:pPr>
      <w:r w:rsidRPr="004B2133">
        <w:t xml:space="preserve">At the March 2014 meeting, </w:t>
      </w:r>
      <w:r w:rsidR="00B55DA2" w:rsidRPr="004B2133">
        <w:t xml:space="preserve">the PBAC recommended an extension to the listing of </w:t>
      </w:r>
      <w:proofErr w:type="spellStart"/>
      <w:r w:rsidR="00B55DA2" w:rsidRPr="004B2133">
        <w:t>voriconazole</w:t>
      </w:r>
      <w:proofErr w:type="spellEnd"/>
      <w:r w:rsidR="00B55DA2" w:rsidRPr="004B2133">
        <w:t xml:space="preserve"> to include an Authority </w:t>
      </w:r>
      <w:r w:rsidR="00E62B16">
        <w:t>R</w:t>
      </w:r>
      <w:r w:rsidR="00B55DA2" w:rsidRPr="004B2133">
        <w:t xml:space="preserve">equired listing for prophylaxis against invasive fungal infections in the high risk patients groups of acute myeloid leukaemia (AML); high-risk myelodysplastic syndrome (MDS); </w:t>
      </w:r>
      <w:r w:rsidR="00E62B16">
        <w:t>GVHD</w:t>
      </w:r>
      <w:r w:rsidR="00B55DA2" w:rsidRPr="004B2133">
        <w:t>; and high risk allogeneic haematopoietic stem cell transplant (</w:t>
      </w:r>
      <w:proofErr w:type="spellStart"/>
      <w:r w:rsidR="00B55DA2" w:rsidRPr="004B2133">
        <w:t>AlloHSCT</w:t>
      </w:r>
      <w:proofErr w:type="spellEnd"/>
      <w:r w:rsidR="00B55DA2" w:rsidRPr="004B2133">
        <w:t xml:space="preserve">) recipients.  </w:t>
      </w:r>
    </w:p>
    <w:p w:rsidR="00B55DA2" w:rsidRPr="004B2133" w:rsidRDefault="00B55DA2" w:rsidP="000F0544">
      <w:pPr>
        <w:spacing w:line="240" w:lineRule="auto"/>
      </w:pPr>
      <w:r w:rsidRPr="004B2133">
        <w:t xml:space="preserve">The PBAC’s recommendation was on a cost minimisation basis against a weighted mixed comparator of </w:t>
      </w:r>
      <w:proofErr w:type="spellStart"/>
      <w:r w:rsidRPr="004B2133">
        <w:t>posaconazole</w:t>
      </w:r>
      <w:proofErr w:type="spellEnd"/>
      <w:r w:rsidRPr="004B2133">
        <w:t xml:space="preserve">, fluconazole and </w:t>
      </w:r>
      <w:proofErr w:type="spellStart"/>
      <w:r w:rsidRPr="004B2133">
        <w:t>itraconazole</w:t>
      </w:r>
      <w:proofErr w:type="spellEnd"/>
      <w:r w:rsidRPr="004B2133">
        <w:t xml:space="preserve"> in the GVHD and </w:t>
      </w:r>
      <w:proofErr w:type="spellStart"/>
      <w:r w:rsidRPr="004B2133">
        <w:t>AlloHSCT</w:t>
      </w:r>
      <w:proofErr w:type="spellEnd"/>
      <w:r w:rsidRPr="004B2133">
        <w:t xml:space="preserve"> high risk patient populations. </w:t>
      </w:r>
    </w:p>
    <w:p w:rsidR="00B55DA2" w:rsidRPr="004B2133" w:rsidRDefault="00B55DA2" w:rsidP="000F0544">
      <w:pPr>
        <w:spacing w:line="240" w:lineRule="auto"/>
      </w:pPr>
      <w:r w:rsidRPr="004B2133">
        <w:t xml:space="preserve">In the AML/MDS high risk patient population, the PBAC recommended listing </w:t>
      </w:r>
      <w:proofErr w:type="spellStart"/>
      <w:r w:rsidRPr="004B2133">
        <w:t>voriconazole</w:t>
      </w:r>
      <w:proofErr w:type="spellEnd"/>
      <w:r w:rsidRPr="004B2133">
        <w:t xml:space="preserve"> on a cost-minimisation basis compared to only fluconazole and </w:t>
      </w:r>
      <w:proofErr w:type="spellStart"/>
      <w:r w:rsidRPr="004B2133">
        <w:t>itraconazole</w:t>
      </w:r>
      <w:proofErr w:type="spellEnd"/>
      <w:r w:rsidRPr="004B2133">
        <w:t>.</w:t>
      </w:r>
    </w:p>
    <w:p w:rsidR="00B55DA2" w:rsidRPr="004B2133" w:rsidRDefault="00B55DA2" w:rsidP="000F0544">
      <w:pPr>
        <w:spacing w:line="240" w:lineRule="auto"/>
      </w:pPr>
      <w:r w:rsidRPr="004B2133">
        <w:t xml:space="preserve">The PBAC considered the submission’s proposed clinical place for </w:t>
      </w:r>
      <w:proofErr w:type="spellStart"/>
      <w:r w:rsidRPr="004B2133">
        <w:t>voriconazole</w:t>
      </w:r>
      <w:proofErr w:type="spellEnd"/>
      <w:r w:rsidRPr="004B2133">
        <w:t xml:space="preserve"> as an alternative antimicrobial for prophylaxis against invasive fungal infections, including both yeasts and moulds, to be reasonable.</w:t>
      </w:r>
    </w:p>
    <w:p w:rsidR="00DB7095" w:rsidRDefault="00B55DA2" w:rsidP="000F0544">
      <w:pPr>
        <w:spacing w:line="240" w:lineRule="auto"/>
      </w:pPr>
      <w:r w:rsidRPr="004B2133">
        <w:t xml:space="preserve">The PBAC accepted </w:t>
      </w:r>
      <w:proofErr w:type="spellStart"/>
      <w:r w:rsidRPr="004B2133">
        <w:t>posaconazole</w:t>
      </w:r>
      <w:proofErr w:type="spellEnd"/>
      <w:r w:rsidRPr="004B2133">
        <w:t xml:space="preserve"> as the appropriate comparator. Fluconazole and </w:t>
      </w:r>
      <w:proofErr w:type="spellStart"/>
      <w:r w:rsidRPr="004B2133">
        <w:t>itraconazole</w:t>
      </w:r>
      <w:proofErr w:type="spellEnd"/>
      <w:r w:rsidRPr="004B2133">
        <w:t xml:space="preserve"> were also accepted by the PBAC as secondary comparators.</w:t>
      </w:r>
    </w:p>
    <w:p w:rsidR="00DB7095" w:rsidRPr="00F65F0D" w:rsidRDefault="007E0A8F" w:rsidP="000F0544">
      <w:pPr>
        <w:spacing w:line="240" w:lineRule="auto"/>
      </w:pPr>
      <w:r>
        <w:t xml:space="preserve">For further details refer to </w:t>
      </w:r>
      <w:r w:rsidRPr="00F65F0D">
        <w:t xml:space="preserve">the </w:t>
      </w:r>
      <w:r w:rsidRPr="00C74C98">
        <w:t>Public Summary Document</w:t>
      </w:r>
      <w:r w:rsidRPr="00F65F0D">
        <w:t xml:space="preserve"> from the </w:t>
      </w:r>
      <w:r>
        <w:t>March 2014 PBAC meeting</w:t>
      </w:r>
    </w:p>
    <w:p w:rsidR="00B610C9" w:rsidRPr="00B610C9" w:rsidRDefault="00B610C9" w:rsidP="000F0544">
      <w:pPr>
        <w:pStyle w:val="Heading3"/>
        <w:spacing w:line="240" w:lineRule="auto"/>
      </w:pPr>
      <w:r w:rsidRPr="00B610C9">
        <w:t>Clinical Guidelines</w:t>
      </w:r>
    </w:p>
    <w:p w:rsidR="00B610C9" w:rsidRPr="00B610C9" w:rsidRDefault="00B610C9" w:rsidP="000F0544">
      <w:pPr>
        <w:spacing w:line="240" w:lineRule="auto"/>
        <w:rPr>
          <w:b/>
          <w:i/>
        </w:rPr>
      </w:pPr>
      <w:r w:rsidRPr="00B610C9">
        <w:rPr>
          <w:b/>
          <w:i/>
        </w:rPr>
        <w:t>Prophylaxis</w:t>
      </w:r>
    </w:p>
    <w:p w:rsidR="00B610C9" w:rsidRPr="00B610C9" w:rsidRDefault="00B610C9" w:rsidP="000F0544">
      <w:pPr>
        <w:spacing w:line="240" w:lineRule="auto"/>
      </w:pPr>
      <w:r w:rsidRPr="00B610C9">
        <w:t>The Consensus Guidelines for Antifungal Prophylaxis in Haematological Malignancy and Haematopoietic Stem Cell Transplantation</w:t>
      </w:r>
      <w:bookmarkStart w:id="2" w:name="_Ref512953779"/>
      <w:r w:rsidR="00D732A8" w:rsidRPr="00B610C9">
        <w:rPr>
          <w:rStyle w:val="FootnoteReference"/>
        </w:rPr>
        <w:footnoteReference w:id="5"/>
      </w:r>
      <w:bookmarkEnd w:id="2"/>
      <w:r w:rsidRPr="00B610C9">
        <w:t xml:space="preserve"> consider that risk stratification is </w:t>
      </w:r>
      <w:proofErr w:type="gramStart"/>
      <w:r w:rsidRPr="00B610C9">
        <w:t>key</w:t>
      </w:r>
      <w:proofErr w:type="gramEnd"/>
      <w:r w:rsidRPr="00B610C9">
        <w:t xml:space="preserve"> to identifying patients that should be considered for antifungal prophylaxis. The guidelines also note that risk stratification can be complex. The consensus guidelines identify two groups of patients as having the highest risk of developing invasive fungal disease and these align with the PBS subsidised population for </w:t>
      </w:r>
      <w:proofErr w:type="spellStart"/>
      <w:r w:rsidRPr="00B610C9">
        <w:t>posaconazole</w:t>
      </w:r>
      <w:proofErr w:type="spellEnd"/>
      <w:r w:rsidRPr="00B610C9">
        <w:t xml:space="preserve"> (patients receiving intensive chemotherapy for AML or MDS, and certain patients with GVHD following </w:t>
      </w:r>
      <w:proofErr w:type="spellStart"/>
      <w:r w:rsidR="00E62B16">
        <w:t>Allo</w:t>
      </w:r>
      <w:r w:rsidRPr="00B610C9">
        <w:t>HSCT</w:t>
      </w:r>
      <w:proofErr w:type="spellEnd"/>
      <w:r w:rsidRPr="00B610C9">
        <w:t xml:space="preserve">). The </w:t>
      </w:r>
      <w:r w:rsidRPr="00B610C9">
        <w:lastRenderedPageBreak/>
        <w:t>Consensus Guidelines</w:t>
      </w:r>
      <w:r w:rsidRPr="00B610C9">
        <w:rPr>
          <w:vertAlign w:val="superscript"/>
        </w:rPr>
        <w:t>5</w:t>
      </w:r>
      <w:r w:rsidRPr="00B610C9">
        <w:t xml:space="preserve"> and the Therapeutic Guidelines</w:t>
      </w:r>
      <w:bookmarkStart w:id="3" w:name="_Ref512953848"/>
      <w:r w:rsidRPr="00B610C9">
        <w:rPr>
          <w:rStyle w:val="FootnoteReference"/>
        </w:rPr>
        <w:footnoteReference w:id="6"/>
      </w:r>
      <w:bookmarkEnd w:id="3"/>
      <w:r w:rsidRPr="00B610C9">
        <w:t xml:space="preserve"> also consider that prophylaxis is sometimes indicated for solid organ transplant (liver and heart and/or lung) and autologous haematopoietic stem cell transplant (HSCT) recipients. Other high risk patient groups, sometimes indicated, are patients with acute lymphocytic </w:t>
      </w:r>
      <w:r w:rsidR="00E62B16">
        <w:t>leukaemia (ALL); some forms of n</w:t>
      </w:r>
      <w:r w:rsidRPr="00B610C9">
        <w:t>on-Hodgkin lymphoma and multiple myeloma patients depending on the chemotherapy regimen and its duration.</w:t>
      </w:r>
      <w:r w:rsidRPr="00B610C9">
        <w:rPr>
          <w:vertAlign w:val="superscript"/>
        </w:rPr>
        <w:t>5</w:t>
      </w:r>
      <w:proofErr w:type="gramStart"/>
      <w:r w:rsidRPr="00B610C9">
        <w:rPr>
          <w:vertAlign w:val="superscript"/>
        </w:rPr>
        <w:t>,6</w:t>
      </w:r>
      <w:proofErr w:type="gramEnd"/>
      <w:r w:rsidRPr="00B610C9">
        <w:t xml:space="preserve"> </w:t>
      </w:r>
    </w:p>
    <w:p w:rsidR="00B610C9" w:rsidRPr="00B610C9" w:rsidRDefault="00B610C9" w:rsidP="000F0544">
      <w:pPr>
        <w:spacing w:line="240" w:lineRule="auto"/>
      </w:pPr>
      <w:r w:rsidRPr="00B610C9">
        <w:t xml:space="preserve">The Consensus </w:t>
      </w:r>
      <w:r w:rsidR="00D732A8">
        <w:t xml:space="preserve">Guidelines for Antifungal Prophylaxis in Haematological Malignancy and </w:t>
      </w:r>
      <w:proofErr w:type="spellStart"/>
      <w:r w:rsidR="00D732A8">
        <w:t>Haemopoietic</w:t>
      </w:r>
      <w:proofErr w:type="spellEnd"/>
      <w:r w:rsidR="00D732A8">
        <w:t xml:space="preserve"> Stem Cell T</w:t>
      </w:r>
      <w:r w:rsidRPr="00B610C9">
        <w:t xml:space="preserve">ransplantation note </w:t>
      </w:r>
      <w:proofErr w:type="spellStart"/>
      <w:r w:rsidRPr="00B610C9">
        <w:t>posaconazole</w:t>
      </w:r>
      <w:proofErr w:type="spellEnd"/>
      <w:r w:rsidRPr="00B610C9">
        <w:t xml:space="preserve"> is the preferred agent for use in high risk patient groups given its broad anti-fungal activity. </w:t>
      </w:r>
      <w:proofErr w:type="spellStart"/>
      <w:r w:rsidRPr="00B610C9">
        <w:t>Voriconazole</w:t>
      </w:r>
      <w:proofErr w:type="spellEnd"/>
      <w:r w:rsidRPr="00B610C9">
        <w:t xml:space="preserve"> is an alternative to </w:t>
      </w:r>
      <w:proofErr w:type="spellStart"/>
      <w:r w:rsidRPr="00B610C9">
        <w:t>posaconazole</w:t>
      </w:r>
      <w:proofErr w:type="spellEnd"/>
      <w:r w:rsidRPr="00B610C9">
        <w:t xml:space="preserve"> because it exhibits mould activity. </w:t>
      </w:r>
      <w:proofErr w:type="spellStart"/>
      <w:r w:rsidRPr="00B610C9">
        <w:t>Itraconazole</w:t>
      </w:r>
      <w:proofErr w:type="spellEnd"/>
      <w:r w:rsidRPr="00B610C9">
        <w:t xml:space="preserve"> may also an alternative (but is not specifically listed on the PBS for the prophylaxis of fungal infections</w:t>
      </w:r>
      <w:r w:rsidR="00D732A8">
        <w:t>)</w:t>
      </w:r>
      <w:r w:rsidRPr="00B610C9">
        <w:t>.</w:t>
      </w:r>
    </w:p>
    <w:p w:rsidR="00B610C9" w:rsidRPr="00B610C9" w:rsidRDefault="00E62B16" w:rsidP="000F0544">
      <w:pPr>
        <w:spacing w:line="240" w:lineRule="auto"/>
      </w:pPr>
      <w:r>
        <w:t xml:space="preserve">For </w:t>
      </w:r>
      <w:proofErr w:type="spellStart"/>
      <w:r>
        <w:t>Allo</w:t>
      </w:r>
      <w:r w:rsidR="00B610C9" w:rsidRPr="00B610C9">
        <w:t>HSCT</w:t>
      </w:r>
      <w:proofErr w:type="spellEnd"/>
      <w:r w:rsidR="00B610C9" w:rsidRPr="00B610C9">
        <w:t xml:space="preserve"> patients with GVHD the Therapeutic Guidelines recommend </w:t>
      </w:r>
      <w:r w:rsidR="00D732A8">
        <w:t xml:space="preserve">that </w:t>
      </w:r>
      <w:r w:rsidR="00B610C9" w:rsidRPr="00B610C9">
        <w:t>prophylaxis for invasive fungal disease continues until day 100 or until prednisolone dose is less than 15mg, whichever is later.</w:t>
      </w:r>
      <w:r w:rsidR="00D732A8" w:rsidRPr="00D732A8">
        <w:rPr>
          <w:vertAlign w:val="superscript"/>
        </w:rPr>
        <w:t>6</w:t>
      </w:r>
      <w:r w:rsidR="00B610C9" w:rsidRPr="00B610C9">
        <w:t xml:space="preserve"> The Consensus Guidelines recommend that prophylaxis should continue for 16 weeks or until corticosteroid dose is less than 10 mg daily prednisolone equivalent.</w:t>
      </w:r>
      <w:r w:rsidR="00907691" w:rsidRPr="00907691">
        <w:rPr>
          <w:vertAlign w:val="superscript"/>
        </w:rPr>
        <w:t>5</w:t>
      </w:r>
      <w:r w:rsidR="00B610C9" w:rsidRPr="00B610C9">
        <w:t xml:space="preserve"> </w:t>
      </w:r>
      <w:r w:rsidR="00907691">
        <w:t xml:space="preserve">The PBS restriction limits treatment </w:t>
      </w:r>
      <w:r w:rsidR="003F1739">
        <w:t>t</w:t>
      </w:r>
      <w:r w:rsidR="00907691">
        <w:t>o 6 months per episode.</w:t>
      </w:r>
    </w:p>
    <w:p w:rsidR="00B610C9" w:rsidRPr="00B610C9" w:rsidRDefault="00B610C9" w:rsidP="000F0544">
      <w:pPr>
        <w:spacing w:line="240" w:lineRule="auto"/>
      </w:pPr>
      <w:r w:rsidRPr="00B610C9">
        <w:t>For leukaemia the Therapeutic Guidelines and Consensus Guidelines recommend starting prophylaxis on day 1 of chemotherapy and continuing until the neutrophil count recovers (more than 0.5 x 10</w:t>
      </w:r>
      <w:r w:rsidRPr="00B610C9">
        <w:rPr>
          <w:vertAlign w:val="superscript"/>
        </w:rPr>
        <w:t>9</w:t>
      </w:r>
      <w:r w:rsidRPr="00B610C9">
        <w:t xml:space="preserve">/L).  </w:t>
      </w:r>
      <w:r w:rsidR="00907691">
        <w:t>This is consistent with the PBS restriction.</w:t>
      </w:r>
    </w:p>
    <w:p w:rsidR="00B610C9" w:rsidRPr="00B610C9" w:rsidRDefault="00B610C9" w:rsidP="000F0544">
      <w:pPr>
        <w:spacing w:line="240" w:lineRule="auto"/>
        <w:rPr>
          <w:b/>
          <w:i/>
        </w:rPr>
      </w:pPr>
      <w:r w:rsidRPr="00B610C9">
        <w:rPr>
          <w:b/>
          <w:i/>
        </w:rPr>
        <w:t>Treatment</w:t>
      </w:r>
    </w:p>
    <w:p w:rsidR="00B610C9" w:rsidRPr="00B610C9" w:rsidRDefault="00B610C9" w:rsidP="000F0544">
      <w:pPr>
        <w:spacing w:line="240" w:lineRule="auto"/>
      </w:pPr>
      <w:r w:rsidRPr="00B610C9">
        <w:t>For treatment of invasive fungal infections</w:t>
      </w:r>
      <w:r w:rsidR="00E8228F">
        <w:t>,</w:t>
      </w:r>
      <w:r w:rsidRPr="00B610C9">
        <w:t xml:space="preserve"> the duration of treatment depends on the patient’s clinical and mycological response, and resolution of immunosuppression</w:t>
      </w:r>
      <w:r w:rsidR="0055053C">
        <w:t>.</w:t>
      </w:r>
      <w:r w:rsidR="0055053C" w:rsidRPr="0055053C">
        <w:rPr>
          <w:vertAlign w:val="superscript"/>
        </w:rPr>
        <w:t>6,</w:t>
      </w:r>
      <w:r w:rsidR="0055053C">
        <w:rPr>
          <w:rStyle w:val="FootnoteReference"/>
        </w:rPr>
        <w:footnoteReference w:id="7"/>
      </w:r>
      <w:r w:rsidRPr="00B610C9">
        <w:t xml:space="preserve"> </w:t>
      </w:r>
      <w:proofErr w:type="gramStart"/>
      <w:r w:rsidRPr="00B610C9">
        <w:t>The</w:t>
      </w:r>
      <w:proofErr w:type="gramEnd"/>
      <w:r w:rsidRPr="00B610C9">
        <w:t xml:space="preserve"> optimal length of treatment of invasive aspergillosis is uncertain but 6-12 weeks is common</w:t>
      </w:r>
      <w:r w:rsidR="0055053C">
        <w:t>.</w:t>
      </w:r>
      <w:r w:rsidRPr="00B610C9">
        <w:t xml:space="preserve"> For </w:t>
      </w:r>
      <w:proofErr w:type="spellStart"/>
      <w:r w:rsidRPr="00B610C9">
        <w:t>fusariosis</w:t>
      </w:r>
      <w:proofErr w:type="spellEnd"/>
      <w:r w:rsidRPr="00B610C9">
        <w:t xml:space="preserve"> least 12 weeks of treatment is often required. </w:t>
      </w:r>
    </w:p>
    <w:p w:rsidR="00681588" w:rsidRDefault="00681588" w:rsidP="000F0544">
      <w:pPr>
        <w:pStyle w:val="Heading3"/>
        <w:spacing w:line="240" w:lineRule="auto"/>
      </w:pPr>
      <w:r>
        <w:t>Approach taken to estimate utilisation</w:t>
      </w:r>
    </w:p>
    <w:p w:rsidR="00681588" w:rsidRDefault="00681588" w:rsidP="000F0544">
      <w:pPr>
        <w:spacing w:line="240" w:lineRule="auto"/>
      </w:pPr>
      <w:r>
        <w:t>The minor submission used a market-</w:t>
      </w:r>
      <w:r w:rsidRPr="000D4F60">
        <w:t>share</w:t>
      </w:r>
      <w:r>
        <w:t xml:space="preserve"> approach </w:t>
      </w:r>
      <w:r w:rsidR="0055053C">
        <w:t xml:space="preserve">based on packs (units) dispensed </w:t>
      </w:r>
      <w:r>
        <w:t xml:space="preserve">to estimate the extent of use of the tablet form of </w:t>
      </w:r>
      <w:proofErr w:type="spellStart"/>
      <w:r>
        <w:t>posaconazole</w:t>
      </w:r>
      <w:proofErr w:type="spellEnd"/>
      <w:r>
        <w:t xml:space="preserve">. The submission assumed that the listing would be cost neutral to the PBS given that the tablets were expected to be used in patients that would otherwise have been treated with the oral suspension. A conversion factor was applied because when used for refractory treatment one bottle of oral liquid provides </w:t>
      </w:r>
      <w:r w:rsidR="00EB44DF">
        <w:t xml:space="preserve">a slightly shorter duration </w:t>
      </w:r>
      <w:r>
        <w:t xml:space="preserve">than one pack of tablets. </w:t>
      </w:r>
    </w:p>
    <w:p w:rsidR="00D57EB6" w:rsidRDefault="00D57EB6">
      <w:r>
        <w:br w:type="page"/>
      </w:r>
    </w:p>
    <w:p w:rsidR="00681588" w:rsidRDefault="00681588" w:rsidP="000F0544">
      <w:pPr>
        <w:spacing w:line="240" w:lineRule="auto"/>
      </w:pPr>
      <w:r>
        <w:lastRenderedPageBreak/>
        <w:t>Key assumptions included:</w:t>
      </w:r>
    </w:p>
    <w:p w:rsidR="00681588" w:rsidRDefault="00681588" w:rsidP="000F0544">
      <w:pPr>
        <w:pStyle w:val="ListParagraph"/>
        <w:numPr>
          <w:ilvl w:val="0"/>
          <w:numId w:val="30"/>
        </w:numPr>
        <w:spacing w:line="240" w:lineRule="auto"/>
      </w:pPr>
      <w:proofErr w:type="gramStart"/>
      <w:r>
        <w:t>that</w:t>
      </w:r>
      <w:proofErr w:type="gramEnd"/>
      <w:r>
        <w:t xml:space="preserve"> 66% of </w:t>
      </w:r>
      <w:proofErr w:type="spellStart"/>
      <w:r>
        <w:t>posaconazole</w:t>
      </w:r>
      <w:proofErr w:type="spellEnd"/>
      <w:r>
        <w:t xml:space="preserve"> use is for prophylaxis and 34% is for refractory treatment</w:t>
      </w:r>
      <w:r w:rsidR="00430CF8">
        <w:t>.</w:t>
      </w:r>
      <w:r>
        <w:t xml:space="preserve"> </w:t>
      </w:r>
    </w:p>
    <w:p w:rsidR="007D45A1" w:rsidRPr="007D45A1" w:rsidRDefault="007D45A1" w:rsidP="000F0544">
      <w:pPr>
        <w:pStyle w:val="ListParagraph"/>
        <w:numPr>
          <w:ilvl w:val="0"/>
          <w:numId w:val="30"/>
        </w:numPr>
        <w:spacing w:line="240" w:lineRule="auto"/>
      </w:pPr>
      <w:proofErr w:type="gramStart"/>
      <w:r w:rsidRPr="007D45A1">
        <w:t>there</w:t>
      </w:r>
      <w:proofErr w:type="gramEnd"/>
      <w:r w:rsidRPr="007D45A1">
        <w:t xml:space="preserve"> would be linear growth in the </w:t>
      </w:r>
      <w:proofErr w:type="spellStart"/>
      <w:r w:rsidRPr="007D45A1">
        <w:t>posaconazole</w:t>
      </w:r>
      <w:proofErr w:type="spellEnd"/>
      <w:r w:rsidRPr="007D45A1">
        <w:t xml:space="preserve"> market  (based on extrapolation of utilisation</w:t>
      </w:r>
      <w:r w:rsidR="00EB44DF">
        <w:t xml:space="preserve"> data</w:t>
      </w:r>
      <w:r w:rsidRPr="007D45A1">
        <w:t xml:space="preserve"> from 2009-2014)</w:t>
      </w:r>
      <w:r w:rsidR="00430CF8">
        <w:t>.</w:t>
      </w:r>
    </w:p>
    <w:p w:rsidR="00D83F0B" w:rsidRDefault="00681588" w:rsidP="000F0544">
      <w:pPr>
        <w:pStyle w:val="ListParagraph"/>
        <w:numPr>
          <w:ilvl w:val="0"/>
          <w:numId w:val="30"/>
        </w:numPr>
        <w:spacing w:line="240" w:lineRule="auto"/>
      </w:pPr>
      <w:proofErr w:type="gramStart"/>
      <w:r>
        <w:t>uptake</w:t>
      </w:r>
      <w:proofErr w:type="gramEnd"/>
      <w:r>
        <w:t xml:space="preserve"> of the tablet of </w:t>
      </w:r>
      <w:r w:rsidR="00C74C98">
        <w:rPr>
          <w:noProof/>
          <w:color w:val="000000"/>
          <w:highlight w:val="black"/>
        </w:rPr>
        <w:t>''''''</w:t>
      </w:r>
      <w:r>
        <w:t xml:space="preserve">% in Year 1 (assuming a 1 August PBS listing date), </w:t>
      </w:r>
      <w:r w:rsidR="00C74C98">
        <w:rPr>
          <w:noProof/>
          <w:color w:val="000000"/>
          <w:highlight w:val="black"/>
        </w:rPr>
        <w:t>'''''</w:t>
      </w:r>
      <w:r>
        <w:t xml:space="preserve">% in year, 2 then increasing to </w:t>
      </w:r>
      <w:r w:rsidR="00C74C98">
        <w:rPr>
          <w:noProof/>
          <w:color w:val="000000"/>
          <w:highlight w:val="black"/>
        </w:rPr>
        <w:t>'''''</w:t>
      </w:r>
      <w:r>
        <w:t xml:space="preserve">% by year 5. The forecast uptake of the tablets was based on </w:t>
      </w:r>
      <w:proofErr w:type="spellStart"/>
      <w:r>
        <w:t>voriconazole</w:t>
      </w:r>
      <w:proofErr w:type="spellEnd"/>
      <w:r>
        <w:t xml:space="preserve"> use as this antifungal has both a tablet and suspe</w:t>
      </w:r>
      <w:r w:rsidR="00D83F0B">
        <w:t xml:space="preserve">nsion form available on the PBS. Additionally </w:t>
      </w:r>
      <w:r>
        <w:t xml:space="preserve">it was assumed prescribers would shift quickly to the tablet form of </w:t>
      </w:r>
      <w:proofErr w:type="spellStart"/>
      <w:r>
        <w:t>posaconazole</w:t>
      </w:r>
      <w:proofErr w:type="spellEnd"/>
      <w:r>
        <w:t>.</w:t>
      </w:r>
    </w:p>
    <w:p w:rsidR="00681588" w:rsidRDefault="00D83F0B" w:rsidP="000F0544">
      <w:pPr>
        <w:pStyle w:val="ListParagraph"/>
        <w:numPr>
          <w:ilvl w:val="0"/>
          <w:numId w:val="30"/>
        </w:numPr>
        <w:spacing w:line="240" w:lineRule="auto"/>
      </w:pPr>
      <w:proofErr w:type="gramStart"/>
      <w:r>
        <w:t>t</w:t>
      </w:r>
      <w:r w:rsidR="00681588">
        <w:t>he</w:t>
      </w:r>
      <w:proofErr w:type="gramEnd"/>
      <w:r w:rsidR="00681588">
        <w:t xml:space="preserve"> liquid would continue to be used in a small number of patients unable to swallow a tablet. </w:t>
      </w:r>
    </w:p>
    <w:p w:rsidR="00094DCF" w:rsidRDefault="00ED633B" w:rsidP="000F0544">
      <w:pPr>
        <w:pStyle w:val="Heading3"/>
        <w:spacing w:line="240" w:lineRule="auto"/>
      </w:pPr>
      <w:r>
        <w:t xml:space="preserve">Previous reviews by </w:t>
      </w:r>
      <w:r w:rsidR="00177B86">
        <w:t xml:space="preserve">the </w:t>
      </w:r>
      <w:r>
        <w:t>DUSC</w:t>
      </w:r>
    </w:p>
    <w:p w:rsidR="00E4642D" w:rsidRDefault="002569A2" w:rsidP="000F0544">
      <w:pPr>
        <w:spacing w:line="240" w:lineRule="auto"/>
      </w:pPr>
      <w:r>
        <w:t>DUSC</w:t>
      </w:r>
      <w:r w:rsidR="00E4642D">
        <w:t xml:space="preserve"> examine</w:t>
      </w:r>
      <w:r>
        <w:t>d</w:t>
      </w:r>
      <w:r w:rsidR="00E4642D">
        <w:t xml:space="preserve"> the utilisation of antifungals for systemic use at its me</w:t>
      </w:r>
      <w:r>
        <w:t>eting in October</w:t>
      </w:r>
      <w:r w:rsidR="00BB0F96">
        <w:t> </w:t>
      </w:r>
      <w:r>
        <w:t>2013. U</w:t>
      </w:r>
      <w:r w:rsidR="00E4642D">
        <w:t xml:space="preserve">tilisation of antifungal medicines had increased during the period of January 2008 to December 2012. DUSC considered that this increasing use reflected a larger number of immunocompromised patients in the community. </w:t>
      </w:r>
    </w:p>
    <w:p w:rsidR="00ED633B" w:rsidRDefault="00AD0F5E" w:rsidP="000F0544">
      <w:pPr>
        <w:spacing w:line="240" w:lineRule="auto"/>
      </w:pPr>
      <w:r>
        <w:t>A</w:t>
      </w:r>
      <w:r w:rsidR="00420391">
        <w:t xml:space="preserve">ntifungal medicines for systemic use </w:t>
      </w:r>
      <w:r>
        <w:t xml:space="preserve">were </w:t>
      </w:r>
      <w:r w:rsidR="00E4642D">
        <w:t xml:space="preserve">again </w:t>
      </w:r>
      <w:r>
        <w:t xml:space="preserve">reviewed by DUSC at its meeting </w:t>
      </w:r>
      <w:r w:rsidR="00420391">
        <w:t>in September 2016.</w:t>
      </w:r>
      <w:r>
        <w:t xml:space="preserve"> The analysis included fluconazole, </w:t>
      </w:r>
      <w:proofErr w:type="spellStart"/>
      <w:r>
        <w:t>itraconazole</w:t>
      </w:r>
      <w:proofErr w:type="spellEnd"/>
      <w:r>
        <w:t xml:space="preserve">, </w:t>
      </w:r>
      <w:proofErr w:type="spellStart"/>
      <w:r>
        <w:t>posaconazole</w:t>
      </w:r>
      <w:proofErr w:type="spellEnd"/>
      <w:r>
        <w:t xml:space="preserve">, </w:t>
      </w:r>
      <w:proofErr w:type="spellStart"/>
      <w:r>
        <w:t>voriconazole</w:t>
      </w:r>
      <w:proofErr w:type="spellEnd"/>
      <w:r>
        <w:t xml:space="preserve">, terbinafine and </w:t>
      </w:r>
      <w:proofErr w:type="spellStart"/>
      <w:r>
        <w:t>griseofulvin</w:t>
      </w:r>
      <w:proofErr w:type="spellEnd"/>
      <w:r>
        <w:t xml:space="preserve">. The review found that terbinafine and </w:t>
      </w:r>
      <w:proofErr w:type="spellStart"/>
      <w:r>
        <w:t>griseofulvin</w:t>
      </w:r>
      <w:proofErr w:type="spellEnd"/>
      <w:r>
        <w:t xml:space="preserve"> were the most widely used medicines and that the number of fluconazole, </w:t>
      </w:r>
      <w:proofErr w:type="spellStart"/>
      <w:r>
        <w:t>itraconazole</w:t>
      </w:r>
      <w:proofErr w:type="spellEnd"/>
      <w:r>
        <w:t xml:space="preserve"> and </w:t>
      </w:r>
      <w:proofErr w:type="spellStart"/>
      <w:r>
        <w:t>posaconazole</w:t>
      </w:r>
      <w:proofErr w:type="spellEnd"/>
      <w:r>
        <w:t xml:space="preserve"> prescriptions had increased over time. </w:t>
      </w:r>
      <w:r w:rsidR="00642385">
        <w:t xml:space="preserve">The use of </w:t>
      </w:r>
      <w:proofErr w:type="spellStart"/>
      <w:r w:rsidR="00642385">
        <w:t>voriconazole</w:t>
      </w:r>
      <w:proofErr w:type="spellEnd"/>
      <w:r w:rsidR="00642385">
        <w:t xml:space="preserve"> for prophylaxis was very low.</w:t>
      </w:r>
    </w:p>
    <w:p w:rsidR="002864FB" w:rsidRPr="002864FB" w:rsidRDefault="00797798" w:rsidP="000F0544">
      <w:pPr>
        <w:spacing w:line="240" w:lineRule="auto"/>
        <w:rPr>
          <w:highlight w:val="yellow"/>
        </w:rPr>
      </w:pPr>
      <w:r>
        <w:t>S</w:t>
      </w:r>
      <w:r w:rsidR="00642385">
        <w:t xml:space="preserve">cript volume for </w:t>
      </w:r>
      <w:proofErr w:type="spellStart"/>
      <w:r w:rsidR="00642385">
        <w:t>posaconazole</w:t>
      </w:r>
      <w:proofErr w:type="spellEnd"/>
      <w:r w:rsidR="00642385">
        <w:t xml:space="preserve"> wa</w:t>
      </w:r>
      <w:r w:rsidR="002864FB">
        <w:t xml:space="preserve">s low </w:t>
      </w:r>
      <w:r w:rsidR="004820B9">
        <w:t xml:space="preserve">in the </w:t>
      </w:r>
      <w:r w:rsidR="00153F6D">
        <w:t xml:space="preserve">systemic antifungal medicine market, particularly </w:t>
      </w:r>
      <w:r w:rsidR="004820B9">
        <w:t>when compared</w:t>
      </w:r>
      <w:r w:rsidR="00153F6D">
        <w:t xml:space="preserve"> wi</w:t>
      </w:r>
      <w:r w:rsidR="004820B9">
        <w:t>th medicines such as</w:t>
      </w:r>
      <w:r>
        <w:t xml:space="preserve"> </w:t>
      </w:r>
      <w:r w:rsidR="00153F6D">
        <w:t xml:space="preserve">fluconazole yet </w:t>
      </w:r>
      <w:proofErr w:type="spellStart"/>
      <w:r>
        <w:t>posaconazole</w:t>
      </w:r>
      <w:proofErr w:type="spellEnd"/>
      <w:r>
        <w:t xml:space="preserve"> </w:t>
      </w:r>
      <w:r w:rsidR="002864FB">
        <w:t>account</w:t>
      </w:r>
      <w:r w:rsidR="00642385">
        <w:t>ed</w:t>
      </w:r>
      <w:r w:rsidR="002864FB">
        <w:t xml:space="preserve"> for the </w:t>
      </w:r>
      <w:r w:rsidR="00036C1E">
        <w:t xml:space="preserve">largest </w:t>
      </w:r>
      <w:r w:rsidR="00153F6D">
        <w:t>proportion</w:t>
      </w:r>
      <w:r w:rsidR="00036C1E">
        <w:t xml:space="preserve"> </w:t>
      </w:r>
      <w:r w:rsidR="002864FB">
        <w:t xml:space="preserve">of government expenditure </w:t>
      </w:r>
      <w:r>
        <w:t>within this market.</w:t>
      </w:r>
    </w:p>
    <w:p w:rsidR="00E371EA" w:rsidRPr="00ED633B" w:rsidRDefault="009D1ED5" w:rsidP="000F0544">
      <w:pPr>
        <w:spacing w:line="240" w:lineRule="auto"/>
      </w:pPr>
      <w:r>
        <w:t>For detai</w:t>
      </w:r>
      <w:r w:rsidR="00107347">
        <w:t xml:space="preserve">ls of the DUSC consideration of, </w:t>
      </w:r>
      <w:r w:rsidR="00420391">
        <w:t>antifungals for systemic use</w:t>
      </w:r>
      <w:r>
        <w:t xml:space="preserve"> refer to the </w:t>
      </w:r>
      <w:r w:rsidR="00420391" w:rsidRPr="00C74C98">
        <w:t>Public Release Document</w:t>
      </w:r>
      <w:r>
        <w:t xml:space="preserve"> from the </w:t>
      </w:r>
      <w:r w:rsidR="00420391">
        <w:t>September 2016</w:t>
      </w:r>
      <w:r>
        <w:t xml:space="preserve"> DUSC meeting.</w:t>
      </w:r>
    </w:p>
    <w:p w:rsidR="00E677DD" w:rsidRPr="005E22C2" w:rsidRDefault="00E677DD" w:rsidP="000F0544">
      <w:pPr>
        <w:pStyle w:val="Heading4"/>
        <w:spacing w:line="240" w:lineRule="auto"/>
      </w:pPr>
      <w:r w:rsidRPr="005E22C2">
        <w:t>Method</w:t>
      </w:r>
      <w:r w:rsidR="001B5D37" w:rsidRPr="005E22C2">
        <w:t>s</w:t>
      </w:r>
    </w:p>
    <w:p w:rsidR="004C4035" w:rsidRDefault="00DE5814" w:rsidP="000F0544">
      <w:pPr>
        <w:spacing w:line="240" w:lineRule="auto"/>
      </w:pPr>
      <w:r>
        <w:t xml:space="preserve">This analysis uses data from the Department of Human Services (DHS) </w:t>
      </w:r>
      <w:r w:rsidR="00F0129D">
        <w:t xml:space="preserve">supplied </w:t>
      </w:r>
      <w:r>
        <w:t xml:space="preserve">prescriptions database and the DHS Authority Approvals database. </w:t>
      </w:r>
      <w:r w:rsidR="00807327">
        <w:t xml:space="preserve">The DHS supplied prescriptions database includes data submitted to DHS for payment of a </w:t>
      </w:r>
      <w:r w:rsidR="00F0129D">
        <w:t>PBS or Repatriation PBS (RPBS)</w:t>
      </w:r>
      <w:r w:rsidR="00807327">
        <w:t xml:space="preserve"> subsidy by the Government by all approved pharmacies in Australia. The DHS Authority Approvals database contains additional information in support of a PBS authority required prescription</w:t>
      </w:r>
      <w:r w:rsidR="00F0129D">
        <w:t>s</w:t>
      </w:r>
      <w:r w:rsidR="00807327">
        <w:t xml:space="preserve"> such as a</w:t>
      </w:r>
      <w:r w:rsidR="00F0129D">
        <w:t xml:space="preserve"> restriction</w:t>
      </w:r>
      <w:r w:rsidR="00807327">
        <w:t xml:space="preserve"> code and can be matched to the supplied prescriptions database. </w:t>
      </w:r>
    </w:p>
    <w:p w:rsidR="00F0129D" w:rsidRDefault="00F0129D" w:rsidP="000F0544">
      <w:pPr>
        <w:spacing w:line="240" w:lineRule="auto"/>
      </w:pPr>
      <w:r>
        <w:t xml:space="preserve">Prescriptions for </w:t>
      </w:r>
      <w:proofErr w:type="spellStart"/>
      <w:r>
        <w:t>posaconazole</w:t>
      </w:r>
      <w:proofErr w:type="spellEnd"/>
      <w:r>
        <w:t xml:space="preserve"> and other antifungals (all medicines in the ATC groups J02A and D01BA) supplied from January 2013 to the end of December 2017 were extracted.</w:t>
      </w:r>
    </w:p>
    <w:p w:rsidR="001D47BE" w:rsidRDefault="00A74940" w:rsidP="000F0544">
      <w:pPr>
        <w:spacing w:line="240" w:lineRule="auto"/>
      </w:pPr>
      <w:r>
        <w:lastRenderedPageBreak/>
        <w:t xml:space="preserve">An incident (or ‘new’ patient) was determined based on the date of first supply of PBS subsidised </w:t>
      </w:r>
      <w:proofErr w:type="spellStart"/>
      <w:r>
        <w:t>posaconazole</w:t>
      </w:r>
      <w:proofErr w:type="spellEnd"/>
      <w:r>
        <w:t>.</w:t>
      </w:r>
      <w:r w:rsidR="004F3A84">
        <w:t xml:space="preserve"> </w:t>
      </w:r>
      <w:r w:rsidR="00FA0464">
        <w:t>A prevalent patient is a patient with at least one prescription supplied in the specified time period.</w:t>
      </w:r>
    </w:p>
    <w:p w:rsidR="00A74940" w:rsidRDefault="00A74940" w:rsidP="000F0544">
      <w:pPr>
        <w:spacing w:line="240" w:lineRule="auto"/>
      </w:pPr>
      <w:r>
        <w:t xml:space="preserve">To count prescriptions by authority indication, data from the DHS supplied </w:t>
      </w:r>
      <w:r w:rsidR="00107347">
        <w:t>prescriptions</w:t>
      </w:r>
      <w:r>
        <w:t xml:space="preserve"> database was merged with data from the DHS Authority approvals database. This allowed the derivation of the clinical indication for each script supplied. Scripts without an indication code</w:t>
      </w:r>
      <w:r w:rsidR="00795864">
        <w:t xml:space="preserve"> </w:t>
      </w:r>
      <w:r w:rsidR="00BB0F96">
        <w:t>are reported separately</w:t>
      </w:r>
      <w:r w:rsidR="001034DB">
        <w:t xml:space="preserve"> (unknown)</w:t>
      </w:r>
      <w:r>
        <w:t>.</w:t>
      </w:r>
      <w:r w:rsidR="00264C50">
        <w:t xml:space="preserve"> </w:t>
      </w:r>
      <w:r>
        <w:t xml:space="preserve"> </w:t>
      </w:r>
      <w:r w:rsidR="00264C50">
        <w:t xml:space="preserve">Authority codes </w:t>
      </w:r>
      <w:r w:rsidR="001034DB">
        <w:t xml:space="preserve">for </w:t>
      </w:r>
      <w:proofErr w:type="spellStart"/>
      <w:r w:rsidR="001034DB">
        <w:t>posaconazole</w:t>
      </w:r>
      <w:proofErr w:type="spellEnd"/>
      <w:r w:rsidR="001034DB">
        <w:t xml:space="preserve"> </w:t>
      </w:r>
      <w:r w:rsidR="002D407D">
        <w:t xml:space="preserve">and </w:t>
      </w:r>
      <w:proofErr w:type="spellStart"/>
      <w:r w:rsidR="002D407D">
        <w:t>voriconazole</w:t>
      </w:r>
      <w:proofErr w:type="spellEnd"/>
      <w:r w:rsidR="002D407D">
        <w:t xml:space="preserve"> </w:t>
      </w:r>
      <w:r w:rsidR="00264C50">
        <w:t xml:space="preserve">were categorised into three indications, </w:t>
      </w:r>
      <w:r w:rsidR="00B46DFC">
        <w:t>treatment for aspergillosis, treatment for other fungal infection</w:t>
      </w:r>
      <w:r w:rsidR="001034DB">
        <w:t>s</w:t>
      </w:r>
      <w:r w:rsidR="00D7337E">
        <w:t>,</w:t>
      </w:r>
      <w:r w:rsidR="00B46DFC">
        <w:t xml:space="preserve"> and pro</w:t>
      </w:r>
      <w:r w:rsidR="00BB0F96">
        <w:t>p</w:t>
      </w:r>
      <w:r w:rsidR="00B46DFC">
        <w:t xml:space="preserve">hylaxis. </w:t>
      </w:r>
    </w:p>
    <w:p w:rsidR="00C4714D" w:rsidRDefault="00C4714D" w:rsidP="000F0544">
      <w:pPr>
        <w:pStyle w:val="Heading2"/>
        <w:spacing w:line="240" w:lineRule="auto"/>
      </w:pPr>
      <w:r w:rsidRPr="00C10F3A">
        <w:t>Time to refill analysis</w:t>
      </w:r>
    </w:p>
    <w:p w:rsidR="00C4714D" w:rsidRDefault="00C4714D" w:rsidP="000F0544">
      <w:pPr>
        <w:spacing w:line="240" w:lineRule="auto"/>
      </w:pPr>
      <w:r>
        <w:t>Time to refill analysis was PBS item and indication specific. That is, a prescription for a particular PBS item (</w:t>
      </w:r>
      <w:proofErr w:type="spellStart"/>
      <w:r>
        <w:t>ie</w:t>
      </w:r>
      <w:proofErr w:type="spellEnd"/>
      <w:r>
        <w:t>. form and strength) and indication was only deemed to be refilled by a prescription of the same form and strength to the same patient (</w:t>
      </w:r>
      <w:proofErr w:type="spellStart"/>
      <w:r>
        <w:t>ie</w:t>
      </w:r>
      <w:proofErr w:type="spellEnd"/>
      <w:r>
        <w:t xml:space="preserve">. not by another form and strength of the medicine). </w:t>
      </w:r>
    </w:p>
    <w:p w:rsidR="00C4714D" w:rsidRPr="00D7337E" w:rsidRDefault="00C4714D" w:rsidP="000F0544">
      <w:pPr>
        <w:pStyle w:val="Heading2"/>
        <w:spacing w:line="240" w:lineRule="auto"/>
      </w:pPr>
      <w:r w:rsidRPr="00C4714D">
        <w:t>Length of treatment analy</w:t>
      </w:r>
      <w:r w:rsidRPr="00D7337E">
        <w:t>sis</w:t>
      </w:r>
    </w:p>
    <w:p w:rsidR="001E570D" w:rsidRDefault="001E570D" w:rsidP="000F0544">
      <w:pPr>
        <w:spacing w:line="240" w:lineRule="auto"/>
      </w:pPr>
      <w:r>
        <w:t xml:space="preserve">The length of treatment analysis used the Kaplan Meier </w:t>
      </w:r>
      <w:r w:rsidR="00430CF8">
        <w:t xml:space="preserve">method </w:t>
      </w:r>
      <w:r>
        <w:t>(aka Product-Limit</w:t>
      </w:r>
      <w:r w:rsidR="00430CF8">
        <w:t xml:space="preserve"> method</w:t>
      </w:r>
      <w:r>
        <w:t xml:space="preserve">). The length of treatment measure </w:t>
      </w:r>
      <w:r w:rsidR="00430CF8">
        <w:t xml:space="preserve">that was </w:t>
      </w:r>
      <w:r>
        <w:t>used excluded any breaks in treatment. A break in treatment was defined as a gap of more than 3 times the median time to resupply, which was an estimated break in treatment of at least 2 times the median time to resupply. A patient was deemed to be continuing treatment (classified as censored in the Product-Limit method) at the end of the data period (i.e. the end of December 2017) if their last prescription was within 3 times the median time to resupply of this end date. The continuing patient’s length of treatment was based on the treatment coverage end date which was the end of the data period or the supply date of their last prescription plus the median time to resupply, whichever was later.</w:t>
      </w:r>
    </w:p>
    <w:p w:rsidR="00524D13" w:rsidRDefault="00D7337E" w:rsidP="000F0544">
      <w:pPr>
        <w:spacing w:line="240" w:lineRule="auto"/>
      </w:pPr>
      <w:r>
        <w:t xml:space="preserve">As the </w:t>
      </w:r>
      <w:r w:rsidR="00E7594B">
        <w:t>analys</w:t>
      </w:r>
      <w:r>
        <w:t>e</w:t>
      </w:r>
      <w:r w:rsidR="00E7594B">
        <w:t>s</w:t>
      </w:r>
      <w:r>
        <w:t xml:space="preserve"> in the report</w:t>
      </w:r>
      <w:r w:rsidR="00E7594B">
        <w:t xml:space="preserve"> use date of supply </w:t>
      </w:r>
      <w:r w:rsidR="005E085C">
        <w:t xml:space="preserve">prescription </w:t>
      </w:r>
      <w:r w:rsidR="00E7594B">
        <w:t>data, there may be small differences compared with publicly available Department of Human Services (DHS) Medicare date of processing data.</w:t>
      </w:r>
      <w:r w:rsidR="00576B18">
        <w:rPr>
          <w:rStyle w:val="FootnoteReference"/>
        </w:rPr>
        <w:footnoteReference w:id="8"/>
      </w:r>
      <w:r w:rsidR="00576B18">
        <w:t xml:space="preserve">  </w:t>
      </w:r>
    </w:p>
    <w:p w:rsidR="00DB685C" w:rsidRDefault="00DB685C" w:rsidP="000F0544">
      <w:pPr>
        <w:spacing w:line="240" w:lineRule="auto"/>
        <w:rPr>
          <w:b/>
          <w:sz w:val="32"/>
          <w:szCs w:val="32"/>
        </w:rPr>
      </w:pPr>
      <w:r>
        <w:br w:type="page"/>
      </w:r>
    </w:p>
    <w:p w:rsidR="00C714D0" w:rsidRDefault="00C714D0" w:rsidP="000F0544">
      <w:pPr>
        <w:pStyle w:val="Heading4"/>
        <w:spacing w:line="240" w:lineRule="auto"/>
      </w:pPr>
      <w:r w:rsidRPr="005E22C2">
        <w:lastRenderedPageBreak/>
        <w:t>Results</w:t>
      </w:r>
    </w:p>
    <w:p w:rsidR="00992D61" w:rsidRPr="006639B5" w:rsidRDefault="00992D61" w:rsidP="000F0544">
      <w:pPr>
        <w:pStyle w:val="Heading3"/>
        <w:spacing w:line="240" w:lineRule="auto"/>
        <w:rPr>
          <w:i/>
          <w:sz w:val="24"/>
          <w:szCs w:val="24"/>
        </w:rPr>
      </w:pPr>
      <w:r w:rsidRPr="006639B5">
        <w:rPr>
          <w:i/>
          <w:sz w:val="24"/>
          <w:szCs w:val="24"/>
        </w:rPr>
        <w:t>Overall utilisation</w:t>
      </w:r>
    </w:p>
    <w:p w:rsidR="00475788" w:rsidRDefault="004C3D6B" w:rsidP="000F0544">
      <w:pPr>
        <w:spacing w:line="240" w:lineRule="auto"/>
      </w:pPr>
      <w:r>
        <w:t xml:space="preserve">Figure 1 presents the number of prescriptions of </w:t>
      </w:r>
      <w:proofErr w:type="spellStart"/>
      <w:r w:rsidR="00C5251A">
        <w:t>posaconazole</w:t>
      </w:r>
      <w:proofErr w:type="spellEnd"/>
      <w:r>
        <w:t xml:space="preserve">. </w:t>
      </w:r>
      <w:proofErr w:type="spellStart"/>
      <w:r w:rsidR="00475788">
        <w:t>Voriconazole</w:t>
      </w:r>
      <w:proofErr w:type="spellEnd"/>
      <w:r w:rsidR="00475788">
        <w:t xml:space="preserve"> is also included for context as it has similar PBS restrictions</w:t>
      </w:r>
      <w:r w:rsidR="00EE5F4C">
        <w:t xml:space="preserve"> (see Appendix A)</w:t>
      </w:r>
      <w:r w:rsidR="003A0A37">
        <w:t xml:space="preserve"> and the PBAC considered </w:t>
      </w:r>
      <w:r w:rsidR="00EE5F4C">
        <w:t xml:space="preserve">that there may be some uptake of </w:t>
      </w:r>
      <w:proofErr w:type="spellStart"/>
      <w:r w:rsidR="00EE5F4C">
        <w:t>posaconazole</w:t>
      </w:r>
      <w:proofErr w:type="spellEnd"/>
      <w:r w:rsidR="00EE5F4C">
        <w:t xml:space="preserve"> tablets from the </w:t>
      </w:r>
      <w:proofErr w:type="spellStart"/>
      <w:r w:rsidR="00EE5F4C">
        <w:t>voriconazole</w:t>
      </w:r>
      <w:proofErr w:type="spellEnd"/>
      <w:r w:rsidR="00EE5F4C">
        <w:t xml:space="preserve"> market</w:t>
      </w:r>
      <w:r w:rsidR="00475788">
        <w:t>.</w:t>
      </w:r>
    </w:p>
    <w:p w:rsidR="004C3D6B" w:rsidRDefault="004C3D6B" w:rsidP="000F0544">
      <w:pPr>
        <w:pStyle w:val="Figurecaption"/>
        <w:spacing w:after="0" w:line="240" w:lineRule="auto"/>
        <w:rPr>
          <w:sz w:val="24"/>
          <w:szCs w:val="24"/>
        </w:rPr>
      </w:pPr>
    </w:p>
    <w:p w:rsidR="000346AA" w:rsidRDefault="000346AA" w:rsidP="000F0544">
      <w:pPr>
        <w:pStyle w:val="Figurecaption"/>
        <w:spacing w:after="0" w:line="240" w:lineRule="auto"/>
        <w:rPr>
          <w:sz w:val="24"/>
          <w:szCs w:val="24"/>
        </w:rPr>
      </w:pPr>
      <w:r>
        <w:rPr>
          <w:noProof/>
          <w:lang w:eastAsia="en-AU"/>
        </w:rPr>
        <w:drawing>
          <wp:inline distT="0" distB="0" distL="0" distR="0" wp14:anchorId="0647EF40" wp14:editId="10B219E8">
            <wp:extent cx="5687695" cy="3712801"/>
            <wp:effectExtent l="0" t="0" r="27305" b="21590"/>
            <wp:docPr id="18" name="Chart 18" descr="Use of posaconzole tablets has increased above the use of other forms of posaconazole and voriconazole" title="Prescriptions by form of posaconazole and voriconazol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3D6B" w:rsidRDefault="004C3D6B" w:rsidP="000F0544">
      <w:pPr>
        <w:spacing w:after="0" w:line="240" w:lineRule="auto"/>
        <w:rPr>
          <w:sz w:val="20"/>
          <w:szCs w:val="20"/>
        </w:rPr>
      </w:pPr>
      <w:r>
        <w:rPr>
          <w:b/>
          <w:sz w:val="23"/>
          <w:szCs w:val="23"/>
        </w:rPr>
        <w:t xml:space="preserve">Figure </w:t>
      </w:r>
      <w:r w:rsidR="00F53690">
        <w:rPr>
          <w:b/>
          <w:sz w:val="23"/>
          <w:szCs w:val="23"/>
        </w:rPr>
        <w:t>1</w:t>
      </w:r>
      <w:r w:rsidRPr="00A732BB">
        <w:rPr>
          <w:b/>
          <w:sz w:val="23"/>
          <w:szCs w:val="23"/>
        </w:rPr>
        <w:t xml:space="preserve">: </w:t>
      </w:r>
      <w:r>
        <w:rPr>
          <w:b/>
          <w:sz w:val="23"/>
          <w:szCs w:val="23"/>
        </w:rPr>
        <w:t xml:space="preserve">Prescriptions by form of </w:t>
      </w:r>
      <w:proofErr w:type="spellStart"/>
      <w:r>
        <w:rPr>
          <w:b/>
          <w:sz w:val="23"/>
          <w:szCs w:val="23"/>
        </w:rPr>
        <w:t>posaconazole</w:t>
      </w:r>
      <w:proofErr w:type="spellEnd"/>
      <w:r w:rsidR="00EC52AF">
        <w:rPr>
          <w:b/>
          <w:sz w:val="23"/>
          <w:szCs w:val="23"/>
        </w:rPr>
        <w:t xml:space="preserve"> and </w:t>
      </w:r>
      <w:proofErr w:type="spellStart"/>
      <w:r w:rsidR="00EC52AF">
        <w:rPr>
          <w:b/>
          <w:sz w:val="23"/>
          <w:szCs w:val="23"/>
        </w:rPr>
        <w:t>voriconazole</w:t>
      </w:r>
      <w:proofErr w:type="spellEnd"/>
    </w:p>
    <w:p w:rsidR="004C3D6B" w:rsidRDefault="004C3D6B" w:rsidP="000F0544">
      <w:pPr>
        <w:spacing w:line="240" w:lineRule="auto"/>
      </w:pPr>
      <w:r>
        <w:rPr>
          <w:sz w:val="20"/>
          <w:szCs w:val="20"/>
        </w:rPr>
        <w:t xml:space="preserve">Source: DHS supplied prescriptions database; extracted 09 March 2018. </w:t>
      </w:r>
      <w:r>
        <w:t xml:space="preserve"> </w:t>
      </w:r>
    </w:p>
    <w:p w:rsidR="00475788" w:rsidRPr="0052582F" w:rsidRDefault="00475788" w:rsidP="000F0544">
      <w:pPr>
        <w:spacing w:line="240" w:lineRule="auto"/>
      </w:pPr>
      <w:r>
        <w:t xml:space="preserve">Uptake of the tablet formulation of </w:t>
      </w:r>
      <w:proofErr w:type="spellStart"/>
      <w:r>
        <w:t>posaconazole</w:t>
      </w:r>
      <w:proofErr w:type="spellEnd"/>
      <w:r>
        <w:t xml:space="preserve"> was rapid and there was a sharp decline in prescriptions for the oral liquid. The availability of the tablet formulation resulted in substantial growth in the overall use of </w:t>
      </w:r>
      <w:proofErr w:type="spellStart"/>
      <w:r>
        <w:t>posaconazole</w:t>
      </w:r>
      <w:proofErr w:type="spellEnd"/>
      <w:r>
        <w:t>.</w:t>
      </w:r>
    </w:p>
    <w:p w:rsidR="001151EF" w:rsidRDefault="00475788" w:rsidP="000F0544">
      <w:pPr>
        <w:spacing w:line="240" w:lineRule="auto"/>
      </w:pPr>
      <w:r>
        <w:t xml:space="preserve">Utilisation of </w:t>
      </w:r>
      <w:proofErr w:type="spellStart"/>
      <w:r>
        <w:t>voriconazole</w:t>
      </w:r>
      <w:proofErr w:type="spellEnd"/>
      <w:r>
        <w:t xml:space="preserve"> 50mg tablet and oral suspension has remained low and stable. The use of </w:t>
      </w:r>
      <w:proofErr w:type="spellStart"/>
      <w:r>
        <w:t>voriconazole</w:t>
      </w:r>
      <w:proofErr w:type="spellEnd"/>
      <w:r>
        <w:t xml:space="preserve"> 200mg tablets was </w:t>
      </w:r>
      <w:r w:rsidR="00EE5F4C">
        <w:t xml:space="preserve">in </w:t>
      </w:r>
      <w:r>
        <w:t xml:space="preserve">decline prior to the listing of </w:t>
      </w:r>
      <w:proofErr w:type="spellStart"/>
      <w:r>
        <w:t>posaconazole</w:t>
      </w:r>
      <w:proofErr w:type="spellEnd"/>
      <w:r>
        <w:t xml:space="preserve"> tablets, but decreased </w:t>
      </w:r>
      <w:r w:rsidR="00023DB9">
        <w:t xml:space="preserve">further in late 2015.  </w:t>
      </w:r>
    </w:p>
    <w:p w:rsidR="004C3D6B" w:rsidRDefault="00023DB9" w:rsidP="000F0544">
      <w:pPr>
        <w:spacing w:line="240" w:lineRule="auto"/>
      </w:pPr>
      <w:r>
        <w:t>The u</w:t>
      </w:r>
      <w:r w:rsidR="00F53690">
        <w:t xml:space="preserve">tilisation of </w:t>
      </w:r>
      <w:proofErr w:type="spellStart"/>
      <w:r w:rsidR="00F53690">
        <w:t>posaconazole</w:t>
      </w:r>
      <w:proofErr w:type="spellEnd"/>
      <w:r>
        <w:t xml:space="preserve"> and </w:t>
      </w:r>
      <w:proofErr w:type="spellStart"/>
      <w:r>
        <w:t>voriconazole</w:t>
      </w:r>
      <w:proofErr w:type="spellEnd"/>
      <w:r w:rsidR="00F53690">
        <w:t xml:space="preserve"> is low in the context of the overall azole antifungal market</w:t>
      </w:r>
      <w:r>
        <w:t xml:space="preserve"> (see </w:t>
      </w:r>
      <w:r w:rsidR="00F53690">
        <w:t>Appendix</w:t>
      </w:r>
      <w:r w:rsidR="00EE5F4C">
        <w:t> </w:t>
      </w:r>
      <w:r>
        <w:t>B</w:t>
      </w:r>
      <w:r w:rsidR="00F53690">
        <w:t xml:space="preserve">). </w:t>
      </w:r>
    </w:p>
    <w:p w:rsidR="00C9268B" w:rsidRDefault="00C9268B" w:rsidP="000F0544">
      <w:pPr>
        <w:spacing w:line="240" w:lineRule="auto"/>
        <w:rPr>
          <w:lang w:eastAsia="en-US"/>
        </w:rPr>
      </w:pPr>
      <w:r>
        <w:br w:type="page"/>
      </w:r>
    </w:p>
    <w:p w:rsidR="00D457E2" w:rsidRDefault="00D457E2" w:rsidP="000F0544">
      <w:pPr>
        <w:spacing w:line="240" w:lineRule="auto"/>
      </w:pPr>
      <w:r>
        <w:lastRenderedPageBreak/>
        <w:t xml:space="preserve">Figure 2 presents the number of </w:t>
      </w:r>
      <w:proofErr w:type="spellStart"/>
      <w:r w:rsidR="0002734C">
        <w:t>posaconazole</w:t>
      </w:r>
      <w:proofErr w:type="spellEnd"/>
      <w:r w:rsidR="0002734C">
        <w:t xml:space="preserve"> prescriptions</w:t>
      </w:r>
      <w:r>
        <w:t xml:space="preserve"> by indication. </w:t>
      </w:r>
      <w:r w:rsidR="00864BB7">
        <w:t xml:space="preserve">The use of </w:t>
      </w:r>
      <w:proofErr w:type="spellStart"/>
      <w:r w:rsidR="00864BB7">
        <w:t>posaconazole</w:t>
      </w:r>
      <w:proofErr w:type="spellEnd"/>
      <w:r w:rsidR="00864BB7">
        <w:t xml:space="preserve"> for</w:t>
      </w:r>
      <w:r w:rsidR="0002734C">
        <w:t xml:space="preserve"> both</w:t>
      </w:r>
      <w:r w:rsidR="00864BB7">
        <w:t xml:space="preserve"> treatment and prophylaxis was</w:t>
      </w:r>
      <w:r>
        <w:t xml:space="preserve"> stable </w:t>
      </w:r>
      <w:r w:rsidR="00864BB7">
        <w:t xml:space="preserve">until mid-2015. There was a </w:t>
      </w:r>
      <w:r>
        <w:t xml:space="preserve">noticeable increase </w:t>
      </w:r>
      <w:r w:rsidR="0002734C">
        <w:t xml:space="preserve">in use </w:t>
      </w:r>
      <w:r w:rsidR="00864BB7">
        <w:t>for both treatment and prophylaxis following</w:t>
      </w:r>
      <w:r>
        <w:t xml:space="preserve"> </w:t>
      </w:r>
      <w:r w:rsidR="0089620D">
        <w:t>the listing of the tablet form from</w:t>
      </w:r>
      <w:r>
        <w:t xml:space="preserve"> 1 September</w:t>
      </w:r>
      <w:r w:rsidR="00864BB7">
        <w:t> </w:t>
      </w:r>
      <w:r>
        <w:t xml:space="preserve">2015, with the largest </w:t>
      </w:r>
      <w:r w:rsidR="00864BB7">
        <w:t>increase evident for prophylaxis.</w:t>
      </w:r>
      <w:r>
        <w:t xml:space="preserve"> </w:t>
      </w:r>
      <w:r w:rsidR="00864BB7">
        <w:t xml:space="preserve">Use for the treatment of aspergillosis and </w:t>
      </w:r>
      <w:r w:rsidR="0002734C">
        <w:t>for prophylaxis</w:t>
      </w:r>
      <w:r w:rsidR="00864BB7">
        <w:t xml:space="preserve"> </w:t>
      </w:r>
      <w:r w:rsidR="0002734C">
        <w:t xml:space="preserve">has since </w:t>
      </w:r>
      <w:r w:rsidR="00864BB7">
        <w:t xml:space="preserve">stabilised. </w:t>
      </w:r>
      <w:r w:rsidR="0002734C">
        <w:t>In the second half of 2017 t</w:t>
      </w:r>
      <w:r w:rsidR="00864BB7">
        <w:t xml:space="preserve">here </w:t>
      </w:r>
      <w:r w:rsidR="0002734C">
        <w:t>w</w:t>
      </w:r>
      <w:r w:rsidR="00864BB7">
        <w:t xml:space="preserve">as a </w:t>
      </w:r>
      <w:r w:rsidR="0002734C">
        <w:t>sharp</w:t>
      </w:r>
      <w:r w:rsidR="00864BB7">
        <w:t xml:space="preserve"> increase in use of </w:t>
      </w:r>
      <w:proofErr w:type="spellStart"/>
      <w:r w:rsidR="00864BB7">
        <w:t>posaconazole</w:t>
      </w:r>
      <w:proofErr w:type="spellEnd"/>
      <w:r w:rsidR="00864BB7">
        <w:t xml:space="preserve"> for </w:t>
      </w:r>
      <w:r w:rsidR="0002734C">
        <w:t xml:space="preserve">the </w:t>
      </w:r>
      <w:r w:rsidR="00864BB7">
        <w:t xml:space="preserve">treatment of ‘other’ </w:t>
      </w:r>
      <w:r w:rsidR="0002734C">
        <w:t>fungal</w:t>
      </w:r>
      <w:r w:rsidR="00864BB7">
        <w:t xml:space="preserve"> infections</w:t>
      </w:r>
      <w:r w:rsidR="0002734C">
        <w:t xml:space="preserve"> (</w:t>
      </w:r>
      <w:proofErr w:type="spellStart"/>
      <w:r w:rsidR="0002734C">
        <w:t>fusariosis</w:t>
      </w:r>
      <w:proofErr w:type="spellEnd"/>
      <w:r w:rsidR="0002734C">
        <w:t xml:space="preserve">, </w:t>
      </w:r>
      <w:proofErr w:type="spellStart"/>
      <w:r w:rsidR="0002734C">
        <w:t>zygomycosis</w:t>
      </w:r>
      <w:proofErr w:type="spellEnd"/>
      <w:r w:rsidR="0002734C">
        <w:t xml:space="preserve">, </w:t>
      </w:r>
      <w:proofErr w:type="spellStart"/>
      <w:r w:rsidR="0002734C">
        <w:t>coccidiodomycosis</w:t>
      </w:r>
      <w:proofErr w:type="spellEnd"/>
      <w:r w:rsidR="0002734C">
        <w:t xml:space="preserve">, </w:t>
      </w:r>
      <w:proofErr w:type="spellStart"/>
      <w:r w:rsidR="0002734C">
        <w:t>chromoblastomycosis</w:t>
      </w:r>
      <w:proofErr w:type="spellEnd"/>
      <w:r w:rsidR="0002734C">
        <w:t xml:space="preserve">, </w:t>
      </w:r>
      <w:proofErr w:type="spellStart"/>
      <w:proofErr w:type="gramStart"/>
      <w:r w:rsidR="0002734C">
        <w:t>mycetoma</w:t>
      </w:r>
      <w:proofErr w:type="spellEnd"/>
      <w:proofErr w:type="gramEnd"/>
      <w:r w:rsidR="0002734C">
        <w:t>)</w:t>
      </w:r>
      <w:r w:rsidR="00864BB7">
        <w:t>.</w:t>
      </w:r>
      <w:r w:rsidR="0002734C">
        <w:t xml:space="preserve"> </w:t>
      </w:r>
      <w:r w:rsidR="00864BB7">
        <w:t xml:space="preserve"> </w:t>
      </w:r>
      <w:r w:rsidR="008E5165">
        <w:t>The r</w:t>
      </w:r>
      <w:r w:rsidR="00864BB7">
        <w:t>eason</w:t>
      </w:r>
      <w:r w:rsidR="008E5165">
        <w:t>/</w:t>
      </w:r>
      <w:r w:rsidR="00864BB7">
        <w:t xml:space="preserve">s </w:t>
      </w:r>
      <w:r w:rsidR="0002734C">
        <w:t>for this</w:t>
      </w:r>
      <w:r w:rsidR="00864BB7">
        <w:t xml:space="preserve"> increas</w:t>
      </w:r>
      <w:r w:rsidR="0002734C">
        <w:t>ed</w:t>
      </w:r>
      <w:r w:rsidR="00864BB7">
        <w:t xml:space="preserve"> use is unknown. </w:t>
      </w:r>
    </w:p>
    <w:p w:rsidR="00D457E2" w:rsidRDefault="00D457E2" w:rsidP="000F0544">
      <w:pPr>
        <w:pStyle w:val="Figurecaption"/>
        <w:spacing w:before="0" w:line="240" w:lineRule="auto"/>
        <w:rPr>
          <w:b/>
          <w:sz w:val="23"/>
          <w:szCs w:val="23"/>
        </w:rPr>
      </w:pPr>
    </w:p>
    <w:p w:rsidR="00EC52AF" w:rsidRDefault="00EC52AF" w:rsidP="000F0544">
      <w:pPr>
        <w:pStyle w:val="Figurecaption"/>
        <w:spacing w:before="0" w:line="240" w:lineRule="auto"/>
        <w:rPr>
          <w:b/>
          <w:sz w:val="23"/>
          <w:szCs w:val="23"/>
        </w:rPr>
      </w:pPr>
      <w:r>
        <w:rPr>
          <w:noProof/>
          <w:lang w:eastAsia="en-AU"/>
        </w:rPr>
        <w:drawing>
          <wp:inline distT="0" distB="0" distL="0" distR="0" wp14:anchorId="1B98A0D7" wp14:editId="495F1D7D">
            <wp:extent cx="5687695" cy="3712801"/>
            <wp:effectExtent l="0" t="0" r="27305" b="21590"/>
            <wp:docPr id="13" name="Chart 13" descr="Posaconazole prescriptions by indication" title="Posaconazole prescriptions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57E2" w:rsidRPr="00042767" w:rsidRDefault="00D457E2" w:rsidP="000F0544">
      <w:pPr>
        <w:pStyle w:val="Figurecaption"/>
        <w:spacing w:after="0" w:line="240" w:lineRule="auto"/>
        <w:rPr>
          <w:b/>
          <w:sz w:val="23"/>
          <w:szCs w:val="23"/>
        </w:rPr>
      </w:pPr>
      <w:r>
        <w:rPr>
          <w:b/>
          <w:sz w:val="23"/>
          <w:szCs w:val="23"/>
        </w:rPr>
        <w:t xml:space="preserve">Figure </w:t>
      </w:r>
      <w:r w:rsidR="0002734C">
        <w:rPr>
          <w:b/>
          <w:sz w:val="23"/>
          <w:szCs w:val="23"/>
        </w:rPr>
        <w:t>2</w:t>
      </w:r>
      <w:r w:rsidRPr="00A732BB">
        <w:rPr>
          <w:b/>
          <w:sz w:val="23"/>
          <w:szCs w:val="23"/>
        </w:rPr>
        <w:t xml:space="preserve">: </w:t>
      </w:r>
      <w:proofErr w:type="spellStart"/>
      <w:r w:rsidR="00EC52AF">
        <w:rPr>
          <w:b/>
          <w:sz w:val="23"/>
          <w:szCs w:val="23"/>
        </w:rPr>
        <w:t>Posaconazole</w:t>
      </w:r>
      <w:proofErr w:type="spellEnd"/>
      <w:r w:rsidR="00EC52AF">
        <w:rPr>
          <w:b/>
          <w:sz w:val="23"/>
          <w:szCs w:val="23"/>
        </w:rPr>
        <w:t xml:space="preserve"> prescriptions </w:t>
      </w:r>
      <w:r w:rsidRPr="00A732BB">
        <w:rPr>
          <w:b/>
          <w:sz w:val="23"/>
          <w:szCs w:val="23"/>
        </w:rPr>
        <w:t>by indication</w:t>
      </w:r>
    </w:p>
    <w:p w:rsidR="00D457E2" w:rsidRDefault="00D457E2" w:rsidP="000F0544">
      <w:pPr>
        <w:spacing w:after="0" w:line="240" w:lineRule="auto"/>
        <w:rPr>
          <w:sz w:val="20"/>
          <w:szCs w:val="20"/>
        </w:rPr>
      </w:pPr>
      <w:r w:rsidRPr="00BC1B65">
        <w:rPr>
          <w:sz w:val="20"/>
          <w:szCs w:val="20"/>
        </w:rPr>
        <w:t xml:space="preserve">Indications were determined by authority codes from the </w:t>
      </w:r>
      <w:r>
        <w:rPr>
          <w:sz w:val="20"/>
          <w:szCs w:val="20"/>
        </w:rPr>
        <w:t>Authority Approvals Database (</w:t>
      </w:r>
      <w:r w:rsidRPr="00BC1B65">
        <w:rPr>
          <w:sz w:val="20"/>
          <w:szCs w:val="20"/>
        </w:rPr>
        <w:t>AAD</w:t>
      </w:r>
      <w:r>
        <w:rPr>
          <w:sz w:val="20"/>
          <w:szCs w:val="20"/>
        </w:rPr>
        <w:t>).</w:t>
      </w:r>
    </w:p>
    <w:p w:rsidR="00D457E2" w:rsidRDefault="00D457E2" w:rsidP="000F0544">
      <w:pPr>
        <w:spacing w:line="240" w:lineRule="auto"/>
        <w:rPr>
          <w:sz w:val="20"/>
          <w:szCs w:val="20"/>
        </w:rPr>
      </w:pPr>
      <w:r>
        <w:rPr>
          <w:sz w:val="20"/>
          <w:szCs w:val="20"/>
        </w:rPr>
        <w:t>Source: DHS AAD, DHS supplied prescriptions database to 31 December 2017; extracted 13 March 2018.</w:t>
      </w:r>
    </w:p>
    <w:p w:rsidR="00023DB9" w:rsidRPr="00402450" w:rsidRDefault="00E62AFD" w:rsidP="000F0544">
      <w:pPr>
        <w:spacing w:line="240" w:lineRule="auto"/>
      </w:pPr>
      <w:r w:rsidRPr="00402450">
        <w:t xml:space="preserve">The majority of prescriptions of </w:t>
      </w:r>
      <w:proofErr w:type="spellStart"/>
      <w:r w:rsidRPr="00402450">
        <w:t>posaconazole</w:t>
      </w:r>
      <w:proofErr w:type="spellEnd"/>
      <w:r w:rsidRPr="00402450">
        <w:t xml:space="preserve"> are for prophylaxis. In the </w:t>
      </w:r>
      <w:r w:rsidR="00BB0E3B" w:rsidRPr="00402450">
        <w:t xml:space="preserve">12 month </w:t>
      </w:r>
      <w:r w:rsidR="00402450" w:rsidRPr="00402450">
        <w:t>period</w:t>
      </w:r>
      <w:r w:rsidR="00402450">
        <w:t>s</w:t>
      </w:r>
      <w:r w:rsidR="00402450" w:rsidRPr="00402450">
        <w:t xml:space="preserve"> before and after the listing of the </w:t>
      </w:r>
      <w:proofErr w:type="spellStart"/>
      <w:r w:rsidR="00402450" w:rsidRPr="00402450">
        <w:t>posaconazole</w:t>
      </w:r>
      <w:proofErr w:type="spellEnd"/>
      <w:r w:rsidR="00402450" w:rsidRPr="00402450">
        <w:t xml:space="preserve"> tablets, approximately two thirds of prescriptions</w:t>
      </w:r>
      <w:r w:rsidR="00402450">
        <w:t xml:space="preserve"> we</w:t>
      </w:r>
      <w:r w:rsidR="00402450" w:rsidRPr="00402450">
        <w:t>re for prophylaxis and one third for treatment indications. The proportion of use for treatment has increased in the most recent year because of the upswing in use for ‘other’ fungal infections</w:t>
      </w:r>
      <w:r w:rsidR="00E62B16">
        <w:t>.</w:t>
      </w:r>
      <w:r w:rsidR="00402450" w:rsidRPr="00402450">
        <w:t>’</w:t>
      </w:r>
      <w:r w:rsidR="00C4714D">
        <w:t xml:space="preserve"> </w:t>
      </w:r>
      <w:r w:rsidR="00C4714D" w:rsidRPr="00C4714D">
        <w:t>In December 2017 only 53% of prescriptions were for prophylaxis.</w:t>
      </w:r>
    </w:p>
    <w:p w:rsidR="008E377A" w:rsidRDefault="008E377A" w:rsidP="000F0544">
      <w:pPr>
        <w:spacing w:line="240" w:lineRule="auto"/>
      </w:pPr>
      <w:r>
        <w:t>The large change in utilisation following availability of the tablet form, apparent in Figures 1 and 2</w:t>
      </w:r>
      <w:r w:rsidR="0089620D">
        <w:t>,</w:t>
      </w:r>
      <w:r w:rsidR="008D6145">
        <w:t xml:space="preserve"> </w:t>
      </w:r>
      <w:r>
        <w:t xml:space="preserve">cannot be accounted for by the quantity per prescription differing between the forms. A prescription of </w:t>
      </w:r>
      <w:proofErr w:type="spellStart"/>
      <w:r>
        <w:t>posaconazole</w:t>
      </w:r>
      <w:proofErr w:type="spellEnd"/>
      <w:r>
        <w:t xml:space="preserve"> can be authorised for up to one month’s supply and with repea</w:t>
      </w:r>
      <w:r w:rsidR="00E62B16">
        <w:t>ts sufficient for up to 6 month</w:t>
      </w:r>
      <w:r>
        <w:t>s</w:t>
      </w:r>
      <w:r w:rsidR="00E62B16">
        <w:t>’</w:t>
      </w:r>
      <w:r>
        <w:t xml:space="preserve"> supply. Based on the recommended doses in Table 1, one pack of tablets provides a sufficient quantity for 7</w:t>
      </w:r>
      <w:r w:rsidR="0089620D">
        <w:t>-8</w:t>
      </w:r>
      <w:r>
        <w:t xml:space="preserve"> days of treatment or prophylaxis. One bottle of oral liquid provides a quantity sufficient for approximately 5</w:t>
      </w:r>
      <w:r w:rsidR="0089620D">
        <w:t>-6</w:t>
      </w:r>
      <w:r>
        <w:t xml:space="preserve"> </w:t>
      </w:r>
      <w:r>
        <w:lastRenderedPageBreak/>
        <w:t>days of treatment or 7</w:t>
      </w:r>
      <w:r w:rsidR="0089620D">
        <w:t>-8</w:t>
      </w:r>
      <w:r>
        <w:t xml:space="preserve"> days of prophylaxis.</w:t>
      </w:r>
      <w:r w:rsidR="0002532F">
        <w:t xml:space="preserve"> </w:t>
      </w:r>
      <w:r w:rsidR="005073B0">
        <w:t>The median number of packs per prescription dispensed for both the tablet and the suspension was 4 (data not shown).</w:t>
      </w:r>
      <w:r w:rsidR="0002532F">
        <w:t xml:space="preserve"> </w:t>
      </w:r>
    </w:p>
    <w:p w:rsidR="00D13DDD" w:rsidRDefault="00023DB9" w:rsidP="000F0544">
      <w:pPr>
        <w:spacing w:line="240" w:lineRule="auto"/>
      </w:pPr>
      <w:r>
        <w:t xml:space="preserve">Figure 3 presents the number of </w:t>
      </w:r>
      <w:proofErr w:type="spellStart"/>
      <w:r>
        <w:t>voriconazole</w:t>
      </w:r>
      <w:proofErr w:type="spellEnd"/>
      <w:r>
        <w:t xml:space="preserve"> prescriptions by indication. </w:t>
      </w:r>
      <w:proofErr w:type="spellStart"/>
      <w:r>
        <w:t>Voriconazole</w:t>
      </w:r>
      <w:proofErr w:type="spellEnd"/>
      <w:r>
        <w:t xml:space="preserve"> is </w:t>
      </w:r>
      <w:r w:rsidR="007C51E6">
        <w:t>mainly</w:t>
      </w:r>
      <w:r>
        <w:t xml:space="preserve"> used for the treatment of fungal infections,</w:t>
      </w:r>
      <w:r w:rsidR="00A32AD4">
        <w:t xml:space="preserve"> and unlike </w:t>
      </w:r>
      <w:proofErr w:type="spellStart"/>
      <w:r w:rsidR="00A32AD4">
        <w:t>posaconazole</w:t>
      </w:r>
      <w:proofErr w:type="spellEnd"/>
      <w:r w:rsidR="00A32AD4">
        <w:t xml:space="preserve"> is not limited to use in disease refractory to, or in patients intolerant to, alternative therapy. </w:t>
      </w:r>
      <w:r w:rsidR="00D5518A">
        <w:t>During the first half of 2015 t</w:t>
      </w:r>
      <w:r w:rsidR="00A32AD4">
        <w:t xml:space="preserve">here was a decline in the use of </w:t>
      </w:r>
      <w:proofErr w:type="spellStart"/>
      <w:r w:rsidR="00A32AD4">
        <w:t>voriconazole</w:t>
      </w:r>
      <w:proofErr w:type="spellEnd"/>
      <w:r w:rsidR="00A32AD4">
        <w:t xml:space="preserve"> for treatment of aspe</w:t>
      </w:r>
      <w:r w:rsidR="00D5518A">
        <w:t>r</w:t>
      </w:r>
      <w:r w:rsidR="00A32AD4">
        <w:t>gillosis</w:t>
      </w:r>
      <w:r w:rsidR="00D5518A">
        <w:t xml:space="preserve">, with a further small decline following the listing of </w:t>
      </w:r>
      <w:proofErr w:type="spellStart"/>
      <w:r w:rsidR="00D5518A">
        <w:t>posaconazole</w:t>
      </w:r>
      <w:proofErr w:type="spellEnd"/>
      <w:r w:rsidR="00D5518A">
        <w:t xml:space="preserve"> tablets. </w:t>
      </w:r>
      <w:r w:rsidR="00A32AD4">
        <w:t xml:space="preserve"> </w:t>
      </w:r>
    </w:p>
    <w:p w:rsidR="00023DB9" w:rsidRDefault="00A32AD4" w:rsidP="000F0544">
      <w:pPr>
        <w:spacing w:line="240" w:lineRule="auto"/>
      </w:pPr>
      <w:r>
        <w:t xml:space="preserve">A low proportion of the use of </w:t>
      </w:r>
      <w:proofErr w:type="spellStart"/>
      <w:r>
        <w:t>voriconazole</w:t>
      </w:r>
      <w:proofErr w:type="spellEnd"/>
      <w:r>
        <w:t xml:space="preserve"> is for </w:t>
      </w:r>
      <w:r w:rsidR="00023DB9">
        <w:t xml:space="preserve">prophylaxis. </w:t>
      </w:r>
      <w:proofErr w:type="spellStart"/>
      <w:r w:rsidR="00023DB9">
        <w:t>Voriconazole</w:t>
      </w:r>
      <w:proofErr w:type="spellEnd"/>
      <w:r w:rsidR="00023DB9">
        <w:t xml:space="preserve"> was PBS listed for prophylaxis in certain high risk groups from</w:t>
      </w:r>
      <w:r>
        <w:t xml:space="preserve"> 1</w:t>
      </w:r>
      <w:r w:rsidR="00023DB9">
        <w:t> De</w:t>
      </w:r>
      <w:r>
        <w:t>c</w:t>
      </w:r>
      <w:r w:rsidR="00023DB9">
        <w:t xml:space="preserve">ember 2014 and had established a small market share that was largely unchanged by the listing of </w:t>
      </w:r>
      <w:proofErr w:type="spellStart"/>
      <w:r w:rsidR="00023DB9">
        <w:t>posaconazole</w:t>
      </w:r>
      <w:proofErr w:type="spellEnd"/>
      <w:r w:rsidR="00023DB9">
        <w:t xml:space="preserve"> tablets. </w:t>
      </w:r>
    </w:p>
    <w:p w:rsidR="00EC52AF" w:rsidRDefault="00EC52AF" w:rsidP="000F0544">
      <w:pPr>
        <w:pStyle w:val="Figurecaption"/>
        <w:spacing w:after="0" w:line="240" w:lineRule="auto"/>
        <w:rPr>
          <w:b/>
          <w:sz w:val="23"/>
          <w:szCs w:val="23"/>
        </w:rPr>
      </w:pPr>
    </w:p>
    <w:p w:rsidR="00D94E0C" w:rsidRDefault="00D94E0C" w:rsidP="000F0544">
      <w:pPr>
        <w:pStyle w:val="Figurecaption"/>
        <w:spacing w:after="0" w:line="240" w:lineRule="auto"/>
        <w:rPr>
          <w:b/>
          <w:sz w:val="23"/>
          <w:szCs w:val="23"/>
        </w:rPr>
      </w:pPr>
      <w:r>
        <w:rPr>
          <w:noProof/>
          <w:lang w:eastAsia="en-AU"/>
        </w:rPr>
        <w:drawing>
          <wp:inline distT="0" distB="0" distL="0" distR="0" wp14:anchorId="60FB25E4" wp14:editId="1DE981BC">
            <wp:extent cx="5687695" cy="3712801"/>
            <wp:effectExtent l="0" t="0" r="27305" b="21590"/>
            <wp:docPr id="12" name="Chart 12" descr="Voriconazole prescriptions by indication" title="Voriconazole prescriptions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52AF" w:rsidRPr="00042767" w:rsidRDefault="00EC52AF" w:rsidP="000F0544">
      <w:pPr>
        <w:pStyle w:val="Figurecaption"/>
        <w:spacing w:after="0" w:line="240" w:lineRule="auto"/>
        <w:rPr>
          <w:b/>
          <w:sz w:val="23"/>
          <w:szCs w:val="23"/>
        </w:rPr>
      </w:pPr>
      <w:r>
        <w:rPr>
          <w:b/>
          <w:sz w:val="23"/>
          <w:szCs w:val="23"/>
        </w:rPr>
        <w:t>Figure 3</w:t>
      </w:r>
      <w:r w:rsidRPr="00A732BB">
        <w:rPr>
          <w:b/>
          <w:sz w:val="23"/>
          <w:szCs w:val="23"/>
        </w:rPr>
        <w:t xml:space="preserve">: </w:t>
      </w:r>
      <w:proofErr w:type="spellStart"/>
      <w:r>
        <w:rPr>
          <w:b/>
          <w:sz w:val="23"/>
          <w:szCs w:val="23"/>
        </w:rPr>
        <w:t>Voriconazole</w:t>
      </w:r>
      <w:proofErr w:type="spellEnd"/>
      <w:r>
        <w:rPr>
          <w:b/>
          <w:sz w:val="23"/>
          <w:szCs w:val="23"/>
        </w:rPr>
        <w:t xml:space="preserve"> prescriptions </w:t>
      </w:r>
      <w:r w:rsidRPr="00A732BB">
        <w:rPr>
          <w:b/>
          <w:sz w:val="23"/>
          <w:szCs w:val="23"/>
        </w:rPr>
        <w:t>by indication</w:t>
      </w:r>
    </w:p>
    <w:p w:rsidR="00EC52AF" w:rsidRDefault="00EC52AF" w:rsidP="000F0544">
      <w:pPr>
        <w:spacing w:after="0" w:line="240" w:lineRule="auto"/>
        <w:rPr>
          <w:sz w:val="20"/>
          <w:szCs w:val="20"/>
        </w:rPr>
      </w:pPr>
      <w:r w:rsidRPr="00BC1B65">
        <w:rPr>
          <w:sz w:val="20"/>
          <w:szCs w:val="20"/>
        </w:rPr>
        <w:t xml:space="preserve">Indications were determined by authority codes from the </w:t>
      </w:r>
      <w:r>
        <w:rPr>
          <w:sz w:val="20"/>
          <w:szCs w:val="20"/>
        </w:rPr>
        <w:t>Authority Approvals Database (</w:t>
      </w:r>
      <w:r w:rsidRPr="00BC1B65">
        <w:rPr>
          <w:sz w:val="20"/>
          <w:szCs w:val="20"/>
        </w:rPr>
        <w:t>AAD</w:t>
      </w:r>
      <w:r>
        <w:rPr>
          <w:sz w:val="20"/>
          <w:szCs w:val="20"/>
        </w:rPr>
        <w:t>).</w:t>
      </w:r>
    </w:p>
    <w:p w:rsidR="00EC52AF" w:rsidRDefault="00EC52AF" w:rsidP="000F0544">
      <w:pPr>
        <w:spacing w:line="240" w:lineRule="auto"/>
        <w:rPr>
          <w:sz w:val="20"/>
          <w:szCs w:val="20"/>
        </w:rPr>
      </w:pPr>
      <w:r>
        <w:rPr>
          <w:sz w:val="20"/>
          <w:szCs w:val="20"/>
        </w:rPr>
        <w:t>Source: DHS AAD, DHS supplied prescriptions database to 31 December 2017; extracted 13 March 2018.</w:t>
      </w:r>
    </w:p>
    <w:p w:rsidR="00CD3F70" w:rsidRDefault="00CD3F70" w:rsidP="000F0544">
      <w:pPr>
        <w:spacing w:line="240" w:lineRule="auto"/>
      </w:pPr>
      <w:r>
        <w:br w:type="page"/>
      </w:r>
    </w:p>
    <w:p w:rsidR="00F54E2A" w:rsidRDefault="008E5165" w:rsidP="000F0544">
      <w:pPr>
        <w:spacing w:line="240" w:lineRule="auto"/>
      </w:pPr>
      <w:r>
        <w:lastRenderedPageBreak/>
        <w:t xml:space="preserve">Figure </w:t>
      </w:r>
      <w:r w:rsidR="0024756E">
        <w:t xml:space="preserve">4 presents the total number of new and prevalent patients on either form of </w:t>
      </w:r>
      <w:proofErr w:type="spellStart"/>
      <w:r w:rsidR="0024756E">
        <w:t>posaconazole</w:t>
      </w:r>
      <w:proofErr w:type="spellEnd"/>
      <w:r w:rsidR="0024756E">
        <w:t>. Figure 5 provides</w:t>
      </w:r>
      <w:r w:rsidR="00A54996" w:rsidRPr="00A54996">
        <w:t xml:space="preserve"> the number of prevalent and incident </w:t>
      </w:r>
      <w:proofErr w:type="spellStart"/>
      <w:r w:rsidR="008074B2">
        <w:t>posaconazole</w:t>
      </w:r>
      <w:proofErr w:type="spellEnd"/>
      <w:r w:rsidR="008074B2">
        <w:t xml:space="preserve"> </w:t>
      </w:r>
      <w:r w:rsidR="00D13DDD">
        <w:t>p</w:t>
      </w:r>
      <w:r w:rsidR="00A54996" w:rsidRPr="00A54996">
        <w:t>atients str</w:t>
      </w:r>
      <w:r w:rsidR="00A54996">
        <w:t>atified by form &amp; strength</w:t>
      </w:r>
      <w:r w:rsidR="0024756E">
        <w:t xml:space="preserve">, and </w:t>
      </w:r>
      <w:r w:rsidR="00A54996">
        <w:t>F</w:t>
      </w:r>
      <w:r w:rsidR="00A54996" w:rsidRPr="00A54996">
        <w:t xml:space="preserve">igure </w:t>
      </w:r>
      <w:r w:rsidR="0024756E">
        <w:t>6</w:t>
      </w:r>
      <w:r w:rsidR="00A54996" w:rsidRPr="00A54996">
        <w:t xml:space="preserve"> presents prevalent and incident patients for prophylaxis only. </w:t>
      </w:r>
      <w:r w:rsidR="00862FC5">
        <w:t>A</w:t>
      </w:r>
      <w:r w:rsidR="00A54996">
        <w:t xml:space="preserve">n incident patient is defined as a first PBS supply of </w:t>
      </w:r>
      <w:proofErr w:type="spellStart"/>
      <w:r w:rsidR="00A54996">
        <w:t>posaconazole</w:t>
      </w:r>
      <w:proofErr w:type="spellEnd"/>
      <w:r w:rsidR="00A54996">
        <w:t>.</w:t>
      </w:r>
    </w:p>
    <w:p w:rsidR="0024756E" w:rsidRDefault="0024756E" w:rsidP="000F0544">
      <w:pPr>
        <w:spacing w:line="240" w:lineRule="auto"/>
      </w:pPr>
      <w:r>
        <w:rPr>
          <w:noProof/>
        </w:rPr>
        <w:drawing>
          <wp:inline distT="0" distB="0" distL="0" distR="0" wp14:anchorId="2222BDF9" wp14:editId="29DEC789">
            <wp:extent cx="5688280" cy="3895107"/>
            <wp:effectExtent l="0" t="0" r="27305" b="10160"/>
            <wp:docPr id="2" name="Chart 2" descr="Incident and prevalent patients on either form of posaconazole" title="Incident and prevalent patients on either form of posaconazo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756E" w:rsidRDefault="0024756E" w:rsidP="000F0544">
      <w:pPr>
        <w:pStyle w:val="Figurecaption"/>
        <w:spacing w:after="0" w:line="240" w:lineRule="auto"/>
        <w:rPr>
          <w:b/>
          <w:sz w:val="23"/>
          <w:szCs w:val="23"/>
        </w:rPr>
      </w:pPr>
      <w:r w:rsidRPr="0024756E">
        <w:rPr>
          <w:b/>
          <w:sz w:val="23"/>
          <w:szCs w:val="23"/>
        </w:rPr>
        <w:t>Figure 4: Incident and prevalent patients</w:t>
      </w:r>
      <w:r>
        <w:rPr>
          <w:b/>
          <w:sz w:val="23"/>
          <w:szCs w:val="23"/>
        </w:rPr>
        <w:t xml:space="preserve"> on either form of </w:t>
      </w:r>
      <w:proofErr w:type="spellStart"/>
      <w:r>
        <w:rPr>
          <w:b/>
          <w:sz w:val="23"/>
          <w:szCs w:val="23"/>
        </w:rPr>
        <w:t>posaconazole</w:t>
      </w:r>
      <w:proofErr w:type="spellEnd"/>
    </w:p>
    <w:p w:rsidR="0024756E" w:rsidRDefault="0024756E" w:rsidP="000F0544">
      <w:pPr>
        <w:spacing w:line="240" w:lineRule="auto"/>
        <w:rPr>
          <w:sz w:val="20"/>
          <w:szCs w:val="20"/>
        </w:rPr>
      </w:pPr>
      <w:r>
        <w:rPr>
          <w:sz w:val="20"/>
          <w:szCs w:val="20"/>
        </w:rPr>
        <w:t>Source: DHS AAD, DHS supplied prescriptions database to 31 December 2017; extracted 13 March 2018.</w:t>
      </w:r>
    </w:p>
    <w:p w:rsidR="0024756E" w:rsidRPr="0024756E" w:rsidRDefault="0024756E" w:rsidP="000F0544">
      <w:pPr>
        <w:pStyle w:val="Figurecaption"/>
        <w:spacing w:after="0" w:line="240" w:lineRule="auto"/>
        <w:rPr>
          <w:b/>
          <w:sz w:val="23"/>
          <w:szCs w:val="23"/>
        </w:rPr>
      </w:pPr>
    </w:p>
    <w:p w:rsidR="008E5165" w:rsidRPr="008E1A54" w:rsidRDefault="008E5165" w:rsidP="000F0544">
      <w:pPr>
        <w:spacing w:line="240" w:lineRule="auto"/>
      </w:pPr>
      <w:r>
        <w:rPr>
          <w:noProof/>
        </w:rPr>
        <w:lastRenderedPageBreak/>
        <w:drawing>
          <wp:inline distT="0" distB="0" distL="0" distR="0" wp14:anchorId="62999095" wp14:editId="384C9EB6">
            <wp:extent cx="5688419" cy="4455042"/>
            <wp:effectExtent l="0" t="0" r="26670" b="22225"/>
            <wp:docPr id="5" name="Chart 5" descr="Number of prevalent and incident patients for posaconazole by form &amp; strength" title="Number of prevalent and incident patients for posaconazole by form &amp;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rPr>
        <w:t xml:space="preserve">Figure </w:t>
      </w:r>
      <w:r w:rsidR="0024756E">
        <w:rPr>
          <w:b/>
        </w:rPr>
        <w:t>5</w:t>
      </w:r>
      <w:r>
        <w:rPr>
          <w:b/>
        </w:rPr>
        <w:t xml:space="preserve">: Number of prevalent and incident patients </w:t>
      </w:r>
      <w:r w:rsidR="00F0129D">
        <w:rPr>
          <w:b/>
        </w:rPr>
        <w:t xml:space="preserve">for </w:t>
      </w:r>
      <w:proofErr w:type="spellStart"/>
      <w:r w:rsidR="00F0129D">
        <w:rPr>
          <w:b/>
        </w:rPr>
        <w:t>posaconazole</w:t>
      </w:r>
      <w:proofErr w:type="spellEnd"/>
      <w:r w:rsidR="00F0129D">
        <w:rPr>
          <w:b/>
        </w:rPr>
        <w:t xml:space="preserve"> </w:t>
      </w:r>
      <w:r>
        <w:rPr>
          <w:b/>
        </w:rPr>
        <w:t>by form &amp; strength</w:t>
      </w:r>
    </w:p>
    <w:p w:rsidR="008E5165" w:rsidRDefault="008E5165" w:rsidP="000F0544">
      <w:pPr>
        <w:spacing w:after="0" w:line="240" w:lineRule="auto"/>
        <w:rPr>
          <w:sz w:val="20"/>
          <w:szCs w:val="20"/>
        </w:rPr>
      </w:pPr>
      <w:r>
        <w:rPr>
          <w:sz w:val="20"/>
          <w:szCs w:val="20"/>
        </w:rPr>
        <w:t>Source: DHS AAD, DHS supplied prescriptions database to 31 December 2017; extracted 13 March 2018.</w:t>
      </w:r>
    </w:p>
    <w:p w:rsidR="008E5165" w:rsidRDefault="00984AE5" w:rsidP="000F0544">
      <w:pPr>
        <w:pStyle w:val="Heading2"/>
        <w:spacing w:line="240" w:lineRule="auto"/>
        <w:rPr>
          <w:sz w:val="20"/>
          <w:szCs w:val="20"/>
        </w:rPr>
      </w:pPr>
      <w:r>
        <w:rPr>
          <w:b w:val="0"/>
          <w:i w:val="0"/>
        </w:rPr>
        <w:t xml:space="preserve">The number of </w:t>
      </w:r>
      <w:r w:rsidR="004E2D8E">
        <w:rPr>
          <w:b w:val="0"/>
          <w:i w:val="0"/>
        </w:rPr>
        <w:t>incident</w:t>
      </w:r>
      <w:r w:rsidR="00B053E5">
        <w:rPr>
          <w:b w:val="0"/>
          <w:i w:val="0"/>
        </w:rPr>
        <w:t xml:space="preserve"> </w:t>
      </w:r>
      <w:r>
        <w:rPr>
          <w:b w:val="0"/>
          <w:i w:val="0"/>
        </w:rPr>
        <w:t xml:space="preserve">patients commencing </w:t>
      </w:r>
      <w:proofErr w:type="spellStart"/>
      <w:r>
        <w:rPr>
          <w:b w:val="0"/>
          <w:i w:val="0"/>
        </w:rPr>
        <w:t>posaconazole</w:t>
      </w:r>
      <w:proofErr w:type="spellEnd"/>
      <w:r>
        <w:rPr>
          <w:b w:val="0"/>
          <w:i w:val="0"/>
        </w:rPr>
        <w:t xml:space="preserve"> </w:t>
      </w:r>
      <w:r w:rsidR="00955788">
        <w:rPr>
          <w:b w:val="0"/>
          <w:i w:val="0"/>
        </w:rPr>
        <w:t xml:space="preserve">for any indication </w:t>
      </w:r>
      <w:r>
        <w:rPr>
          <w:b w:val="0"/>
          <w:i w:val="0"/>
        </w:rPr>
        <w:t>has increased</w:t>
      </w:r>
      <w:r w:rsidR="00B053E5">
        <w:rPr>
          <w:b w:val="0"/>
          <w:i w:val="0"/>
        </w:rPr>
        <w:t xml:space="preserve">. In the two years prior to the listing of the tablet </w:t>
      </w:r>
      <w:r w:rsidR="009509E9">
        <w:rPr>
          <w:b w:val="0"/>
          <w:i w:val="0"/>
        </w:rPr>
        <w:t xml:space="preserve">form, </w:t>
      </w:r>
      <w:r w:rsidR="00B053E5">
        <w:rPr>
          <w:b w:val="0"/>
          <w:i w:val="0"/>
        </w:rPr>
        <w:t xml:space="preserve">an average of 73 patients commenced </w:t>
      </w:r>
      <w:proofErr w:type="spellStart"/>
      <w:r w:rsidR="00B053E5">
        <w:rPr>
          <w:b w:val="0"/>
          <w:i w:val="0"/>
        </w:rPr>
        <w:t>posaconazole</w:t>
      </w:r>
      <w:proofErr w:type="spellEnd"/>
      <w:r w:rsidR="00B053E5">
        <w:rPr>
          <w:b w:val="0"/>
          <w:i w:val="0"/>
        </w:rPr>
        <w:t xml:space="preserve"> each month. In the </w:t>
      </w:r>
      <w:r w:rsidR="009509E9">
        <w:rPr>
          <w:b w:val="0"/>
          <w:i w:val="0"/>
        </w:rPr>
        <w:t>t</w:t>
      </w:r>
      <w:r w:rsidR="00B053E5">
        <w:rPr>
          <w:b w:val="0"/>
          <w:i w:val="0"/>
        </w:rPr>
        <w:t>wo years after the table</w:t>
      </w:r>
      <w:r w:rsidR="00402450">
        <w:rPr>
          <w:b w:val="0"/>
          <w:i w:val="0"/>
        </w:rPr>
        <w:t>t</w:t>
      </w:r>
      <w:r w:rsidR="00B053E5">
        <w:rPr>
          <w:b w:val="0"/>
          <w:i w:val="0"/>
        </w:rPr>
        <w:t xml:space="preserve"> listed this increased to </w:t>
      </w:r>
      <w:r w:rsidR="009509E9">
        <w:rPr>
          <w:b w:val="0"/>
          <w:i w:val="0"/>
        </w:rPr>
        <w:t>11</w:t>
      </w:r>
      <w:r w:rsidR="00B053E5">
        <w:rPr>
          <w:b w:val="0"/>
          <w:i w:val="0"/>
        </w:rPr>
        <w:t>0 patients</w:t>
      </w:r>
      <w:r w:rsidR="009509E9">
        <w:rPr>
          <w:b w:val="0"/>
          <w:i w:val="0"/>
        </w:rPr>
        <w:t xml:space="preserve"> per</w:t>
      </w:r>
      <w:r w:rsidR="00B053E5">
        <w:rPr>
          <w:b w:val="0"/>
          <w:i w:val="0"/>
        </w:rPr>
        <w:t xml:space="preserve"> month. </w:t>
      </w:r>
      <w:r w:rsidR="00E62AFD">
        <w:rPr>
          <w:b w:val="0"/>
          <w:i w:val="0"/>
        </w:rPr>
        <w:t xml:space="preserve"> The number of prevalent treated patients has increased dramatically and is mostly for patients receiving prophylaxis</w:t>
      </w:r>
      <w:r w:rsidR="00B47A34">
        <w:rPr>
          <w:b w:val="0"/>
          <w:i w:val="0"/>
        </w:rPr>
        <w:t xml:space="preserve"> (Figure </w:t>
      </w:r>
      <w:r w:rsidR="002D2AF6">
        <w:rPr>
          <w:b w:val="0"/>
          <w:i w:val="0"/>
        </w:rPr>
        <w:t>6</w:t>
      </w:r>
      <w:r w:rsidR="00B47A34">
        <w:rPr>
          <w:b w:val="0"/>
          <w:i w:val="0"/>
        </w:rPr>
        <w:t>)</w:t>
      </w:r>
      <w:r w:rsidR="00E62AFD">
        <w:rPr>
          <w:b w:val="0"/>
          <w:i w:val="0"/>
        </w:rPr>
        <w:t>.</w:t>
      </w:r>
    </w:p>
    <w:p w:rsidR="008E5165" w:rsidRDefault="008E5165" w:rsidP="000F0544">
      <w:pPr>
        <w:spacing w:before="240" w:after="0" w:line="240" w:lineRule="auto"/>
        <w:rPr>
          <w:b/>
        </w:rPr>
      </w:pPr>
      <w:r>
        <w:rPr>
          <w:noProof/>
        </w:rPr>
        <w:lastRenderedPageBreak/>
        <w:drawing>
          <wp:inline distT="0" distB="0" distL="0" distR="0" wp14:anchorId="6E718C3F" wp14:editId="151E4ED1">
            <wp:extent cx="5688419" cy="4306186"/>
            <wp:effectExtent l="0" t="0" r="26670" b="18415"/>
            <wp:docPr id="7" name="Chart 7" descr="Prevalent and incident patients by form &amp; strength for prophylaxis" title="Prevalent and incident patients by form &amp; strength for prophyl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
        </w:rPr>
        <w:t xml:space="preserve">Figure </w:t>
      </w:r>
      <w:r w:rsidR="002D2AF6">
        <w:rPr>
          <w:b/>
        </w:rPr>
        <w:t>6</w:t>
      </w:r>
      <w:r w:rsidRPr="00AA0AFB">
        <w:rPr>
          <w:b/>
        </w:rPr>
        <w:t>: Prevalent and incident patients by form &amp; strength for p</w:t>
      </w:r>
      <w:r w:rsidR="00B053E5">
        <w:rPr>
          <w:b/>
        </w:rPr>
        <w:t>r</w:t>
      </w:r>
      <w:r w:rsidRPr="00AA0AFB">
        <w:rPr>
          <w:b/>
        </w:rPr>
        <w:t>ophylaxis</w:t>
      </w:r>
    </w:p>
    <w:p w:rsidR="008E5165" w:rsidRDefault="009509E9" w:rsidP="000F0544">
      <w:pPr>
        <w:spacing w:after="0" w:line="240" w:lineRule="auto"/>
        <w:rPr>
          <w:sz w:val="20"/>
          <w:szCs w:val="20"/>
        </w:rPr>
      </w:pPr>
      <w:r>
        <w:rPr>
          <w:sz w:val="20"/>
          <w:szCs w:val="20"/>
        </w:rPr>
        <w:t>Source: DHS, AAD DHS s</w:t>
      </w:r>
      <w:r w:rsidR="008E5165">
        <w:rPr>
          <w:sz w:val="20"/>
          <w:szCs w:val="20"/>
        </w:rPr>
        <w:t>upplied prescriptions database to 31 December 2017; extracted 13 March 2018.</w:t>
      </w:r>
    </w:p>
    <w:p w:rsidR="00577AE4" w:rsidRDefault="00577AE4" w:rsidP="000F0544">
      <w:pPr>
        <w:spacing w:line="240" w:lineRule="auto"/>
        <w:rPr>
          <w:sz w:val="20"/>
          <w:szCs w:val="20"/>
        </w:rPr>
      </w:pPr>
      <w:r>
        <w:t>As a consequence of more new patie</w:t>
      </w:r>
      <w:r w:rsidR="00B47A34">
        <w:t>nts commencing treatment there are</w:t>
      </w:r>
      <w:r>
        <w:t xml:space="preserve"> also more patients on treatment. However the magnitude of </w:t>
      </w:r>
      <w:r w:rsidR="00B47A34">
        <w:t xml:space="preserve">the </w:t>
      </w:r>
      <w:r>
        <w:t xml:space="preserve">increase in prevalent patients may be due to other changes in utilisation patterns such as adherence or duration on therapy. This is investigated further below. </w:t>
      </w:r>
    </w:p>
    <w:p w:rsidR="00B053E5" w:rsidRPr="00B053E5" w:rsidRDefault="00B053E5" w:rsidP="000F0544">
      <w:pPr>
        <w:pStyle w:val="Heading2"/>
        <w:spacing w:line="240" w:lineRule="auto"/>
      </w:pPr>
      <w:r w:rsidRPr="00B053E5">
        <w:t xml:space="preserve">Time to </w:t>
      </w:r>
      <w:r>
        <w:t xml:space="preserve">prescription </w:t>
      </w:r>
      <w:r w:rsidRPr="00B053E5">
        <w:t>refill</w:t>
      </w:r>
    </w:p>
    <w:p w:rsidR="009509E9" w:rsidRDefault="00CE5E40" w:rsidP="000F0544">
      <w:pPr>
        <w:spacing w:line="240" w:lineRule="auto"/>
        <w:rPr>
          <w:b/>
          <w:i/>
        </w:rPr>
      </w:pPr>
      <w:r>
        <w:t xml:space="preserve">The PBAC anticipated that </w:t>
      </w:r>
      <w:r w:rsidRPr="00CE5E40">
        <w:t xml:space="preserve">usage </w:t>
      </w:r>
      <w:r>
        <w:t xml:space="preserve">of </w:t>
      </w:r>
      <w:proofErr w:type="spellStart"/>
      <w:r>
        <w:t>posaconazole</w:t>
      </w:r>
      <w:proofErr w:type="spellEnd"/>
      <w:r>
        <w:t xml:space="preserve"> may </w:t>
      </w:r>
      <w:r w:rsidRPr="00CE5E40">
        <w:t xml:space="preserve">increase due to ease of use of tablets over liquid. </w:t>
      </w:r>
      <w:r>
        <w:t>A time to refill analysis was undertaken to see if there were any major differences between the two formulations that might indicate differen</w:t>
      </w:r>
      <w:r w:rsidR="00D85547">
        <w:t>t</w:t>
      </w:r>
      <w:r>
        <w:t xml:space="preserve"> patterns of adherence. As a formal adherence analysis was not undertaken this analysis is indicative only.</w:t>
      </w:r>
    </w:p>
    <w:p w:rsidR="009509E9" w:rsidRDefault="009509E9" w:rsidP="000F0544">
      <w:pPr>
        <w:spacing w:line="240" w:lineRule="auto"/>
        <w:rPr>
          <w:b/>
          <w:i/>
        </w:rPr>
      </w:pPr>
      <w:r>
        <w:t xml:space="preserve">Figure </w:t>
      </w:r>
      <w:r w:rsidR="002D2AF6">
        <w:t>7</w:t>
      </w:r>
      <w:r>
        <w:t xml:space="preserve"> presents the number of days to a patient’s next supply of a script for </w:t>
      </w:r>
      <w:proofErr w:type="spellStart"/>
      <w:r>
        <w:t>posaconazole</w:t>
      </w:r>
      <w:proofErr w:type="spellEnd"/>
      <w:r>
        <w:t xml:space="preserve"> stratified by form and strength for prophylaxis of invasive fungal infections. Figure </w:t>
      </w:r>
      <w:r w:rsidR="002D2AF6">
        <w:t>8</w:t>
      </w:r>
      <w:r>
        <w:t xml:space="preserve"> presents the same data for the treatment of aspergillosis. </w:t>
      </w:r>
    </w:p>
    <w:p w:rsidR="00F21748" w:rsidRPr="007B2134" w:rsidRDefault="002D2AF6" w:rsidP="000F0544">
      <w:pPr>
        <w:spacing w:line="240" w:lineRule="auto"/>
        <w:rPr>
          <w:b/>
          <w:i/>
        </w:rPr>
      </w:pPr>
      <w:r>
        <w:t xml:space="preserve">The distribution of time to refill is similar for the two forms. </w:t>
      </w:r>
      <w:r w:rsidR="00F21748">
        <w:t xml:space="preserve">The </w:t>
      </w:r>
      <w:r w:rsidR="002D407D">
        <w:t xml:space="preserve">most common </w:t>
      </w:r>
      <w:r w:rsidR="00F21748">
        <w:t xml:space="preserve">time to refill for both forms of </w:t>
      </w:r>
      <w:proofErr w:type="spellStart"/>
      <w:r w:rsidR="00F21748">
        <w:t>posaconazole</w:t>
      </w:r>
      <w:proofErr w:type="spellEnd"/>
      <w:r w:rsidR="00F21748">
        <w:t xml:space="preserve"> for prophylaxis and the treatment of aspergillosis is 28 days. </w:t>
      </w:r>
      <w:r>
        <w:t xml:space="preserve">Other peaks in refill times </w:t>
      </w:r>
      <w:r w:rsidR="00F21748">
        <w:t xml:space="preserve">are seen at 7, 21, 35 and 42 days. </w:t>
      </w:r>
    </w:p>
    <w:p w:rsidR="00CE5B59" w:rsidRDefault="00B72BFA" w:rsidP="000F0544">
      <w:pPr>
        <w:pStyle w:val="Heading2"/>
        <w:spacing w:after="0" w:line="240" w:lineRule="auto"/>
        <w:rPr>
          <w:i w:val="0"/>
        </w:rPr>
      </w:pPr>
      <w:r>
        <w:rPr>
          <w:noProof/>
        </w:rPr>
        <w:lastRenderedPageBreak/>
        <w:drawing>
          <wp:inline distT="0" distB="0" distL="0" distR="0" wp14:anchorId="46C25A0D" wp14:editId="2905926B">
            <wp:extent cx="5688419" cy="3455581"/>
            <wp:effectExtent l="0" t="0" r="26670" b="12065"/>
            <wp:docPr id="10" name="Chart 10" descr="Time to refill analysis for posaconazole for prophylaxis" title="Time to refill analysis for posaconazole for prophyl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57C6B">
        <w:rPr>
          <w:i w:val="0"/>
        </w:rPr>
        <w:t xml:space="preserve">Figure </w:t>
      </w:r>
      <w:r w:rsidR="002D2AF6">
        <w:rPr>
          <w:i w:val="0"/>
        </w:rPr>
        <w:t>7</w:t>
      </w:r>
      <w:r w:rsidR="00C57C6B">
        <w:rPr>
          <w:i w:val="0"/>
        </w:rPr>
        <w:t xml:space="preserve">: Time to refill analysis for </w:t>
      </w:r>
      <w:proofErr w:type="spellStart"/>
      <w:r w:rsidR="00C57C6B">
        <w:rPr>
          <w:i w:val="0"/>
        </w:rPr>
        <w:t>posaconazole</w:t>
      </w:r>
      <w:proofErr w:type="spellEnd"/>
      <w:r w:rsidR="00C57C6B">
        <w:rPr>
          <w:i w:val="0"/>
        </w:rPr>
        <w:t xml:space="preserve"> for prophylaxis</w:t>
      </w:r>
    </w:p>
    <w:p w:rsidR="00CE5E40" w:rsidRDefault="00C57C6B" w:rsidP="000F0544">
      <w:pPr>
        <w:spacing w:after="0" w:line="240" w:lineRule="auto"/>
        <w:rPr>
          <w:sz w:val="20"/>
          <w:szCs w:val="20"/>
        </w:rPr>
      </w:pPr>
      <w:r>
        <w:rPr>
          <w:sz w:val="20"/>
          <w:szCs w:val="20"/>
        </w:rPr>
        <w:t xml:space="preserve">Data are presented by </w:t>
      </w:r>
      <w:r w:rsidR="007B2134">
        <w:rPr>
          <w:sz w:val="20"/>
          <w:szCs w:val="20"/>
        </w:rPr>
        <w:t xml:space="preserve">days to next supply. </w:t>
      </w:r>
    </w:p>
    <w:p w:rsidR="00C57C6B" w:rsidRDefault="00C57C6B" w:rsidP="000F0544">
      <w:pPr>
        <w:spacing w:after="0" w:line="240" w:lineRule="auto"/>
      </w:pPr>
      <w:r>
        <w:rPr>
          <w:sz w:val="20"/>
          <w:szCs w:val="20"/>
        </w:rPr>
        <w:t xml:space="preserve">Source: DHS AAD, DHS supplied prescriptions database to 31 </w:t>
      </w:r>
      <w:r w:rsidR="007B2134">
        <w:rPr>
          <w:sz w:val="20"/>
          <w:szCs w:val="20"/>
        </w:rPr>
        <w:t>December</w:t>
      </w:r>
      <w:r>
        <w:rPr>
          <w:sz w:val="20"/>
          <w:szCs w:val="20"/>
        </w:rPr>
        <w:t xml:space="preserve"> 2017</w:t>
      </w:r>
      <w:r w:rsidR="007B2134">
        <w:rPr>
          <w:sz w:val="20"/>
          <w:szCs w:val="20"/>
        </w:rPr>
        <w:t>; extracted 13</w:t>
      </w:r>
      <w:r>
        <w:rPr>
          <w:sz w:val="20"/>
          <w:szCs w:val="20"/>
        </w:rPr>
        <w:t xml:space="preserve"> March 2018. </w:t>
      </w:r>
      <w:r>
        <w:t xml:space="preserve"> </w:t>
      </w:r>
    </w:p>
    <w:p w:rsidR="00112880" w:rsidRPr="007B2134" w:rsidRDefault="00112880" w:rsidP="000F0544">
      <w:pPr>
        <w:spacing w:before="240" w:after="0" w:line="240" w:lineRule="auto"/>
        <w:rPr>
          <w:sz w:val="20"/>
          <w:szCs w:val="20"/>
        </w:rPr>
      </w:pPr>
      <w:r>
        <w:rPr>
          <w:noProof/>
        </w:rPr>
        <w:drawing>
          <wp:inline distT="0" distB="0" distL="0" distR="0" wp14:anchorId="55CEE9B6" wp14:editId="7DE8D8F5">
            <wp:extent cx="5688419" cy="3487479"/>
            <wp:effectExtent l="0" t="0" r="26670" b="17780"/>
            <wp:docPr id="11" name="Chart 11" descr="Time to refill analysis for posaconazole for aspergillosis" title="Time to refill analysis for posaconazole for aspergillo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1A02" w:rsidRDefault="00251A02" w:rsidP="000F0544">
      <w:pPr>
        <w:pStyle w:val="Heading2"/>
        <w:spacing w:before="0" w:after="0" w:line="240" w:lineRule="auto"/>
        <w:rPr>
          <w:i w:val="0"/>
        </w:rPr>
      </w:pPr>
      <w:r>
        <w:rPr>
          <w:i w:val="0"/>
        </w:rPr>
        <w:t xml:space="preserve">Figure </w:t>
      </w:r>
      <w:r w:rsidR="002D2AF6">
        <w:rPr>
          <w:i w:val="0"/>
        </w:rPr>
        <w:t>8</w:t>
      </w:r>
      <w:r>
        <w:rPr>
          <w:i w:val="0"/>
        </w:rPr>
        <w:t xml:space="preserve">: Time to refill analysis for </w:t>
      </w:r>
      <w:proofErr w:type="spellStart"/>
      <w:r>
        <w:rPr>
          <w:i w:val="0"/>
        </w:rPr>
        <w:t>posaconazole</w:t>
      </w:r>
      <w:proofErr w:type="spellEnd"/>
      <w:r>
        <w:rPr>
          <w:i w:val="0"/>
        </w:rPr>
        <w:t xml:space="preserve"> for aspergillosis</w:t>
      </w:r>
    </w:p>
    <w:p w:rsidR="00251A02" w:rsidRDefault="00251A02" w:rsidP="000F0544">
      <w:pPr>
        <w:spacing w:after="0" w:line="240" w:lineRule="auto"/>
      </w:pPr>
      <w:r>
        <w:rPr>
          <w:sz w:val="20"/>
          <w:szCs w:val="20"/>
        </w:rPr>
        <w:t xml:space="preserve">Data are presented by days to next supply. </w:t>
      </w:r>
      <w:r w:rsidRPr="00BC1B65">
        <w:rPr>
          <w:sz w:val="20"/>
          <w:szCs w:val="20"/>
        </w:rPr>
        <w:t xml:space="preserve">Indications were determined by authority codes from the </w:t>
      </w:r>
      <w:r>
        <w:rPr>
          <w:sz w:val="20"/>
          <w:szCs w:val="20"/>
        </w:rPr>
        <w:t>Authority Approvals Database (</w:t>
      </w:r>
      <w:r w:rsidRPr="00BC1B65">
        <w:rPr>
          <w:sz w:val="20"/>
          <w:szCs w:val="20"/>
        </w:rPr>
        <w:t>AAD</w:t>
      </w:r>
      <w:r>
        <w:rPr>
          <w:sz w:val="20"/>
          <w:szCs w:val="20"/>
        </w:rPr>
        <w:t xml:space="preserve">). Source: DHS AAD, DHS supplied prescriptions database to 31 December 2017; extracted 13 March 2018. </w:t>
      </w:r>
      <w:r>
        <w:t xml:space="preserve"> </w:t>
      </w:r>
    </w:p>
    <w:p w:rsidR="00DB685C" w:rsidRDefault="00AA77A1" w:rsidP="000F0544">
      <w:pPr>
        <w:pStyle w:val="Heading2"/>
        <w:spacing w:line="240" w:lineRule="auto"/>
      </w:pPr>
      <w:r>
        <w:br w:type="page"/>
      </w:r>
      <w:r w:rsidR="00B053E5">
        <w:lastRenderedPageBreak/>
        <w:t>Duration on therapy</w:t>
      </w:r>
    </w:p>
    <w:p w:rsidR="00DE5B8D" w:rsidRDefault="00DE5B8D" w:rsidP="000F0544">
      <w:pPr>
        <w:spacing w:line="240" w:lineRule="auto"/>
      </w:pPr>
      <w:r>
        <w:t>Length of treatment was estimated for 4 cohorts;</w:t>
      </w:r>
    </w:p>
    <w:p w:rsidR="00DE5B8D" w:rsidRDefault="00DE5B8D" w:rsidP="000F0544">
      <w:pPr>
        <w:pStyle w:val="ListParagraph"/>
        <w:numPr>
          <w:ilvl w:val="0"/>
          <w:numId w:val="31"/>
        </w:numPr>
        <w:spacing w:line="240" w:lineRule="auto"/>
      </w:pPr>
      <w:r>
        <w:t xml:space="preserve">Patients who initiated </w:t>
      </w:r>
      <w:proofErr w:type="spellStart"/>
      <w:r>
        <w:t>posaconazole</w:t>
      </w:r>
      <w:proofErr w:type="spellEnd"/>
      <w:r>
        <w:t xml:space="preserve"> for prophylaxis in 2014. These patients did not initially have access to the </w:t>
      </w:r>
      <w:r w:rsidRPr="00DE5B8D">
        <w:t>tablet formulation</w:t>
      </w:r>
      <w:r>
        <w:t xml:space="preserve"> which was listed in September 2015.</w:t>
      </w:r>
    </w:p>
    <w:p w:rsidR="00DE5B8D" w:rsidRDefault="00DE5B8D" w:rsidP="000F0544">
      <w:pPr>
        <w:pStyle w:val="ListParagraph"/>
        <w:numPr>
          <w:ilvl w:val="0"/>
          <w:numId w:val="31"/>
        </w:numPr>
        <w:spacing w:line="240" w:lineRule="auto"/>
      </w:pPr>
      <w:r>
        <w:t xml:space="preserve">Patients who initiated </w:t>
      </w:r>
      <w:proofErr w:type="spellStart"/>
      <w:r>
        <w:t>posaconazole</w:t>
      </w:r>
      <w:proofErr w:type="spellEnd"/>
      <w:r>
        <w:t xml:space="preserve"> for prophylaxis in the 12 months, September 2015 to August 2016. These patients had access to the </w:t>
      </w:r>
      <w:r w:rsidRPr="00DE5B8D">
        <w:t>tablet formulation</w:t>
      </w:r>
      <w:r>
        <w:t xml:space="preserve"> from their date of initiation.</w:t>
      </w:r>
    </w:p>
    <w:p w:rsidR="00DE5B8D" w:rsidRDefault="00DE5B8D" w:rsidP="000F0544">
      <w:pPr>
        <w:pStyle w:val="ListParagraph"/>
        <w:numPr>
          <w:ilvl w:val="0"/>
          <w:numId w:val="31"/>
        </w:numPr>
        <w:spacing w:line="240" w:lineRule="auto"/>
      </w:pPr>
      <w:r>
        <w:t xml:space="preserve">Patients who initiated </w:t>
      </w:r>
      <w:proofErr w:type="spellStart"/>
      <w:r>
        <w:t>posaconazole</w:t>
      </w:r>
      <w:proofErr w:type="spellEnd"/>
      <w:r>
        <w:t xml:space="preserve"> for treatment (</w:t>
      </w:r>
      <w:r w:rsidR="00525911">
        <w:t>i.e.</w:t>
      </w:r>
      <w:r>
        <w:t xml:space="preserve"> not prophylaxis) in 2014. These patients did not initially have access to the </w:t>
      </w:r>
      <w:r w:rsidRPr="00DE5B8D">
        <w:t>tablet formulation</w:t>
      </w:r>
      <w:r>
        <w:t xml:space="preserve"> which was listed in September 2015.</w:t>
      </w:r>
    </w:p>
    <w:p w:rsidR="00DE5B8D" w:rsidRDefault="00DE5B8D" w:rsidP="000F0544">
      <w:pPr>
        <w:pStyle w:val="ListParagraph"/>
        <w:numPr>
          <w:ilvl w:val="0"/>
          <w:numId w:val="31"/>
        </w:numPr>
        <w:spacing w:line="240" w:lineRule="auto"/>
      </w:pPr>
      <w:r>
        <w:t xml:space="preserve">Patients who initiated </w:t>
      </w:r>
      <w:proofErr w:type="spellStart"/>
      <w:r>
        <w:t>posaconazole</w:t>
      </w:r>
      <w:proofErr w:type="spellEnd"/>
      <w:r>
        <w:t xml:space="preserve"> for treatment (</w:t>
      </w:r>
      <w:r w:rsidR="00525911">
        <w:t>i.e.</w:t>
      </w:r>
      <w:r>
        <w:t xml:space="preserve"> not prophylaxis) in the 12 months, September 2015 to August 2016. These patients had access to the </w:t>
      </w:r>
      <w:r w:rsidRPr="00DE5B8D">
        <w:t>tablet formulation</w:t>
      </w:r>
      <w:r>
        <w:t xml:space="preserve"> from their date of initiation.</w:t>
      </w:r>
    </w:p>
    <w:p w:rsidR="001E570D" w:rsidRDefault="001E570D" w:rsidP="000F0544">
      <w:pPr>
        <w:spacing w:line="240" w:lineRule="auto"/>
      </w:pPr>
      <w:r>
        <w:t>See methods section for more details.</w:t>
      </w:r>
    </w:p>
    <w:p w:rsidR="00D979BA" w:rsidRPr="002D2AF6" w:rsidRDefault="00D979BA" w:rsidP="000F0544">
      <w:pPr>
        <w:spacing w:line="240" w:lineRule="auto"/>
        <w:rPr>
          <w:b/>
        </w:rPr>
      </w:pPr>
      <w:r>
        <w:rPr>
          <w:noProof/>
        </w:rPr>
        <w:drawing>
          <wp:inline distT="0" distB="0" distL="0" distR="0" wp14:anchorId="68D83A25" wp14:editId="4A3B831E">
            <wp:extent cx="5687695" cy="4265771"/>
            <wp:effectExtent l="0" t="0" r="8255" b="1905"/>
            <wp:docPr id="1" name="Picture 1" descr="Length of treatment (excluding breaks) with posaconazole for prophylaxis by cohort" title="Length of treatment (excluding breaks) with posaconazole for prophylaxis by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Pr="002D2AF6">
        <w:rPr>
          <w:b/>
        </w:rPr>
        <w:t xml:space="preserve">Figure </w:t>
      </w:r>
      <w:r w:rsidR="002D2AF6" w:rsidRPr="002D2AF6">
        <w:rPr>
          <w:b/>
        </w:rPr>
        <w:t>9</w:t>
      </w:r>
      <w:r w:rsidRPr="002D2AF6">
        <w:rPr>
          <w:b/>
        </w:rPr>
        <w:t xml:space="preserve">: Length of treatment (excluding breaks) with </w:t>
      </w:r>
      <w:proofErr w:type="spellStart"/>
      <w:r w:rsidRPr="002D2AF6">
        <w:rPr>
          <w:b/>
        </w:rPr>
        <w:t>posaconazole</w:t>
      </w:r>
      <w:proofErr w:type="spellEnd"/>
      <w:r w:rsidRPr="002D2AF6">
        <w:rPr>
          <w:b/>
        </w:rPr>
        <w:t xml:space="preserve"> for prophylaxis by cohort</w:t>
      </w:r>
    </w:p>
    <w:p w:rsidR="00BE6120" w:rsidRPr="002D2AF6" w:rsidRDefault="001964ED" w:rsidP="000F0544">
      <w:pPr>
        <w:spacing w:line="240" w:lineRule="auto"/>
        <w:rPr>
          <w:b/>
        </w:rPr>
      </w:pPr>
      <w:r>
        <w:rPr>
          <w:noProof/>
        </w:rPr>
        <w:lastRenderedPageBreak/>
        <w:drawing>
          <wp:inline distT="0" distB="0" distL="0" distR="0" wp14:anchorId="68220264" wp14:editId="7BC2B720">
            <wp:extent cx="5687695" cy="4265771"/>
            <wp:effectExtent l="0" t="0" r="8255" b="1905"/>
            <wp:docPr id="4" name="Picture 4" descr="Length of treatment (excluding breaks) with posaconazole for treatment (i.e. not prophylaxis) by cohort" title="Length of treatment (excluding breaks) with posaconazole for treatment (i.e. not prophylaxis) by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00BE6120" w:rsidRPr="002D2AF6">
        <w:rPr>
          <w:b/>
        </w:rPr>
        <w:t xml:space="preserve">Figure </w:t>
      </w:r>
      <w:r w:rsidR="002D2AF6" w:rsidRPr="002D2AF6">
        <w:rPr>
          <w:b/>
        </w:rPr>
        <w:t>10</w:t>
      </w:r>
      <w:r w:rsidR="00BE6120" w:rsidRPr="002D2AF6">
        <w:rPr>
          <w:b/>
        </w:rPr>
        <w:t xml:space="preserve">: Length of treatment (excluding breaks) with </w:t>
      </w:r>
      <w:proofErr w:type="spellStart"/>
      <w:r w:rsidR="00BE6120" w:rsidRPr="002D2AF6">
        <w:rPr>
          <w:b/>
        </w:rPr>
        <w:t>posaconazole</w:t>
      </w:r>
      <w:proofErr w:type="spellEnd"/>
      <w:r w:rsidR="00BE6120" w:rsidRPr="002D2AF6">
        <w:rPr>
          <w:b/>
        </w:rPr>
        <w:t xml:space="preserve"> for treatment (</w:t>
      </w:r>
      <w:r w:rsidR="00525911" w:rsidRPr="002D2AF6">
        <w:rPr>
          <w:b/>
        </w:rPr>
        <w:t>i.e.</w:t>
      </w:r>
      <w:r w:rsidR="00E62B16">
        <w:rPr>
          <w:b/>
        </w:rPr>
        <w:t> </w:t>
      </w:r>
      <w:r w:rsidR="00BE6120" w:rsidRPr="002D2AF6">
        <w:rPr>
          <w:b/>
        </w:rPr>
        <w:t>not prophylaxis) by cohort</w:t>
      </w:r>
    </w:p>
    <w:p w:rsidR="00BE6120" w:rsidRPr="00BE6120" w:rsidRDefault="00BE6120" w:rsidP="000F0544">
      <w:pPr>
        <w:spacing w:after="0" w:line="240" w:lineRule="auto"/>
        <w:rPr>
          <w:b/>
        </w:rPr>
      </w:pPr>
      <w:r w:rsidRPr="00BE6120">
        <w:rPr>
          <w:b/>
        </w:rPr>
        <w:t xml:space="preserve">Table </w:t>
      </w:r>
      <w:r w:rsidR="00CD3F70">
        <w:rPr>
          <w:b/>
        </w:rPr>
        <w:t>3</w:t>
      </w:r>
      <w:r w:rsidRPr="00BE6120">
        <w:rPr>
          <w:b/>
        </w:rPr>
        <w:t>: Median length of treatment</w:t>
      </w:r>
      <w:r w:rsidR="002D2AF6">
        <w:rPr>
          <w:b/>
        </w:rPr>
        <w:t xml:space="preserve"> </w:t>
      </w:r>
      <w:r w:rsidRPr="00BE6120">
        <w:rPr>
          <w:b/>
        </w:rPr>
        <w:t>(excluding breaks)</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1276"/>
        <w:gridCol w:w="1134"/>
      </w:tblGrid>
      <w:tr w:rsidR="00BE6120" w:rsidRPr="00D979BA" w:rsidTr="00992D61">
        <w:trPr>
          <w:trHeight w:val="300"/>
        </w:trPr>
        <w:tc>
          <w:tcPr>
            <w:tcW w:w="6252" w:type="dxa"/>
            <w:shd w:val="clear" w:color="auto" w:fill="BFBFBF" w:themeFill="background1" w:themeFillShade="BF"/>
            <w:noWrap/>
            <w:vAlign w:val="center"/>
            <w:hideMark/>
          </w:tcPr>
          <w:p w:rsidR="00BE6120" w:rsidRPr="00D979BA" w:rsidRDefault="00BE6120" w:rsidP="000F0544">
            <w:pPr>
              <w:spacing w:after="0" w:line="240" w:lineRule="auto"/>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Patient c</w:t>
            </w:r>
            <w:r w:rsidRPr="00D979BA">
              <w:rPr>
                <w:rFonts w:ascii="Calibri" w:eastAsia="Times New Roman" w:hAnsi="Calibri" w:cs="Times New Roman"/>
                <w:b/>
                <w:bCs/>
                <w:color w:val="000000"/>
                <w:sz w:val="22"/>
                <w:szCs w:val="22"/>
              </w:rPr>
              <w:t>ohort</w:t>
            </w:r>
          </w:p>
        </w:tc>
        <w:tc>
          <w:tcPr>
            <w:tcW w:w="1276" w:type="dxa"/>
            <w:shd w:val="clear" w:color="auto" w:fill="BFBFBF" w:themeFill="background1" w:themeFillShade="BF"/>
            <w:noWrap/>
            <w:vAlign w:val="bottom"/>
            <w:hideMark/>
          </w:tcPr>
          <w:p w:rsidR="00BE6120" w:rsidRPr="00D979BA" w:rsidRDefault="00BE6120" w:rsidP="000F0544">
            <w:pPr>
              <w:spacing w:after="0" w:line="240" w:lineRule="auto"/>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Median (Days)</w:t>
            </w:r>
          </w:p>
        </w:tc>
        <w:tc>
          <w:tcPr>
            <w:tcW w:w="1134" w:type="dxa"/>
            <w:shd w:val="clear" w:color="auto" w:fill="BFBFBF" w:themeFill="background1" w:themeFillShade="BF"/>
            <w:vAlign w:val="center"/>
          </w:tcPr>
          <w:p w:rsidR="00BE6120" w:rsidRDefault="00BE6120" w:rsidP="000F0544">
            <w:pPr>
              <w:spacing w:after="0" w:line="240" w:lineRule="auto"/>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Patients</w:t>
            </w:r>
          </w:p>
          <w:p w:rsidR="00BE6120" w:rsidRDefault="00BE6120" w:rsidP="000F0544">
            <w:pPr>
              <w:spacing w:after="0" w:line="240" w:lineRule="auto"/>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w:t>
            </w:r>
            <w:r w:rsidR="002D2AF6">
              <w:rPr>
                <w:rFonts w:ascii="Calibri" w:eastAsia="Times New Roman" w:hAnsi="Calibri" w:cs="Times New Roman"/>
                <w:b/>
                <w:bCs/>
                <w:color w:val="000000"/>
                <w:sz w:val="22"/>
                <w:szCs w:val="22"/>
              </w:rPr>
              <w:t>n</w:t>
            </w:r>
            <w:r>
              <w:rPr>
                <w:rFonts w:ascii="Calibri" w:eastAsia="Times New Roman" w:hAnsi="Calibri" w:cs="Times New Roman"/>
                <w:b/>
                <w:bCs/>
                <w:color w:val="000000"/>
                <w:sz w:val="22"/>
                <w:szCs w:val="22"/>
              </w:rPr>
              <w:t>)</w:t>
            </w:r>
          </w:p>
        </w:tc>
      </w:tr>
      <w:tr w:rsidR="00BE6120" w:rsidRPr="00D979BA" w:rsidTr="002D2AF6">
        <w:trPr>
          <w:trHeight w:val="300"/>
        </w:trPr>
        <w:tc>
          <w:tcPr>
            <w:tcW w:w="6252" w:type="dxa"/>
            <w:shd w:val="clear" w:color="auto" w:fill="auto"/>
            <w:noWrap/>
            <w:vAlign w:val="bottom"/>
            <w:hideMark/>
          </w:tcPr>
          <w:p w:rsidR="00BE6120" w:rsidRPr="00D979BA" w:rsidRDefault="00BE6120" w:rsidP="000F0544">
            <w:pPr>
              <w:spacing w:after="0" w:line="240" w:lineRule="auto"/>
              <w:rPr>
                <w:rFonts w:ascii="Calibri" w:eastAsia="Times New Roman" w:hAnsi="Calibri" w:cs="Times New Roman"/>
                <w:sz w:val="22"/>
                <w:szCs w:val="22"/>
              </w:rPr>
            </w:pPr>
            <w:r w:rsidRPr="00D979BA">
              <w:rPr>
                <w:rFonts w:ascii="Calibri" w:eastAsia="Times New Roman" w:hAnsi="Calibri" w:cs="Times New Roman"/>
                <w:sz w:val="22"/>
                <w:szCs w:val="22"/>
              </w:rPr>
              <w:t xml:space="preserve">2014 initiators to </w:t>
            </w:r>
            <w:proofErr w:type="spellStart"/>
            <w:r w:rsidR="002D2AF6">
              <w:rPr>
                <w:rFonts w:ascii="Calibri" w:eastAsia="Times New Roman" w:hAnsi="Calibri" w:cs="Times New Roman"/>
                <w:sz w:val="22"/>
                <w:szCs w:val="22"/>
              </w:rPr>
              <w:t>posaconazole</w:t>
            </w:r>
            <w:proofErr w:type="spellEnd"/>
            <w:r w:rsidRPr="00D979BA">
              <w:rPr>
                <w:rFonts w:ascii="Calibri" w:eastAsia="Times New Roman" w:hAnsi="Calibri" w:cs="Times New Roman"/>
                <w:sz w:val="22"/>
                <w:szCs w:val="22"/>
              </w:rPr>
              <w:t xml:space="preserve">, </w:t>
            </w:r>
            <w:r w:rsidR="002D2AF6">
              <w:rPr>
                <w:rFonts w:ascii="Calibri" w:eastAsia="Times New Roman" w:hAnsi="Calibri" w:cs="Times New Roman"/>
                <w:sz w:val="22"/>
                <w:szCs w:val="22"/>
              </w:rPr>
              <w:t>p</w:t>
            </w:r>
            <w:r w:rsidRPr="00D979BA">
              <w:rPr>
                <w:rFonts w:ascii="Calibri" w:eastAsia="Times New Roman" w:hAnsi="Calibri" w:cs="Times New Roman"/>
                <w:sz w:val="22"/>
                <w:szCs w:val="22"/>
              </w:rPr>
              <w:t>rophylaxis</w:t>
            </w:r>
          </w:p>
        </w:tc>
        <w:tc>
          <w:tcPr>
            <w:tcW w:w="1276" w:type="dxa"/>
            <w:shd w:val="clear" w:color="auto" w:fill="auto"/>
            <w:noWrap/>
            <w:vAlign w:val="center"/>
            <w:hideMark/>
          </w:tcPr>
          <w:p w:rsidR="00BE6120" w:rsidRPr="00D979BA" w:rsidRDefault="00BE6120" w:rsidP="000F0544">
            <w:pPr>
              <w:spacing w:after="0" w:line="240" w:lineRule="auto"/>
              <w:jc w:val="center"/>
              <w:rPr>
                <w:rFonts w:ascii="Calibri" w:eastAsia="Times New Roman" w:hAnsi="Calibri" w:cs="Times New Roman"/>
                <w:sz w:val="22"/>
                <w:szCs w:val="22"/>
              </w:rPr>
            </w:pPr>
            <w:r w:rsidRPr="00D979BA">
              <w:rPr>
                <w:rFonts w:ascii="Calibri" w:eastAsia="Times New Roman" w:hAnsi="Calibri" w:cs="Times New Roman"/>
                <w:sz w:val="22"/>
                <w:szCs w:val="22"/>
              </w:rPr>
              <w:t>86</w:t>
            </w:r>
          </w:p>
        </w:tc>
        <w:tc>
          <w:tcPr>
            <w:tcW w:w="1134" w:type="dxa"/>
            <w:vAlign w:val="center"/>
          </w:tcPr>
          <w:p w:rsidR="00BE6120" w:rsidRPr="00D979BA" w:rsidRDefault="00BE6120" w:rsidP="000F0544">
            <w:pPr>
              <w:spacing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737</w:t>
            </w:r>
          </w:p>
        </w:tc>
      </w:tr>
      <w:tr w:rsidR="00BE6120" w:rsidRPr="00D979BA" w:rsidTr="002D2AF6">
        <w:trPr>
          <w:trHeight w:val="300"/>
        </w:trPr>
        <w:tc>
          <w:tcPr>
            <w:tcW w:w="6252" w:type="dxa"/>
            <w:shd w:val="clear" w:color="auto" w:fill="auto"/>
            <w:noWrap/>
            <w:vAlign w:val="bottom"/>
            <w:hideMark/>
          </w:tcPr>
          <w:p w:rsidR="00BE6120" w:rsidRPr="00D979BA" w:rsidRDefault="00BE6120" w:rsidP="000F0544">
            <w:pPr>
              <w:spacing w:after="0" w:line="240" w:lineRule="auto"/>
              <w:rPr>
                <w:rFonts w:ascii="Calibri" w:eastAsia="Times New Roman" w:hAnsi="Calibri" w:cs="Times New Roman"/>
                <w:sz w:val="22"/>
                <w:szCs w:val="22"/>
              </w:rPr>
            </w:pPr>
            <w:r w:rsidRPr="00D979BA">
              <w:rPr>
                <w:rFonts w:ascii="Calibri" w:eastAsia="Times New Roman" w:hAnsi="Calibri" w:cs="Times New Roman"/>
                <w:sz w:val="22"/>
                <w:szCs w:val="22"/>
              </w:rPr>
              <w:t>Sep</w:t>
            </w:r>
            <w:r w:rsidR="002D2AF6">
              <w:rPr>
                <w:rFonts w:ascii="Calibri" w:eastAsia="Times New Roman" w:hAnsi="Calibri" w:cs="Times New Roman"/>
                <w:sz w:val="22"/>
                <w:szCs w:val="22"/>
              </w:rPr>
              <w:t xml:space="preserve"> 2015 </w:t>
            </w:r>
            <w:r w:rsidRPr="00D979BA">
              <w:rPr>
                <w:rFonts w:ascii="Calibri" w:eastAsia="Times New Roman" w:hAnsi="Calibri" w:cs="Times New Roman"/>
                <w:sz w:val="22"/>
                <w:szCs w:val="22"/>
              </w:rPr>
              <w:t xml:space="preserve">to Aug16 initiators to </w:t>
            </w:r>
            <w:proofErr w:type="spellStart"/>
            <w:r w:rsidR="002D2AF6">
              <w:rPr>
                <w:rFonts w:ascii="Calibri" w:eastAsia="Times New Roman" w:hAnsi="Calibri" w:cs="Times New Roman"/>
                <w:sz w:val="22"/>
                <w:szCs w:val="22"/>
              </w:rPr>
              <w:t>posaconazole</w:t>
            </w:r>
            <w:proofErr w:type="spellEnd"/>
            <w:r w:rsidRPr="00D979BA">
              <w:rPr>
                <w:rFonts w:ascii="Calibri" w:eastAsia="Times New Roman" w:hAnsi="Calibri" w:cs="Times New Roman"/>
                <w:sz w:val="22"/>
                <w:szCs w:val="22"/>
              </w:rPr>
              <w:t xml:space="preserve">, </w:t>
            </w:r>
            <w:r w:rsidR="002D2AF6">
              <w:rPr>
                <w:rFonts w:ascii="Calibri" w:eastAsia="Times New Roman" w:hAnsi="Calibri" w:cs="Times New Roman"/>
                <w:sz w:val="22"/>
                <w:szCs w:val="22"/>
              </w:rPr>
              <w:t>p</w:t>
            </w:r>
            <w:r w:rsidRPr="00D979BA">
              <w:rPr>
                <w:rFonts w:ascii="Calibri" w:eastAsia="Times New Roman" w:hAnsi="Calibri" w:cs="Times New Roman"/>
                <w:sz w:val="22"/>
                <w:szCs w:val="22"/>
              </w:rPr>
              <w:t>rophylaxis</w:t>
            </w:r>
          </w:p>
        </w:tc>
        <w:tc>
          <w:tcPr>
            <w:tcW w:w="1276" w:type="dxa"/>
            <w:shd w:val="clear" w:color="auto" w:fill="auto"/>
            <w:noWrap/>
            <w:vAlign w:val="center"/>
            <w:hideMark/>
          </w:tcPr>
          <w:p w:rsidR="00BE6120" w:rsidRPr="00D979BA" w:rsidRDefault="00BE6120" w:rsidP="000F0544">
            <w:pPr>
              <w:spacing w:after="0" w:line="240" w:lineRule="auto"/>
              <w:jc w:val="center"/>
              <w:rPr>
                <w:rFonts w:ascii="Calibri" w:eastAsia="Times New Roman" w:hAnsi="Calibri" w:cs="Times New Roman"/>
                <w:sz w:val="22"/>
                <w:szCs w:val="22"/>
              </w:rPr>
            </w:pPr>
            <w:r w:rsidRPr="00D979BA">
              <w:rPr>
                <w:rFonts w:ascii="Calibri" w:eastAsia="Times New Roman" w:hAnsi="Calibri" w:cs="Times New Roman"/>
                <w:sz w:val="22"/>
                <w:szCs w:val="22"/>
              </w:rPr>
              <w:t>96</w:t>
            </w:r>
          </w:p>
        </w:tc>
        <w:tc>
          <w:tcPr>
            <w:tcW w:w="1134" w:type="dxa"/>
            <w:vAlign w:val="center"/>
          </w:tcPr>
          <w:p w:rsidR="00BE6120" w:rsidRPr="00D979BA" w:rsidRDefault="00BE6120" w:rsidP="000F0544">
            <w:pPr>
              <w:spacing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1019</w:t>
            </w:r>
          </w:p>
        </w:tc>
      </w:tr>
      <w:tr w:rsidR="00BE6120" w:rsidRPr="00D979BA" w:rsidTr="002D2AF6">
        <w:trPr>
          <w:trHeight w:val="300"/>
        </w:trPr>
        <w:tc>
          <w:tcPr>
            <w:tcW w:w="6252" w:type="dxa"/>
            <w:shd w:val="clear" w:color="auto" w:fill="auto"/>
            <w:noWrap/>
            <w:vAlign w:val="bottom"/>
            <w:hideMark/>
          </w:tcPr>
          <w:p w:rsidR="00BE6120" w:rsidRPr="00D979BA" w:rsidRDefault="00BE6120" w:rsidP="000F0544">
            <w:pPr>
              <w:spacing w:after="0" w:line="240" w:lineRule="auto"/>
              <w:rPr>
                <w:rFonts w:ascii="Calibri" w:eastAsia="Times New Roman" w:hAnsi="Calibri" w:cs="Times New Roman"/>
                <w:sz w:val="22"/>
                <w:szCs w:val="22"/>
              </w:rPr>
            </w:pPr>
            <w:r w:rsidRPr="00D979BA">
              <w:rPr>
                <w:rFonts w:ascii="Calibri" w:eastAsia="Times New Roman" w:hAnsi="Calibri" w:cs="Times New Roman"/>
                <w:sz w:val="22"/>
                <w:szCs w:val="22"/>
              </w:rPr>
              <w:t xml:space="preserve">2014 initiators to </w:t>
            </w:r>
            <w:proofErr w:type="spellStart"/>
            <w:r w:rsidR="002D2AF6">
              <w:rPr>
                <w:rFonts w:ascii="Calibri" w:eastAsia="Times New Roman" w:hAnsi="Calibri" w:cs="Times New Roman"/>
                <w:sz w:val="22"/>
                <w:szCs w:val="22"/>
              </w:rPr>
              <w:t>posaconazole</w:t>
            </w:r>
            <w:proofErr w:type="spellEnd"/>
            <w:r w:rsidRPr="00D979BA">
              <w:rPr>
                <w:rFonts w:ascii="Calibri" w:eastAsia="Times New Roman" w:hAnsi="Calibri" w:cs="Times New Roman"/>
                <w:sz w:val="22"/>
                <w:szCs w:val="22"/>
              </w:rPr>
              <w:t xml:space="preserve">, </w:t>
            </w:r>
            <w:r w:rsidR="002D2AF6">
              <w:rPr>
                <w:rFonts w:ascii="Calibri" w:eastAsia="Times New Roman" w:hAnsi="Calibri" w:cs="Times New Roman"/>
                <w:sz w:val="22"/>
                <w:szCs w:val="22"/>
              </w:rPr>
              <w:t>t</w:t>
            </w:r>
            <w:r>
              <w:rPr>
                <w:rFonts w:ascii="Calibri" w:eastAsia="Times New Roman" w:hAnsi="Calibri" w:cs="Times New Roman"/>
                <w:sz w:val="22"/>
                <w:szCs w:val="22"/>
              </w:rPr>
              <w:t>reatment</w:t>
            </w:r>
          </w:p>
        </w:tc>
        <w:tc>
          <w:tcPr>
            <w:tcW w:w="1276" w:type="dxa"/>
            <w:shd w:val="clear" w:color="auto" w:fill="auto"/>
            <w:noWrap/>
            <w:vAlign w:val="center"/>
          </w:tcPr>
          <w:p w:rsidR="00BE6120" w:rsidRPr="00D979BA" w:rsidRDefault="00BE6120" w:rsidP="000F0544">
            <w:pPr>
              <w:spacing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70</w:t>
            </w:r>
          </w:p>
        </w:tc>
        <w:tc>
          <w:tcPr>
            <w:tcW w:w="1134" w:type="dxa"/>
            <w:vAlign w:val="center"/>
          </w:tcPr>
          <w:p w:rsidR="00BE6120" w:rsidRPr="00D979BA" w:rsidRDefault="00BE6120" w:rsidP="000F0544">
            <w:pPr>
              <w:spacing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311</w:t>
            </w:r>
          </w:p>
        </w:tc>
      </w:tr>
      <w:tr w:rsidR="00BE6120" w:rsidRPr="00D979BA" w:rsidTr="002D2AF6">
        <w:trPr>
          <w:trHeight w:val="300"/>
        </w:trPr>
        <w:tc>
          <w:tcPr>
            <w:tcW w:w="6252" w:type="dxa"/>
            <w:shd w:val="clear" w:color="auto" w:fill="auto"/>
            <w:noWrap/>
            <w:vAlign w:val="bottom"/>
            <w:hideMark/>
          </w:tcPr>
          <w:p w:rsidR="00BE6120" w:rsidRPr="00D979BA" w:rsidRDefault="002D2AF6" w:rsidP="000F0544">
            <w:pPr>
              <w:spacing w:after="0" w:line="240" w:lineRule="auto"/>
              <w:rPr>
                <w:rFonts w:ascii="Calibri" w:eastAsia="Times New Roman" w:hAnsi="Calibri" w:cs="Times New Roman"/>
                <w:sz w:val="22"/>
                <w:szCs w:val="22"/>
              </w:rPr>
            </w:pPr>
            <w:r w:rsidRPr="00D979BA">
              <w:rPr>
                <w:rFonts w:ascii="Calibri" w:eastAsia="Times New Roman" w:hAnsi="Calibri" w:cs="Times New Roman"/>
                <w:sz w:val="22"/>
                <w:szCs w:val="22"/>
              </w:rPr>
              <w:t>Sep</w:t>
            </w:r>
            <w:r>
              <w:rPr>
                <w:rFonts w:ascii="Calibri" w:eastAsia="Times New Roman" w:hAnsi="Calibri" w:cs="Times New Roman"/>
                <w:sz w:val="22"/>
                <w:szCs w:val="22"/>
              </w:rPr>
              <w:t xml:space="preserve"> 2015 </w:t>
            </w:r>
            <w:r w:rsidRPr="00D979BA">
              <w:rPr>
                <w:rFonts w:ascii="Calibri" w:eastAsia="Times New Roman" w:hAnsi="Calibri" w:cs="Times New Roman"/>
                <w:sz w:val="22"/>
                <w:szCs w:val="22"/>
              </w:rPr>
              <w:t xml:space="preserve">to Aug16 initiators to </w:t>
            </w:r>
            <w:proofErr w:type="spellStart"/>
            <w:r>
              <w:rPr>
                <w:rFonts w:ascii="Calibri" w:eastAsia="Times New Roman" w:hAnsi="Calibri" w:cs="Times New Roman"/>
                <w:sz w:val="22"/>
                <w:szCs w:val="22"/>
              </w:rPr>
              <w:t>posaconazole</w:t>
            </w:r>
            <w:proofErr w:type="spellEnd"/>
            <w:r>
              <w:rPr>
                <w:rFonts w:ascii="Calibri" w:eastAsia="Times New Roman" w:hAnsi="Calibri" w:cs="Times New Roman"/>
                <w:sz w:val="22"/>
                <w:szCs w:val="22"/>
              </w:rPr>
              <w:t xml:space="preserve"> , t</w:t>
            </w:r>
            <w:r w:rsidR="00BE6120">
              <w:rPr>
                <w:rFonts w:ascii="Calibri" w:eastAsia="Times New Roman" w:hAnsi="Calibri" w:cs="Times New Roman"/>
                <w:sz w:val="22"/>
                <w:szCs w:val="22"/>
              </w:rPr>
              <w:t>reatment</w:t>
            </w:r>
          </w:p>
        </w:tc>
        <w:tc>
          <w:tcPr>
            <w:tcW w:w="1276" w:type="dxa"/>
            <w:shd w:val="clear" w:color="auto" w:fill="auto"/>
            <w:noWrap/>
            <w:vAlign w:val="center"/>
          </w:tcPr>
          <w:p w:rsidR="00BE6120" w:rsidRPr="00D979BA" w:rsidRDefault="00BE6120" w:rsidP="000F0544">
            <w:pPr>
              <w:spacing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84</w:t>
            </w:r>
          </w:p>
        </w:tc>
        <w:tc>
          <w:tcPr>
            <w:tcW w:w="1134" w:type="dxa"/>
            <w:vAlign w:val="center"/>
          </w:tcPr>
          <w:p w:rsidR="00BE6120" w:rsidRPr="00D979BA" w:rsidRDefault="00BE6120" w:rsidP="000F0544">
            <w:pPr>
              <w:spacing w:after="0" w:line="240" w:lineRule="auto"/>
              <w:jc w:val="center"/>
              <w:rPr>
                <w:rFonts w:ascii="Calibri" w:eastAsia="Times New Roman" w:hAnsi="Calibri" w:cs="Times New Roman"/>
                <w:sz w:val="22"/>
                <w:szCs w:val="22"/>
              </w:rPr>
            </w:pPr>
            <w:r>
              <w:rPr>
                <w:rFonts w:ascii="Calibri" w:eastAsia="Times New Roman" w:hAnsi="Calibri" w:cs="Times New Roman"/>
                <w:sz w:val="22"/>
                <w:szCs w:val="22"/>
              </w:rPr>
              <w:t>583</w:t>
            </w:r>
          </w:p>
        </w:tc>
      </w:tr>
    </w:tbl>
    <w:p w:rsidR="00D85547" w:rsidRDefault="00D85547" w:rsidP="000F0544">
      <w:pPr>
        <w:spacing w:line="240" w:lineRule="auto"/>
      </w:pPr>
    </w:p>
    <w:p w:rsidR="008B0103" w:rsidRDefault="008B0103" w:rsidP="000F0544">
      <w:pPr>
        <w:spacing w:line="240" w:lineRule="auto"/>
      </w:pPr>
      <w:r>
        <w:t>There has been a modest increase in the length of treatment for both the prophylaxis and treatment following the availability of the tablet formulation.</w:t>
      </w:r>
    </w:p>
    <w:p w:rsidR="00D85547" w:rsidRDefault="00D85547" w:rsidP="000F0544">
      <w:pPr>
        <w:spacing w:line="240" w:lineRule="auto"/>
      </w:pPr>
    </w:p>
    <w:p w:rsidR="00FF0097" w:rsidRDefault="00FF0097" w:rsidP="000F0544">
      <w:pPr>
        <w:spacing w:line="240" w:lineRule="auto"/>
        <w:rPr>
          <w:b/>
          <w:sz w:val="28"/>
          <w:szCs w:val="28"/>
        </w:rPr>
      </w:pPr>
      <w:r>
        <w:br w:type="page"/>
      </w:r>
    </w:p>
    <w:p w:rsidR="00D72B6A" w:rsidRPr="00D72B6A" w:rsidRDefault="001B5D37" w:rsidP="000F0544">
      <w:pPr>
        <w:pStyle w:val="Heading3"/>
        <w:spacing w:line="240" w:lineRule="auto"/>
      </w:pPr>
      <w:r w:rsidRPr="005E22C2">
        <w:lastRenderedPageBreak/>
        <w:t xml:space="preserve">Analysis </w:t>
      </w:r>
      <w:r w:rsidR="00481108" w:rsidRPr="005E22C2">
        <w:t xml:space="preserve">of </w:t>
      </w:r>
      <w:r w:rsidR="0063631C">
        <w:t>e</w:t>
      </w:r>
      <w:r w:rsidR="00736041" w:rsidRPr="005E22C2">
        <w:t>xpenditure</w:t>
      </w:r>
    </w:p>
    <w:p w:rsidR="00A732BB" w:rsidRDefault="00D72B6A" w:rsidP="000F0544">
      <w:pPr>
        <w:spacing w:after="0" w:line="240" w:lineRule="auto"/>
        <w:rPr>
          <w:sz w:val="20"/>
          <w:szCs w:val="20"/>
        </w:rPr>
      </w:pPr>
      <w:r>
        <w:rPr>
          <w:noProof/>
        </w:rPr>
        <w:drawing>
          <wp:inline distT="0" distB="0" distL="0" distR="0" wp14:anchorId="77F8500A" wp14:editId="0C2394C9">
            <wp:extent cx="5688419" cy="3795823"/>
            <wp:effectExtent l="0" t="0" r="26670" b="14605"/>
            <wp:docPr id="6" name="Chart 6" descr="PBS benefits by for antifungal medicines " title="PBS benefits by for antifungal medicin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60177">
        <w:rPr>
          <w:b/>
          <w:sz w:val="23"/>
          <w:szCs w:val="23"/>
        </w:rPr>
        <w:t>Figure 1</w:t>
      </w:r>
      <w:r w:rsidR="008B0103">
        <w:rPr>
          <w:b/>
          <w:sz w:val="23"/>
          <w:szCs w:val="23"/>
        </w:rPr>
        <w:t>1</w:t>
      </w:r>
      <w:r w:rsidR="00DD1B32" w:rsidRPr="00A732BB">
        <w:rPr>
          <w:b/>
          <w:sz w:val="23"/>
          <w:szCs w:val="23"/>
        </w:rPr>
        <w:t xml:space="preserve">: </w:t>
      </w:r>
      <w:r w:rsidR="00DF110A">
        <w:rPr>
          <w:b/>
          <w:sz w:val="23"/>
          <w:szCs w:val="23"/>
        </w:rPr>
        <w:t>PBS benefits</w:t>
      </w:r>
      <w:r w:rsidR="00DD1B32" w:rsidRPr="00A732BB">
        <w:rPr>
          <w:b/>
          <w:sz w:val="23"/>
          <w:szCs w:val="23"/>
        </w:rPr>
        <w:t xml:space="preserve"> by </w:t>
      </w:r>
      <w:r w:rsidR="008B0103">
        <w:rPr>
          <w:b/>
          <w:sz w:val="23"/>
          <w:szCs w:val="23"/>
        </w:rPr>
        <w:t>for</w:t>
      </w:r>
      <w:r w:rsidR="0038298E">
        <w:rPr>
          <w:b/>
          <w:sz w:val="23"/>
          <w:szCs w:val="23"/>
        </w:rPr>
        <w:t xml:space="preserve"> antifungal medicine</w:t>
      </w:r>
      <w:r w:rsidR="008B0103">
        <w:rPr>
          <w:b/>
          <w:sz w:val="23"/>
          <w:szCs w:val="23"/>
        </w:rPr>
        <w:t>s</w:t>
      </w:r>
      <w:r w:rsidR="00AA18F9">
        <w:rPr>
          <w:sz w:val="20"/>
          <w:szCs w:val="20"/>
        </w:rPr>
        <w:t xml:space="preserve"> </w:t>
      </w:r>
    </w:p>
    <w:p w:rsidR="00A732BB" w:rsidRPr="00A732BB" w:rsidRDefault="00A732BB" w:rsidP="000F0544">
      <w:pPr>
        <w:pStyle w:val="Figurecaption"/>
        <w:spacing w:before="0" w:line="240" w:lineRule="auto"/>
      </w:pPr>
      <w:r>
        <w:t xml:space="preserve">Source: DHS supplied prescriptions database to 31 </w:t>
      </w:r>
      <w:r w:rsidR="00D72B6A">
        <w:t>December 2017; extracted 13</w:t>
      </w:r>
      <w:r>
        <w:t xml:space="preserve"> March 2018.</w:t>
      </w:r>
    </w:p>
    <w:p w:rsidR="00B65DDE" w:rsidRPr="00B65DDE" w:rsidRDefault="008B0103" w:rsidP="000F0544">
      <w:pPr>
        <w:spacing w:before="240" w:after="0" w:line="240" w:lineRule="auto"/>
      </w:pPr>
      <w:r>
        <w:t>Figure 11</w:t>
      </w:r>
      <w:r w:rsidR="00B65DDE">
        <w:t xml:space="preserve"> </w:t>
      </w:r>
      <w:r w:rsidR="0038298E">
        <w:t>presents</w:t>
      </w:r>
      <w:r w:rsidR="00FD79B6">
        <w:t xml:space="preserve"> </w:t>
      </w:r>
      <w:r w:rsidR="0070691D">
        <w:t>PBS benefits</w:t>
      </w:r>
      <w:r w:rsidR="00FD79B6">
        <w:t xml:space="preserve"> for </w:t>
      </w:r>
      <w:proofErr w:type="spellStart"/>
      <w:r w:rsidR="00FD79B6">
        <w:t>posac</w:t>
      </w:r>
      <w:r w:rsidR="0038298E">
        <w:t>onazole</w:t>
      </w:r>
      <w:proofErr w:type="spellEnd"/>
      <w:r w:rsidR="0038298E">
        <w:t xml:space="preserve"> compared to fluconazole, </w:t>
      </w:r>
      <w:proofErr w:type="spellStart"/>
      <w:r w:rsidR="0038298E">
        <w:t>itraconazole</w:t>
      </w:r>
      <w:proofErr w:type="spellEnd"/>
      <w:r w:rsidR="0038298E">
        <w:t xml:space="preserve"> and </w:t>
      </w:r>
      <w:proofErr w:type="spellStart"/>
      <w:r w:rsidR="0038298E">
        <w:t>voriconazole</w:t>
      </w:r>
      <w:proofErr w:type="spellEnd"/>
      <w:r w:rsidR="0038298E">
        <w:t xml:space="preserve">. The total </w:t>
      </w:r>
      <w:r w:rsidR="0070691D">
        <w:t>benefits paid for</w:t>
      </w:r>
      <w:r w:rsidR="0038298E">
        <w:t xml:space="preserve"> </w:t>
      </w:r>
      <w:proofErr w:type="spellStart"/>
      <w:r w:rsidR="0038298E">
        <w:t>posaconazole</w:t>
      </w:r>
      <w:proofErr w:type="spellEnd"/>
      <w:r w:rsidR="0038298E">
        <w:t xml:space="preserve"> has seen a marked increase since the listing of the tablet form in September 2015. </w:t>
      </w:r>
      <w:r w:rsidR="00720A86">
        <w:t xml:space="preserve">The cost of </w:t>
      </w:r>
      <w:proofErr w:type="spellStart"/>
      <w:r w:rsidR="00720A86">
        <w:t>voriconazole</w:t>
      </w:r>
      <w:proofErr w:type="spellEnd"/>
      <w:r w:rsidR="00720A86">
        <w:t xml:space="preserve"> decrease</w:t>
      </w:r>
      <w:r w:rsidR="0070691D">
        <w:t>d</w:t>
      </w:r>
      <w:r w:rsidR="00720A86">
        <w:t xml:space="preserve"> between December 2015 and February 2016, however has remained stable since then. The </w:t>
      </w:r>
      <w:r w:rsidR="0070691D">
        <w:t>PBS benefits</w:t>
      </w:r>
      <w:r w:rsidR="00720A86">
        <w:t xml:space="preserve"> for </w:t>
      </w:r>
      <w:proofErr w:type="spellStart"/>
      <w:r w:rsidR="00720A86">
        <w:t>itraconazole</w:t>
      </w:r>
      <w:proofErr w:type="spellEnd"/>
      <w:r w:rsidR="00720A86">
        <w:t xml:space="preserve"> and fluconazole has remained low and stable since 1 January</w:t>
      </w:r>
      <w:r w:rsidR="0070691D">
        <w:t> </w:t>
      </w:r>
      <w:r w:rsidR="00720A86">
        <w:t xml:space="preserve">2013. </w:t>
      </w:r>
      <w:r w:rsidR="0070691D">
        <w:t xml:space="preserve">All of the medicines expect for </w:t>
      </w:r>
      <w:proofErr w:type="spellStart"/>
      <w:r w:rsidR="0070691D">
        <w:t>posaconazole</w:t>
      </w:r>
      <w:proofErr w:type="spellEnd"/>
      <w:r w:rsidR="0070691D">
        <w:t xml:space="preserve"> are subject to price disclosure reductions. </w:t>
      </w:r>
    </w:p>
    <w:p w:rsidR="00D15AB8" w:rsidRDefault="00D15AB8">
      <w:pPr>
        <w:rPr>
          <w:b/>
          <w:sz w:val="28"/>
          <w:szCs w:val="28"/>
        </w:rPr>
      </w:pPr>
    </w:p>
    <w:p w:rsidR="00736041" w:rsidRDefault="00D151EB" w:rsidP="000F0544">
      <w:pPr>
        <w:pStyle w:val="Heading3"/>
        <w:spacing w:line="240" w:lineRule="auto"/>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522F6C" w:rsidRDefault="00522F6C" w:rsidP="000F0544">
      <w:pPr>
        <w:spacing w:line="240" w:lineRule="auto"/>
      </w:pPr>
      <w:r>
        <w:t xml:space="preserve">A comparison of the predicted utilisation of </w:t>
      </w:r>
      <w:proofErr w:type="spellStart"/>
      <w:r>
        <w:t>posaconazole</w:t>
      </w:r>
      <w:proofErr w:type="spellEnd"/>
      <w:r>
        <w:t xml:space="preserve"> 100 mg modified release tablet from the minor submission verses actual use is shown in Table </w:t>
      </w:r>
      <w:r w:rsidR="00CD3F70">
        <w:t>4</w:t>
      </w:r>
      <w:r>
        <w:t>.</w:t>
      </w:r>
    </w:p>
    <w:p w:rsidR="00D15AB8" w:rsidRDefault="00D15AB8">
      <w:pPr>
        <w:rPr>
          <w:b/>
          <w:sz w:val="23"/>
          <w:szCs w:val="23"/>
        </w:rPr>
      </w:pPr>
      <w:r>
        <w:rPr>
          <w:b/>
          <w:sz w:val="23"/>
          <w:szCs w:val="23"/>
        </w:rPr>
        <w:br w:type="page"/>
      </w:r>
    </w:p>
    <w:p w:rsidR="00522F6C" w:rsidRPr="0046502A" w:rsidRDefault="00522F6C" w:rsidP="000F0544">
      <w:pPr>
        <w:spacing w:after="0" w:line="240" w:lineRule="auto"/>
        <w:rPr>
          <w:b/>
          <w:sz w:val="23"/>
          <w:szCs w:val="23"/>
        </w:rPr>
      </w:pPr>
      <w:r>
        <w:rPr>
          <w:b/>
          <w:sz w:val="23"/>
          <w:szCs w:val="23"/>
        </w:rPr>
        <w:lastRenderedPageBreak/>
        <w:t xml:space="preserve">Table </w:t>
      </w:r>
      <w:r w:rsidR="00CD3F70">
        <w:rPr>
          <w:b/>
          <w:sz w:val="23"/>
          <w:szCs w:val="23"/>
        </w:rPr>
        <w:t>4</w:t>
      </w:r>
      <w:r>
        <w:rPr>
          <w:b/>
          <w:sz w:val="23"/>
          <w:szCs w:val="23"/>
        </w:rPr>
        <w:t xml:space="preserve">: Predicted versus actual use of </w:t>
      </w:r>
      <w:proofErr w:type="spellStart"/>
      <w:r>
        <w:rPr>
          <w:b/>
          <w:sz w:val="23"/>
          <w:szCs w:val="23"/>
        </w:rPr>
        <w:t>posaconazole</w:t>
      </w:r>
      <w:proofErr w:type="spellEnd"/>
      <w:r>
        <w:rPr>
          <w:b/>
          <w:sz w:val="23"/>
          <w:szCs w:val="23"/>
        </w:rPr>
        <w:t xml:space="preserve"> 100 mg modified release tablet</w:t>
      </w:r>
    </w:p>
    <w:tbl>
      <w:tblPr>
        <w:tblStyle w:val="TableGrid"/>
        <w:tblW w:w="8931" w:type="dxa"/>
        <w:tblInd w:w="108" w:type="dxa"/>
        <w:tblLayout w:type="fixed"/>
        <w:tblLook w:val="04A0" w:firstRow="1" w:lastRow="0" w:firstColumn="1" w:lastColumn="0" w:noHBand="0" w:noVBand="1"/>
        <w:tblCaption w:val="Predicted versus actual use of posaconazole 100 mg modified release tablet"/>
        <w:tblDescription w:val="Predicted versus actual use of posaconazole 100 mg modified release tablet"/>
      </w:tblPr>
      <w:tblGrid>
        <w:gridCol w:w="1985"/>
        <w:gridCol w:w="1559"/>
        <w:gridCol w:w="2410"/>
        <w:gridCol w:w="2977"/>
      </w:tblGrid>
      <w:tr w:rsidR="00522F6C" w:rsidRPr="001D0858" w:rsidTr="00CB6B03">
        <w:trPr>
          <w:trHeight w:val="1005"/>
          <w:tblHeader/>
        </w:trPr>
        <w:tc>
          <w:tcPr>
            <w:tcW w:w="1985" w:type="dxa"/>
            <w:shd w:val="clear" w:color="auto" w:fill="BFBFBF" w:themeFill="background1" w:themeFillShade="BF"/>
          </w:tcPr>
          <w:p w:rsidR="00522F6C" w:rsidRPr="001D0858" w:rsidRDefault="00522F6C" w:rsidP="000F0544">
            <w:pPr>
              <w:pStyle w:val="Tableheading"/>
              <w:jc w:val="left"/>
              <w:rPr>
                <w:sz w:val="20"/>
                <w:szCs w:val="20"/>
              </w:rPr>
            </w:pPr>
            <w:r>
              <w:rPr>
                <w:sz w:val="20"/>
                <w:szCs w:val="20"/>
              </w:rPr>
              <w:t>Parameter</w:t>
            </w:r>
          </w:p>
        </w:tc>
        <w:tc>
          <w:tcPr>
            <w:tcW w:w="1559" w:type="dxa"/>
            <w:shd w:val="clear" w:color="auto" w:fill="BFBFBF" w:themeFill="background1" w:themeFillShade="BF"/>
          </w:tcPr>
          <w:p w:rsidR="00522F6C" w:rsidRPr="001D0858" w:rsidRDefault="00522F6C" w:rsidP="000F0544">
            <w:pPr>
              <w:pStyle w:val="Tableheading"/>
              <w:jc w:val="left"/>
              <w:rPr>
                <w:sz w:val="20"/>
                <w:szCs w:val="20"/>
              </w:rPr>
            </w:pPr>
            <w:r>
              <w:rPr>
                <w:sz w:val="20"/>
                <w:szCs w:val="20"/>
              </w:rPr>
              <w:t>Comparison</w:t>
            </w:r>
          </w:p>
        </w:tc>
        <w:tc>
          <w:tcPr>
            <w:tcW w:w="2410" w:type="dxa"/>
            <w:shd w:val="clear" w:color="auto" w:fill="BFBFBF" w:themeFill="background1" w:themeFillShade="BF"/>
          </w:tcPr>
          <w:p w:rsidR="00522F6C" w:rsidRPr="001D0858" w:rsidRDefault="00522F6C" w:rsidP="000F0544">
            <w:pPr>
              <w:pStyle w:val="Tableheading"/>
              <w:jc w:val="left"/>
              <w:rPr>
                <w:sz w:val="20"/>
                <w:szCs w:val="20"/>
              </w:rPr>
            </w:pPr>
            <w:r>
              <w:rPr>
                <w:sz w:val="20"/>
                <w:szCs w:val="20"/>
              </w:rPr>
              <w:t xml:space="preserve">Year 1 (September 2015 – August 2016) </w:t>
            </w:r>
          </w:p>
        </w:tc>
        <w:tc>
          <w:tcPr>
            <w:tcW w:w="2977" w:type="dxa"/>
            <w:shd w:val="clear" w:color="auto" w:fill="BFBFBF" w:themeFill="background1" w:themeFillShade="BF"/>
          </w:tcPr>
          <w:p w:rsidR="00522F6C" w:rsidRPr="001D0858" w:rsidRDefault="00522F6C" w:rsidP="000F0544">
            <w:pPr>
              <w:pStyle w:val="Tableheading"/>
              <w:jc w:val="left"/>
              <w:rPr>
                <w:sz w:val="20"/>
                <w:szCs w:val="20"/>
              </w:rPr>
            </w:pPr>
            <w:r>
              <w:rPr>
                <w:sz w:val="20"/>
                <w:szCs w:val="20"/>
              </w:rPr>
              <w:t>Year 2 (September 2016 – August 2017)</w:t>
            </w:r>
          </w:p>
        </w:tc>
      </w:tr>
      <w:tr w:rsidR="00522F6C" w:rsidRPr="00B8352B" w:rsidTr="00CB6B03">
        <w:trPr>
          <w:trHeight w:val="608"/>
        </w:trPr>
        <w:tc>
          <w:tcPr>
            <w:tcW w:w="8931" w:type="dxa"/>
            <w:gridSpan w:val="4"/>
            <w:vAlign w:val="center"/>
          </w:tcPr>
          <w:p w:rsidR="00522F6C" w:rsidRPr="00B8352B" w:rsidRDefault="00522F6C" w:rsidP="000F0544">
            <w:pPr>
              <w:pStyle w:val="Tableheading"/>
              <w:jc w:val="left"/>
              <w:rPr>
                <w:i/>
                <w:sz w:val="20"/>
                <w:szCs w:val="20"/>
              </w:rPr>
            </w:pPr>
            <w:r w:rsidRPr="00B8352B">
              <w:rPr>
                <w:i/>
                <w:sz w:val="20"/>
                <w:szCs w:val="20"/>
              </w:rPr>
              <w:t xml:space="preserve">Overall </w:t>
            </w:r>
            <w:proofErr w:type="spellStart"/>
            <w:r w:rsidRPr="00B8352B">
              <w:rPr>
                <w:i/>
                <w:sz w:val="20"/>
                <w:szCs w:val="20"/>
              </w:rPr>
              <w:t>posaconazole</w:t>
            </w:r>
            <w:proofErr w:type="spellEnd"/>
            <w:r w:rsidRPr="00B8352B">
              <w:rPr>
                <w:i/>
                <w:sz w:val="20"/>
                <w:szCs w:val="20"/>
              </w:rPr>
              <w:t xml:space="preserve"> market</w:t>
            </w:r>
          </w:p>
        </w:tc>
      </w:tr>
      <w:tr w:rsidR="00522F6C" w:rsidRPr="001D0858" w:rsidTr="00CB6B03">
        <w:trPr>
          <w:trHeight w:val="608"/>
        </w:trPr>
        <w:tc>
          <w:tcPr>
            <w:tcW w:w="1985" w:type="dxa"/>
            <w:vMerge w:val="restart"/>
            <w:vAlign w:val="center"/>
          </w:tcPr>
          <w:p w:rsidR="00522F6C" w:rsidRPr="000D03E0" w:rsidRDefault="00522F6C" w:rsidP="000F0544">
            <w:pPr>
              <w:pStyle w:val="Tableheading"/>
              <w:jc w:val="left"/>
              <w:rPr>
                <w:b w:val="0"/>
                <w:sz w:val="20"/>
                <w:szCs w:val="20"/>
              </w:rPr>
            </w:pPr>
            <w:r>
              <w:rPr>
                <w:b w:val="0"/>
                <w:sz w:val="20"/>
                <w:szCs w:val="20"/>
              </w:rPr>
              <w:t xml:space="preserve">Total number of </w:t>
            </w:r>
            <w:proofErr w:type="spellStart"/>
            <w:r>
              <w:rPr>
                <w:b w:val="0"/>
                <w:sz w:val="20"/>
                <w:szCs w:val="20"/>
              </w:rPr>
              <w:t>posaconazole</w:t>
            </w:r>
            <w:proofErr w:type="spellEnd"/>
            <w:r>
              <w:rPr>
                <w:b w:val="0"/>
                <w:sz w:val="20"/>
                <w:szCs w:val="20"/>
              </w:rPr>
              <w:t xml:space="preserve"> packs</w:t>
            </w:r>
          </w:p>
        </w:tc>
        <w:tc>
          <w:tcPr>
            <w:tcW w:w="1559" w:type="dxa"/>
          </w:tcPr>
          <w:p w:rsidR="00522F6C" w:rsidRPr="00FA272B" w:rsidRDefault="00522F6C" w:rsidP="000F0544">
            <w:pPr>
              <w:pStyle w:val="Tableheading"/>
              <w:jc w:val="left"/>
              <w:rPr>
                <w:b w:val="0"/>
                <w:sz w:val="20"/>
                <w:szCs w:val="20"/>
              </w:rPr>
            </w:pPr>
            <w:r w:rsidRPr="00FA272B">
              <w:rPr>
                <w:b w:val="0"/>
                <w:sz w:val="20"/>
                <w:szCs w:val="20"/>
              </w:rPr>
              <w:t>Predicted units</w:t>
            </w:r>
            <w:r w:rsidR="00F24012" w:rsidRPr="00FA272B">
              <w:rPr>
                <w:b w:val="0"/>
                <w:sz w:val="20"/>
                <w:szCs w:val="20"/>
              </w:rPr>
              <w:t xml:space="preserve"> (P)</w:t>
            </w:r>
            <w:r w:rsidRPr="00FA272B">
              <w:rPr>
                <w:b w:val="0"/>
                <w:sz w:val="20"/>
                <w:szCs w:val="20"/>
                <w:vertAlign w:val="superscript"/>
              </w:rPr>
              <w:t>a</w:t>
            </w:r>
          </w:p>
        </w:tc>
        <w:tc>
          <w:tcPr>
            <w:tcW w:w="2410"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c>
          <w:tcPr>
            <w:tcW w:w="2977"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r>
      <w:tr w:rsidR="00522F6C" w:rsidRPr="001D0858" w:rsidTr="00CB6B03">
        <w:trPr>
          <w:trHeight w:val="608"/>
        </w:trPr>
        <w:tc>
          <w:tcPr>
            <w:tcW w:w="1985" w:type="dxa"/>
            <w:vMerge/>
          </w:tcPr>
          <w:p w:rsidR="00522F6C" w:rsidRPr="000D03E0" w:rsidRDefault="00522F6C" w:rsidP="000F0544">
            <w:pPr>
              <w:pStyle w:val="Tableheading"/>
              <w:jc w:val="left"/>
              <w:rPr>
                <w:b w:val="0"/>
                <w:sz w:val="20"/>
                <w:szCs w:val="20"/>
              </w:rPr>
            </w:pPr>
          </w:p>
        </w:tc>
        <w:tc>
          <w:tcPr>
            <w:tcW w:w="1559" w:type="dxa"/>
          </w:tcPr>
          <w:p w:rsidR="00522F6C" w:rsidRPr="00FA272B" w:rsidRDefault="00522F6C" w:rsidP="000F0544">
            <w:pPr>
              <w:pStyle w:val="Tableheading"/>
              <w:jc w:val="left"/>
              <w:rPr>
                <w:b w:val="0"/>
                <w:sz w:val="20"/>
                <w:szCs w:val="20"/>
              </w:rPr>
            </w:pPr>
            <w:r w:rsidRPr="00FA272B">
              <w:rPr>
                <w:b w:val="0"/>
                <w:sz w:val="20"/>
                <w:szCs w:val="20"/>
              </w:rPr>
              <w:t>Actual packs</w:t>
            </w:r>
            <w:r w:rsidR="00F24012" w:rsidRPr="00FA272B">
              <w:rPr>
                <w:b w:val="0"/>
                <w:sz w:val="20"/>
                <w:szCs w:val="20"/>
              </w:rPr>
              <w:t xml:space="preserve"> (A)</w:t>
            </w:r>
            <w:r w:rsidRPr="00FA272B">
              <w:rPr>
                <w:b w:val="0"/>
                <w:sz w:val="20"/>
                <w:szCs w:val="20"/>
                <w:vertAlign w:val="superscript"/>
              </w:rPr>
              <w:t>b</w:t>
            </w:r>
          </w:p>
        </w:tc>
        <w:tc>
          <w:tcPr>
            <w:tcW w:w="2410" w:type="dxa"/>
          </w:tcPr>
          <w:p w:rsidR="00522F6C" w:rsidRPr="00FA272B" w:rsidRDefault="00F24012" w:rsidP="000F0544">
            <w:pPr>
              <w:pStyle w:val="Tableheading"/>
              <w:jc w:val="left"/>
              <w:rPr>
                <w:b w:val="0"/>
                <w:sz w:val="20"/>
                <w:szCs w:val="20"/>
              </w:rPr>
            </w:pPr>
            <w:r w:rsidRPr="00FA272B">
              <w:rPr>
                <w:b w:val="0"/>
                <w:sz w:val="20"/>
                <w:szCs w:val="20"/>
              </w:rPr>
              <w:t>25,578</w:t>
            </w:r>
          </w:p>
        </w:tc>
        <w:tc>
          <w:tcPr>
            <w:tcW w:w="2977" w:type="dxa"/>
          </w:tcPr>
          <w:p w:rsidR="00522F6C" w:rsidRPr="00FA272B" w:rsidRDefault="00F24012" w:rsidP="000F0544">
            <w:pPr>
              <w:pStyle w:val="Tableheading"/>
              <w:jc w:val="left"/>
              <w:rPr>
                <w:b w:val="0"/>
                <w:sz w:val="20"/>
                <w:szCs w:val="20"/>
              </w:rPr>
            </w:pPr>
            <w:r w:rsidRPr="00FA272B">
              <w:rPr>
                <w:b w:val="0"/>
                <w:sz w:val="20"/>
                <w:szCs w:val="20"/>
              </w:rPr>
              <w:t>32,946</w:t>
            </w:r>
          </w:p>
        </w:tc>
      </w:tr>
      <w:tr w:rsidR="00522F6C" w:rsidRPr="001D0858" w:rsidTr="00CB6B03">
        <w:trPr>
          <w:trHeight w:val="608"/>
        </w:trPr>
        <w:tc>
          <w:tcPr>
            <w:tcW w:w="1985" w:type="dxa"/>
            <w:vMerge/>
          </w:tcPr>
          <w:p w:rsidR="00522F6C" w:rsidRDefault="00522F6C" w:rsidP="000F0544">
            <w:pPr>
              <w:pStyle w:val="Tableheading"/>
              <w:jc w:val="left"/>
              <w:rPr>
                <w:b w:val="0"/>
                <w:sz w:val="20"/>
                <w:szCs w:val="20"/>
              </w:rPr>
            </w:pPr>
          </w:p>
        </w:tc>
        <w:tc>
          <w:tcPr>
            <w:tcW w:w="1559" w:type="dxa"/>
          </w:tcPr>
          <w:p w:rsidR="00522F6C" w:rsidRPr="00FA272B" w:rsidRDefault="00522F6C" w:rsidP="000F0544">
            <w:pPr>
              <w:pStyle w:val="Tableheading"/>
              <w:jc w:val="left"/>
              <w:rPr>
                <w:b w:val="0"/>
                <w:sz w:val="20"/>
                <w:szCs w:val="20"/>
              </w:rPr>
            </w:pPr>
            <w:r w:rsidRPr="00FA272B">
              <w:rPr>
                <w:b w:val="0"/>
                <w:sz w:val="20"/>
                <w:szCs w:val="20"/>
              </w:rPr>
              <w:t xml:space="preserve">% </w:t>
            </w:r>
            <w:r w:rsidR="00F24012" w:rsidRPr="00FA272B">
              <w:rPr>
                <w:b w:val="0"/>
                <w:sz w:val="20"/>
                <w:szCs w:val="20"/>
              </w:rPr>
              <w:t>difference (A</w:t>
            </w:r>
            <w:r w:rsidR="00F24012" w:rsidRPr="00FA272B">
              <w:rPr>
                <w:b w:val="0"/>
                <w:sz w:val="20"/>
                <w:szCs w:val="20"/>
              </w:rPr>
              <w:noBreakHyphen/>
              <w:t>P)/P</w:t>
            </w:r>
          </w:p>
        </w:tc>
        <w:tc>
          <w:tcPr>
            <w:tcW w:w="2410"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 ''''''''</w:t>
            </w:r>
          </w:p>
        </w:tc>
        <w:tc>
          <w:tcPr>
            <w:tcW w:w="2977"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r>
      <w:tr w:rsidR="00522F6C" w:rsidRPr="00B8352B" w:rsidTr="00CB6B03">
        <w:trPr>
          <w:trHeight w:val="608"/>
        </w:trPr>
        <w:tc>
          <w:tcPr>
            <w:tcW w:w="8931" w:type="dxa"/>
            <w:gridSpan w:val="4"/>
            <w:vAlign w:val="center"/>
          </w:tcPr>
          <w:p w:rsidR="00522F6C" w:rsidRPr="00FA272B" w:rsidRDefault="00522F6C" w:rsidP="000F0544">
            <w:pPr>
              <w:pStyle w:val="Tableheading"/>
              <w:jc w:val="left"/>
              <w:rPr>
                <w:i/>
                <w:sz w:val="20"/>
                <w:szCs w:val="20"/>
              </w:rPr>
            </w:pPr>
            <w:proofErr w:type="spellStart"/>
            <w:r w:rsidRPr="00FA272B">
              <w:rPr>
                <w:i/>
                <w:sz w:val="20"/>
                <w:szCs w:val="20"/>
              </w:rPr>
              <w:t>Posaconazole</w:t>
            </w:r>
            <w:proofErr w:type="spellEnd"/>
            <w:r w:rsidRPr="00FA272B">
              <w:rPr>
                <w:i/>
                <w:sz w:val="20"/>
                <w:szCs w:val="20"/>
              </w:rPr>
              <w:t xml:space="preserve"> tablets</w:t>
            </w:r>
          </w:p>
        </w:tc>
      </w:tr>
      <w:tr w:rsidR="00522F6C" w:rsidRPr="001D0858" w:rsidTr="00CB6B03">
        <w:trPr>
          <w:trHeight w:val="608"/>
        </w:trPr>
        <w:tc>
          <w:tcPr>
            <w:tcW w:w="1985" w:type="dxa"/>
            <w:vMerge w:val="restart"/>
            <w:vAlign w:val="center"/>
          </w:tcPr>
          <w:p w:rsidR="00522F6C" w:rsidRDefault="00522F6C" w:rsidP="000F0544">
            <w:pPr>
              <w:pStyle w:val="Tableheading"/>
              <w:jc w:val="left"/>
              <w:rPr>
                <w:b w:val="0"/>
                <w:sz w:val="20"/>
                <w:szCs w:val="20"/>
              </w:rPr>
            </w:pPr>
            <w:r>
              <w:rPr>
                <w:b w:val="0"/>
                <w:sz w:val="20"/>
                <w:szCs w:val="20"/>
              </w:rPr>
              <w:t xml:space="preserve">Uptake of tablets within the </w:t>
            </w:r>
            <w:proofErr w:type="spellStart"/>
            <w:r>
              <w:rPr>
                <w:b w:val="0"/>
                <w:sz w:val="20"/>
                <w:szCs w:val="20"/>
              </w:rPr>
              <w:t>posaconazole</w:t>
            </w:r>
            <w:proofErr w:type="spellEnd"/>
            <w:r>
              <w:rPr>
                <w:b w:val="0"/>
                <w:sz w:val="20"/>
                <w:szCs w:val="20"/>
              </w:rPr>
              <w:t xml:space="preserve"> market (%)</w:t>
            </w:r>
          </w:p>
        </w:tc>
        <w:tc>
          <w:tcPr>
            <w:tcW w:w="1559" w:type="dxa"/>
          </w:tcPr>
          <w:p w:rsidR="00522F6C" w:rsidRPr="00FA272B" w:rsidRDefault="00522F6C" w:rsidP="000F0544">
            <w:pPr>
              <w:pStyle w:val="Tableheading"/>
              <w:jc w:val="left"/>
              <w:rPr>
                <w:b w:val="0"/>
                <w:sz w:val="20"/>
                <w:szCs w:val="20"/>
              </w:rPr>
            </w:pPr>
            <w:r w:rsidRPr="00FA272B">
              <w:rPr>
                <w:b w:val="0"/>
                <w:sz w:val="20"/>
                <w:szCs w:val="20"/>
              </w:rPr>
              <w:t>Predicted</w:t>
            </w:r>
            <w:r w:rsidR="00F24012" w:rsidRPr="00FA272B">
              <w:rPr>
                <w:b w:val="0"/>
                <w:sz w:val="20"/>
                <w:szCs w:val="20"/>
              </w:rPr>
              <w:t xml:space="preserve"> units (P)</w:t>
            </w:r>
          </w:p>
        </w:tc>
        <w:tc>
          <w:tcPr>
            <w:tcW w:w="2410"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c>
          <w:tcPr>
            <w:tcW w:w="2977"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r>
      <w:tr w:rsidR="00522F6C" w:rsidRPr="001D0858" w:rsidTr="00CB6B03">
        <w:trPr>
          <w:trHeight w:val="608"/>
        </w:trPr>
        <w:tc>
          <w:tcPr>
            <w:tcW w:w="1985" w:type="dxa"/>
            <w:vMerge/>
            <w:vAlign w:val="center"/>
          </w:tcPr>
          <w:p w:rsidR="00522F6C" w:rsidRDefault="00522F6C" w:rsidP="000F0544">
            <w:pPr>
              <w:pStyle w:val="Tableheading"/>
              <w:jc w:val="left"/>
              <w:rPr>
                <w:b w:val="0"/>
                <w:sz w:val="20"/>
                <w:szCs w:val="20"/>
              </w:rPr>
            </w:pPr>
          </w:p>
        </w:tc>
        <w:tc>
          <w:tcPr>
            <w:tcW w:w="1559" w:type="dxa"/>
          </w:tcPr>
          <w:p w:rsidR="00522F6C" w:rsidRPr="00FA272B" w:rsidRDefault="00522F6C" w:rsidP="000F0544">
            <w:pPr>
              <w:pStyle w:val="Tableheading"/>
              <w:jc w:val="left"/>
              <w:rPr>
                <w:b w:val="0"/>
                <w:sz w:val="20"/>
                <w:szCs w:val="20"/>
              </w:rPr>
            </w:pPr>
            <w:r w:rsidRPr="00FA272B">
              <w:rPr>
                <w:b w:val="0"/>
                <w:sz w:val="20"/>
                <w:szCs w:val="20"/>
              </w:rPr>
              <w:t>Actual</w:t>
            </w:r>
            <w:r w:rsidR="00F24012" w:rsidRPr="00FA272B">
              <w:rPr>
                <w:b w:val="0"/>
                <w:sz w:val="20"/>
                <w:szCs w:val="20"/>
              </w:rPr>
              <w:t xml:space="preserve"> packs (A)</w:t>
            </w:r>
          </w:p>
        </w:tc>
        <w:tc>
          <w:tcPr>
            <w:tcW w:w="2410" w:type="dxa"/>
          </w:tcPr>
          <w:p w:rsidR="00522F6C" w:rsidRPr="00FA272B" w:rsidRDefault="00F24012" w:rsidP="000F0544">
            <w:pPr>
              <w:pStyle w:val="Tableheading"/>
              <w:jc w:val="left"/>
              <w:rPr>
                <w:b w:val="0"/>
                <w:sz w:val="20"/>
                <w:szCs w:val="20"/>
              </w:rPr>
            </w:pPr>
            <w:r w:rsidRPr="00FA272B">
              <w:rPr>
                <w:b w:val="0"/>
                <w:sz w:val="20"/>
                <w:szCs w:val="20"/>
              </w:rPr>
              <w:t>72%</w:t>
            </w:r>
          </w:p>
        </w:tc>
        <w:tc>
          <w:tcPr>
            <w:tcW w:w="2977" w:type="dxa"/>
          </w:tcPr>
          <w:p w:rsidR="00522F6C" w:rsidRPr="00FA272B" w:rsidRDefault="00F24012" w:rsidP="000F0544">
            <w:pPr>
              <w:pStyle w:val="Tableheading"/>
              <w:jc w:val="left"/>
              <w:rPr>
                <w:b w:val="0"/>
                <w:sz w:val="20"/>
                <w:szCs w:val="20"/>
              </w:rPr>
            </w:pPr>
            <w:r w:rsidRPr="00FA272B">
              <w:rPr>
                <w:b w:val="0"/>
                <w:sz w:val="20"/>
                <w:szCs w:val="20"/>
              </w:rPr>
              <w:t>92%</w:t>
            </w:r>
          </w:p>
        </w:tc>
      </w:tr>
      <w:tr w:rsidR="00522F6C" w:rsidRPr="001D0858" w:rsidTr="00CB6B03">
        <w:trPr>
          <w:trHeight w:val="608"/>
        </w:trPr>
        <w:tc>
          <w:tcPr>
            <w:tcW w:w="1985" w:type="dxa"/>
            <w:vMerge w:val="restart"/>
            <w:vAlign w:val="center"/>
          </w:tcPr>
          <w:p w:rsidR="00522F6C" w:rsidRPr="000D03E0" w:rsidRDefault="00522F6C" w:rsidP="000F0544">
            <w:pPr>
              <w:pStyle w:val="Tableheading"/>
              <w:jc w:val="left"/>
              <w:rPr>
                <w:b w:val="0"/>
                <w:sz w:val="20"/>
                <w:szCs w:val="20"/>
              </w:rPr>
            </w:pPr>
            <w:r>
              <w:rPr>
                <w:b w:val="0"/>
                <w:sz w:val="20"/>
                <w:szCs w:val="20"/>
              </w:rPr>
              <w:t xml:space="preserve">Number of packs of </w:t>
            </w:r>
            <w:proofErr w:type="spellStart"/>
            <w:r>
              <w:rPr>
                <w:b w:val="0"/>
                <w:sz w:val="20"/>
                <w:szCs w:val="20"/>
              </w:rPr>
              <w:t>posaconazole</w:t>
            </w:r>
            <w:proofErr w:type="spellEnd"/>
            <w:r>
              <w:rPr>
                <w:b w:val="0"/>
                <w:sz w:val="20"/>
                <w:szCs w:val="20"/>
              </w:rPr>
              <w:t xml:space="preserve"> tablets </w:t>
            </w:r>
          </w:p>
        </w:tc>
        <w:tc>
          <w:tcPr>
            <w:tcW w:w="1559" w:type="dxa"/>
          </w:tcPr>
          <w:p w:rsidR="00522F6C" w:rsidRPr="00FA272B" w:rsidRDefault="00F24012" w:rsidP="000F0544">
            <w:pPr>
              <w:pStyle w:val="Tableheading"/>
              <w:jc w:val="left"/>
              <w:rPr>
                <w:b w:val="0"/>
                <w:sz w:val="20"/>
                <w:szCs w:val="20"/>
              </w:rPr>
            </w:pPr>
            <w:r w:rsidRPr="00FA272B">
              <w:rPr>
                <w:b w:val="0"/>
                <w:sz w:val="20"/>
                <w:szCs w:val="20"/>
              </w:rPr>
              <w:t>Predicted units (P)</w:t>
            </w:r>
            <w:r w:rsidRPr="00FA272B">
              <w:rPr>
                <w:b w:val="0"/>
                <w:sz w:val="20"/>
                <w:szCs w:val="20"/>
                <w:vertAlign w:val="superscript"/>
              </w:rPr>
              <w:t>a</w:t>
            </w:r>
          </w:p>
        </w:tc>
        <w:tc>
          <w:tcPr>
            <w:tcW w:w="2410" w:type="dxa"/>
          </w:tcPr>
          <w:p w:rsidR="00522F6C" w:rsidRPr="00C74C98" w:rsidRDefault="00C74C98" w:rsidP="000F0544">
            <w:pPr>
              <w:pStyle w:val="Tableheading"/>
              <w:tabs>
                <w:tab w:val="center" w:pos="1097"/>
              </w:tabs>
              <w:jc w:val="left"/>
              <w:rPr>
                <w:b w:val="0"/>
                <w:sz w:val="20"/>
                <w:szCs w:val="20"/>
                <w:highlight w:val="black"/>
              </w:rPr>
            </w:pPr>
            <w:r>
              <w:rPr>
                <w:b w:val="0"/>
                <w:noProof/>
                <w:color w:val="000000"/>
                <w:sz w:val="20"/>
                <w:szCs w:val="20"/>
                <w:highlight w:val="black"/>
              </w:rPr>
              <w:t>'''''''''''</w:t>
            </w:r>
          </w:p>
        </w:tc>
        <w:tc>
          <w:tcPr>
            <w:tcW w:w="2977"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r>
      <w:tr w:rsidR="00522F6C" w:rsidRPr="001D0858" w:rsidTr="00CB6B03">
        <w:trPr>
          <w:trHeight w:val="608"/>
        </w:trPr>
        <w:tc>
          <w:tcPr>
            <w:tcW w:w="1985" w:type="dxa"/>
            <w:vMerge/>
          </w:tcPr>
          <w:p w:rsidR="00522F6C" w:rsidRPr="000D03E0" w:rsidRDefault="00522F6C" w:rsidP="000F0544">
            <w:pPr>
              <w:pStyle w:val="Tableheading"/>
              <w:jc w:val="left"/>
              <w:rPr>
                <w:b w:val="0"/>
                <w:sz w:val="20"/>
                <w:szCs w:val="20"/>
              </w:rPr>
            </w:pPr>
          </w:p>
        </w:tc>
        <w:tc>
          <w:tcPr>
            <w:tcW w:w="1559" w:type="dxa"/>
          </w:tcPr>
          <w:p w:rsidR="00522F6C" w:rsidRPr="00FA272B" w:rsidRDefault="00522F6C" w:rsidP="000F0544">
            <w:pPr>
              <w:pStyle w:val="Tableheading"/>
              <w:jc w:val="left"/>
              <w:rPr>
                <w:b w:val="0"/>
                <w:sz w:val="20"/>
                <w:szCs w:val="20"/>
              </w:rPr>
            </w:pPr>
            <w:r w:rsidRPr="00FA272B">
              <w:rPr>
                <w:b w:val="0"/>
                <w:sz w:val="20"/>
                <w:szCs w:val="20"/>
              </w:rPr>
              <w:t>Actual packs</w:t>
            </w:r>
            <w:r w:rsidR="00F24012" w:rsidRPr="00FA272B">
              <w:rPr>
                <w:b w:val="0"/>
                <w:sz w:val="20"/>
                <w:szCs w:val="20"/>
              </w:rPr>
              <w:t xml:space="preserve"> (A)</w:t>
            </w:r>
          </w:p>
        </w:tc>
        <w:tc>
          <w:tcPr>
            <w:tcW w:w="2410" w:type="dxa"/>
          </w:tcPr>
          <w:p w:rsidR="00522F6C" w:rsidRPr="00FA272B" w:rsidRDefault="00F24012" w:rsidP="000F0544">
            <w:pPr>
              <w:pStyle w:val="Tableheading"/>
              <w:jc w:val="left"/>
              <w:rPr>
                <w:b w:val="0"/>
                <w:sz w:val="20"/>
                <w:szCs w:val="20"/>
              </w:rPr>
            </w:pPr>
            <w:r w:rsidRPr="00FA272B">
              <w:rPr>
                <w:b w:val="0"/>
                <w:sz w:val="20"/>
                <w:szCs w:val="20"/>
              </w:rPr>
              <w:t>18,476</w:t>
            </w:r>
          </w:p>
        </w:tc>
        <w:tc>
          <w:tcPr>
            <w:tcW w:w="2977" w:type="dxa"/>
          </w:tcPr>
          <w:p w:rsidR="00522F6C" w:rsidRPr="00FA272B" w:rsidRDefault="00F24012" w:rsidP="000F0544">
            <w:pPr>
              <w:pStyle w:val="Tableheading"/>
              <w:jc w:val="left"/>
              <w:rPr>
                <w:b w:val="0"/>
                <w:sz w:val="20"/>
                <w:szCs w:val="20"/>
              </w:rPr>
            </w:pPr>
            <w:r w:rsidRPr="00FA272B">
              <w:rPr>
                <w:b w:val="0"/>
                <w:sz w:val="20"/>
                <w:szCs w:val="20"/>
              </w:rPr>
              <w:t>30,456</w:t>
            </w:r>
          </w:p>
        </w:tc>
      </w:tr>
      <w:tr w:rsidR="00522F6C" w:rsidRPr="001D0858" w:rsidTr="00CB6B03">
        <w:trPr>
          <w:trHeight w:val="608"/>
        </w:trPr>
        <w:tc>
          <w:tcPr>
            <w:tcW w:w="1985" w:type="dxa"/>
            <w:vMerge/>
          </w:tcPr>
          <w:p w:rsidR="00522F6C" w:rsidRDefault="00522F6C" w:rsidP="000F0544">
            <w:pPr>
              <w:pStyle w:val="Tableheading"/>
              <w:jc w:val="left"/>
              <w:rPr>
                <w:b w:val="0"/>
                <w:sz w:val="20"/>
                <w:szCs w:val="20"/>
              </w:rPr>
            </w:pPr>
          </w:p>
        </w:tc>
        <w:tc>
          <w:tcPr>
            <w:tcW w:w="1559" w:type="dxa"/>
          </w:tcPr>
          <w:p w:rsidR="00522F6C" w:rsidRPr="00FA272B" w:rsidRDefault="00F24012" w:rsidP="000F0544">
            <w:pPr>
              <w:pStyle w:val="Tableheading"/>
              <w:jc w:val="left"/>
              <w:rPr>
                <w:b w:val="0"/>
                <w:sz w:val="20"/>
                <w:szCs w:val="20"/>
              </w:rPr>
            </w:pPr>
            <w:r w:rsidRPr="00FA272B">
              <w:rPr>
                <w:b w:val="0"/>
                <w:sz w:val="20"/>
                <w:szCs w:val="20"/>
              </w:rPr>
              <w:t>% difference (A</w:t>
            </w:r>
            <w:r w:rsidRPr="00FA272B">
              <w:rPr>
                <w:b w:val="0"/>
                <w:sz w:val="20"/>
                <w:szCs w:val="20"/>
              </w:rPr>
              <w:noBreakHyphen/>
              <w:t>P)/P</w:t>
            </w:r>
          </w:p>
        </w:tc>
        <w:tc>
          <w:tcPr>
            <w:tcW w:w="2410"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c>
          <w:tcPr>
            <w:tcW w:w="2977" w:type="dxa"/>
          </w:tcPr>
          <w:p w:rsidR="00522F6C" w:rsidRPr="00C74C98" w:rsidRDefault="00C74C98" w:rsidP="000F0544">
            <w:pPr>
              <w:pStyle w:val="Tableheading"/>
              <w:jc w:val="left"/>
              <w:rPr>
                <w:b w:val="0"/>
                <w:sz w:val="20"/>
                <w:szCs w:val="20"/>
                <w:highlight w:val="black"/>
              </w:rPr>
            </w:pPr>
            <w:r>
              <w:rPr>
                <w:b w:val="0"/>
                <w:noProof/>
                <w:color w:val="000000"/>
                <w:sz w:val="20"/>
                <w:szCs w:val="20"/>
                <w:highlight w:val="black"/>
              </w:rPr>
              <w:t>''''''''''''''</w:t>
            </w:r>
          </w:p>
        </w:tc>
      </w:tr>
      <w:tr w:rsidR="00522F6C" w:rsidRPr="001D0858" w:rsidTr="00CB6B03">
        <w:trPr>
          <w:trHeight w:val="170"/>
        </w:trPr>
        <w:tc>
          <w:tcPr>
            <w:tcW w:w="1985" w:type="dxa"/>
            <w:vMerge w:val="restart"/>
          </w:tcPr>
          <w:p w:rsidR="00522F6C" w:rsidRPr="000D03E0" w:rsidRDefault="00522F6C" w:rsidP="000F0544">
            <w:pPr>
              <w:pStyle w:val="Tableheading"/>
              <w:jc w:val="left"/>
              <w:rPr>
                <w:b w:val="0"/>
                <w:sz w:val="20"/>
                <w:szCs w:val="20"/>
              </w:rPr>
            </w:pPr>
            <w:r>
              <w:rPr>
                <w:b w:val="0"/>
                <w:sz w:val="20"/>
                <w:szCs w:val="20"/>
              </w:rPr>
              <w:t xml:space="preserve">PBS benefits for </w:t>
            </w:r>
            <w:proofErr w:type="spellStart"/>
            <w:r>
              <w:rPr>
                <w:b w:val="0"/>
                <w:sz w:val="20"/>
                <w:szCs w:val="20"/>
              </w:rPr>
              <w:t>posaconazole</w:t>
            </w:r>
            <w:proofErr w:type="spellEnd"/>
            <w:r>
              <w:rPr>
                <w:b w:val="0"/>
                <w:sz w:val="20"/>
                <w:szCs w:val="20"/>
              </w:rPr>
              <w:t xml:space="preserve"> tablets (less patient co-pay)</w:t>
            </w:r>
          </w:p>
        </w:tc>
        <w:tc>
          <w:tcPr>
            <w:tcW w:w="1559" w:type="dxa"/>
          </w:tcPr>
          <w:p w:rsidR="00522F6C" w:rsidRPr="00FA272B" w:rsidRDefault="00522F6C" w:rsidP="000F0544">
            <w:pPr>
              <w:pStyle w:val="Tableheading"/>
              <w:jc w:val="left"/>
              <w:rPr>
                <w:b w:val="0"/>
                <w:sz w:val="20"/>
                <w:szCs w:val="20"/>
              </w:rPr>
            </w:pPr>
            <w:r w:rsidRPr="00FA272B">
              <w:rPr>
                <w:b w:val="0"/>
                <w:sz w:val="20"/>
                <w:szCs w:val="20"/>
              </w:rPr>
              <w:t>Predicted</w:t>
            </w:r>
            <w:r w:rsidR="00F24012" w:rsidRPr="00FA272B">
              <w:rPr>
                <w:b w:val="0"/>
                <w:sz w:val="20"/>
                <w:szCs w:val="20"/>
              </w:rPr>
              <w:t xml:space="preserve"> (P)</w:t>
            </w:r>
          </w:p>
        </w:tc>
        <w:tc>
          <w:tcPr>
            <w:tcW w:w="2410" w:type="dxa"/>
          </w:tcPr>
          <w:p w:rsidR="00522F6C" w:rsidRPr="00C74C98" w:rsidRDefault="00C74C98" w:rsidP="000F0544">
            <w:pPr>
              <w:rPr>
                <w:rFonts w:ascii="Calibri" w:hAnsi="Calibri"/>
                <w:sz w:val="20"/>
                <w:szCs w:val="20"/>
                <w:highlight w:val="black"/>
              </w:rPr>
            </w:pPr>
            <w:r>
              <w:rPr>
                <w:rFonts w:ascii="Calibri" w:hAnsi="Calibri"/>
                <w:noProof/>
                <w:color w:val="000000"/>
                <w:sz w:val="20"/>
                <w:szCs w:val="20"/>
                <w:highlight w:val="black"/>
              </w:rPr>
              <w:t>''''''''''''''''''''</w:t>
            </w:r>
          </w:p>
        </w:tc>
        <w:tc>
          <w:tcPr>
            <w:tcW w:w="2977" w:type="dxa"/>
          </w:tcPr>
          <w:p w:rsidR="00522F6C" w:rsidRPr="00C74C98" w:rsidRDefault="00C74C98" w:rsidP="000F0544">
            <w:pPr>
              <w:rPr>
                <w:rFonts w:ascii="Calibri" w:hAnsi="Calibri"/>
                <w:sz w:val="20"/>
                <w:szCs w:val="20"/>
                <w:highlight w:val="black"/>
              </w:rPr>
            </w:pPr>
            <w:r>
              <w:rPr>
                <w:rFonts w:ascii="Calibri" w:hAnsi="Calibri"/>
                <w:noProof/>
                <w:color w:val="000000"/>
                <w:sz w:val="20"/>
                <w:szCs w:val="20"/>
                <w:highlight w:val="black"/>
              </w:rPr>
              <w:t>'''''''''''''''''''''''''</w:t>
            </w:r>
          </w:p>
        </w:tc>
      </w:tr>
      <w:tr w:rsidR="00522F6C" w:rsidRPr="001D0858" w:rsidTr="00CB6B03">
        <w:trPr>
          <w:trHeight w:val="170"/>
        </w:trPr>
        <w:tc>
          <w:tcPr>
            <w:tcW w:w="1985" w:type="dxa"/>
            <w:vMerge/>
          </w:tcPr>
          <w:p w:rsidR="00522F6C" w:rsidRPr="000D03E0" w:rsidRDefault="00522F6C" w:rsidP="000F0544">
            <w:pPr>
              <w:pStyle w:val="Tableheading"/>
              <w:jc w:val="left"/>
              <w:rPr>
                <w:b w:val="0"/>
                <w:sz w:val="20"/>
                <w:szCs w:val="20"/>
              </w:rPr>
            </w:pPr>
          </w:p>
        </w:tc>
        <w:tc>
          <w:tcPr>
            <w:tcW w:w="1559" w:type="dxa"/>
          </w:tcPr>
          <w:p w:rsidR="00522F6C" w:rsidRPr="00FA272B" w:rsidRDefault="00522F6C" w:rsidP="000F0544">
            <w:pPr>
              <w:pStyle w:val="Tableheading"/>
              <w:jc w:val="left"/>
              <w:rPr>
                <w:b w:val="0"/>
                <w:sz w:val="20"/>
                <w:szCs w:val="20"/>
              </w:rPr>
            </w:pPr>
            <w:r w:rsidRPr="00FA272B">
              <w:rPr>
                <w:b w:val="0"/>
                <w:sz w:val="20"/>
                <w:szCs w:val="20"/>
              </w:rPr>
              <w:t>Actual</w:t>
            </w:r>
            <w:r w:rsidR="00F24012" w:rsidRPr="00FA272B">
              <w:rPr>
                <w:b w:val="0"/>
                <w:sz w:val="20"/>
                <w:szCs w:val="20"/>
              </w:rPr>
              <w:t xml:space="preserve"> (A)</w:t>
            </w:r>
          </w:p>
        </w:tc>
        <w:tc>
          <w:tcPr>
            <w:tcW w:w="2410" w:type="dxa"/>
          </w:tcPr>
          <w:p w:rsidR="00522F6C" w:rsidRPr="00FA272B" w:rsidRDefault="00F24012" w:rsidP="000F0544">
            <w:pPr>
              <w:pStyle w:val="Tableheading"/>
              <w:jc w:val="left"/>
              <w:rPr>
                <w:b w:val="0"/>
                <w:sz w:val="20"/>
                <w:szCs w:val="20"/>
              </w:rPr>
            </w:pPr>
            <w:r w:rsidRPr="00FA272B">
              <w:rPr>
                <w:b w:val="0"/>
                <w:sz w:val="20"/>
                <w:szCs w:val="20"/>
              </w:rPr>
              <w:t>$15,469,777</w:t>
            </w:r>
          </w:p>
        </w:tc>
        <w:tc>
          <w:tcPr>
            <w:tcW w:w="2977" w:type="dxa"/>
          </w:tcPr>
          <w:p w:rsidR="00522F6C" w:rsidRPr="00FA272B" w:rsidRDefault="00F24012" w:rsidP="000F0544">
            <w:pPr>
              <w:pStyle w:val="Tableheading"/>
              <w:jc w:val="left"/>
              <w:rPr>
                <w:b w:val="0"/>
                <w:sz w:val="20"/>
                <w:szCs w:val="20"/>
              </w:rPr>
            </w:pPr>
            <w:r w:rsidRPr="00FA272B">
              <w:rPr>
                <w:b w:val="0"/>
                <w:sz w:val="20"/>
                <w:szCs w:val="20"/>
              </w:rPr>
              <w:t>$25,139,342</w:t>
            </w:r>
          </w:p>
        </w:tc>
      </w:tr>
      <w:tr w:rsidR="00522F6C" w:rsidRPr="001D0858" w:rsidTr="00CB6B03">
        <w:trPr>
          <w:trHeight w:val="170"/>
        </w:trPr>
        <w:tc>
          <w:tcPr>
            <w:tcW w:w="1985" w:type="dxa"/>
            <w:vMerge/>
          </w:tcPr>
          <w:p w:rsidR="00522F6C" w:rsidRPr="000D03E0" w:rsidRDefault="00522F6C" w:rsidP="000F0544">
            <w:pPr>
              <w:pStyle w:val="Tableheading"/>
              <w:jc w:val="left"/>
              <w:rPr>
                <w:b w:val="0"/>
                <w:sz w:val="20"/>
                <w:szCs w:val="20"/>
              </w:rPr>
            </w:pPr>
          </w:p>
        </w:tc>
        <w:tc>
          <w:tcPr>
            <w:tcW w:w="1559" w:type="dxa"/>
          </w:tcPr>
          <w:p w:rsidR="00522F6C" w:rsidRPr="00FA272B" w:rsidRDefault="00F24012" w:rsidP="000F0544">
            <w:pPr>
              <w:pStyle w:val="Tableheading"/>
              <w:jc w:val="left"/>
              <w:rPr>
                <w:b w:val="0"/>
                <w:sz w:val="20"/>
                <w:szCs w:val="20"/>
              </w:rPr>
            </w:pPr>
            <w:r w:rsidRPr="00FA272B">
              <w:rPr>
                <w:b w:val="0"/>
                <w:sz w:val="20"/>
                <w:szCs w:val="20"/>
              </w:rPr>
              <w:t>% difference (A</w:t>
            </w:r>
            <w:r w:rsidRPr="00FA272B">
              <w:rPr>
                <w:b w:val="0"/>
                <w:sz w:val="20"/>
                <w:szCs w:val="20"/>
              </w:rPr>
              <w:noBreakHyphen/>
              <w:t>P)/P</w:t>
            </w:r>
          </w:p>
        </w:tc>
        <w:tc>
          <w:tcPr>
            <w:tcW w:w="2410" w:type="dxa"/>
          </w:tcPr>
          <w:p w:rsidR="00522F6C" w:rsidRPr="00C74C98" w:rsidRDefault="00C74C98" w:rsidP="000F0544">
            <w:pPr>
              <w:rPr>
                <w:rFonts w:ascii="Calibri" w:hAnsi="Calibri"/>
                <w:sz w:val="20"/>
                <w:szCs w:val="20"/>
                <w:highlight w:val="black"/>
              </w:rPr>
            </w:pPr>
            <w:r>
              <w:rPr>
                <w:rFonts w:ascii="Calibri" w:hAnsi="Calibri"/>
                <w:noProof/>
                <w:color w:val="000000"/>
                <w:sz w:val="20"/>
                <w:szCs w:val="20"/>
                <w:highlight w:val="black"/>
              </w:rPr>
              <w:t>''''''''''''</w:t>
            </w:r>
          </w:p>
        </w:tc>
        <w:tc>
          <w:tcPr>
            <w:tcW w:w="2977" w:type="dxa"/>
          </w:tcPr>
          <w:p w:rsidR="00522F6C" w:rsidRPr="00C74C98" w:rsidRDefault="00C74C98" w:rsidP="000F0544">
            <w:pPr>
              <w:rPr>
                <w:rFonts w:ascii="Calibri" w:hAnsi="Calibri"/>
                <w:sz w:val="20"/>
                <w:szCs w:val="20"/>
                <w:highlight w:val="black"/>
              </w:rPr>
            </w:pPr>
            <w:r>
              <w:rPr>
                <w:rFonts w:ascii="Calibri" w:hAnsi="Calibri"/>
                <w:noProof/>
                <w:color w:val="000000"/>
                <w:sz w:val="20"/>
                <w:szCs w:val="20"/>
                <w:highlight w:val="black"/>
              </w:rPr>
              <w:t>''''''''''''</w:t>
            </w:r>
          </w:p>
        </w:tc>
      </w:tr>
    </w:tbl>
    <w:p w:rsidR="00522F6C" w:rsidRDefault="00522F6C" w:rsidP="000F0544">
      <w:pPr>
        <w:spacing w:after="0" w:line="240" w:lineRule="auto"/>
        <w:rPr>
          <w:sz w:val="20"/>
          <w:szCs w:val="20"/>
        </w:rPr>
      </w:pPr>
      <w:r w:rsidRPr="00C15EB1">
        <w:rPr>
          <w:sz w:val="20"/>
          <w:szCs w:val="20"/>
        </w:rPr>
        <w:t>S</w:t>
      </w:r>
      <w:r>
        <w:rPr>
          <w:sz w:val="20"/>
          <w:szCs w:val="20"/>
        </w:rPr>
        <w:t xml:space="preserve">ource: Predicted values are from the minor submission for </w:t>
      </w:r>
      <w:proofErr w:type="spellStart"/>
      <w:r>
        <w:rPr>
          <w:sz w:val="20"/>
          <w:szCs w:val="20"/>
        </w:rPr>
        <w:t>posaconazole</w:t>
      </w:r>
      <w:proofErr w:type="spellEnd"/>
      <w:r>
        <w:rPr>
          <w:sz w:val="20"/>
          <w:szCs w:val="20"/>
        </w:rPr>
        <w:t xml:space="preserve"> tablets considered at the March 2015 PBAC meeting. Actual values from the DHS s</w:t>
      </w:r>
      <w:r w:rsidRPr="00C15EB1">
        <w:rPr>
          <w:sz w:val="20"/>
          <w:szCs w:val="20"/>
        </w:rPr>
        <w:t>upplied prescriptions database to 31 Aug 2017; extracted 05 Mar 2018.</w:t>
      </w:r>
    </w:p>
    <w:p w:rsidR="00522F6C" w:rsidRDefault="00522F6C" w:rsidP="000F0544">
      <w:pPr>
        <w:spacing w:line="240" w:lineRule="auto"/>
        <w:rPr>
          <w:sz w:val="20"/>
          <w:szCs w:val="20"/>
        </w:rPr>
      </w:pPr>
      <w:proofErr w:type="spellStart"/>
      <w:proofErr w:type="gramStart"/>
      <w:r w:rsidRPr="0077733C">
        <w:rPr>
          <w:sz w:val="20"/>
          <w:szCs w:val="20"/>
          <w:vertAlign w:val="superscript"/>
        </w:rPr>
        <w:t>a</w:t>
      </w:r>
      <w:r>
        <w:rPr>
          <w:sz w:val="20"/>
          <w:szCs w:val="20"/>
        </w:rPr>
        <w:t>Equivalent</w:t>
      </w:r>
      <w:proofErr w:type="spellEnd"/>
      <w:proofErr w:type="gramEnd"/>
      <w:r>
        <w:rPr>
          <w:sz w:val="20"/>
          <w:szCs w:val="20"/>
        </w:rPr>
        <w:t xml:space="preserve"> packs of tablets. Includes a conversion factor based on the duration of therapy per pack of suspension and pack of tablets, and accounts for proportion of use for prophylaxis and treatment </w:t>
      </w:r>
    </w:p>
    <w:p w:rsidR="00522F6C" w:rsidRDefault="00522F6C" w:rsidP="000F0544">
      <w:pPr>
        <w:spacing w:line="240" w:lineRule="auto"/>
      </w:pPr>
      <w:r w:rsidRPr="00551EE4">
        <w:t xml:space="preserve"> </w:t>
      </w:r>
      <w:r w:rsidR="009F410D">
        <w:t xml:space="preserve">The utilisation of </w:t>
      </w:r>
      <w:proofErr w:type="spellStart"/>
      <w:r w:rsidR="009F410D">
        <w:t>posaconazole</w:t>
      </w:r>
      <w:proofErr w:type="spellEnd"/>
      <w:r w:rsidR="009F410D">
        <w:t xml:space="preserve"> tablets was grossly underestimated because growth in the </w:t>
      </w:r>
      <w:proofErr w:type="spellStart"/>
      <w:r w:rsidR="009F410D">
        <w:t>posaconazole</w:t>
      </w:r>
      <w:proofErr w:type="spellEnd"/>
      <w:r w:rsidR="009F410D">
        <w:t xml:space="preserve"> market as a result of the listing of the tablet formulation was not accounted for and because the rate of uptake of the tablet formulation was underestimated.</w:t>
      </w:r>
    </w:p>
    <w:p w:rsidR="00F80C91" w:rsidRPr="006639B5" w:rsidRDefault="005016E9" w:rsidP="000F0544">
      <w:pPr>
        <w:spacing w:before="240" w:line="240" w:lineRule="auto"/>
        <w:rPr>
          <w:rFonts w:ascii="Calibri" w:hAnsi="Calibri" w:cs="Calibri"/>
          <w:b/>
          <w:sz w:val="36"/>
          <w:szCs w:val="32"/>
        </w:rPr>
      </w:pPr>
      <w:r w:rsidRPr="006639B5">
        <w:rPr>
          <w:rFonts w:ascii="Calibri" w:hAnsi="Calibri" w:cs="Calibri"/>
          <w:b/>
          <w:sz w:val="32"/>
          <w:szCs w:val="32"/>
        </w:rPr>
        <w:t>Discussion</w:t>
      </w:r>
    </w:p>
    <w:p w:rsidR="00C726D8" w:rsidRPr="00522F6C" w:rsidRDefault="00C726D8" w:rsidP="000F0544">
      <w:pPr>
        <w:spacing w:line="240" w:lineRule="auto"/>
      </w:pPr>
      <w:r w:rsidRPr="00522F6C">
        <w:t xml:space="preserve">When recommending the listing of </w:t>
      </w:r>
      <w:proofErr w:type="spellStart"/>
      <w:r w:rsidRPr="00522F6C">
        <w:t>posaconazole</w:t>
      </w:r>
      <w:proofErr w:type="spellEnd"/>
      <w:r w:rsidRPr="00522F6C">
        <w:t xml:space="preserve"> tablets on the PBS the PBAC considered that usage is likely to increase due to the ease of use of tablets over the liquid, but considered it uncertain whether any additional patient benefit from such use would accrue. The analyses provide</w:t>
      </w:r>
      <w:r>
        <w:t>d</w:t>
      </w:r>
      <w:r w:rsidRPr="00522F6C">
        <w:t xml:space="preserve"> in this report confirm that the </w:t>
      </w:r>
      <w:proofErr w:type="spellStart"/>
      <w:r w:rsidRPr="00522F6C">
        <w:t>posaconazole</w:t>
      </w:r>
      <w:proofErr w:type="spellEnd"/>
      <w:r w:rsidRPr="00522F6C">
        <w:t xml:space="preserve"> market expanded significantly following th</w:t>
      </w:r>
      <w:r>
        <w:t>e</w:t>
      </w:r>
      <w:r w:rsidRPr="00522F6C">
        <w:t xml:space="preserve"> listing of </w:t>
      </w:r>
      <w:r>
        <w:t xml:space="preserve">the </w:t>
      </w:r>
      <w:r w:rsidRPr="00522F6C">
        <w:t xml:space="preserve">tablet formulation. Factors contributing to the </w:t>
      </w:r>
      <w:r w:rsidRPr="00522F6C">
        <w:lastRenderedPageBreak/>
        <w:t xml:space="preserve">increased market include an increase in the number of new patients commencing treatment </w:t>
      </w:r>
      <w:r>
        <w:t xml:space="preserve">and prophylaxis </w:t>
      </w:r>
      <w:r w:rsidRPr="00522F6C">
        <w:t>as well as an increase in the median time on treatment.</w:t>
      </w:r>
    </w:p>
    <w:p w:rsidR="00C726D8" w:rsidRPr="00522F6C" w:rsidRDefault="00C726D8" w:rsidP="000F0544">
      <w:pPr>
        <w:spacing w:line="240" w:lineRule="auto"/>
      </w:pPr>
      <w:r w:rsidRPr="00522F6C">
        <w:t xml:space="preserve">The assessment of whether the increased use is clinically appropriate and within the PBS restrictions is limited by the available PBS data. For the treatment indications, PBS subsidy of </w:t>
      </w:r>
      <w:proofErr w:type="spellStart"/>
      <w:r w:rsidRPr="00522F6C">
        <w:t>posaconazole</w:t>
      </w:r>
      <w:proofErr w:type="spellEnd"/>
      <w:r w:rsidRPr="00522F6C">
        <w:t xml:space="preserve"> is restricted to patients who are unable to tolerate, or have disease refractory to, alternative therapy. The assessment of whether alternative treatment has been used prior to </w:t>
      </w:r>
      <w:proofErr w:type="spellStart"/>
      <w:r w:rsidRPr="00522F6C">
        <w:t>posaconazole</w:t>
      </w:r>
      <w:proofErr w:type="spellEnd"/>
      <w:r w:rsidRPr="00522F6C">
        <w:t xml:space="preserve"> is limited because many of the alternative therapies are not PBS listed (amphotericin B lipid complex, liposomal amphotericin B, </w:t>
      </w:r>
      <w:proofErr w:type="spellStart"/>
      <w:r w:rsidRPr="00522F6C">
        <w:t>caspofungin</w:t>
      </w:r>
      <w:proofErr w:type="spellEnd"/>
      <w:r w:rsidRPr="00522F6C">
        <w:t xml:space="preserve">) and </w:t>
      </w:r>
      <w:r>
        <w:t xml:space="preserve">therefore </w:t>
      </w:r>
      <w:r w:rsidRPr="00522F6C">
        <w:t>not visible in the PBS data. In addition, therapies that are PBS listed but provided in a public hospital inpatient setting will also not be captured in PBS data. Further, the definition of ‘intolerant to’ alternative therapies is not defined and may be broadly interpreted given the adverse event profiles and monitoring requirements for other agents</w:t>
      </w:r>
      <w:r>
        <w:t xml:space="preserve">, particularly </w:t>
      </w:r>
      <w:proofErr w:type="spellStart"/>
      <w:r>
        <w:t>voriconazole</w:t>
      </w:r>
      <w:proofErr w:type="spellEnd"/>
      <w:r w:rsidRPr="00522F6C">
        <w:t>.</w:t>
      </w:r>
    </w:p>
    <w:p w:rsidR="00C726D8" w:rsidRPr="00522F6C" w:rsidRDefault="00C726D8" w:rsidP="000F0544">
      <w:pPr>
        <w:spacing w:line="240" w:lineRule="auto"/>
      </w:pPr>
      <w:r w:rsidRPr="00522F6C">
        <w:t xml:space="preserve">For prophylaxis, </w:t>
      </w:r>
      <w:proofErr w:type="spellStart"/>
      <w:r w:rsidRPr="00522F6C">
        <w:t>posaconazole</w:t>
      </w:r>
      <w:proofErr w:type="spellEnd"/>
      <w:r w:rsidRPr="00522F6C">
        <w:t xml:space="preserve"> is subsidised for the two very high risk patient groups</w:t>
      </w:r>
      <w:r>
        <w:t xml:space="preserve"> where there wa</w:t>
      </w:r>
      <w:r w:rsidRPr="00522F6C">
        <w:t xml:space="preserve">s clinical trial evidence of benefit, however guidelines recommend prophylaxis in some other high risk groups. Although use for prophylaxis can be distinguished from treatment in the PBS data by matching to the Authority approval indication, use for the two prophylaxis groups cannot be directly differentiated. An analysis of co-prescribed therapies (such as use of </w:t>
      </w:r>
      <w:proofErr w:type="spellStart"/>
      <w:r w:rsidRPr="00522F6C">
        <w:t>azacitidine</w:t>
      </w:r>
      <w:proofErr w:type="spellEnd"/>
      <w:r w:rsidRPr="00522F6C">
        <w:t xml:space="preserve"> to identify MDS or AML patients) could be undertaken if the DUSC and/or the PBAC consider it warranted. Clinical advice would be required on the range of PBS medicines that could identify MDS and AML patients, and whether patients without these medicines could be assumed to be </w:t>
      </w:r>
      <w:proofErr w:type="spellStart"/>
      <w:r>
        <w:t>Allo</w:t>
      </w:r>
      <w:r w:rsidRPr="00522F6C">
        <w:t>HSCT</w:t>
      </w:r>
      <w:proofErr w:type="spellEnd"/>
      <w:r w:rsidRPr="00522F6C">
        <w:t xml:space="preserve"> patients with GVHD. There may be challenges in assigning an indication for restricted benefit or unrestricted chemotherapy agents. The analysis of co-prescribed therapies may shed some light on use of </w:t>
      </w:r>
      <w:proofErr w:type="spellStart"/>
      <w:r w:rsidRPr="00522F6C">
        <w:t>posaconazole</w:t>
      </w:r>
      <w:proofErr w:type="spellEnd"/>
      <w:r w:rsidRPr="00522F6C">
        <w:t xml:space="preserve"> for non-PBS subsidised populations.</w:t>
      </w:r>
    </w:p>
    <w:p w:rsidR="00C726D8" w:rsidRDefault="00C726D8" w:rsidP="000F0544">
      <w:pPr>
        <w:spacing w:line="240" w:lineRule="auto"/>
      </w:pPr>
      <w:r w:rsidRPr="00522F6C">
        <w:t xml:space="preserve">An increase in the duration on treatment with </w:t>
      </w:r>
      <w:proofErr w:type="spellStart"/>
      <w:r w:rsidRPr="00522F6C">
        <w:t>posaconazole</w:t>
      </w:r>
      <w:proofErr w:type="spellEnd"/>
      <w:r w:rsidRPr="00522F6C">
        <w:t xml:space="preserve"> was not unexpected given the </w:t>
      </w:r>
      <w:r>
        <w:t>e</w:t>
      </w:r>
      <w:r w:rsidRPr="00522F6C">
        <w:t>ase of use of the tablets over the suspension. Optimal duration of prophylaxis and treatment is no</w:t>
      </w:r>
      <w:r>
        <w:t>t</w:t>
      </w:r>
      <w:r w:rsidRPr="00522F6C">
        <w:t xml:space="preserve"> clear. At the request of the PBAC</w:t>
      </w:r>
      <w:r>
        <w:t>,</w:t>
      </w:r>
      <w:r w:rsidRPr="00522F6C">
        <w:t xml:space="preserve"> advice will be sought from the clinical experts responsible for the antifungal treatment guidelines to ascertain the most appropriate duration of thera</w:t>
      </w:r>
      <w:r>
        <w:t>py</w:t>
      </w:r>
      <w:r w:rsidRPr="00522F6C">
        <w:t xml:space="preserve"> for both prophylaxis and treatment. </w:t>
      </w:r>
    </w:p>
    <w:p w:rsidR="009E7939" w:rsidRPr="006639B5" w:rsidRDefault="009E7939" w:rsidP="000F0544">
      <w:pPr>
        <w:spacing w:before="240" w:line="240" w:lineRule="auto"/>
        <w:rPr>
          <w:rFonts w:ascii="Calibri" w:hAnsi="Calibri" w:cs="Calibri"/>
          <w:b/>
          <w:sz w:val="28"/>
          <w:szCs w:val="32"/>
        </w:rPr>
      </w:pPr>
      <w:r w:rsidRPr="006639B5">
        <w:rPr>
          <w:rFonts w:ascii="Calibri" w:hAnsi="Calibri" w:cs="Calibri"/>
          <w:b/>
          <w:sz w:val="32"/>
          <w:szCs w:val="32"/>
        </w:rPr>
        <w:t>DUSC consideration</w:t>
      </w:r>
    </w:p>
    <w:p w:rsidR="00E00B2E" w:rsidRPr="00C0737E" w:rsidRDefault="00E00B2E" w:rsidP="000F0544">
      <w:pPr>
        <w:spacing w:line="240" w:lineRule="auto"/>
      </w:pPr>
      <w:r w:rsidRPr="00C0737E">
        <w:t xml:space="preserve">The analysis noted that uptake of the tablet formulation of </w:t>
      </w:r>
      <w:proofErr w:type="spellStart"/>
      <w:r w:rsidRPr="00C0737E">
        <w:t>posaconazole</w:t>
      </w:r>
      <w:proofErr w:type="spellEnd"/>
      <w:r w:rsidRPr="00C0737E">
        <w:t xml:space="preserve"> was rapid and there was a sharp decline in prescriptions for the oral liquid. The analysis also noted that the availability of the tablet formulation resulted in substantial growth in the overall use of </w:t>
      </w:r>
      <w:proofErr w:type="spellStart"/>
      <w:r w:rsidRPr="00C0737E">
        <w:t>posaconazole</w:t>
      </w:r>
      <w:proofErr w:type="spellEnd"/>
      <w:r w:rsidRPr="00C0737E">
        <w:t xml:space="preserve">. The number of incident patients commencing </w:t>
      </w:r>
      <w:proofErr w:type="spellStart"/>
      <w:r w:rsidRPr="00C0737E">
        <w:t>posaconazole</w:t>
      </w:r>
      <w:proofErr w:type="spellEnd"/>
      <w:r w:rsidRPr="00C0737E">
        <w:t xml:space="preserve"> has increased. In the two years prior to the listing of the tablet form, an average of 73 patients commenced </w:t>
      </w:r>
      <w:proofErr w:type="spellStart"/>
      <w:r w:rsidRPr="00C0737E">
        <w:t>posaconazole</w:t>
      </w:r>
      <w:proofErr w:type="spellEnd"/>
      <w:r w:rsidRPr="00C0737E">
        <w:t xml:space="preserve"> each month. In the two years after the tablet was listed this increased to 110 patients per month. DUSC considered that the uptake of tablets was higher than expected.</w:t>
      </w:r>
    </w:p>
    <w:p w:rsidR="00E00B2E" w:rsidRPr="00C0737E" w:rsidRDefault="00E00B2E" w:rsidP="000F0544">
      <w:pPr>
        <w:spacing w:line="240" w:lineRule="auto"/>
      </w:pPr>
      <w:r w:rsidRPr="00C0737E">
        <w:t xml:space="preserve">The analysis showed that the number of prevalent treated patients has increased dramatically and is mostly for patients receiving prophylaxis. DUSC noted that there was an increase in the number of patients initiating </w:t>
      </w:r>
      <w:proofErr w:type="spellStart"/>
      <w:r w:rsidRPr="00C0737E">
        <w:t>posaconazole</w:t>
      </w:r>
      <w:proofErr w:type="spellEnd"/>
      <w:r w:rsidRPr="00C0737E">
        <w:t xml:space="preserve"> for treatment and prophylaxis </w:t>
      </w:r>
      <w:r w:rsidRPr="00C0737E">
        <w:lastRenderedPageBreak/>
        <w:t xml:space="preserve">following the listing of </w:t>
      </w:r>
      <w:proofErr w:type="spellStart"/>
      <w:r w:rsidRPr="00C0737E">
        <w:t>posaconazole</w:t>
      </w:r>
      <w:proofErr w:type="spellEnd"/>
      <w:r w:rsidRPr="00C0737E">
        <w:t xml:space="preserve"> tablets, which </w:t>
      </w:r>
      <w:proofErr w:type="gramStart"/>
      <w:r w:rsidRPr="00C0737E">
        <w:t>was</w:t>
      </w:r>
      <w:proofErr w:type="gramEnd"/>
      <w:r w:rsidRPr="00C0737E">
        <w:t xml:space="preserve"> not accounted for in the submission. The sponsor response stated that the increase in the patient population using </w:t>
      </w:r>
      <w:proofErr w:type="spellStart"/>
      <w:r w:rsidRPr="00C0737E">
        <w:t>posaconazole</w:t>
      </w:r>
      <w:proofErr w:type="spellEnd"/>
      <w:r w:rsidRPr="00C0737E">
        <w:t xml:space="preserve"> on the PBS is attributable to </w:t>
      </w:r>
      <w:proofErr w:type="spellStart"/>
      <w:r w:rsidRPr="00C0737E">
        <w:t>posaconazole</w:t>
      </w:r>
      <w:proofErr w:type="spellEnd"/>
      <w:r w:rsidRPr="00C0737E">
        <w:t xml:space="preserve"> tablets being better tolerated and preferred over the oral solution, the improvement in diagnostic techniques for fungal infections, and an increased number of allogeneic haematopoietic stem cell transplants (HSCT)</w:t>
      </w:r>
      <w:r w:rsidRPr="00C0737E" w:rsidDel="000D7F52">
        <w:t xml:space="preserve"> </w:t>
      </w:r>
      <w:r w:rsidRPr="00C0737E">
        <w:t xml:space="preserve">being performed in Australia. DUSC agreed with the sponsor that there is some evidence there is an increasing number of patients receiving allogeneic HSCT. DUSC noted that it is not possible to tell from the PBS data alone whether all of the increase in use of </w:t>
      </w:r>
      <w:proofErr w:type="spellStart"/>
      <w:r w:rsidRPr="00C0737E">
        <w:t>posaconazole</w:t>
      </w:r>
      <w:proofErr w:type="spellEnd"/>
      <w:r w:rsidRPr="00C0737E">
        <w:t xml:space="preserve"> was appropriate.</w:t>
      </w:r>
    </w:p>
    <w:p w:rsidR="00E00B2E" w:rsidRPr="00C0737E" w:rsidRDefault="00E00B2E" w:rsidP="000F0544">
      <w:pPr>
        <w:spacing w:line="240" w:lineRule="auto"/>
      </w:pPr>
      <w:r w:rsidRPr="00C0737E">
        <w:t>The analysis noted that a time to refill analysis shows similar time to dispensing of the tablet and the liquid form indicating that adherence may be similar for the two formulations. DUSC commented that there is a similar pattern evident for time to refill for the tablet and suspension for treatment and prophylaxis.</w:t>
      </w:r>
    </w:p>
    <w:p w:rsidR="00E00B2E" w:rsidRPr="00C0737E" w:rsidRDefault="00E00B2E" w:rsidP="000F0544">
      <w:pPr>
        <w:spacing w:line="240" w:lineRule="auto"/>
      </w:pPr>
      <w:r w:rsidRPr="00C0737E">
        <w:t xml:space="preserve">At the time of its recommendation, PBAC (March 2015) considered that duration of therapy was a significant source of uncertainty, and that there was a risk that patients would persist on treatment in the absence of clear additional clinical benefit. There has been a modest increase in the duration of treatment following the availability of the </w:t>
      </w:r>
      <w:proofErr w:type="spellStart"/>
      <w:r w:rsidRPr="00C0737E">
        <w:t>posaconazole</w:t>
      </w:r>
      <w:proofErr w:type="spellEnd"/>
      <w:r w:rsidRPr="00C0737E">
        <w:t xml:space="preserve"> tablet formulation with the median length of treatment for both the prophylaxis and treatment determined to be 96 and 84 days, respectively. DUSC considered that the median duration of therapy for prophylaxis was consistent with guidelines for graft versus host disease in allogeneic HSCT patients, but may be longer than expected for anticipated neutropenia post chemotherapy for acute myeloid leukaemia or myelodysplastic syndromes. The report noted that an analysis of co-prescribed therapies (such as use of </w:t>
      </w:r>
      <w:proofErr w:type="spellStart"/>
      <w:r w:rsidRPr="00C0737E">
        <w:t>azacitidine</w:t>
      </w:r>
      <w:proofErr w:type="spellEnd"/>
      <w:r w:rsidRPr="00C0737E">
        <w:t xml:space="preserve"> to identify MDS or AML patients) could be undertaken if the DUSC or the PBAC consider it warranted. Clinical advice would be required on the range of PBS medicines that could identify MDS and AML patients, and whether patients without these medicines could be assumed to be </w:t>
      </w:r>
      <w:proofErr w:type="spellStart"/>
      <w:r w:rsidRPr="00C0737E">
        <w:t>AlloHSCT</w:t>
      </w:r>
      <w:proofErr w:type="spellEnd"/>
      <w:r w:rsidRPr="00C0737E">
        <w:t xml:space="preserve"> patients with GVHD. There may be challenges in assigning an indication for restricted benefit or unrestricted chemotherapy agents. The analysis of co-prescribed therapies may shed some light on use of </w:t>
      </w:r>
      <w:proofErr w:type="spellStart"/>
      <w:r w:rsidRPr="00C0737E">
        <w:t>posaconazole</w:t>
      </w:r>
      <w:proofErr w:type="spellEnd"/>
      <w:r w:rsidRPr="00C0737E">
        <w:t xml:space="preserve"> for non-PBS subsidised populations. Although DUSC considered that such an analysis may shed some light on how </w:t>
      </w:r>
      <w:proofErr w:type="spellStart"/>
      <w:r w:rsidRPr="00C0737E">
        <w:t>posaconazole</w:t>
      </w:r>
      <w:proofErr w:type="spellEnd"/>
      <w:r w:rsidRPr="00C0737E">
        <w:t xml:space="preserve"> is being used in practice, overall DUSC did not think the analysis would be sufficiently definitive given that there are a number of different chemotherapy protocols for AML.</w:t>
      </w:r>
    </w:p>
    <w:p w:rsidR="00E00B2E" w:rsidRPr="00C0737E" w:rsidRDefault="00E00B2E" w:rsidP="000F0544">
      <w:pPr>
        <w:spacing w:line="240" w:lineRule="auto"/>
      </w:pPr>
      <w:r w:rsidRPr="00C0737E">
        <w:t xml:space="preserve">DUSC considered that the median duration for treatment is consistent with guidelines of invasive aspergillosis and </w:t>
      </w:r>
      <w:proofErr w:type="spellStart"/>
      <w:r w:rsidRPr="00C0737E">
        <w:t>fusariosis</w:t>
      </w:r>
      <w:proofErr w:type="spellEnd"/>
      <w:r w:rsidRPr="00C0737E">
        <w:t xml:space="preserve">, although duration of treatment is dependent on patient response. The sponsor response stated that the estimated median duration of treatment with </w:t>
      </w:r>
      <w:proofErr w:type="spellStart"/>
      <w:r w:rsidRPr="00C0737E">
        <w:t>posaconazole</w:t>
      </w:r>
      <w:proofErr w:type="spellEnd"/>
      <w:r w:rsidRPr="00C0737E">
        <w:t xml:space="preserve"> is within the recommended guidelines for prophylaxis and treatment of fungal infections. The sponsor response also noted that duration of treatment with </w:t>
      </w:r>
      <w:proofErr w:type="spellStart"/>
      <w:r w:rsidRPr="00C0737E">
        <w:t>posaconazole</w:t>
      </w:r>
      <w:proofErr w:type="spellEnd"/>
      <w:r w:rsidRPr="00C0737E">
        <w:t xml:space="preserve"> tablets may be longer than the duration of treatment with </w:t>
      </w:r>
      <w:proofErr w:type="spellStart"/>
      <w:r w:rsidRPr="00C0737E">
        <w:t>posaconazole</w:t>
      </w:r>
      <w:proofErr w:type="spellEnd"/>
      <w:r w:rsidRPr="00C0737E">
        <w:t xml:space="preserve"> oral solution due to ease of use, allowing patients to fully complete their treatment regime. DUSC noted that the Australasian Society of Infectious Diseases has been requested to provide advice on the appropriate duration of therapy for both treatment and prophyl</w:t>
      </w:r>
      <w:r w:rsidR="0036675D">
        <w:t>axis prior to the PBAC meeting.</w:t>
      </w:r>
    </w:p>
    <w:p w:rsidR="00E00B2E" w:rsidRPr="00C0737E" w:rsidRDefault="00E00B2E" w:rsidP="000F0544">
      <w:pPr>
        <w:spacing w:line="240" w:lineRule="auto"/>
      </w:pPr>
      <w:r w:rsidRPr="00C0737E">
        <w:lastRenderedPageBreak/>
        <w:t xml:space="preserve">DUSC commented that it is difficult to assess if use of </w:t>
      </w:r>
      <w:proofErr w:type="spellStart"/>
      <w:r w:rsidRPr="00C0737E">
        <w:t>posaconazole</w:t>
      </w:r>
      <w:proofErr w:type="spellEnd"/>
      <w:r w:rsidRPr="00C0737E">
        <w:t xml:space="preserve"> in the treatment indication is appropriate. The analysis noted that for the treatment indications, PBS subsidy of </w:t>
      </w:r>
      <w:proofErr w:type="spellStart"/>
      <w:r w:rsidRPr="00C0737E">
        <w:t>posaconazole</w:t>
      </w:r>
      <w:proofErr w:type="spellEnd"/>
      <w:r w:rsidRPr="00C0737E">
        <w:t xml:space="preserve"> is restricted to patients who are unable to tolerate or have disease refractory to alternative therapy. The assessment of whether alternative treatment has been used prior to </w:t>
      </w:r>
      <w:proofErr w:type="spellStart"/>
      <w:r w:rsidRPr="00C0737E">
        <w:t>posaconazole</w:t>
      </w:r>
      <w:proofErr w:type="spellEnd"/>
      <w:r w:rsidRPr="00C0737E">
        <w:t xml:space="preserve"> is limited because many of the alternative therapies are not PBS listed (amphotericin B lipid complex, liposomal amphotericin B, </w:t>
      </w:r>
      <w:proofErr w:type="spellStart"/>
      <w:r w:rsidRPr="00C0737E">
        <w:t>caspofungin</w:t>
      </w:r>
      <w:proofErr w:type="spellEnd"/>
      <w:r w:rsidRPr="00C0737E">
        <w:t xml:space="preserve">) and therefore not visible in the PBS data. In addition, therapies that are PBS listed but provided in a public hospital inpatient setting will also not be captured in PBS data. Further, the definition of ‘intolerant to’ alternative therapies is not defined and may be broadly interpreted given the adverse event profiles and monitoring requirements. The sponsor response stated that the definition of ‘intolerant to’ should remain broadly interpreted, as there are a multitude of reasons for which a patient may be discontinued from using other agents for the treatment of fungal infections. The sponsor was of the view that it would be inappropriate to restrict the definition of “unable to tolerate” in order to further restrict use of </w:t>
      </w:r>
      <w:proofErr w:type="spellStart"/>
      <w:r w:rsidRPr="00C0737E">
        <w:t>posaconazole</w:t>
      </w:r>
      <w:proofErr w:type="spellEnd"/>
      <w:r w:rsidRPr="00C0737E">
        <w:t xml:space="preserve">, as clinician judgement is sufficient in this high risk patient population. </w:t>
      </w:r>
    </w:p>
    <w:p w:rsidR="00E00B2E" w:rsidRPr="00C0737E" w:rsidRDefault="00E00B2E" w:rsidP="000F0544">
      <w:pPr>
        <w:spacing w:line="240" w:lineRule="auto"/>
      </w:pPr>
      <w:r w:rsidRPr="00C0737E">
        <w:t xml:space="preserve">The analysis noted that the utilisation of </w:t>
      </w:r>
      <w:proofErr w:type="spellStart"/>
      <w:r w:rsidRPr="00C0737E">
        <w:t>posaconazole</w:t>
      </w:r>
      <w:proofErr w:type="spellEnd"/>
      <w:r w:rsidRPr="00C0737E">
        <w:t xml:space="preserve"> tablets was substantially underestimated. The analysis suggested that the underestimation is due to growth in the </w:t>
      </w:r>
      <w:proofErr w:type="spellStart"/>
      <w:r w:rsidRPr="00C0737E">
        <w:t>posaconazole</w:t>
      </w:r>
      <w:proofErr w:type="spellEnd"/>
      <w:r w:rsidRPr="00C0737E">
        <w:t xml:space="preserve"> market as a result of the tablet formulation listing not being accounted for, and because the rate of uptake of the tablet formulation was underestimated. DUSC commented that the </w:t>
      </w:r>
      <w:proofErr w:type="spellStart"/>
      <w:r w:rsidRPr="00C0737E">
        <w:t>posaconazole</w:t>
      </w:r>
      <w:proofErr w:type="spellEnd"/>
      <w:r w:rsidRPr="00C0737E">
        <w:t xml:space="preserve"> market has expanded substantially following the listing of the tablet formulation. </w:t>
      </w:r>
      <w:r w:rsidR="00C74C98">
        <w:rPr>
          <w:noProof/>
          <w:color w:val="000000"/>
          <w:highlight w:val="black"/>
        </w:rPr>
        <w:t>'''''''''' ''''''''''' '''''' ''''''''''''''''''''''''''' '''''''' '''''' ''''''''''''''''''''''''' ''''''''''''' '''''''' '''''''''''''''''''''' '''''''''' '''''''''''''''''' '''' '''''''' ''' '''''''''''''''' ''''''' ''''''''' ''' ''''''''''''''''' ''''''' ''''''''' ''' ''' ''''''''' ''''''''''''' ''''''''''''' '''' ''''''' '''''''''''''' ''''' '''''' '''''''' ''''''''''''''' ''''''' ''''''''''''' '''''''''''''''''''''''' '''''''''''</w:t>
      </w:r>
      <w:r w:rsidRPr="00C0737E">
        <w:t xml:space="preserve"> The sponsor agreed with the analysis that the increased utilisation of </w:t>
      </w:r>
      <w:proofErr w:type="spellStart"/>
      <w:r w:rsidRPr="00C0737E">
        <w:t>posaconazole</w:t>
      </w:r>
      <w:proofErr w:type="spellEnd"/>
      <w:r w:rsidRPr="00C0737E">
        <w:t xml:space="preserve"> tablets is likely to be due to an increase in the number of patients receiving treatment and prophylaxis, as well as a modest increase in the median time on treatment. The sponsor response stated that risk of uncertainty when listing </w:t>
      </w:r>
      <w:proofErr w:type="spellStart"/>
      <w:r w:rsidRPr="00C0737E">
        <w:t>posaconazole</w:t>
      </w:r>
      <w:proofErr w:type="spellEnd"/>
      <w:r w:rsidRPr="00C0737E">
        <w:t xml:space="preserve"> has been managed by a Risk Sharing Agreement (RSA) between Merck Sharp and Dohme (MSD) and the government and noted that government expenditure associated with increased utilisation has not increased to the same degree.</w:t>
      </w:r>
    </w:p>
    <w:p w:rsidR="00E00B2E" w:rsidRPr="00C0737E" w:rsidRDefault="00E00B2E" w:rsidP="000F0544">
      <w:pPr>
        <w:spacing w:line="240" w:lineRule="auto"/>
      </w:pPr>
      <w:r w:rsidRPr="00C0737E">
        <w:t xml:space="preserve">The use of </w:t>
      </w:r>
      <w:proofErr w:type="spellStart"/>
      <w:r w:rsidRPr="00C0737E">
        <w:t>posaconazole</w:t>
      </w:r>
      <w:proofErr w:type="spellEnd"/>
      <w:r w:rsidRPr="00C0737E">
        <w:t xml:space="preserve"> for treatment of ‘other’ fungal infection indications in the second half of 2017 increased sharply (Figure 2 of the report). DUSC also noted that the most recent three data points (Oct-Dec 2017) showed a trend of increasing utilisation of fluconazole (Appendix B). There is often a seasonal increase in prescription volume at the end of the calendar year due to the effect of the safety net. DUSC requested that use of these medicines be monitored to see if there is a continuing </w:t>
      </w:r>
      <w:r w:rsidR="000F0544">
        <w:t>trend of increased utilisation.</w:t>
      </w:r>
    </w:p>
    <w:p w:rsidR="009E7939" w:rsidRPr="006639B5" w:rsidRDefault="009E7939" w:rsidP="000F0544">
      <w:pPr>
        <w:spacing w:before="240" w:line="240" w:lineRule="auto"/>
        <w:rPr>
          <w:rFonts w:ascii="Calibri" w:hAnsi="Calibri" w:cs="Calibri"/>
          <w:b/>
          <w:sz w:val="32"/>
          <w:szCs w:val="32"/>
        </w:rPr>
      </w:pPr>
      <w:r w:rsidRPr="006639B5">
        <w:rPr>
          <w:rFonts w:ascii="Calibri" w:hAnsi="Calibri" w:cs="Calibri"/>
          <w:b/>
          <w:sz w:val="32"/>
          <w:szCs w:val="32"/>
        </w:rPr>
        <w:t>DUSC actions</w:t>
      </w:r>
    </w:p>
    <w:p w:rsidR="00CE5F87" w:rsidRPr="00CE5F87" w:rsidRDefault="009E7939" w:rsidP="000F0544">
      <w:pPr>
        <w:pStyle w:val="ListParagraph"/>
        <w:numPr>
          <w:ilvl w:val="0"/>
          <w:numId w:val="42"/>
        </w:numPr>
        <w:spacing w:line="240" w:lineRule="auto"/>
        <w:rPr>
          <w:rFonts w:ascii="Calibri" w:hAnsi="Calibri" w:cs="Calibri"/>
        </w:rPr>
      </w:pPr>
      <w:r>
        <w:rPr>
          <w:rFonts w:ascii="Calibri" w:hAnsi="Calibri" w:cs="Calibri"/>
        </w:rPr>
        <w:t>DUSC requested that the report be provided to the PBAC</w:t>
      </w:r>
    </w:p>
    <w:p w:rsidR="00287F43" w:rsidRPr="006639B5" w:rsidRDefault="00287F43" w:rsidP="000F0544">
      <w:pPr>
        <w:spacing w:before="240" w:line="240" w:lineRule="auto"/>
        <w:rPr>
          <w:rFonts w:ascii="Calibri" w:hAnsi="Calibri" w:cs="Calibri"/>
          <w:b/>
          <w:sz w:val="32"/>
          <w:szCs w:val="28"/>
        </w:rPr>
      </w:pPr>
      <w:r w:rsidRPr="006639B5">
        <w:rPr>
          <w:rFonts w:ascii="Calibri" w:hAnsi="Calibri" w:cs="Calibri"/>
          <w:b/>
          <w:sz w:val="32"/>
          <w:szCs w:val="28"/>
        </w:rPr>
        <w:t>Context for analysis</w:t>
      </w:r>
    </w:p>
    <w:p w:rsidR="00287F43" w:rsidRDefault="00287F43" w:rsidP="000F0544">
      <w:pPr>
        <w:spacing w:line="240" w:lineRule="auto"/>
      </w:pPr>
      <w:r>
        <w:t>The DUSC is a Sub Committee of the Pharmaceutical Benefits Advisory Committee (PBAC). The DUSC assesses estimates on projected usage and financial cost of medicines.</w:t>
      </w:r>
    </w:p>
    <w:p w:rsidR="00287F43" w:rsidRDefault="00287F43" w:rsidP="000F0544">
      <w:pPr>
        <w:spacing w:line="240" w:lineRule="auto"/>
      </w:pPr>
      <w:r>
        <w:lastRenderedPageBreak/>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287F43" w:rsidRDefault="00287F43" w:rsidP="000F0544">
      <w:pPr>
        <w:spacing w:line="240" w:lineRule="auto"/>
      </w:pPr>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287F43" w:rsidRDefault="00287F43" w:rsidP="000F0544">
      <w:pPr>
        <w:spacing w:line="240" w:lineRule="auto"/>
      </w:pPr>
      <w:r>
        <w:t>The utilisation analysis report was provided to the pharmaceutical sponsors of each drug and comments on the report were provided to DUSC prior to its consideration of the analysis.</w:t>
      </w:r>
    </w:p>
    <w:p w:rsidR="00287F43" w:rsidRPr="006639B5" w:rsidRDefault="00287F43" w:rsidP="000F0544">
      <w:pPr>
        <w:pStyle w:val="Heading1"/>
        <w:keepNext w:val="0"/>
        <w:keepLines w:val="0"/>
        <w:spacing w:before="240" w:after="200" w:line="240" w:lineRule="auto"/>
        <w:rPr>
          <w:rFonts w:ascii="Calibri" w:hAnsi="Calibri" w:cs="Calibri"/>
          <w:sz w:val="32"/>
        </w:rPr>
      </w:pPr>
      <w:r w:rsidRPr="006639B5">
        <w:rPr>
          <w:rFonts w:ascii="Calibri" w:hAnsi="Calibri" w:cs="Calibri"/>
          <w:sz w:val="32"/>
        </w:rPr>
        <w:t>Sponsors’ comments</w:t>
      </w:r>
    </w:p>
    <w:p w:rsidR="00287F43" w:rsidRDefault="00287F43" w:rsidP="000F0544">
      <w:pPr>
        <w:spacing w:line="240" w:lineRule="auto"/>
      </w:pPr>
      <w:r w:rsidRPr="00D15AB8">
        <w:t xml:space="preserve">Merck Sharp and Dohme Pty Ltd: </w:t>
      </w:r>
      <w:r w:rsidR="00D15AB8" w:rsidRPr="00D15AB8">
        <w:t>The sponsor ha</w:t>
      </w:r>
      <w:r w:rsidR="00D57EB6">
        <w:t>s</w:t>
      </w:r>
      <w:r w:rsidR="00D15AB8" w:rsidRPr="00D15AB8">
        <w:t xml:space="preserve"> no comment.</w:t>
      </w:r>
    </w:p>
    <w:p w:rsidR="000F0544" w:rsidRDefault="000F0544" w:rsidP="000F0544">
      <w:pPr>
        <w:pStyle w:val="Heading1"/>
        <w:keepNext w:val="0"/>
        <w:keepLines w:val="0"/>
        <w:spacing w:before="240" w:after="200" w:line="240" w:lineRule="auto"/>
        <w:rPr>
          <w:rFonts w:ascii="Calibri" w:hAnsi="Calibri" w:cs="Calibri"/>
          <w:sz w:val="28"/>
          <w:szCs w:val="32"/>
        </w:rPr>
      </w:pPr>
      <w:r>
        <w:rPr>
          <w:rFonts w:ascii="Calibri" w:hAnsi="Calibri" w:cs="Calibri"/>
          <w:sz w:val="28"/>
          <w:szCs w:val="32"/>
        </w:rPr>
        <w:br w:type="page"/>
      </w:r>
    </w:p>
    <w:p w:rsidR="00C726D8" w:rsidRPr="006639B5" w:rsidRDefault="00C726D8" w:rsidP="000F0544">
      <w:pPr>
        <w:pStyle w:val="Heading1"/>
        <w:keepNext w:val="0"/>
        <w:keepLines w:val="0"/>
        <w:spacing w:before="240" w:after="200" w:line="240" w:lineRule="auto"/>
        <w:rPr>
          <w:rFonts w:ascii="Calibri" w:hAnsi="Calibri" w:cs="Calibri"/>
          <w:sz w:val="28"/>
          <w:szCs w:val="32"/>
        </w:rPr>
      </w:pPr>
      <w:r w:rsidRPr="006639B5">
        <w:rPr>
          <w:rFonts w:ascii="Calibri" w:hAnsi="Calibri" w:cs="Calibri"/>
          <w:sz w:val="32"/>
          <w:szCs w:val="32"/>
        </w:rPr>
        <w:lastRenderedPageBreak/>
        <w:t>Disclaimer</w:t>
      </w:r>
    </w:p>
    <w:p w:rsidR="00C726D8" w:rsidRDefault="00C726D8" w:rsidP="000F0544">
      <w:pPr>
        <w:spacing w:line="240" w:lineRule="auto"/>
      </w:pPr>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726D8" w:rsidRDefault="00C726D8" w:rsidP="000F0544">
      <w:pPr>
        <w:spacing w:line="240" w:lineRule="auto"/>
      </w:pPr>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726D8" w:rsidRDefault="00C726D8" w:rsidP="000F0544">
      <w:pPr>
        <w:spacing w:line="240" w:lineRule="auto"/>
      </w:pPr>
      <w:r>
        <w:t xml:space="preserve">To the extent provided by law, </w:t>
      </w:r>
      <w:proofErr w:type="spellStart"/>
      <w:r>
        <w:t>DoH</w:t>
      </w:r>
      <w:proofErr w:type="spellEnd"/>
      <w:r>
        <w:t xml:space="preserve"> makes no warranties or representations as to accuracy or completeness of information contained in this report. </w:t>
      </w:r>
    </w:p>
    <w:p w:rsidR="00C726D8" w:rsidRPr="00287F43" w:rsidRDefault="00C726D8" w:rsidP="000F0544">
      <w:pPr>
        <w:spacing w:line="240" w:lineRule="auto"/>
      </w:pPr>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2322DF" w:rsidRDefault="00304403" w:rsidP="000F0544">
      <w:pPr>
        <w:spacing w:before="240" w:line="240" w:lineRule="auto"/>
      </w:pPr>
      <w:r>
        <w:br w:type="page"/>
      </w:r>
    </w:p>
    <w:p w:rsidR="002C6E0C" w:rsidRPr="006639B5" w:rsidRDefault="00304403" w:rsidP="000F0544">
      <w:pPr>
        <w:spacing w:before="240" w:line="240" w:lineRule="auto"/>
        <w:rPr>
          <w:b/>
          <w:sz w:val="32"/>
          <w:szCs w:val="28"/>
        </w:rPr>
      </w:pPr>
      <w:r w:rsidRPr="006639B5">
        <w:rPr>
          <w:b/>
          <w:sz w:val="32"/>
          <w:szCs w:val="28"/>
        </w:rPr>
        <w:lastRenderedPageBreak/>
        <w:t>Appendix A</w:t>
      </w:r>
    </w:p>
    <w:p w:rsidR="00304403" w:rsidRDefault="00304403" w:rsidP="000F0544">
      <w:pPr>
        <w:spacing w:line="240" w:lineRule="auto"/>
      </w:pPr>
      <w:r w:rsidRPr="00304403">
        <w:t>There are currently four azole antifungal medicines listed on the PBS</w:t>
      </w:r>
      <w:r>
        <w:t>:</w:t>
      </w:r>
      <w:r w:rsidRPr="00304403">
        <w:t xml:space="preserve"> fluconazole, </w:t>
      </w:r>
      <w:proofErr w:type="spellStart"/>
      <w:r w:rsidRPr="00304403">
        <w:t>itraconazole</w:t>
      </w:r>
      <w:proofErr w:type="spellEnd"/>
      <w:r w:rsidRPr="00304403">
        <w:t xml:space="preserve">, </w:t>
      </w:r>
      <w:proofErr w:type="spellStart"/>
      <w:r w:rsidRPr="00304403">
        <w:t>posaconazole</w:t>
      </w:r>
      <w:proofErr w:type="spellEnd"/>
      <w:r w:rsidRPr="00304403">
        <w:t xml:space="preserve"> and </w:t>
      </w:r>
      <w:proofErr w:type="spellStart"/>
      <w:r w:rsidRPr="00304403">
        <w:t>voriconazole</w:t>
      </w:r>
      <w:proofErr w:type="spellEnd"/>
      <w:r w:rsidRPr="00304403">
        <w:t xml:space="preserve">. </w:t>
      </w:r>
      <w:r>
        <w:t xml:space="preserve">Of the currently listed azole antifungal medicines, only </w:t>
      </w:r>
      <w:proofErr w:type="spellStart"/>
      <w:r>
        <w:t>voriconazole</w:t>
      </w:r>
      <w:proofErr w:type="spellEnd"/>
      <w:r>
        <w:t xml:space="preserve"> and </w:t>
      </w:r>
      <w:proofErr w:type="spellStart"/>
      <w:r>
        <w:t>posaconazole</w:t>
      </w:r>
      <w:proofErr w:type="spellEnd"/>
      <w:r>
        <w:t xml:space="preserve"> are listed for prophylaxis. </w:t>
      </w:r>
    </w:p>
    <w:p w:rsidR="00304403" w:rsidRDefault="00304403" w:rsidP="000F0544">
      <w:pPr>
        <w:spacing w:line="240" w:lineRule="auto"/>
        <w:rPr>
          <w:rStyle w:val="Hyperlink"/>
        </w:rPr>
      </w:pPr>
      <w:r w:rsidRPr="00304403">
        <w:t>A summary of PBS restrictions is provided below</w:t>
      </w:r>
      <w:r w:rsidR="0092719E">
        <w:t xml:space="preserve"> for </w:t>
      </w:r>
      <w:proofErr w:type="spellStart"/>
      <w:r w:rsidR="0092719E">
        <w:t>voriconazole</w:t>
      </w:r>
      <w:proofErr w:type="spellEnd"/>
      <w:r w:rsidR="0092719E">
        <w:t xml:space="preserve">, </w:t>
      </w:r>
      <w:proofErr w:type="spellStart"/>
      <w:r w:rsidR="0092719E">
        <w:t>itraconazole</w:t>
      </w:r>
      <w:proofErr w:type="spellEnd"/>
      <w:r w:rsidR="0092719E">
        <w:t xml:space="preserve"> and fluconazole</w:t>
      </w:r>
      <w:r w:rsidRPr="00304403">
        <w:t>.</w:t>
      </w:r>
      <w:r>
        <w:rPr>
          <w:b/>
        </w:rPr>
        <w:t xml:space="preserve"> </w:t>
      </w:r>
      <w:r w:rsidRPr="006775F1">
        <w:t xml:space="preserve">For </w:t>
      </w:r>
      <w:r>
        <w:t xml:space="preserve">full details of the current PBS listing refer to the </w:t>
      </w:r>
      <w:r w:rsidRPr="00C74C98">
        <w:t>PBS website</w:t>
      </w:r>
      <w:r>
        <w:rPr>
          <w:rStyle w:val="Hyperlink"/>
        </w:rPr>
        <w:t>.</w:t>
      </w:r>
    </w:p>
    <w:p w:rsidR="00304403" w:rsidRDefault="00304403" w:rsidP="000F0544">
      <w:pPr>
        <w:spacing w:line="240" w:lineRule="auto"/>
        <w:rPr>
          <w:b/>
        </w:rPr>
      </w:pPr>
      <w:r>
        <w:t>Fluconazole is a restricted benefit for:</w:t>
      </w:r>
    </w:p>
    <w:p w:rsidR="00304403" w:rsidRPr="00992D61" w:rsidRDefault="00304403" w:rsidP="000F0544">
      <w:pPr>
        <w:pStyle w:val="ListParagraph"/>
        <w:numPr>
          <w:ilvl w:val="0"/>
          <w:numId w:val="37"/>
        </w:numPr>
        <w:spacing w:line="240" w:lineRule="auto"/>
        <w:rPr>
          <w:b/>
        </w:rPr>
      </w:pPr>
      <w:proofErr w:type="spellStart"/>
      <w:r>
        <w:t>Cryptococcal</w:t>
      </w:r>
      <w:proofErr w:type="spellEnd"/>
      <w:r>
        <w:t xml:space="preserve"> meningitis </w:t>
      </w:r>
    </w:p>
    <w:p w:rsidR="00304403" w:rsidRPr="00992D61" w:rsidRDefault="00304403" w:rsidP="000F0544">
      <w:pPr>
        <w:pStyle w:val="ListParagraph"/>
        <w:numPr>
          <w:ilvl w:val="0"/>
          <w:numId w:val="37"/>
        </w:numPr>
        <w:spacing w:line="240" w:lineRule="auto"/>
        <w:rPr>
          <w:b/>
        </w:rPr>
      </w:pPr>
      <w:r>
        <w:t xml:space="preserve">Maintenance therapy of </w:t>
      </w:r>
      <w:proofErr w:type="spellStart"/>
      <w:r>
        <w:t>cryptococcal</w:t>
      </w:r>
      <w:proofErr w:type="spellEnd"/>
      <w:r>
        <w:t xml:space="preserve"> meningitis in immunosuppressed patients</w:t>
      </w:r>
    </w:p>
    <w:p w:rsidR="00304403" w:rsidRPr="00992D61" w:rsidRDefault="00304403" w:rsidP="000F0544">
      <w:pPr>
        <w:pStyle w:val="ListParagraph"/>
        <w:numPr>
          <w:ilvl w:val="0"/>
          <w:numId w:val="37"/>
        </w:numPr>
        <w:spacing w:line="240" w:lineRule="auto"/>
        <w:rPr>
          <w:b/>
        </w:rPr>
      </w:pPr>
      <w:r>
        <w:t xml:space="preserve">Oropharyngeal and oesophageal candidiasis in immunosuppressed patients </w:t>
      </w:r>
    </w:p>
    <w:p w:rsidR="00304403" w:rsidRPr="00992D61" w:rsidRDefault="00304403" w:rsidP="000F0544">
      <w:pPr>
        <w:pStyle w:val="ListParagraph"/>
        <w:numPr>
          <w:ilvl w:val="0"/>
          <w:numId w:val="37"/>
        </w:numPr>
        <w:spacing w:line="240" w:lineRule="auto"/>
        <w:rPr>
          <w:b/>
        </w:rPr>
      </w:pPr>
      <w:r>
        <w:t>Prophylaxis of oropharyngeal candidiasis in immunosuppressed patients</w:t>
      </w:r>
    </w:p>
    <w:p w:rsidR="00304403" w:rsidRPr="00992D61" w:rsidRDefault="00304403" w:rsidP="000F0544">
      <w:pPr>
        <w:pStyle w:val="ListParagraph"/>
        <w:numPr>
          <w:ilvl w:val="0"/>
          <w:numId w:val="37"/>
        </w:numPr>
        <w:spacing w:line="240" w:lineRule="auto"/>
        <w:rPr>
          <w:b/>
        </w:rPr>
      </w:pPr>
      <w:r>
        <w:t>Serious or life-threatening Candida infections</w:t>
      </w:r>
    </w:p>
    <w:p w:rsidR="00304403" w:rsidRDefault="00304403" w:rsidP="000F0544">
      <w:pPr>
        <w:spacing w:line="240" w:lineRule="auto"/>
      </w:pPr>
      <w:proofErr w:type="spellStart"/>
      <w:r>
        <w:t>Itraconazole</w:t>
      </w:r>
      <w:proofErr w:type="spellEnd"/>
      <w:r>
        <w:t xml:space="preserve"> is a restricted benefit for:</w:t>
      </w:r>
    </w:p>
    <w:p w:rsidR="00304403" w:rsidRDefault="00304403" w:rsidP="000F0544">
      <w:pPr>
        <w:pStyle w:val="ListParagraph"/>
        <w:numPr>
          <w:ilvl w:val="0"/>
          <w:numId w:val="38"/>
        </w:numPr>
        <w:spacing w:line="240" w:lineRule="auto"/>
      </w:pPr>
      <w:r>
        <w:t xml:space="preserve">Systemic aspergillosis, Systemic </w:t>
      </w:r>
      <w:proofErr w:type="spellStart"/>
      <w:r>
        <w:t>sporotrichosis</w:t>
      </w:r>
      <w:proofErr w:type="spellEnd"/>
      <w:r>
        <w:t xml:space="preserve"> &amp; Systemic histoplasmosis</w:t>
      </w:r>
    </w:p>
    <w:p w:rsidR="00304403" w:rsidRDefault="00304403" w:rsidP="000F0544">
      <w:pPr>
        <w:pStyle w:val="ListParagraph"/>
        <w:numPr>
          <w:ilvl w:val="0"/>
          <w:numId w:val="38"/>
        </w:numPr>
        <w:spacing w:line="240" w:lineRule="auto"/>
      </w:pPr>
      <w:r>
        <w:t>Treatment and maintenance therapy of disseminated pulmonary histoplasmosis infection in patients with AIDS</w:t>
      </w:r>
    </w:p>
    <w:p w:rsidR="00304403" w:rsidRDefault="00304403" w:rsidP="000F0544">
      <w:pPr>
        <w:pStyle w:val="ListParagraph"/>
        <w:numPr>
          <w:ilvl w:val="0"/>
          <w:numId w:val="38"/>
        </w:numPr>
        <w:spacing w:line="240" w:lineRule="auto"/>
      </w:pPr>
      <w:r>
        <w:t>Treatment and maintenance therapy of chronic pulmonary histoplasmosis infection in patients with AIDS</w:t>
      </w:r>
    </w:p>
    <w:p w:rsidR="00304403" w:rsidRPr="00C32521" w:rsidRDefault="00304403" w:rsidP="000F0544">
      <w:pPr>
        <w:pStyle w:val="ListParagraph"/>
        <w:numPr>
          <w:ilvl w:val="0"/>
          <w:numId w:val="38"/>
        </w:numPr>
        <w:spacing w:line="240" w:lineRule="auto"/>
      </w:pPr>
      <w:r>
        <w:t xml:space="preserve">Oropharyngeal and oesophageal candidiasis in immunosuppressed patients.  </w:t>
      </w:r>
    </w:p>
    <w:p w:rsidR="00304403" w:rsidRDefault="00304403" w:rsidP="000F0544">
      <w:pPr>
        <w:spacing w:line="240" w:lineRule="auto"/>
        <w:rPr>
          <w:b/>
        </w:rPr>
      </w:pPr>
      <w:proofErr w:type="spellStart"/>
      <w:r>
        <w:t>Voriconazole</w:t>
      </w:r>
      <w:proofErr w:type="spellEnd"/>
      <w:r>
        <w:t xml:space="preserve"> is an authority required benefit for treatment and maintenance therapy of the following:</w:t>
      </w:r>
    </w:p>
    <w:p w:rsidR="00304403" w:rsidRDefault="00304403" w:rsidP="000F0544">
      <w:pPr>
        <w:pStyle w:val="ListParagraph"/>
        <w:numPr>
          <w:ilvl w:val="0"/>
          <w:numId w:val="39"/>
        </w:numPr>
        <w:spacing w:line="240" w:lineRule="auto"/>
      </w:pPr>
      <w:r>
        <w:t>Definite or probable invasive aspergillosis in immunocompromised patients</w:t>
      </w:r>
    </w:p>
    <w:p w:rsidR="00304403" w:rsidRDefault="00304403" w:rsidP="000F0544">
      <w:pPr>
        <w:pStyle w:val="ListParagraph"/>
        <w:numPr>
          <w:ilvl w:val="0"/>
          <w:numId w:val="39"/>
        </w:numPr>
        <w:spacing w:line="240" w:lineRule="auto"/>
      </w:pPr>
      <w:r>
        <w:t xml:space="preserve">Serious fungal infections caused by </w:t>
      </w:r>
      <w:proofErr w:type="spellStart"/>
      <w:r>
        <w:t>Scedosporium</w:t>
      </w:r>
      <w:proofErr w:type="spellEnd"/>
      <w:r>
        <w:t xml:space="preserve"> or Fusarium species</w:t>
      </w:r>
    </w:p>
    <w:p w:rsidR="00304403" w:rsidRDefault="00304403" w:rsidP="000F0544">
      <w:pPr>
        <w:pStyle w:val="ListParagraph"/>
        <w:numPr>
          <w:ilvl w:val="0"/>
          <w:numId w:val="39"/>
        </w:numPr>
        <w:spacing w:line="240" w:lineRule="auto"/>
      </w:pPr>
      <w:r>
        <w:t>Serious Candida infections that are not susceptible or resistant  to fluconazole or for patients unable to tolerate fluconazole</w:t>
      </w:r>
    </w:p>
    <w:p w:rsidR="00304403" w:rsidRDefault="00304403" w:rsidP="000F0544">
      <w:pPr>
        <w:pStyle w:val="ListParagraph"/>
        <w:numPr>
          <w:ilvl w:val="0"/>
          <w:numId w:val="39"/>
        </w:numPr>
        <w:spacing w:line="240" w:lineRule="auto"/>
      </w:pPr>
      <w:r>
        <w:t>Serious invasive mycosis infections (other than invasive aspergillosis).</w:t>
      </w:r>
    </w:p>
    <w:p w:rsidR="006665F5" w:rsidRDefault="00304403" w:rsidP="000F0544">
      <w:pPr>
        <w:spacing w:line="240" w:lineRule="auto"/>
      </w:pPr>
      <w:proofErr w:type="spellStart"/>
      <w:r>
        <w:t>Voriconazole</w:t>
      </w:r>
      <w:proofErr w:type="spellEnd"/>
      <w:r>
        <w:t xml:space="preserve"> is</w:t>
      </w:r>
      <w:r w:rsidR="006665F5">
        <w:t xml:space="preserve"> also</w:t>
      </w:r>
      <w:r>
        <w:t xml:space="preserve"> listed for prophylaxis of invasive fungal infections including both yeasts and moulds in </w:t>
      </w:r>
      <w:r w:rsidR="006665F5">
        <w:t>the following</w:t>
      </w:r>
      <w:r>
        <w:t xml:space="preserve"> </w:t>
      </w:r>
      <w:r w:rsidR="006665F5">
        <w:t>patient groups:</w:t>
      </w:r>
    </w:p>
    <w:p w:rsidR="006665F5" w:rsidRPr="002B671B" w:rsidRDefault="006665F5" w:rsidP="000F0544">
      <w:pPr>
        <w:pStyle w:val="ListParagraph"/>
        <w:numPr>
          <w:ilvl w:val="0"/>
          <w:numId w:val="40"/>
        </w:numPr>
        <w:spacing w:line="240" w:lineRule="auto"/>
        <w:ind w:left="714" w:hanging="357"/>
      </w:pPr>
      <w:r w:rsidRPr="002B671B">
        <w:t xml:space="preserve">at high risk of developing an invasive fungal infection due to anticipated neutropenia (an absolute neutrophil count less than 500 cells per cubic millimetre) for at least 10 days whilst receiving chemotherapy for acute myeloid leukaemia or myelodysplastic syndrome; OR </w:t>
      </w:r>
    </w:p>
    <w:p w:rsidR="006665F5" w:rsidRPr="002B671B" w:rsidRDefault="006665F5" w:rsidP="000F0544">
      <w:pPr>
        <w:pStyle w:val="ListParagraph"/>
        <w:numPr>
          <w:ilvl w:val="0"/>
          <w:numId w:val="40"/>
        </w:numPr>
        <w:spacing w:line="240" w:lineRule="auto"/>
      </w:pPr>
      <w:r w:rsidRPr="002B671B">
        <w:t xml:space="preserve">at high risk of developing an invasive fungal infection due to having acute graft versus host disease (GVHD) grade II, III or IV, or, extensive chronic GVHD, whilst receiving intensive immunosuppressive therapy after allogeneic haematopoietic stem cell transplant; OR </w:t>
      </w:r>
    </w:p>
    <w:p w:rsidR="006665F5" w:rsidRPr="006665F5" w:rsidRDefault="006665F5" w:rsidP="000F0544">
      <w:pPr>
        <w:pStyle w:val="ListParagraph"/>
        <w:numPr>
          <w:ilvl w:val="0"/>
          <w:numId w:val="40"/>
        </w:numPr>
        <w:spacing w:line="240" w:lineRule="auto"/>
      </w:pPr>
      <w:r w:rsidRPr="002B671B">
        <w:t xml:space="preserve">undergoing allogeneic haematopoietic stem cell transplant using either bone marrow from an unrelated donor or umbilical cord blood (related or unrelated), </w:t>
      </w:r>
      <w:r w:rsidRPr="002B671B">
        <w:lastRenderedPageBreak/>
        <w:t xml:space="preserve">and, be considered to be at high risk of developing an invasive fungal infection during the neutropenic phase prior to engraftment. </w:t>
      </w:r>
    </w:p>
    <w:p w:rsidR="006665F5" w:rsidRPr="002B671B" w:rsidRDefault="006665F5" w:rsidP="000F0544">
      <w:pPr>
        <w:pStyle w:val="ListParagraph"/>
        <w:numPr>
          <w:ilvl w:val="0"/>
          <w:numId w:val="40"/>
        </w:numPr>
        <w:spacing w:line="240" w:lineRule="auto"/>
      </w:pPr>
      <w:r w:rsidRPr="002B671B">
        <w:t xml:space="preserve">A note to the restriction allows patients with graft versus host disease, acute myeloid leukaemia or myelodysplastic syndrome, applications for an increased maximum quantity to allow for up to 1 month's treatment and repeats sufficient for up to 6 months' treatment to be authorised. </w:t>
      </w:r>
    </w:p>
    <w:p w:rsidR="006665F5" w:rsidRPr="002B671B" w:rsidRDefault="006665F5" w:rsidP="0036675D">
      <w:pPr>
        <w:pStyle w:val="ListParagraph"/>
        <w:numPr>
          <w:ilvl w:val="0"/>
          <w:numId w:val="40"/>
        </w:numPr>
        <w:spacing w:line="240" w:lineRule="auto"/>
        <w:ind w:left="714" w:hanging="357"/>
      </w:pPr>
      <w:r w:rsidRPr="002B671B">
        <w:t xml:space="preserve">For patients undergoing allogeneic haematopoietic stem cell transplant, applications for an increased maximum quantity to allow for up to 1 month's treatment and repeats sufficient for up to 2 months' treatment may be authorised. </w:t>
      </w:r>
    </w:p>
    <w:p w:rsidR="00304403" w:rsidRDefault="00304403" w:rsidP="000F0544">
      <w:pPr>
        <w:pStyle w:val="NormalWeb"/>
        <w:numPr>
          <w:ilvl w:val="0"/>
          <w:numId w:val="29"/>
        </w:numPr>
        <w:spacing w:line="240" w:lineRule="auto"/>
        <w:ind w:left="375"/>
      </w:pPr>
      <w:r>
        <w:br w:type="page"/>
      </w:r>
    </w:p>
    <w:p w:rsidR="00304403" w:rsidRPr="006639B5" w:rsidRDefault="00304403" w:rsidP="000F0544">
      <w:pPr>
        <w:pStyle w:val="Heading4"/>
        <w:spacing w:line="240" w:lineRule="auto"/>
        <w:rPr>
          <w:szCs w:val="28"/>
        </w:rPr>
      </w:pPr>
      <w:r w:rsidRPr="006639B5">
        <w:rPr>
          <w:szCs w:val="28"/>
        </w:rPr>
        <w:lastRenderedPageBreak/>
        <w:t>Appendix B</w:t>
      </w:r>
    </w:p>
    <w:p w:rsidR="00304403" w:rsidRDefault="00304403" w:rsidP="000F0544">
      <w:pPr>
        <w:spacing w:line="240" w:lineRule="auto"/>
      </w:pPr>
      <w:r w:rsidRPr="004C3D6B">
        <w:t>The number of PBS prescriptions for azole antifungal medicines for any indication is provided in Figure </w:t>
      </w:r>
      <w:r>
        <w:t>B</w:t>
      </w:r>
      <w:r w:rsidR="00E10DD1">
        <w:t>.1</w:t>
      </w:r>
      <w:r w:rsidRPr="004C3D6B">
        <w:t>. Topical formulations are excluded.</w:t>
      </w:r>
    </w:p>
    <w:p w:rsidR="0092719E" w:rsidRDefault="0092719E" w:rsidP="000F0544">
      <w:pPr>
        <w:spacing w:after="0" w:line="240" w:lineRule="auto"/>
        <w:rPr>
          <w:sz w:val="20"/>
          <w:szCs w:val="20"/>
        </w:rPr>
      </w:pPr>
      <w:r>
        <w:rPr>
          <w:noProof/>
        </w:rPr>
        <w:drawing>
          <wp:inline distT="0" distB="0" distL="0" distR="0" wp14:anchorId="4C0F8DF4" wp14:editId="0BC5A68E">
            <wp:extent cx="5687695" cy="3716447"/>
            <wp:effectExtent l="0" t="0" r="27305" b="17780"/>
            <wp:docPr id="15" name="Chart 15" descr="PBS prescriptions of azole antifungal medicines (excluding topical)" title="PBS prescriptions of azole antifungal medicines (excluding topical)"/>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719E" w:rsidRDefault="0092719E" w:rsidP="000F0544">
      <w:pPr>
        <w:spacing w:after="0" w:line="240" w:lineRule="auto"/>
        <w:rPr>
          <w:sz w:val="20"/>
          <w:szCs w:val="20"/>
        </w:rPr>
      </w:pPr>
      <w:r>
        <w:rPr>
          <w:b/>
          <w:sz w:val="23"/>
          <w:szCs w:val="23"/>
        </w:rPr>
        <w:t>Figure B.1</w:t>
      </w:r>
      <w:r w:rsidRPr="00A732BB">
        <w:rPr>
          <w:b/>
          <w:sz w:val="23"/>
          <w:szCs w:val="23"/>
        </w:rPr>
        <w:t xml:space="preserve">: </w:t>
      </w:r>
      <w:r w:rsidR="009B073B">
        <w:rPr>
          <w:b/>
          <w:sz w:val="23"/>
          <w:szCs w:val="23"/>
        </w:rPr>
        <w:t>PBS p</w:t>
      </w:r>
      <w:r>
        <w:rPr>
          <w:b/>
          <w:sz w:val="23"/>
          <w:szCs w:val="23"/>
        </w:rPr>
        <w:t xml:space="preserve">rescriptions of </w:t>
      </w:r>
      <w:r w:rsidR="009B073B">
        <w:rPr>
          <w:b/>
          <w:sz w:val="23"/>
          <w:szCs w:val="23"/>
        </w:rPr>
        <w:t>azole antifungal medicines (excluding topical)</w:t>
      </w:r>
    </w:p>
    <w:p w:rsidR="0092719E" w:rsidRDefault="0092719E" w:rsidP="000F0544">
      <w:pPr>
        <w:spacing w:line="240" w:lineRule="auto"/>
      </w:pPr>
      <w:r>
        <w:rPr>
          <w:sz w:val="20"/>
          <w:szCs w:val="20"/>
        </w:rPr>
        <w:t xml:space="preserve">Source: DHS supplied prescriptions database; extracted 09 March 2018. </w:t>
      </w:r>
      <w:r>
        <w:t xml:space="preserve"> </w:t>
      </w:r>
    </w:p>
    <w:p w:rsidR="00D8529C" w:rsidRPr="00ED633B" w:rsidRDefault="009B073B" w:rsidP="000F0544">
      <w:pPr>
        <w:spacing w:line="240" w:lineRule="auto"/>
      </w:pPr>
      <w:r>
        <w:t>The high and increasing utilisation of fluconazole has been considered in detail recently by the DUSC and PBAC</w:t>
      </w:r>
      <w:r w:rsidR="00D8529C">
        <w:t xml:space="preserve"> and is not reconsidered here</w:t>
      </w:r>
      <w:r>
        <w:t>.</w:t>
      </w:r>
      <w:r w:rsidR="00D8529C">
        <w:t xml:space="preserve"> For details of the DUSC </w:t>
      </w:r>
      <w:proofErr w:type="gramStart"/>
      <w:r w:rsidR="00D8529C">
        <w:t>consideration o</w:t>
      </w:r>
      <w:r w:rsidR="0092449D">
        <w:t>f</w:t>
      </w:r>
      <w:r w:rsidR="00D8529C">
        <w:t xml:space="preserve"> antifungals for systemic use refer</w:t>
      </w:r>
      <w:proofErr w:type="gramEnd"/>
      <w:r w:rsidR="00D8529C">
        <w:t xml:space="preserve"> to the </w:t>
      </w:r>
      <w:r w:rsidR="00D8529C" w:rsidRPr="00C74C98">
        <w:t>Public Release Document</w:t>
      </w:r>
      <w:r w:rsidR="00D8529C">
        <w:t xml:space="preserve"> from the September 2016 DUSC meeting and the </w:t>
      </w:r>
      <w:r w:rsidR="00D8529C" w:rsidRPr="00C74C98">
        <w:t>PBAC outcomes</w:t>
      </w:r>
      <w:r w:rsidR="00D8529C">
        <w:t xml:space="preserve"> for March 2018.</w:t>
      </w:r>
    </w:p>
    <w:p w:rsidR="00E10DD1" w:rsidRPr="00304403" w:rsidRDefault="00E10DD1" w:rsidP="000F0544">
      <w:pPr>
        <w:spacing w:line="240" w:lineRule="auto"/>
      </w:pPr>
      <w:r>
        <w:t xml:space="preserve">In Figure B.2 fluconazole and </w:t>
      </w:r>
      <w:proofErr w:type="spellStart"/>
      <w:r>
        <w:t>itraconazole</w:t>
      </w:r>
      <w:proofErr w:type="spellEnd"/>
      <w:r>
        <w:t xml:space="preserve"> are removed so that changes in the use of </w:t>
      </w:r>
      <w:proofErr w:type="spellStart"/>
      <w:r>
        <w:t>posaconazole</w:t>
      </w:r>
      <w:proofErr w:type="spellEnd"/>
      <w:r>
        <w:t xml:space="preserve"> and </w:t>
      </w:r>
      <w:proofErr w:type="spellStart"/>
      <w:r>
        <w:t>voriconazole</w:t>
      </w:r>
      <w:proofErr w:type="spellEnd"/>
      <w:r>
        <w:t xml:space="preserve"> can be seen</w:t>
      </w:r>
      <w:r w:rsidR="0092449D">
        <w:t xml:space="preserve"> more clearly</w:t>
      </w:r>
      <w:r>
        <w:t>.</w:t>
      </w:r>
    </w:p>
    <w:p w:rsidR="0092449D" w:rsidRDefault="0092449D" w:rsidP="000F0544">
      <w:pPr>
        <w:spacing w:after="0" w:line="240" w:lineRule="auto"/>
        <w:rPr>
          <w:sz w:val="20"/>
          <w:szCs w:val="20"/>
        </w:rPr>
      </w:pPr>
      <w:r>
        <w:rPr>
          <w:noProof/>
        </w:rPr>
        <w:lastRenderedPageBreak/>
        <w:drawing>
          <wp:inline distT="0" distB="0" distL="0" distR="0" wp14:anchorId="65326B7F" wp14:editId="5A52D6DB">
            <wp:extent cx="5687695" cy="3712801"/>
            <wp:effectExtent l="0" t="0" r="27305" b="21590"/>
            <wp:docPr id="17" name="Chart 17" descr="Prescriptions of posaconazole and voriconazole" title="Prescriptions of posaconazole and voriconazo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449D" w:rsidRDefault="0092449D" w:rsidP="000F0544">
      <w:pPr>
        <w:spacing w:after="0" w:line="240" w:lineRule="auto"/>
        <w:rPr>
          <w:sz w:val="20"/>
          <w:szCs w:val="20"/>
        </w:rPr>
      </w:pPr>
      <w:r>
        <w:rPr>
          <w:b/>
          <w:sz w:val="23"/>
          <w:szCs w:val="23"/>
        </w:rPr>
        <w:t>Figure B.2</w:t>
      </w:r>
      <w:r w:rsidRPr="00A732BB">
        <w:rPr>
          <w:b/>
          <w:sz w:val="23"/>
          <w:szCs w:val="23"/>
        </w:rPr>
        <w:t xml:space="preserve">: </w:t>
      </w:r>
      <w:r>
        <w:rPr>
          <w:b/>
          <w:sz w:val="23"/>
          <w:szCs w:val="23"/>
        </w:rPr>
        <w:t xml:space="preserve">Prescriptions of </w:t>
      </w:r>
      <w:proofErr w:type="spellStart"/>
      <w:r>
        <w:rPr>
          <w:b/>
          <w:sz w:val="23"/>
          <w:szCs w:val="23"/>
        </w:rPr>
        <w:t>posaconazole</w:t>
      </w:r>
      <w:proofErr w:type="spellEnd"/>
      <w:r>
        <w:rPr>
          <w:b/>
          <w:sz w:val="23"/>
          <w:szCs w:val="23"/>
        </w:rPr>
        <w:t xml:space="preserve"> and </w:t>
      </w:r>
      <w:proofErr w:type="spellStart"/>
      <w:r>
        <w:rPr>
          <w:b/>
          <w:sz w:val="23"/>
          <w:szCs w:val="23"/>
        </w:rPr>
        <w:t>voriconazole</w:t>
      </w:r>
      <w:proofErr w:type="spellEnd"/>
    </w:p>
    <w:p w:rsidR="0092449D" w:rsidRDefault="0092449D" w:rsidP="000F0544">
      <w:pPr>
        <w:spacing w:line="240" w:lineRule="auto"/>
      </w:pPr>
      <w:r>
        <w:rPr>
          <w:sz w:val="20"/>
          <w:szCs w:val="20"/>
        </w:rPr>
        <w:t xml:space="preserve">Source: DHS supplied prescriptions database; extracted 09 March 2018. </w:t>
      </w:r>
      <w:r>
        <w:t xml:space="preserve"> </w:t>
      </w:r>
    </w:p>
    <w:p w:rsidR="00304403" w:rsidRDefault="00304403" w:rsidP="000F0544">
      <w:pPr>
        <w:spacing w:line="240" w:lineRule="auto"/>
        <w:rPr>
          <w:b/>
        </w:rPr>
      </w:pPr>
    </w:p>
    <w:sectPr w:rsidR="00304403" w:rsidSect="001B5122">
      <w:headerReference w:type="even" r:id="rId22"/>
      <w:headerReference w:type="default" r:id="rId23"/>
      <w:footerReference w:type="even" r:id="rId24"/>
      <w:footerReference w:type="default" r:id="rId25"/>
      <w:headerReference w:type="first" r:id="rId26"/>
      <w:footerReference w:type="first" r:id="rId2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98" w:rsidRDefault="00C74C98" w:rsidP="00A35800">
      <w:r>
        <w:separator/>
      </w:r>
    </w:p>
  </w:endnote>
  <w:endnote w:type="continuationSeparator" w:id="0">
    <w:p w:rsidR="00C74C98" w:rsidRDefault="00C74C9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3F" w:rsidRDefault="003D483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D483F" w:rsidRDefault="003D483F"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3D483F" w:rsidRPr="000E72C6" w:rsidRDefault="00285958" w:rsidP="000E72C6">
            <w:pPr>
              <w:pStyle w:val="Footer"/>
              <w:jc w:val="center"/>
              <w:rPr>
                <w:i/>
                <w:sz w:val="20"/>
              </w:rPr>
            </w:pPr>
            <w:r>
              <w:rPr>
                <w:i/>
                <w:sz w:val="20"/>
              </w:rPr>
              <w:t>Public Release Document, May 2018 DUSC Meeting</w:t>
            </w:r>
          </w:p>
          <w:p w:rsidR="003D483F" w:rsidRDefault="003D483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E372E8">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E372E8">
              <w:rPr>
                <w:bCs/>
                <w:i/>
                <w:noProof/>
                <w:sz w:val="20"/>
              </w:rPr>
              <w:t>31</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3F" w:rsidRDefault="003D483F" w:rsidP="007A5733">
    <w:pPr>
      <w:pStyle w:val="Footer"/>
      <w:jc w:val="center"/>
      <w:rPr>
        <w:rStyle w:val="PageNumber"/>
      </w:rPr>
    </w:pPr>
    <w:r>
      <w:rPr>
        <w:rStyle w:val="PageNumber"/>
      </w:rPr>
      <w:t>Committee-in-Confidence</w:t>
    </w:r>
  </w:p>
  <w:p w:rsidR="003D483F" w:rsidRDefault="003D483F"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98" w:rsidRDefault="00C74C98" w:rsidP="00A35800">
      <w:r>
        <w:separator/>
      </w:r>
    </w:p>
  </w:footnote>
  <w:footnote w:type="continuationSeparator" w:id="0">
    <w:p w:rsidR="00C74C98" w:rsidRDefault="00C74C98" w:rsidP="00A35800">
      <w:r>
        <w:continuationSeparator/>
      </w:r>
    </w:p>
  </w:footnote>
  <w:footnote w:id="1">
    <w:p w:rsidR="003D483F" w:rsidRDefault="003D483F">
      <w:pPr>
        <w:pStyle w:val="FootnoteText"/>
      </w:pPr>
      <w:r>
        <w:rPr>
          <w:rStyle w:val="FootnoteReference"/>
        </w:rPr>
        <w:footnoteRef/>
      </w:r>
      <w:r>
        <w:t xml:space="preserve"> </w:t>
      </w:r>
      <w:hyperlink r:id="rId1" w:history="1">
        <w:r w:rsidRPr="009A5ABC">
          <w:rPr>
            <w:rStyle w:val="Hyperlink"/>
          </w:rPr>
          <w:t>http://www.pbs.gov.au/info/industry/listing/elements/pbac-meetings/psd/2015-03/posaconazole-noxafil-psd-03-2015</w:t>
        </w:r>
      </w:hyperlink>
    </w:p>
  </w:footnote>
  <w:footnote w:id="2">
    <w:p w:rsidR="003D483F" w:rsidRDefault="003D483F">
      <w:pPr>
        <w:pStyle w:val="FootnoteText"/>
      </w:pPr>
      <w:r>
        <w:rPr>
          <w:rStyle w:val="FootnoteReference"/>
        </w:rPr>
        <w:footnoteRef/>
      </w:r>
      <w:r>
        <w:t xml:space="preserve"> </w:t>
      </w:r>
      <w:r w:rsidRPr="00A22B4E">
        <w:t>NOXAFIL</w:t>
      </w:r>
      <w:r w:rsidRPr="00A22B4E">
        <w:sym w:font="Symbol" w:char="F0E2"/>
      </w:r>
      <w:r w:rsidRPr="00A22B4E">
        <w:t xml:space="preserve"> (</w:t>
      </w:r>
      <w:proofErr w:type="spellStart"/>
      <w:r w:rsidRPr="00A22B4E">
        <w:t>Posaconazole</w:t>
      </w:r>
      <w:proofErr w:type="spellEnd"/>
      <w:r w:rsidRPr="00A22B4E">
        <w:t xml:space="preserve">). </w:t>
      </w:r>
      <w:proofErr w:type="gramStart"/>
      <w:r w:rsidRPr="00A22B4E">
        <w:t>Australian Approved Product Information.</w:t>
      </w:r>
      <w:proofErr w:type="gramEnd"/>
      <w:r w:rsidRPr="00A22B4E">
        <w:t xml:space="preserve"> Sydney: Merck Sharp &amp; Dohme (Australia) Pty Limited. Approved 15 March 2006, updated 29 September 2017. Available from </w:t>
      </w:r>
      <w:hyperlink r:id="rId2" w:history="1">
        <w:r w:rsidRPr="009A5ABC">
          <w:rPr>
            <w:rStyle w:val="Hyperlink"/>
          </w:rPr>
          <w:t>https://www.tga.gov.au/product-information-pi</w:t>
        </w:r>
      </w:hyperlink>
    </w:p>
  </w:footnote>
  <w:footnote w:id="3">
    <w:p w:rsidR="008119A7" w:rsidRDefault="008119A7" w:rsidP="008119A7">
      <w:pPr>
        <w:pStyle w:val="FootnoteText"/>
      </w:pPr>
      <w:r w:rsidRPr="008119A7">
        <w:rPr>
          <w:rStyle w:val="FootnoteReference"/>
        </w:rPr>
        <w:footnoteRef/>
      </w:r>
      <w:r w:rsidRPr="008119A7">
        <w:t xml:space="preserve"> </w:t>
      </w:r>
      <w:proofErr w:type="gramStart"/>
      <w:r w:rsidRPr="008119A7">
        <w:t>Antifungal drug information.</w:t>
      </w:r>
      <w:proofErr w:type="gramEnd"/>
      <w:r w:rsidRPr="008119A7">
        <w:t xml:space="preserve"> </w:t>
      </w:r>
      <w:proofErr w:type="gramStart"/>
      <w:r w:rsidRPr="008119A7">
        <w:t>Published November 2014.</w:t>
      </w:r>
      <w:proofErr w:type="gramEnd"/>
      <w:r w:rsidRPr="008119A7">
        <w:t xml:space="preserve"> </w:t>
      </w:r>
      <w:proofErr w:type="gramStart"/>
      <w:r w:rsidRPr="008119A7">
        <w:t>Amended June 2015.</w:t>
      </w:r>
      <w:proofErr w:type="gramEnd"/>
      <w:r w:rsidRPr="008119A7">
        <w:t xml:space="preserve"> In: </w:t>
      </w:r>
      <w:proofErr w:type="spellStart"/>
      <w:r w:rsidRPr="008119A7">
        <w:t>eTG</w:t>
      </w:r>
      <w:proofErr w:type="spellEnd"/>
      <w:r w:rsidRPr="008119A7">
        <w:t xml:space="preserve"> complete [Internet]. Melbourne: Therapeutic Guidelines Limited; March 2018 edition.</w:t>
      </w:r>
    </w:p>
  </w:footnote>
  <w:footnote w:id="4">
    <w:p w:rsidR="003D483F" w:rsidRDefault="003D483F">
      <w:pPr>
        <w:pStyle w:val="FootnoteText"/>
      </w:pPr>
      <w:r>
        <w:rPr>
          <w:rStyle w:val="FootnoteReference"/>
        </w:rPr>
        <w:footnoteRef/>
      </w:r>
      <w:r>
        <w:t xml:space="preserve"> Note that according to the Product Information </w:t>
      </w:r>
      <w:proofErr w:type="spellStart"/>
      <w:r>
        <w:t>posaconazole</w:t>
      </w:r>
      <w:proofErr w:type="spellEnd"/>
      <w:r>
        <w:t xml:space="preserve"> is a suspension formulation. The PBS schedule describes it as an oral liquid. Both terms are used in this report. </w:t>
      </w:r>
    </w:p>
  </w:footnote>
  <w:footnote w:id="5">
    <w:p w:rsidR="00D732A8" w:rsidRDefault="00D732A8" w:rsidP="00D732A8">
      <w:pPr>
        <w:pStyle w:val="FootnoteText"/>
      </w:pPr>
      <w:r w:rsidRPr="00B610C9">
        <w:rPr>
          <w:rStyle w:val="FootnoteReference"/>
        </w:rPr>
        <w:footnoteRef/>
      </w:r>
      <w:r w:rsidRPr="00B610C9">
        <w:t xml:space="preserve"> Fleming et al. Consensus guidelines for antifungal prophylaxis in haematological malignancy and haematopoietic stem cell transplantation. </w:t>
      </w:r>
      <w:proofErr w:type="gramStart"/>
      <w:r w:rsidRPr="00B610C9">
        <w:t>Internal Medicine Journal 44 (2014).</w:t>
      </w:r>
      <w:proofErr w:type="gramEnd"/>
    </w:p>
  </w:footnote>
  <w:footnote w:id="6">
    <w:p w:rsidR="00B610C9" w:rsidRDefault="00B610C9" w:rsidP="00B610C9">
      <w:pPr>
        <w:pStyle w:val="FootnoteText"/>
      </w:pPr>
      <w:r>
        <w:rPr>
          <w:rStyle w:val="FootnoteReference"/>
        </w:rPr>
        <w:footnoteRef/>
      </w:r>
      <w:r>
        <w:t xml:space="preserve"> </w:t>
      </w:r>
      <w:r>
        <w:rPr>
          <w:szCs w:val="18"/>
        </w:rPr>
        <w:t>Prevention of infection: immunosuppressed patients</w:t>
      </w:r>
      <w:r w:rsidRPr="0019664D">
        <w:rPr>
          <w:szCs w:val="18"/>
        </w:rPr>
        <w:t xml:space="preserve"> [</w:t>
      </w:r>
      <w:r>
        <w:rPr>
          <w:szCs w:val="18"/>
        </w:rPr>
        <w:t>published November 2014</w:t>
      </w:r>
      <w:r w:rsidRPr="0019664D">
        <w:rPr>
          <w:szCs w:val="18"/>
        </w:rPr>
        <w:t xml:space="preserve">]. In: </w:t>
      </w:r>
      <w:proofErr w:type="spellStart"/>
      <w:r w:rsidRPr="0019664D">
        <w:rPr>
          <w:szCs w:val="18"/>
        </w:rPr>
        <w:t>eTG</w:t>
      </w:r>
      <w:proofErr w:type="spellEnd"/>
      <w:r w:rsidRPr="0019664D">
        <w:rPr>
          <w:szCs w:val="18"/>
        </w:rPr>
        <w:t xml:space="preserve"> complete [Internet]. Melbourne: Therapeutic Guidelines Limited; </w:t>
      </w:r>
      <w:r w:rsidR="0055053C">
        <w:rPr>
          <w:szCs w:val="18"/>
        </w:rPr>
        <w:t>March 2018 edition.</w:t>
      </w:r>
    </w:p>
  </w:footnote>
  <w:footnote w:id="7">
    <w:p w:rsidR="0055053C" w:rsidRDefault="0055053C">
      <w:pPr>
        <w:pStyle w:val="FootnoteText"/>
      </w:pPr>
      <w:r>
        <w:rPr>
          <w:rStyle w:val="FootnoteReference"/>
        </w:rPr>
        <w:footnoteRef/>
      </w:r>
      <w:r>
        <w:t xml:space="preserve"> Blyth et al. Consensus guidelines for the treatment of invasive mould infections in haematological malignancy and </w:t>
      </w:r>
      <w:proofErr w:type="spellStart"/>
      <w:r>
        <w:t>haemopoietic</w:t>
      </w:r>
      <w:proofErr w:type="spellEnd"/>
      <w:r>
        <w:t xml:space="preserve"> stem cell transplanation</w:t>
      </w:r>
      <w:proofErr w:type="gramStart"/>
      <w:r>
        <w:t>,2014</w:t>
      </w:r>
      <w:proofErr w:type="gramEnd"/>
      <w:r>
        <w:t>. Internal Medicine Journal 44 (2014)</w:t>
      </w:r>
    </w:p>
  </w:footnote>
  <w:footnote w:id="8">
    <w:p w:rsidR="003D483F" w:rsidRPr="00BC5AE2" w:rsidRDefault="003D483F" w:rsidP="00576B18">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3" w:history="1">
        <w:r>
          <w:rPr>
            <w:rStyle w:val="Hyperlink"/>
            <w:sz w:val="20"/>
          </w:rPr>
          <w:t>http://www.medicareaustralia.gov.au/provider/pbs/stats.jsp</w:t>
        </w:r>
      </w:hyperlink>
      <w:r>
        <w:rPr>
          <w:sz w:val="20"/>
        </w:rPr>
        <w:t>&gt;.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E8" w:rsidRDefault="00E37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E8" w:rsidRDefault="00E37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E8" w:rsidRDefault="00E37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A2B"/>
    <w:multiLevelType w:val="hybridMultilevel"/>
    <w:tmpl w:val="0EDA2042"/>
    <w:lvl w:ilvl="0" w:tplc="771A9CC0">
      <w:start w:val="1"/>
      <w:numFmt w:val="bullet"/>
      <w:lvlText w:val=""/>
      <w:lvlJc w:val="left"/>
      <w:pPr>
        <w:ind w:left="1077" w:hanging="3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2FE77EA"/>
    <w:multiLevelType w:val="hybridMultilevel"/>
    <w:tmpl w:val="6262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D6E99"/>
    <w:multiLevelType w:val="hybridMultilevel"/>
    <w:tmpl w:val="536E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986D78"/>
    <w:multiLevelType w:val="hybridMultilevel"/>
    <w:tmpl w:val="CFE41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6E68A4"/>
    <w:multiLevelType w:val="hybridMultilevel"/>
    <w:tmpl w:val="68FE5EA4"/>
    <w:lvl w:ilvl="0" w:tplc="3CFA8FFC">
      <w:start w:val="1"/>
      <w:numFmt w:val="bullet"/>
      <w:lvlText w:val=""/>
      <w:lvlJc w:val="left"/>
      <w:pPr>
        <w:ind w:left="360" w:hanging="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202CDD"/>
    <w:multiLevelType w:val="hybridMultilevel"/>
    <w:tmpl w:val="8F5E87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7333EDE"/>
    <w:multiLevelType w:val="hybridMultilevel"/>
    <w:tmpl w:val="2632C176"/>
    <w:lvl w:ilvl="0" w:tplc="18303038">
      <w:start w:val="1"/>
      <w:numFmt w:val="bullet"/>
      <w:lvlText w:val=""/>
      <w:lvlJc w:val="left"/>
      <w:pPr>
        <w:ind w:left="357" w:hanging="7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2A454F"/>
    <w:multiLevelType w:val="hybridMultilevel"/>
    <w:tmpl w:val="688A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DB0FE3"/>
    <w:multiLevelType w:val="hybridMultilevel"/>
    <w:tmpl w:val="427E4602"/>
    <w:lvl w:ilvl="0" w:tplc="18303038">
      <w:start w:val="1"/>
      <w:numFmt w:val="bullet"/>
      <w:lvlText w:val=""/>
      <w:lvlJc w:val="left"/>
      <w:pPr>
        <w:ind w:left="357" w:hanging="7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567F3E"/>
    <w:multiLevelType w:val="hybridMultilevel"/>
    <w:tmpl w:val="7506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66007F"/>
    <w:multiLevelType w:val="hybridMultilevel"/>
    <w:tmpl w:val="5E38F7B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nsid w:val="26251131"/>
    <w:multiLevelType w:val="multilevel"/>
    <w:tmpl w:val="D7EE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BD3E0B"/>
    <w:multiLevelType w:val="hybridMultilevel"/>
    <w:tmpl w:val="D92C155A"/>
    <w:lvl w:ilvl="0" w:tplc="3CFA8FFC">
      <w:start w:val="1"/>
      <w:numFmt w:val="bullet"/>
      <w:lvlText w:val=""/>
      <w:lvlJc w:val="left"/>
      <w:pPr>
        <w:ind w:left="360" w:hanging="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ED7322B"/>
    <w:multiLevelType w:val="hybridMultilevel"/>
    <w:tmpl w:val="93C6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E10A5C"/>
    <w:multiLevelType w:val="hybridMultilevel"/>
    <w:tmpl w:val="205A5EEC"/>
    <w:lvl w:ilvl="0" w:tplc="18303038">
      <w:start w:val="1"/>
      <w:numFmt w:val="bullet"/>
      <w:lvlText w:val=""/>
      <w:lvlJc w:val="left"/>
      <w:pPr>
        <w:ind w:left="357" w:hanging="7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707472"/>
    <w:multiLevelType w:val="hybridMultilevel"/>
    <w:tmpl w:val="2EC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921888"/>
    <w:multiLevelType w:val="hybridMultilevel"/>
    <w:tmpl w:val="89CCC4C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nsid w:val="356E74A3"/>
    <w:multiLevelType w:val="hybridMultilevel"/>
    <w:tmpl w:val="EB8CD868"/>
    <w:lvl w:ilvl="0" w:tplc="00F4EE5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C63AFE"/>
    <w:multiLevelType w:val="hybridMultilevel"/>
    <w:tmpl w:val="CD46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9E5896"/>
    <w:multiLevelType w:val="hybridMultilevel"/>
    <w:tmpl w:val="56906A44"/>
    <w:lvl w:ilvl="0" w:tplc="18303038">
      <w:start w:val="1"/>
      <w:numFmt w:val="bullet"/>
      <w:lvlText w:val=""/>
      <w:lvlJc w:val="left"/>
      <w:pPr>
        <w:ind w:left="1513" w:hanging="73"/>
      </w:pPr>
      <w:rPr>
        <w:rFonts w:ascii="Symbol" w:hAnsi="Symbol" w:hint="default"/>
      </w:rPr>
    </w:lvl>
    <w:lvl w:ilvl="1" w:tplc="0C090003" w:tentative="1">
      <w:start w:val="1"/>
      <w:numFmt w:val="bullet"/>
      <w:lvlText w:val="o"/>
      <w:lvlJc w:val="left"/>
      <w:pPr>
        <w:ind w:left="2596" w:hanging="360"/>
      </w:pPr>
      <w:rPr>
        <w:rFonts w:ascii="Courier New" w:hAnsi="Courier New" w:cs="Courier New" w:hint="default"/>
      </w:rPr>
    </w:lvl>
    <w:lvl w:ilvl="2" w:tplc="0C090005" w:tentative="1">
      <w:start w:val="1"/>
      <w:numFmt w:val="bullet"/>
      <w:lvlText w:val=""/>
      <w:lvlJc w:val="left"/>
      <w:pPr>
        <w:ind w:left="3316" w:hanging="360"/>
      </w:pPr>
      <w:rPr>
        <w:rFonts w:ascii="Wingdings" w:hAnsi="Wingdings" w:hint="default"/>
      </w:rPr>
    </w:lvl>
    <w:lvl w:ilvl="3" w:tplc="0C090001" w:tentative="1">
      <w:start w:val="1"/>
      <w:numFmt w:val="bullet"/>
      <w:lvlText w:val=""/>
      <w:lvlJc w:val="left"/>
      <w:pPr>
        <w:ind w:left="4036" w:hanging="360"/>
      </w:pPr>
      <w:rPr>
        <w:rFonts w:ascii="Symbol" w:hAnsi="Symbol" w:hint="default"/>
      </w:rPr>
    </w:lvl>
    <w:lvl w:ilvl="4" w:tplc="0C090003" w:tentative="1">
      <w:start w:val="1"/>
      <w:numFmt w:val="bullet"/>
      <w:lvlText w:val="o"/>
      <w:lvlJc w:val="left"/>
      <w:pPr>
        <w:ind w:left="4756" w:hanging="360"/>
      </w:pPr>
      <w:rPr>
        <w:rFonts w:ascii="Courier New" w:hAnsi="Courier New" w:cs="Courier New" w:hint="default"/>
      </w:rPr>
    </w:lvl>
    <w:lvl w:ilvl="5" w:tplc="0C090005" w:tentative="1">
      <w:start w:val="1"/>
      <w:numFmt w:val="bullet"/>
      <w:lvlText w:val=""/>
      <w:lvlJc w:val="left"/>
      <w:pPr>
        <w:ind w:left="5476" w:hanging="360"/>
      </w:pPr>
      <w:rPr>
        <w:rFonts w:ascii="Wingdings" w:hAnsi="Wingdings" w:hint="default"/>
      </w:rPr>
    </w:lvl>
    <w:lvl w:ilvl="6" w:tplc="0C090001" w:tentative="1">
      <w:start w:val="1"/>
      <w:numFmt w:val="bullet"/>
      <w:lvlText w:val=""/>
      <w:lvlJc w:val="left"/>
      <w:pPr>
        <w:ind w:left="6196" w:hanging="360"/>
      </w:pPr>
      <w:rPr>
        <w:rFonts w:ascii="Symbol" w:hAnsi="Symbol" w:hint="default"/>
      </w:rPr>
    </w:lvl>
    <w:lvl w:ilvl="7" w:tplc="0C090003" w:tentative="1">
      <w:start w:val="1"/>
      <w:numFmt w:val="bullet"/>
      <w:lvlText w:val="o"/>
      <w:lvlJc w:val="left"/>
      <w:pPr>
        <w:ind w:left="6916" w:hanging="360"/>
      </w:pPr>
      <w:rPr>
        <w:rFonts w:ascii="Courier New" w:hAnsi="Courier New" w:cs="Courier New" w:hint="default"/>
      </w:rPr>
    </w:lvl>
    <w:lvl w:ilvl="8" w:tplc="0C090005" w:tentative="1">
      <w:start w:val="1"/>
      <w:numFmt w:val="bullet"/>
      <w:lvlText w:val=""/>
      <w:lvlJc w:val="left"/>
      <w:pPr>
        <w:ind w:left="7636" w:hanging="360"/>
      </w:pPr>
      <w:rPr>
        <w:rFonts w:ascii="Wingdings" w:hAnsi="Wingdings" w:hint="default"/>
      </w:rPr>
    </w:lvl>
  </w:abstractNum>
  <w:abstractNum w:abstractNumId="21">
    <w:nsid w:val="3C3A3FD1"/>
    <w:multiLevelType w:val="multilevel"/>
    <w:tmpl w:val="D7EE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7151C"/>
    <w:multiLevelType w:val="hybridMultilevel"/>
    <w:tmpl w:val="2054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2E0528"/>
    <w:multiLevelType w:val="hybridMultilevel"/>
    <w:tmpl w:val="EA96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044753"/>
    <w:multiLevelType w:val="hybridMultilevel"/>
    <w:tmpl w:val="222EC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696F99"/>
    <w:multiLevelType w:val="hybridMultilevel"/>
    <w:tmpl w:val="0D5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7968AF"/>
    <w:multiLevelType w:val="hybridMultilevel"/>
    <w:tmpl w:val="A52E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F84ECE"/>
    <w:multiLevelType w:val="hybridMultilevel"/>
    <w:tmpl w:val="01DCD73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nsid w:val="50C71DA2"/>
    <w:multiLevelType w:val="hybridMultilevel"/>
    <w:tmpl w:val="1DB63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5E7C0B"/>
    <w:multiLevelType w:val="hybridMultilevel"/>
    <w:tmpl w:val="BF6C2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4329AC"/>
    <w:multiLevelType w:val="hybridMultilevel"/>
    <w:tmpl w:val="23ACC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050041"/>
    <w:multiLevelType w:val="multilevel"/>
    <w:tmpl w:val="41720CD4"/>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C5247C8"/>
    <w:multiLevelType w:val="hybridMultilevel"/>
    <w:tmpl w:val="16E0E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AF1857"/>
    <w:multiLevelType w:val="hybridMultilevel"/>
    <w:tmpl w:val="0E5AE1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E131F40"/>
    <w:multiLevelType w:val="hybridMultilevel"/>
    <w:tmpl w:val="2226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880EB7"/>
    <w:multiLevelType w:val="hybridMultilevel"/>
    <w:tmpl w:val="49EEA3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4BE778D"/>
    <w:multiLevelType w:val="hybridMultilevel"/>
    <w:tmpl w:val="455C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2D0C02"/>
    <w:multiLevelType w:val="hybridMultilevel"/>
    <w:tmpl w:val="CF3002F6"/>
    <w:lvl w:ilvl="0" w:tplc="0C090001">
      <w:start w:val="1"/>
      <w:numFmt w:val="bullet"/>
      <w:lvlText w:val=""/>
      <w:lvlJc w:val="left"/>
      <w:pPr>
        <w:ind w:left="770" w:hanging="360"/>
      </w:pPr>
      <w:rPr>
        <w:rFonts w:ascii="Symbol" w:hAnsi="Symbol" w:hint="default"/>
      </w:rPr>
    </w:lvl>
    <w:lvl w:ilvl="1" w:tplc="3326AEBA">
      <w:start w:val="1"/>
      <w:numFmt w:val="bullet"/>
      <w:lvlText w:val="−"/>
      <w:lvlJc w:val="left"/>
      <w:pPr>
        <w:ind w:left="1490" w:hanging="360"/>
      </w:pPr>
      <w:rPr>
        <w:rFonts w:ascii="Times New Roman" w:hAnsi="Times New Roman" w:cs="Times New Roman"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nsid w:val="75977F87"/>
    <w:multiLevelType w:val="hybridMultilevel"/>
    <w:tmpl w:val="885EF81C"/>
    <w:lvl w:ilvl="0" w:tplc="0C090001">
      <w:start w:val="1"/>
      <w:numFmt w:val="bullet"/>
      <w:lvlText w:val=""/>
      <w:lvlJc w:val="left"/>
      <w:pPr>
        <w:ind w:left="720" w:hanging="360"/>
      </w:pPr>
      <w:rPr>
        <w:rFonts w:ascii="Symbol" w:hAnsi="Symbol" w:hint="default"/>
      </w:rPr>
    </w:lvl>
    <w:lvl w:ilvl="1" w:tplc="A3AC82E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6F50D8"/>
    <w:multiLevelType w:val="hybridMultilevel"/>
    <w:tmpl w:val="43D0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4D033C"/>
    <w:multiLevelType w:val="multilevel"/>
    <w:tmpl w:val="D548B6F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F5522ED"/>
    <w:multiLevelType w:val="hybridMultilevel"/>
    <w:tmpl w:val="238E7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2"/>
  </w:num>
  <w:num w:numId="4">
    <w:abstractNumId w:val="22"/>
  </w:num>
  <w:num w:numId="5">
    <w:abstractNumId w:val="3"/>
  </w:num>
  <w:num w:numId="6">
    <w:abstractNumId w:val="13"/>
  </w:num>
  <w:num w:numId="7">
    <w:abstractNumId w:val="4"/>
  </w:num>
  <w:num w:numId="8">
    <w:abstractNumId w:val="0"/>
  </w:num>
  <w:num w:numId="9">
    <w:abstractNumId w:val="20"/>
  </w:num>
  <w:num w:numId="10">
    <w:abstractNumId w:val="8"/>
  </w:num>
  <w:num w:numId="11">
    <w:abstractNumId w:val="6"/>
  </w:num>
  <w:num w:numId="12">
    <w:abstractNumId w:val="15"/>
  </w:num>
  <w:num w:numId="13">
    <w:abstractNumId w:val="14"/>
  </w:num>
  <w:num w:numId="14">
    <w:abstractNumId w:val="9"/>
  </w:num>
  <w:num w:numId="15">
    <w:abstractNumId w:val="26"/>
  </w:num>
  <w:num w:numId="16">
    <w:abstractNumId w:val="1"/>
  </w:num>
  <w:num w:numId="17">
    <w:abstractNumId w:val="27"/>
  </w:num>
  <w:num w:numId="18">
    <w:abstractNumId w:val="40"/>
  </w:num>
  <w:num w:numId="19">
    <w:abstractNumId w:val="10"/>
  </w:num>
  <w:num w:numId="20">
    <w:abstractNumId w:val="19"/>
  </w:num>
  <w:num w:numId="21">
    <w:abstractNumId w:val="29"/>
  </w:num>
  <w:num w:numId="22">
    <w:abstractNumId w:val="2"/>
  </w:num>
  <w:num w:numId="23">
    <w:abstractNumId w:val="23"/>
  </w:num>
  <w:num w:numId="24">
    <w:abstractNumId w:val="25"/>
  </w:num>
  <w:num w:numId="25">
    <w:abstractNumId w:val="30"/>
  </w:num>
  <w:num w:numId="26">
    <w:abstractNumId w:val="41"/>
  </w:num>
  <w:num w:numId="27">
    <w:abstractNumId w:val="17"/>
  </w:num>
  <w:num w:numId="28">
    <w:abstractNumId w:val="38"/>
  </w:num>
  <w:num w:numId="29">
    <w:abstractNumId w:val="21"/>
  </w:num>
  <w:num w:numId="30">
    <w:abstractNumId w:val="18"/>
  </w:num>
  <w:num w:numId="31">
    <w:abstractNumId w:val="34"/>
  </w:num>
  <w:num w:numId="32">
    <w:abstractNumId w:val="7"/>
  </w:num>
  <w:num w:numId="33">
    <w:abstractNumId w:val="24"/>
  </w:num>
  <w:num w:numId="34">
    <w:abstractNumId w:val="39"/>
  </w:num>
  <w:num w:numId="35">
    <w:abstractNumId w:val="28"/>
  </w:num>
  <w:num w:numId="36">
    <w:abstractNumId w:val="35"/>
  </w:num>
  <w:num w:numId="37">
    <w:abstractNumId w:val="16"/>
  </w:num>
  <w:num w:numId="38">
    <w:abstractNumId w:val="42"/>
  </w:num>
  <w:num w:numId="39">
    <w:abstractNumId w:val="33"/>
  </w:num>
  <w:num w:numId="40">
    <w:abstractNumId w:val="11"/>
  </w:num>
  <w:num w:numId="41">
    <w:abstractNumId w:val="31"/>
  </w:num>
  <w:num w:numId="42">
    <w:abstractNumId w:val="3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5D3D"/>
    <w:rsid w:val="000072FB"/>
    <w:rsid w:val="00007E85"/>
    <w:rsid w:val="00013465"/>
    <w:rsid w:val="00017E8F"/>
    <w:rsid w:val="000226B3"/>
    <w:rsid w:val="00023DB9"/>
    <w:rsid w:val="00024549"/>
    <w:rsid w:val="0002532F"/>
    <w:rsid w:val="0002734C"/>
    <w:rsid w:val="00030973"/>
    <w:rsid w:val="0003106F"/>
    <w:rsid w:val="00031875"/>
    <w:rsid w:val="000346AA"/>
    <w:rsid w:val="00036C1E"/>
    <w:rsid w:val="000372A7"/>
    <w:rsid w:val="00042767"/>
    <w:rsid w:val="00051B8E"/>
    <w:rsid w:val="000544B6"/>
    <w:rsid w:val="000604AF"/>
    <w:rsid w:val="00084D25"/>
    <w:rsid w:val="000867FB"/>
    <w:rsid w:val="00086C11"/>
    <w:rsid w:val="00094DCF"/>
    <w:rsid w:val="000A2B67"/>
    <w:rsid w:val="000A3575"/>
    <w:rsid w:val="000A4152"/>
    <w:rsid w:val="000A4A0A"/>
    <w:rsid w:val="000A6CFD"/>
    <w:rsid w:val="000B0982"/>
    <w:rsid w:val="000B1647"/>
    <w:rsid w:val="000B796C"/>
    <w:rsid w:val="000C0A98"/>
    <w:rsid w:val="000C0FD6"/>
    <w:rsid w:val="000C2190"/>
    <w:rsid w:val="000C46BB"/>
    <w:rsid w:val="000C4D9D"/>
    <w:rsid w:val="000C55F1"/>
    <w:rsid w:val="000C7C4B"/>
    <w:rsid w:val="000C7D8B"/>
    <w:rsid w:val="000D03E0"/>
    <w:rsid w:val="000D493D"/>
    <w:rsid w:val="000D4F60"/>
    <w:rsid w:val="000D5E0F"/>
    <w:rsid w:val="000E485D"/>
    <w:rsid w:val="000E72C6"/>
    <w:rsid w:val="000F0544"/>
    <w:rsid w:val="000F06F7"/>
    <w:rsid w:val="000F1893"/>
    <w:rsid w:val="000F2619"/>
    <w:rsid w:val="000F2DCC"/>
    <w:rsid w:val="000F2F51"/>
    <w:rsid w:val="001009B5"/>
    <w:rsid w:val="001034DB"/>
    <w:rsid w:val="00107347"/>
    <w:rsid w:val="00112880"/>
    <w:rsid w:val="001136E6"/>
    <w:rsid w:val="00113CF8"/>
    <w:rsid w:val="00113D74"/>
    <w:rsid w:val="001151EF"/>
    <w:rsid w:val="00117C5C"/>
    <w:rsid w:val="00123568"/>
    <w:rsid w:val="001310AE"/>
    <w:rsid w:val="00134434"/>
    <w:rsid w:val="001367C9"/>
    <w:rsid w:val="001420B3"/>
    <w:rsid w:val="001468B9"/>
    <w:rsid w:val="001511EE"/>
    <w:rsid w:val="00153F6D"/>
    <w:rsid w:val="0015691C"/>
    <w:rsid w:val="001621F7"/>
    <w:rsid w:val="001624D7"/>
    <w:rsid w:val="00163FEE"/>
    <w:rsid w:val="00164329"/>
    <w:rsid w:val="001711EC"/>
    <w:rsid w:val="00171D47"/>
    <w:rsid w:val="00173D98"/>
    <w:rsid w:val="00177B86"/>
    <w:rsid w:val="001803F9"/>
    <w:rsid w:val="0018067E"/>
    <w:rsid w:val="00182585"/>
    <w:rsid w:val="00184A5A"/>
    <w:rsid w:val="00191182"/>
    <w:rsid w:val="00194619"/>
    <w:rsid w:val="001954E3"/>
    <w:rsid w:val="001964ED"/>
    <w:rsid w:val="0019664D"/>
    <w:rsid w:val="001A07CB"/>
    <w:rsid w:val="001A2CEC"/>
    <w:rsid w:val="001A6103"/>
    <w:rsid w:val="001B1CD3"/>
    <w:rsid w:val="001B5122"/>
    <w:rsid w:val="001B5D37"/>
    <w:rsid w:val="001C2940"/>
    <w:rsid w:val="001C4016"/>
    <w:rsid w:val="001C548D"/>
    <w:rsid w:val="001C6744"/>
    <w:rsid w:val="001C6A5D"/>
    <w:rsid w:val="001C7861"/>
    <w:rsid w:val="001D10C9"/>
    <w:rsid w:val="001D4147"/>
    <w:rsid w:val="001D47BE"/>
    <w:rsid w:val="001E12A2"/>
    <w:rsid w:val="001E31A6"/>
    <w:rsid w:val="001E42C7"/>
    <w:rsid w:val="001E4CAB"/>
    <w:rsid w:val="001E570D"/>
    <w:rsid w:val="001E6A5F"/>
    <w:rsid w:val="001F2F3E"/>
    <w:rsid w:val="001F4906"/>
    <w:rsid w:val="001F570C"/>
    <w:rsid w:val="001F72AA"/>
    <w:rsid w:val="001F7C4A"/>
    <w:rsid w:val="00204B84"/>
    <w:rsid w:val="0020578A"/>
    <w:rsid w:val="00207631"/>
    <w:rsid w:val="00214013"/>
    <w:rsid w:val="00216AAF"/>
    <w:rsid w:val="00220FC1"/>
    <w:rsid w:val="00222E9A"/>
    <w:rsid w:val="0023179D"/>
    <w:rsid w:val="002322DF"/>
    <w:rsid w:val="0024756E"/>
    <w:rsid w:val="002477AC"/>
    <w:rsid w:val="00251A02"/>
    <w:rsid w:val="0025326D"/>
    <w:rsid w:val="002533B5"/>
    <w:rsid w:val="0025389D"/>
    <w:rsid w:val="00255EF3"/>
    <w:rsid w:val="002569A2"/>
    <w:rsid w:val="0026265F"/>
    <w:rsid w:val="00262ED0"/>
    <w:rsid w:val="00264C50"/>
    <w:rsid w:val="00266BDF"/>
    <w:rsid w:val="00275F79"/>
    <w:rsid w:val="00277FE9"/>
    <w:rsid w:val="002811C0"/>
    <w:rsid w:val="00281DF8"/>
    <w:rsid w:val="002831E7"/>
    <w:rsid w:val="00285958"/>
    <w:rsid w:val="002864FB"/>
    <w:rsid w:val="00286C3A"/>
    <w:rsid w:val="00287F43"/>
    <w:rsid w:val="00290E85"/>
    <w:rsid w:val="002930F5"/>
    <w:rsid w:val="002A06B7"/>
    <w:rsid w:val="002B4D2A"/>
    <w:rsid w:val="002B520D"/>
    <w:rsid w:val="002B6292"/>
    <w:rsid w:val="002B671B"/>
    <w:rsid w:val="002C6E0C"/>
    <w:rsid w:val="002C7767"/>
    <w:rsid w:val="002D144A"/>
    <w:rsid w:val="002D1483"/>
    <w:rsid w:val="002D2AF6"/>
    <w:rsid w:val="002D2F40"/>
    <w:rsid w:val="002D407D"/>
    <w:rsid w:val="002E17D3"/>
    <w:rsid w:val="002E19A3"/>
    <w:rsid w:val="002E212B"/>
    <w:rsid w:val="002E3337"/>
    <w:rsid w:val="002E6D03"/>
    <w:rsid w:val="002F460C"/>
    <w:rsid w:val="002F49A8"/>
    <w:rsid w:val="002F5E66"/>
    <w:rsid w:val="002F61CA"/>
    <w:rsid w:val="0030010D"/>
    <w:rsid w:val="00300A70"/>
    <w:rsid w:val="0030133B"/>
    <w:rsid w:val="00302006"/>
    <w:rsid w:val="00304403"/>
    <w:rsid w:val="003070FA"/>
    <w:rsid w:val="00312551"/>
    <w:rsid w:val="0031295D"/>
    <w:rsid w:val="0032165E"/>
    <w:rsid w:val="0033504C"/>
    <w:rsid w:val="00336816"/>
    <w:rsid w:val="003370D0"/>
    <w:rsid w:val="00337355"/>
    <w:rsid w:val="003402E4"/>
    <w:rsid w:val="00340F95"/>
    <w:rsid w:val="003531ED"/>
    <w:rsid w:val="00360B9A"/>
    <w:rsid w:val="003611D3"/>
    <w:rsid w:val="0036675D"/>
    <w:rsid w:val="003674EF"/>
    <w:rsid w:val="00374537"/>
    <w:rsid w:val="003758AF"/>
    <w:rsid w:val="003804E1"/>
    <w:rsid w:val="003821EF"/>
    <w:rsid w:val="0038298E"/>
    <w:rsid w:val="00387012"/>
    <w:rsid w:val="0039017F"/>
    <w:rsid w:val="00394A41"/>
    <w:rsid w:val="00394AEE"/>
    <w:rsid w:val="003A06AF"/>
    <w:rsid w:val="003A0A37"/>
    <w:rsid w:val="003B312D"/>
    <w:rsid w:val="003B4073"/>
    <w:rsid w:val="003B673F"/>
    <w:rsid w:val="003C217A"/>
    <w:rsid w:val="003C2D98"/>
    <w:rsid w:val="003C4C49"/>
    <w:rsid w:val="003D0EAD"/>
    <w:rsid w:val="003D0F77"/>
    <w:rsid w:val="003D360C"/>
    <w:rsid w:val="003D3A96"/>
    <w:rsid w:val="003D483F"/>
    <w:rsid w:val="003D4B2A"/>
    <w:rsid w:val="003E3D8F"/>
    <w:rsid w:val="003F1739"/>
    <w:rsid w:val="003F501D"/>
    <w:rsid w:val="00401BE6"/>
    <w:rsid w:val="00402450"/>
    <w:rsid w:val="00404F03"/>
    <w:rsid w:val="00412051"/>
    <w:rsid w:val="004121A0"/>
    <w:rsid w:val="0041466F"/>
    <w:rsid w:val="00415362"/>
    <w:rsid w:val="00420391"/>
    <w:rsid w:val="00423B94"/>
    <w:rsid w:val="004309ED"/>
    <w:rsid w:val="00430CF8"/>
    <w:rsid w:val="004326A4"/>
    <w:rsid w:val="00443E20"/>
    <w:rsid w:val="004446E7"/>
    <w:rsid w:val="004544B1"/>
    <w:rsid w:val="0046083D"/>
    <w:rsid w:val="00463731"/>
    <w:rsid w:val="0046400A"/>
    <w:rsid w:val="0046470C"/>
    <w:rsid w:val="0046502A"/>
    <w:rsid w:val="00467B25"/>
    <w:rsid w:val="00475788"/>
    <w:rsid w:val="00476340"/>
    <w:rsid w:val="00481108"/>
    <w:rsid w:val="004820B9"/>
    <w:rsid w:val="0049042B"/>
    <w:rsid w:val="00490F0B"/>
    <w:rsid w:val="00492E20"/>
    <w:rsid w:val="0049404D"/>
    <w:rsid w:val="00495473"/>
    <w:rsid w:val="004A1A1B"/>
    <w:rsid w:val="004A458E"/>
    <w:rsid w:val="004B1CB9"/>
    <w:rsid w:val="004B2133"/>
    <w:rsid w:val="004B23E7"/>
    <w:rsid w:val="004B306F"/>
    <w:rsid w:val="004B6073"/>
    <w:rsid w:val="004B6140"/>
    <w:rsid w:val="004B7EA7"/>
    <w:rsid w:val="004C26D1"/>
    <w:rsid w:val="004C3186"/>
    <w:rsid w:val="004C3D6B"/>
    <w:rsid w:val="004C4035"/>
    <w:rsid w:val="004C5042"/>
    <w:rsid w:val="004C72C5"/>
    <w:rsid w:val="004D6E2E"/>
    <w:rsid w:val="004E2D8E"/>
    <w:rsid w:val="004E40CC"/>
    <w:rsid w:val="004E4422"/>
    <w:rsid w:val="004F3A84"/>
    <w:rsid w:val="004F6C89"/>
    <w:rsid w:val="004F7E88"/>
    <w:rsid w:val="005016E9"/>
    <w:rsid w:val="00503998"/>
    <w:rsid w:val="0050493D"/>
    <w:rsid w:val="0050623B"/>
    <w:rsid w:val="005073B0"/>
    <w:rsid w:val="00522F6C"/>
    <w:rsid w:val="00523181"/>
    <w:rsid w:val="00524D13"/>
    <w:rsid w:val="0052582F"/>
    <w:rsid w:val="00525911"/>
    <w:rsid w:val="005328A8"/>
    <w:rsid w:val="005339F6"/>
    <w:rsid w:val="0055053C"/>
    <w:rsid w:val="005711D5"/>
    <w:rsid w:val="00576B18"/>
    <w:rsid w:val="00577AE4"/>
    <w:rsid w:val="00580301"/>
    <w:rsid w:val="0058449F"/>
    <w:rsid w:val="00585050"/>
    <w:rsid w:val="00585E6F"/>
    <w:rsid w:val="00587724"/>
    <w:rsid w:val="00590158"/>
    <w:rsid w:val="00591512"/>
    <w:rsid w:val="005B3BCA"/>
    <w:rsid w:val="005B48B4"/>
    <w:rsid w:val="005C6661"/>
    <w:rsid w:val="005C6E3B"/>
    <w:rsid w:val="005D474B"/>
    <w:rsid w:val="005D5445"/>
    <w:rsid w:val="005E085C"/>
    <w:rsid w:val="005E147D"/>
    <w:rsid w:val="005E22C2"/>
    <w:rsid w:val="005E57BB"/>
    <w:rsid w:val="005F0017"/>
    <w:rsid w:val="005F1B1F"/>
    <w:rsid w:val="005F2A0C"/>
    <w:rsid w:val="005F76D3"/>
    <w:rsid w:val="006014F1"/>
    <w:rsid w:val="0060421F"/>
    <w:rsid w:val="006130CE"/>
    <w:rsid w:val="00613452"/>
    <w:rsid w:val="0061357B"/>
    <w:rsid w:val="00614A7D"/>
    <w:rsid w:val="00616E6D"/>
    <w:rsid w:val="00616F12"/>
    <w:rsid w:val="0061730C"/>
    <w:rsid w:val="0063511A"/>
    <w:rsid w:val="0063631C"/>
    <w:rsid w:val="0063757B"/>
    <w:rsid w:val="006377CE"/>
    <w:rsid w:val="00642385"/>
    <w:rsid w:val="00644D46"/>
    <w:rsid w:val="006537D9"/>
    <w:rsid w:val="00656A32"/>
    <w:rsid w:val="006579F2"/>
    <w:rsid w:val="006639B5"/>
    <w:rsid w:val="0066465A"/>
    <w:rsid w:val="00664A48"/>
    <w:rsid w:val="00665540"/>
    <w:rsid w:val="00665DEF"/>
    <w:rsid w:val="006665F5"/>
    <w:rsid w:val="0067397B"/>
    <w:rsid w:val="006742FE"/>
    <w:rsid w:val="00675BB1"/>
    <w:rsid w:val="006775F1"/>
    <w:rsid w:val="00681588"/>
    <w:rsid w:val="00690475"/>
    <w:rsid w:val="00692AA7"/>
    <w:rsid w:val="00697FEC"/>
    <w:rsid w:val="006A175F"/>
    <w:rsid w:val="006A25D0"/>
    <w:rsid w:val="006A44F5"/>
    <w:rsid w:val="006A4B6F"/>
    <w:rsid w:val="006A5823"/>
    <w:rsid w:val="006B4537"/>
    <w:rsid w:val="006B5F85"/>
    <w:rsid w:val="006B6929"/>
    <w:rsid w:val="006B709B"/>
    <w:rsid w:val="006C54AF"/>
    <w:rsid w:val="006D3DA2"/>
    <w:rsid w:val="006D4DDA"/>
    <w:rsid w:val="006D5633"/>
    <w:rsid w:val="006E0181"/>
    <w:rsid w:val="006F0E9F"/>
    <w:rsid w:val="00700C0E"/>
    <w:rsid w:val="00701021"/>
    <w:rsid w:val="00702044"/>
    <w:rsid w:val="00705DAD"/>
    <w:rsid w:val="0070691D"/>
    <w:rsid w:val="00707F77"/>
    <w:rsid w:val="007109C0"/>
    <w:rsid w:val="00711F98"/>
    <w:rsid w:val="007124B7"/>
    <w:rsid w:val="007158EE"/>
    <w:rsid w:val="00720A86"/>
    <w:rsid w:val="007247B9"/>
    <w:rsid w:val="00727D85"/>
    <w:rsid w:val="007346C7"/>
    <w:rsid w:val="00735401"/>
    <w:rsid w:val="00736041"/>
    <w:rsid w:val="007408C7"/>
    <w:rsid w:val="007465DA"/>
    <w:rsid w:val="0075256E"/>
    <w:rsid w:val="00752C7F"/>
    <w:rsid w:val="00767E8F"/>
    <w:rsid w:val="00770B28"/>
    <w:rsid w:val="007719AE"/>
    <w:rsid w:val="00773A2D"/>
    <w:rsid w:val="00776598"/>
    <w:rsid w:val="007877DC"/>
    <w:rsid w:val="00787A21"/>
    <w:rsid w:val="00792948"/>
    <w:rsid w:val="00795864"/>
    <w:rsid w:val="00796E84"/>
    <w:rsid w:val="00797798"/>
    <w:rsid w:val="007A2C89"/>
    <w:rsid w:val="007A3ADE"/>
    <w:rsid w:val="007A5733"/>
    <w:rsid w:val="007A5774"/>
    <w:rsid w:val="007A6565"/>
    <w:rsid w:val="007B2134"/>
    <w:rsid w:val="007B6FD1"/>
    <w:rsid w:val="007C51E6"/>
    <w:rsid w:val="007D301F"/>
    <w:rsid w:val="007D45A1"/>
    <w:rsid w:val="007D7C05"/>
    <w:rsid w:val="007E0A8F"/>
    <w:rsid w:val="007E7CF4"/>
    <w:rsid w:val="008005EF"/>
    <w:rsid w:val="00801E74"/>
    <w:rsid w:val="0080485E"/>
    <w:rsid w:val="00807327"/>
    <w:rsid w:val="008074B2"/>
    <w:rsid w:val="008119A7"/>
    <w:rsid w:val="008142B4"/>
    <w:rsid w:val="00817C8B"/>
    <w:rsid w:val="0082484A"/>
    <w:rsid w:val="0082749E"/>
    <w:rsid w:val="00832324"/>
    <w:rsid w:val="00835337"/>
    <w:rsid w:val="008356A4"/>
    <w:rsid w:val="00837F9B"/>
    <w:rsid w:val="008412FC"/>
    <w:rsid w:val="00843914"/>
    <w:rsid w:val="00846DCD"/>
    <w:rsid w:val="0085035E"/>
    <w:rsid w:val="00850D5B"/>
    <w:rsid w:val="0085133A"/>
    <w:rsid w:val="00851D85"/>
    <w:rsid w:val="00855AEC"/>
    <w:rsid w:val="00857848"/>
    <w:rsid w:val="00860CCB"/>
    <w:rsid w:val="00862FC5"/>
    <w:rsid w:val="00864BB7"/>
    <w:rsid w:val="00870A73"/>
    <w:rsid w:val="008740A3"/>
    <w:rsid w:val="008762A6"/>
    <w:rsid w:val="00877C9F"/>
    <w:rsid w:val="00892236"/>
    <w:rsid w:val="0089296E"/>
    <w:rsid w:val="0089297B"/>
    <w:rsid w:val="0089620D"/>
    <w:rsid w:val="00896638"/>
    <w:rsid w:val="008B0103"/>
    <w:rsid w:val="008B7D87"/>
    <w:rsid w:val="008C36CA"/>
    <w:rsid w:val="008D49D9"/>
    <w:rsid w:val="008D52C7"/>
    <w:rsid w:val="008D6145"/>
    <w:rsid w:val="008E0613"/>
    <w:rsid w:val="008E1A54"/>
    <w:rsid w:val="008E356B"/>
    <w:rsid w:val="008E377A"/>
    <w:rsid w:val="008E3F8C"/>
    <w:rsid w:val="008E5165"/>
    <w:rsid w:val="008F1853"/>
    <w:rsid w:val="008F3233"/>
    <w:rsid w:val="008F38C8"/>
    <w:rsid w:val="008F3CEF"/>
    <w:rsid w:val="008F7ED0"/>
    <w:rsid w:val="00902126"/>
    <w:rsid w:val="00902C2D"/>
    <w:rsid w:val="00902FD0"/>
    <w:rsid w:val="00904291"/>
    <w:rsid w:val="0090539A"/>
    <w:rsid w:val="009053D3"/>
    <w:rsid w:val="0090691F"/>
    <w:rsid w:val="00907691"/>
    <w:rsid w:val="00913B99"/>
    <w:rsid w:val="0092449D"/>
    <w:rsid w:val="0092719E"/>
    <w:rsid w:val="0093111F"/>
    <w:rsid w:val="00935689"/>
    <w:rsid w:val="00940CB5"/>
    <w:rsid w:val="00942452"/>
    <w:rsid w:val="00944AA8"/>
    <w:rsid w:val="00946ED5"/>
    <w:rsid w:val="009509E9"/>
    <w:rsid w:val="00950F2C"/>
    <w:rsid w:val="0095303B"/>
    <w:rsid w:val="00954DD8"/>
    <w:rsid w:val="00955788"/>
    <w:rsid w:val="00963FAC"/>
    <w:rsid w:val="0096477F"/>
    <w:rsid w:val="009663B6"/>
    <w:rsid w:val="00966DFF"/>
    <w:rsid w:val="0097258F"/>
    <w:rsid w:val="009740C5"/>
    <w:rsid w:val="00974A47"/>
    <w:rsid w:val="00980286"/>
    <w:rsid w:val="00983838"/>
    <w:rsid w:val="00984AE5"/>
    <w:rsid w:val="00985058"/>
    <w:rsid w:val="00987B1B"/>
    <w:rsid w:val="00990DCF"/>
    <w:rsid w:val="00992D61"/>
    <w:rsid w:val="009937FF"/>
    <w:rsid w:val="00995B6A"/>
    <w:rsid w:val="00997BA0"/>
    <w:rsid w:val="009A4CD6"/>
    <w:rsid w:val="009A537C"/>
    <w:rsid w:val="009B073B"/>
    <w:rsid w:val="009B6541"/>
    <w:rsid w:val="009B7032"/>
    <w:rsid w:val="009C0886"/>
    <w:rsid w:val="009C19EE"/>
    <w:rsid w:val="009C28D0"/>
    <w:rsid w:val="009C35F2"/>
    <w:rsid w:val="009C7782"/>
    <w:rsid w:val="009D1989"/>
    <w:rsid w:val="009D1ED5"/>
    <w:rsid w:val="009D4C13"/>
    <w:rsid w:val="009E07FA"/>
    <w:rsid w:val="009E133F"/>
    <w:rsid w:val="009E200C"/>
    <w:rsid w:val="009E205F"/>
    <w:rsid w:val="009E21A7"/>
    <w:rsid w:val="009E36BD"/>
    <w:rsid w:val="009E55A6"/>
    <w:rsid w:val="009E7939"/>
    <w:rsid w:val="009F410D"/>
    <w:rsid w:val="009F4396"/>
    <w:rsid w:val="00A00DD7"/>
    <w:rsid w:val="00A01C83"/>
    <w:rsid w:val="00A05488"/>
    <w:rsid w:val="00A07EAD"/>
    <w:rsid w:val="00A103ED"/>
    <w:rsid w:val="00A10578"/>
    <w:rsid w:val="00A10E49"/>
    <w:rsid w:val="00A127F1"/>
    <w:rsid w:val="00A1337C"/>
    <w:rsid w:val="00A13C60"/>
    <w:rsid w:val="00A22B4E"/>
    <w:rsid w:val="00A23E11"/>
    <w:rsid w:val="00A26B05"/>
    <w:rsid w:val="00A32AD4"/>
    <w:rsid w:val="00A341A3"/>
    <w:rsid w:val="00A35800"/>
    <w:rsid w:val="00A37DDA"/>
    <w:rsid w:val="00A40894"/>
    <w:rsid w:val="00A43B41"/>
    <w:rsid w:val="00A471E4"/>
    <w:rsid w:val="00A52918"/>
    <w:rsid w:val="00A53A50"/>
    <w:rsid w:val="00A540B1"/>
    <w:rsid w:val="00A547B3"/>
    <w:rsid w:val="00A54996"/>
    <w:rsid w:val="00A57A5A"/>
    <w:rsid w:val="00A7014F"/>
    <w:rsid w:val="00A70E82"/>
    <w:rsid w:val="00A732BB"/>
    <w:rsid w:val="00A74940"/>
    <w:rsid w:val="00A81F08"/>
    <w:rsid w:val="00A84CAD"/>
    <w:rsid w:val="00A90E50"/>
    <w:rsid w:val="00A95FA5"/>
    <w:rsid w:val="00A96D92"/>
    <w:rsid w:val="00AA0AFB"/>
    <w:rsid w:val="00AA18F9"/>
    <w:rsid w:val="00AA77A1"/>
    <w:rsid w:val="00AB17C9"/>
    <w:rsid w:val="00AB3733"/>
    <w:rsid w:val="00AB3C49"/>
    <w:rsid w:val="00AB66CA"/>
    <w:rsid w:val="00AB7897"/>
    <w:rsid w:val="00AC0458"/>
    <w:rsid w:val="00AC1438"/>
    <w:rsid w:val="00AC4C7B"/>
    <w:rsid w:val="00AC5054"/>
    <w:rsid w:val="00AD0F5E"/>
    <w:rsid w:val="00AE2647"/>
    <w:rsid w:val="00AE4BAC"/>
    <w:rsid w:val="00AF01D3"/>
    <w:rsid w:val="00AF12CE"/>
    <w:rsid w:val="00AF23F6"/>
    <w:rsid w:val="00AF2ACE"/>
    <w:rsid w:val="00AF5BCC"/>
    <w:rsid w:val="00B03404"/>
    <w:rsid w:val="00B034FC"/>
    <w:rsid w:val="00B05310"/>
    <w:rsid w:val="00B053E5"/>
    <w:rsid w:val="00B058AB"/>
    <w:rsid w:val="00B06431"/>
    <w:rsid w:val="00B10A0B"/>
    <w:rsid w:val="00B11C88"/>
    <w:rsid w:val="00B30D85"/>
    <w:rsid w:val="00B35A4A"/>
    <w:rsid w:val="00B4104B"/>
    <w:rsid w:val="00B46DFC"/>
    <w:rsid w:val="00B47288"/>
    <w:rsid w:val="00B47A34"/>
    <w:rsid w:val="00B517BC"/>
    <w:rsid w:val="00B55DA2"/>
    <w:rsid w:val="00B610C9"/>
    <w:rsid w:val="00B63FD7"/>
    <w:rsid w:val="00B64813"/>
    <w:rsid w:val="00B65DDE"/>
    <w:rsid w:val="00B70E9D"/>
    <w:rsid w:val="00B72BFA"/>
    <w:rsid w:val="00B72D5F"/>
    <w:rsid w:val="00B7481C"/>
    <w:rsid w:val="00B749E8"/>
    <w:rsid w:val="00B816D9"/>
    <w:rsid w:val="00B87CBD"/>
    <w:rsid w:val="00B90233"/>
    <w:rsid w:val="00B9120F"/>
    <w:rsid w:val="00B91A45"/>
    <w:rsid w:val="00B9216C"/>
    <w:rsid w:val="00B924A4"/>
    <w:rsid w:val="00BA0968"/>
    <w:rsid w:val="00BA6180"/>
    <w:rsid w:val="00BB0D1A"/>
    <w:rsid w:val="00BB0E3B"/>
    <w:rsid w:val="00BB0F96"/>
    <w:rsid w:val="00BB1D3B"/>
    <w:rsid w:val="00BB445F"/>
    <w:rsid w:val="00BB4AB7"/>
    <w:rsid w:val="00BB58BA"/>
    <w:rsid w:val="00BC1B65"/>
    <w:rsid w:val="00BC35ED"/>
    <w:rsid w:val="00BC7B81"/>
    <w:rsid w:val="00BD0B78"/>
    <w:rsid w:val="00BD1F8A"/>
    <w:rsid w:val="00BD34D4"/>
    <w:rsid w:val="00BD3B1E"/>
    <w:rsid w:val="00BD5E61"/>
    <w:rsid w:val="00BD7F3D"/>
    <w:rsid w:val="00BE205A"/>
    <w:rsid w:val="00BE3802"/>
    <w:rsid w:val="00BE6120"/>
    <w:rsid w:val="00BE7679"/>
    <w:rsid w:val="00BF238E"/>
    <w:rsid w:val="00BF2F4A"/>
    <w:rsid w:val="00BF3B63"/>
    <w:rsid w:val="00BF544D"/>
    <w:rsid w:val="00BF6AA7"/>
    <w:rsid w:val="00C0076F"/>
    <w:rsid w:val="00C0301C"/>
    <w:rsid w:val="00C043AA"/>
    <w:rsid w:val="00C050B6"/>
    <w:rsid w:val="00C06FB5"/>
    <w:rsid w:val="00C0737E"/>
    <w:rsid w:val="00C10F12"/>
    <w:rsid w:val="00C10F3A"/>
    <w:rsid w:val="00C119DF"/>
    <w:rsid w:val="00C1211B"/>
    <w:rsid w:val="00C14982"/>
    <w:rsid w:val="00C15EB1"/>
    <w:rsid w:val="00C201C9"/>
    <w:rsid w:val="00C20982"/>
    <w:rsid w:val="00C22C4C"/>
    <w:rsid w:val="00C245EA"/>
    <w:rsid w:val="00C24919"/>
    <w:rsid w:val="00C256F6"/>
    <w:rsid w:val="00C3097E"/>
    <w:rsid w:val="00C32521"/>
    <w:rsid w:val="00C35ECC"/>
    <w:rsid w:val="00C361A8"/>
    <w:rsid w:val="00C41246"/>
    <w:rsid w:val="00C41F90"/>
    <w:rsid w:val="00C448F7"/>
    <w:rsid w:val="00C45E5F"/>
    <w:rsid w:val="00C46291"/>
    <w:rsid w:val="00C4714D"/>
    <w:rsid w:val="00C5251A"/>
    <w:rsid w:val="00C52878"/>
    <w:rsid w:val="00C531DC"/>
    <w:rsid w:val="00C560F3"/>
    <w:rsid w:val="00C57C6B"/>
    <w:rsid w:val="00C63412"/>
    <w:rsid w:val="00C7088C"/>
    <w:rsid w:val="00C714D0"/>
    <w:rsid w:val="00C71B6A"/>
    <w:rsid w:val="00C726D8"/>
    <w:rsid w:val="00C7297E"/>
    <w:rsid w:val="00C74C98"/>
    <w:rsid w:val="00C83E68"/>
    <w:rsid w:val="00C90EF4"/>
    <w:rsid w:val="00C9268B"/>
    <w:rsid w:val="00CA015A"/>
    <w:rsid w:val="00CA61E5"/>
    <w:rsid w:val="00CA6332"/>
    <w:rsid w:val="00CB0A85"/>
    <w:rsid w:val="00CB49D0"/>
    <w:rsid w:val="00CC0138"/>
    <w:rsid w:val="00CC1AA3"/>
    <w:rsid w:val="00CC2E0A"/>
    <w:rsid w:val="00CC5929"/>
    <w:rsid w:val="00CC5979"/>
    <w:rsid w:val="00CC71D4"/>
    <w:rsid w:val="00CD0BBA"/>
    <w:rsid w:val="00CD0BFD"/>
    <w:rsid w:val="00CD3F70"/>
    <w:rsid w:val="00CD4486"/>
    <w:rsid w:val="00CE14E8"/>
    <w:rsid w:val="00CE3484"/>
    <w:rsid w:val="00CE4C27"/>
    <w:rsid w:val="00CE5B59"/>
    <w:rsid w:val="00CE5E40"/>
    <w:rsid w:val="00CE5F87"/>
    <w:rsid w:val="00CF2E4B"/>
    <w:rsid w:val="00CF420D"/>
    <w:rsid w:val="00CF4762"/>
    <w:rsid w:val="00CF4F45"/>
    <w:rsid w:val="00CF5D45"/>
    <w:rsid w:val="00CF70FC"/>
    <w:rsid w:val="00D025C1"/>
    <w:rsid w:val="00D06A44"/>
    <w:rsid w:val="00D1160E"/>
    <w:rsid w:val="00D12B5D"/>
    <w:rsid w:val="00D134BD"/>
    <w:rsid w:val="00D13DDD"/>
    <w:rsid w:val="00D151EB"/>
    <w:rsid w:val="00D15AB8"/>
    <w:rsid w:val="00D1603E"/>
    <w:rsid w:val="00D160EB"/>
    <w:rsid w:val="00D1777B"/>
    <w:rsid w:val="00D20060"/>
    <w:rsid w:val="00D261A0"/>
    <w:rsid w:val="00D300E0"/>
    <w:rsid w:val="00D374CD"/>
    <w:rsid w:val="00D37F2D"/>
    <w:rsid w:val="00D41309"/>
    <w:rsid w:val="00D457E2"/>
    <w:rsid w:val="00D5040F"/>
    <w:rsid w:val="00D5518A"/>
    <w:rsid w:val="00D57EB6"/>
    <w:rsid w:val="00D60249"/>
    <w:rsid w:val="00D64F2F"/>
    <w:rsid w:val="00D650CE"/>
    <w:rsid w:val="00D65304"/>
    <w:rsid w:val="00D6669C"/>
    <w:rsid w:val="00D71719"/>
    <w:rsid w:val="00D72B6A"/>
    <w:rsid w:val="00D72E36"/>
    <w:rsid w:val="00D732A8"/>
    <w:rsid w:val="00D7337E"/>
    <w:rsid w:val="00D776DA"/>
    <w:rsid w:val="00D83DFF"/>
    <w:rsid w:val="00D83F0B"/>
    <w:rsid w:val="00D8529C"/>
    <w:rsid w:val="00D85547"/>
    <w:rsid w:val="00D8758B"/>
    <w:rsid w:val="00D942B3"/>
    <w:rsid w:val="00D94863"/>
    <w:rsid w:val="00D94E0C"/>
    <w:rsid w:val="00D979BA"/>
    <w:rsid w:val="00DA5C90"/>
    <w:rsid w:val="00DA7259"/>
    <w:rsid w:val="00DA7D09"/>
    <w:rsid w:val="00DB685C"/>
    <w:rsid w:val="00DB7095"/>
    <w:rsid w:val="00DC2630"/>
    <w:rsid w:val="00DC49E9"/>
    <w:rsid w:val="00DC55E4"/>
    <w:rsid w:val="00DC7242"/>
    <w:rsid w:val="00DC7D71"/>
    <w:rsid w:val="00DD188C"/>
    <w:rsid w:val="00DD1B32"/>
    <w:rsid w:val="00DD29A3"/>
    <w:rsid w:val="00DD48EE"/>
    <w:rsid w:val="00DE0B96"/>
    <w:rsid w:val="00DE10B9"/>
    <w:rsid w:val="00DE5814"/>
    <w:rsid w:val="00DE5B8D"/>
    <w:rsid w:val="00DF0B13"/>
    <w:rsid w:val="00DF110A"/>
    <w:rsid w:val="00DF2EB8"/>
    <w:rsid w:val="00DF4A94"/>
    <w:rsid w:val="00DF5219"/>
    <w:rsid w:val="00DF6003"/>
    <w:rsid w:val="00E00095"/>
    <w:rsid w:val="00E00B2E"/>
    <w:rsid w:val="00E048D6"/>
    <w:rsid w:val="00E06103"/>
    <w:rsid w:val="00E066C3"/>
    <w:rsid w:val="00E10019"/>
    <w:rsid w:val="00E10D8C"/>
    <w:rsid w:val="00E10DD1"/>
    <w:rsid w:val="00E1132C"/>
    <w:rsid w:val="00E11A27"/>
    <w:rsid w:val="00E11E5E"/>
    <w:rsid w:val="00E12407"/>
    <w:rsid w:val="00E1353A"/>
    <w:rsid w:val="00E1564B"/>
    <w:rsid w:val="00E15C0A"/>
    <w:rsid w:val="00E208A0"/>
    <w:rsid w:val="00E22713"/>
    <w:rsid w:val="00E24A62"/>
    <w:rsid w:val="00E25B49"/>
    <w:rsid w:val="00E371EA"/>
    <w:rsid w:val="00E372E8"/>
    <w:rsid w:val="00E40976"/>
    <w:rsid w:val="00E4307B"/>
    <w:rsid w:val="00E4642D"/>
    <w:rsid w:val="00E558E9"/>
    <w:rsid w:val="00E57A8F"/>
    <w:rsid w:val="00E60177"/>
    <w:rsid w:val="00E62AFD"/>
    <w:rsid w:val="00E62B16"/>
    <w:rsid w:val="00E64429"/>
    <w:rsid w:val="00E677DD"/>
    <w:rsid w:val="00E6789E"/>
    <w:rsid w:val="00E75844"/>
    <w:rsid w:val="00E7594B"/>
    <w:rsid w:val="00E75F97"/>
    <w:rsid w:val="00E8149D"/>
    <w:rsid w:val="00E8228F"/>
    <w:rsid w:val="00E87ECC"/>
    <w:rsid w:val="00E95A99"/>
    <w:rsid w:val="00E963AB"/>
    <w:rsid w:val="00EA58B5"/>
    <w:rsid w:val="00EA6AE5"/>
    <w:rsid w:val="00EB0E32"/>
    <w:rsid w:val="00EB36D6"/>
    <w:rsid w:val="00EB44DF"/>
    <w:rsid w:val="00EB4688"/>
    <w:rsid w:val="00EB51C9"/>
    <w:rsid w:val="00EB6C07"/>
    <w:rsid w:val="00EC028D"/>
    <w:rsid w:val="00EC52AF"/>
    <w:rsid w:val="00ED335F"/>
    <w:rsid w:val="00ED633B"/>
    <w:rsid w:val="00EE0C33"/>
    <w:rsid w:val="00EE1920"/>
    <w:rsid w:val="00EE3492"/>
    <w:rsid w:val="00EE478C"/>
    <w:rsid w:val="00EE5F4C"/>
    <w:rsid w:val="00EF0D50"/>
    <w:rsid w:val="00EF4DF8"/>
    <w:rsid w:val="00EF7CAD"/>
    <w:rsid w:val="00F01040"/>
    <w:rsid w:val="00F0129D"/>
    <w:rsid w:val="00F01A9C"/>
    <w:rsid w:val="00F06B29"/>
    <w:rsid w:val="00F1132C"/>
    <w:rsid w:val="00F15DD5"/>
    <w:rsid w:val="00F17D4B"/>
    <w:rsid w:val="00F213A4"/>
    <w:rsid w:val="00F21748"/>
    <w:rsid w:val="00F21C0B"/>
    <w:rsid w:val="00F23139"/>
    <w:rsid w:val="00F24012"/>
    <w:rsid w:val="00F2441E"/>
    <w:rsid w:val="00F26FBD"/>
    <w:rsid w:val="00F35493"/>
    <w:rsid w:val="00F430D9"/>
    <w:rsid w:val="00F45A6A"/>
    <w:rsid w:val="00F46349"/>
    <w:rsid w:val="00F526D8"/>
    <w:rsid w:val="00F53690"/>
    <w:rsid w:val="00F54E2A"/>
    <w:rsid w:val="00F569C7"/>
    <w:rsid w:val="00F66CD5"/>
    <w:rsid w:val="00F67572"/>
    <w:rsid w:val="00F67A9A"/>
    <w:rsid w:val="00F70F4E"/>
    <w:rsid w:val="00F75FC4"/>
    <w:rsid w:val="00F80C91"/>
    <w:rsid w:val="00F85981"/>
    <w:rsid w:val="00F87263"/>
    <w:rsid w:val="00F91EB1"/>
    <w:rsid w:val="00F93725"/>
    <w:rsid w:val="00F941FC"/>
    <w:rsid w:val="00F97E1D"/>
    <w:rsid w:val="00FA0464"/>
    <w:rsid w:val="00FA272B"/>
    <w:rsid w:val="00FA4890"/>
    <w:rsid w:val="00FA60B0"/>
    <w:rsid w:val="00FB77FA"/>
    <w:rsid w:val="00FC3921"/>
    <w:rsid w:val="00FC3C70"/>
    <w:rsid w:val="00FC4552"/>
    <w:rsid w:val="00FC4A73"/>
    <w:rsid w:val="00FC559C"/>
    <w:rsid w:val="00FC7F0D"/>
    <w:rsid w:val="00FD6A35"/>
    <w:rsid w:val="00FD79B6"/>
    <w:rsid w:val="00FE1A5C"/>
    <w:rsid w:val="00FE645A"/>
    <w:rsid w:val="00FF0097"/>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99"/>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styleId="FollowedHyperlink">
    <w:name w:val="FollowedHyperlink"/>
    <w:basedOn w:val="DefaultParagraphFont"/>
    <w:uiPriority w:val="99"/>
    <w:semiHidden/>
    <w:unhideWhenUsed/>
    <w:rsid w:val="003C4C49"/>
    <w:rPr>
      <w:color w:val="800080" w:themeColor="followedHyperlink"/>
      <w:u w:val="single"/>
    </w:rPr>
  </w:style>
  <w:style w:type="paragraph" w:styleId="Revision">
    <w:name w:val="Revision"/>
    <w:hidden/>
    <w:uiPriority w:val="99"/>
    <w:semiHidden/>
    <w:rsid w:val="00D1603E"/>
    <w:pPr>
      <w:spacing w:after="0" w:line="240" w:lineRule="auto"/>
    </w:pPr>
    <w:rPr>
      <w:sz w:val="24"/>
      <w:szCs w:val="24"/>
    </w:rPr>
  </w:style>
  <w:style w:type="paragraph" w:customStyle="1" w:styleId="PBACHeading1">
    <w:name w:val="PBAC Heading 1"/>
    <w:basedOn w:val="ListParagraph"/>
    <w:qFormat/>
    <w:rsid w:val="007A2C89"/>
    <w:pPr>
      <w:numPr>
        <w:numId w:val="26"/>
      </w:numPr>
      <w:spacing w:after="0"/>
      <w:jc w:val="both"/>
    </w:pPr>
    <w:rPr>
      <w:rFonts w:ascii="Arial" w:eastAsia="Times New Roman" w:hAnsi="Arial" w:cs="Times New Roman"/>
      <w:b/>
      <w:sz w:val="22"/>
      <w:szCs w:val="22"/>
    </w:rPr>
  </w:style>
  <w:style w:type="character" w:customStyle="1" w:styleId="ListParagraphChar">
    <w:name w:val="List Paragraph Char"/>
    <w:basedOn w:val="DefaultParagraphFont"/>
    <w:link w:val="ListParagraph"/>
    <w:uiPriority w:val="99"/>
    <w:rsid w:val="00EF7CAD"/>
    <w:rPr>
      <w:sz w:val="24"/>
      <w:szCs w:val="24"/>
    </w:rPr>
  </w:style>
  <w:style w:type="paragraph" w:styleId="NormalWeb">
    <w:name w:val="Normal (Web)"/>
    <w:basedOn w:val="Normal"/>
    <w:uiPriority w:val="99"/>
    <w:unhideWhenUsed/>
    <w:rsid w:val="0050493D"/>
    <w:pPr>
      <w:spacing w:after="150"/>
    </w:pPr>
    <w:rPr>
      <w:rFonts w:ascii="Times New Roman" w:eastAsia="Times New Roman" w:hAnsi="Times New Roman" w:cs="Times New Roman"/>
      <w:color w:val="222222"/>
    </w:rPr>
  </w:style>
  <w:style w:type="character" w:customStyle="1" w:styleId="label-">
    <w:name w:val="label-"/>
    <w:basedOn w:val="DefaultParagraphFont"/>
    <w:rsid w:val="00666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99"/>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styleId="FollowedHyperlink">
    <w:name w:val="FollowedHyperlink"/>
    <w:basedOn w:val="DefaultParagraphFont"/>
    <w:uiPriority w:val="99"/>
    <w:semiHidden/>
    <w:unhideWhenUsed/>
    <w:rsid w:val="003C4C49"/>
    <w:rPr>
      <w:color w:val="800080" w:themeColor="followedHyperlink"/>
      <w:u w:val="single"/>
    </w:rPr>
  </w:style>
  <w:style w:type="paragraph" w:styleId="Revision">
    <w:name w:val="Revision"/>
    <w:hidden/>
    <w:uiPriority w:val="99"/>
    <w:semiHidden/>
    <w:rsid w:val="00D1603E"/>
    <w:pPr>
      <w:spacing w:after="0" w:line="240" w:lineRule="auto"/>
    </w:pPr>
    <w:rPr>
      <w:sz w:val="24"/>
      <w:szCs w:val="24"/>
    </w:rPr>
  </w:style>
  <w:style w:type="paragraph" w:customStyle="1" w:styleId="PBACHeading1">
    <w:name w:val="PBAC Heading 1"/>
    <w:basedOn w:val="ListParagraph"/>
    <w:qFormat/>
    <w:rsid w:val="007A2C89"/>
    <w:pPr>
      <w:numPr>
        <w:numId w:val="26"/>
      </w:numPr>
      <w:spacing w:after="0"/>
      <w:jc w:val="both"/>
    </w:pPr>
    <w:rPr>
      <w:rFonts w:ascii="Arial" w:eastAsia="Times New Roman" w:hAnsi="Arial" w:cs="Times New Roman"/>
      <w:b/>
      <w:sz w:val="22"/>
      <w:szCs w:val="22"/>
    </w:rPr>
  </w:style>
  <w:style w:type="character" w:customStyle="1" w:styleId="ListParagraphChar">
    <w:name w:val="List Paragraph Char"/>
    <w:basedOn w:val="DefaultParagraphFont"/>
    <w:link w:val="ListParagraph"/>
    <w:uiPriority w:val="99"/>
    <w:rsid w:val="00EF7CAD"/>
    <w:rPr>
      <w:sz w:val="24"/>
      <w:szCs w:val="24"/>
    </w:rPr>
  </w:style>
  <w:style w:type="paragraph" w:styleId="NormalWeb">
    <w:name w:val="Normal (Web)"/>
    <w:basedOn w:val="Normal"/>
    <w:uiPriority w:val="99"/>
    <w:unhideWhenUsed/>
    <w:rsid w:val="0050493D"/>
    <w:pPr>
      <w:spacing w:after="150"/>
    </w:pPr>
    <w:rPr>
      <w:rFonts w:ascii="Times New Roman" w:eastAsia="Times New Roman" w:hAnsi="Times New Roman" w:cs="Times New Roman"/>
      <w:color w:val="222222"/>
    </w:rPr>
  </w:style>
  <w:style w:type="character" w:customStyle="1" w:styleId="label-">
    <w:name w:val="label-"/>
    <w:basedOn w:val="DefaultParagraphFont"/>
    <w:rsid w:val="0066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23">
      <w:bodyDiv w:val="1"/>
      <w:marLeft w:val="0"/>
      <w:marRight w:val="0"/>
      <w:marTop w:val="0"/>
      <w:marBottom w:val="0"/>
      <w:divBdr>
        <w:top w:val="none" w:sz="0" w:space="0" w:color="auto"/>
        <w:left w:val="none" w:sz="0" w:space="0" w:color="auto"/>
        <w:bottom w:val="none" w:sz="0" w:space="0" w:color="auto"/>
        <w:right w:val="none" w:sz="0" w:space="0" w:color="auto"/>
      </w:divBdr>
    </w:div>
    <w:div w:id="70859804">
      <w:bodyDiv w:val="1"/>
      <w:marLeft w:val="0"/>
      <w:marRight w:val="0"/>
      <w:marTop w:val="0"/>
      <w:marBottom w:val="0"/>
      <w:divBdr>
        <w:top w:val="none" w:sz="0" w:space="0" w:color="auto"/>
        <w:left w:val="none" w:sz="0" w:space="0" w:color="auto"/>
        <w:bottom w:val="none" w:sz="0" w:space="0" w:color="auto"/>
        <w:right w:val="none" w:sz="0" w:space="0" w:color="auto"/>
      </w:divBdr>
    </w:div>
    <w:div w:id="110825378">
      <w:bodyDiv w:val="1"/>
      <w:marLeft w:val="0"/>
      <w:marRight w:val="0"/>
      <w:marTop w:val="0"/>
      <w:marBottom w:val="0"/>
      <w:divBdr>
        <w:top w:val="none" w:sz="0" w:space="0" w:color="auto"/>
        <w:left w:val="none" w:sz="0" w:space="0" w:color="auto"/>
        <w:bottom w:val="none" w:sz="0" w:space="0" w:color="auto"/>
        <w:right w:val="none" w:sz="0" w:space="0" w:color="auto"/>
      </w:divBdr>
    </w:div>
    <w:div w:id="110902429">
      <w:bodyDiv w:val="1"/>
      <w:marLeft w:val="0"/>
      <w:marRight w:val="0"/>
      <w:marTop w:val="0"/>
      <w:marBottom w:val="0"/>
      <w:divBdr>
        <w:top w:val="none" w:sz="0" w:space="0" w:color="auto"/>
        <w:left w:val="none" w:sz="0" w:space="0" w:color="auto"/>
        <w:bottom w:val="none" w:sz="0" w:space="0" w:color="auto"/>
        <w:right w:val="none" w:sz="0" w:space="0" w:color="auto"/>
      </w:divBdr>
    </w:div>
    <w:div w:id="157700381">
      <w:bodyDiv w:val="1"/>
      <w:marLeft w:val="0"/>
      <w:marRight w:val="0"/>
      <w:marTop w:val="0"/>
      <w:marBottom w:val="0"/>
      <w:divBdr>
        <w:top w:val="none" w:sz="0" w:space="0" w:color="auto"/>
        <w:left w:val="none" w:sz="0" w:space="0" w:color="auto"/>
        <w:bottom w:val="none" w:sz="0" w:space="0" w:color="auto"/>
        <w:right w:val="none" w:sz="0" w:space="0" w:color="auto"/>
      </w:divBdr>
      <w:divsChild>
        <w:div w:id="1823958857">
          <w:marLeft w:val="0"/>
          <w:marRight w:val="0"/>
          <w:marTop w:val="0"/>
          <w:marBottom w:val="0"/>
          <w:divBdr>
            <w:top w:val="none" w:sz="0" w:space="0" w:color="auto"/>
            <w:left w:val="none" w:sz="0" w:space="0" w:color="auto"/>
            <w:bottom w:val="none" w:sz="0" w:space="0" w:color="auto"/>
            <w:right w:val="none" w:sz="0" w:space="0" w:color="auto"/>
          </w:divBdr>
          <w:divsChild>
            <w:div w:id="23407195">
              <w:marLeft w:val="0"/>
              <w:marRight w:val="0"/>
              <w:marTop w:val="0"/>
              <w:marBottom w:val="0"/>
              <w:divBdr>
                <w:top w:val="none" w:sz="0" w:space="0" w:color="auto"/>
                <w:left w:val="none" w:sz="0" w:space="0" w:color="auto"/>
                <w:bottom w:val="none" w:sz="0" w:space="0" w:color="auto"/>
                <w:right w:val="none" w:sz="0" w:space="0" w:color="auto"/>
              </w:divBdr>
              <w:divsChild>
                <w:div w:id="2031057772">
                  <w:marLeft w:val="0"/>
                  <w:marRight w:val="0"/>
                  <w:marTop w:val="0"/>
                  <w:marBottom w:val="0"/>
                  <w:divBdr>
                    <w:top w:val="none" w:sz="0" w:space="0" w:color="auto"/>
                    <w:left w:val="none" w:sz="0" w:space="0" w:color="auto"/>
                    <w:bottom w:val="none" w:sz="0" w:space="0" w:color="auto"/>
                    <w:right w:val="none" w:sz="0" w:space="0" w:color="auto"/>
                  </w:divBdr>
                  <w:divsChild>
                    <w:div w:id="1442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3519">
      <w:bodyDiv w:val="1"/>
      <w:marLeft w:val="120"/>
      <w:marRight w:val="120"/>
      <w:marTop w:val="0"/>
      <w:marBottom w:val="0"/>
      <w:divBdr>
        <w:top w:val="none" w:sz="0" w:space="0" w:color="auto"/>
        <w:left w:val="none" w:sz="0" w:space="0" w:color="auto"/>
        <w:bottom w:val="none" w:sz="0" w:space="0" w:color="auto"/>
        <w:right w:val="none" w:sz="0" w:space="0" w:color="auto"/>
      </w:divBdr>
    </w:div>
    <w:div w:id="306473504">
      <w:bodyDiv w:val="1"/>
      <w:marLeft w:val="0"/>
      <w:marRight w:val="0"/>
      <w:marTop w:val="0"/>
      <w:marBottom w:val="0"/>
      <w:divBdr>
        <w:top w:val="none" w:sz="0" w:space="0" w:color="auto"/>
        <w:left w:val="none" w:sz="0" w:space="0" w:color="auto"/>
        <w:bottom w:val="none" w:sz="0" w:space="0" w:color="auto"/>
        <w:right w:val="none" w:sz="0" w:space="0" w:color="auto"/>
      </w:divBdr>
      <w:divsChild>
        <w:div w:id="109016072">
          <w:marLeft w:val="0"/>
          <w:marRight w:val="0"/>
          <w:marTop w:val="0"/>
          <w:marBottom w:val="0"/>
          <w:divBdr>
            <w:top w:val="none" w:sz="0" w:space="0" w:color="auto"/>
            <w:left w:val="none" w:sz="0" w:space="0" w:color="auto"/>
            <w:bottom w:val="none" w:sz="0" w:space="0" w:color="auto"/>
            <w:right w:val="none" w:sz="0" w:space="0" w:color="auto"/>
          </w:divBdr>
          <w:divsChild>
            <w:div w:id="1380939144">
              <w:marLeft w:val="0"/>
              <w:marRight w:val="0"/>
              <w:marTop w:val="0"/>
              <w:marBottom w:val="0"/>
              <w:divBdr>
                <w:top w:val="none" w:sz="0" w:space="0" w:color="auto"/>
                <w:left w:val="none" w:sz="0" w:space="0" w:color="auto"/>
                <w:bottom w:val="none" w:sz="0" w:space="0" w:color="auto"/>
                <w:right w:val="none" w:sz="0" w:space="0" w:color="auto"/>
              </w:divBdr>
              <w:divsChild>
                <w:div w:id="907694431">
                  <w:marLeft w:val="0"/>
                  <w:marRight w:val="0"/>
                  <w:marTop w:val="0"/>
                  <w:marBottom w:val="0"/>
                  <w:divBdr>
                    <w:top w:val="none" w:sz="0" w:space="0" w:color="auto"/>
                    <w:left w:val="none" w:sz="0" w:space="0" w:color="auto"/>
                    <w:bottom w:val="none" w:sz="0" w:space="0" w:color="auto"/>
                    <w:right w:val="none" w:sz="0" w:space="0" w:color="auto"/>
                  </w:divBdr>
                  <w:divsChild>
                    <w:div w:id="18206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19327108">
      <w:bodyDiv w:val="1"/>
      <w:marLeft w:val="0"/>
      <w:marRight w:val="0"/>
      <w:marTop w:val="0"/>
      <w:marBottom w:val="0"/>
      <w:divBdr>
        <w:top w:val="none" w:sz="0" w:space="0" w:color="auto"/>
        <w:left w:val="none" w:sz="0" w:space="0" w:color="auto"/>
        <w:bottom w:val="none" w:sz="0" w:space="0" w:color="auto"/>
        <w:right w:val="none" w:sz="0" w:space="0" w:color="auto"/>
      </w:divBdr>
    </w:div>
    <w:div w:id="455952501">
      <w:bodyDiv w:val="1"/>
      <w:marLeft w:val="0"/>
      <w:marRight w:val="0"/>
      <w:marTop w:val="0"/>
      <w:marBottom w:val="0"/>
      <w:divBdr>
        <w:top w:val="none" w:sz="0" w:space="0" w:color="auto"/>
        <w:left w:val="none" w:sz="0" w:space="0" w:color="auto"/>
        <w:bottom w:val="none" w:sz="0" w:space="0" w:color="auto"/>
        <w:right w:val="none" w:sz="0" w:space="0" w:color="auto"/>
      </w:divBdr>
      <w:divsChild>
        <w:div w:id="1774862922">
          <w:marLeft w:val="0"/>
          <w:marRight w:val="0"/>
          <w:marTop w:val="0"/>
          <w:marBottom w:val="0"/>
          <w:divBdr>
            <w:top w:val="none" w:sz="0" w:space="0" w:color="auto"/>
            <w:left w:val="none" w:sz="0" w:space="0" w:color="auto"/>
            <w:bottom w:val="none" w:sz="0" w:space="0" w:color="auto"/>
            <w:right w:val="none" w:sz="0" w:space="0" w:color="auto"/>
          </w:divBdr>
          <w:divsChild>
            <w:div w:id="1679843674">
              <w:marLeft w:val="0"/>
              <w:marRight w:val="0"/>
              <w:marTop w:val="0"/>
              <w:marBottom w:val="0"/>
              <w:divBdr>
                <w:top w:val="none" w:sz="0" w:space="0" w:color="auto"/>
                <w:left w:val="none" w:sz="0" w:space="0" w:color="auto"/>
                <w:bottom w:val="none" w:sz="0" w:space="0" w:color="auto"/>
                <w:right w:val="none" w:sz="0" w:space="0" w:color="auto"/>
              </w:divBdr>
              <w:divsChild>
                <w:div w:id="2089182189">
                  <w:marLeft w:val="0"/>
                  <w:marRight w:val="0"/>
                  <w:marTop w:val="0"/>
                  <w:marBottom w:val="0"/>
                  <w:divBdr>
                    <w:top w:val="none" w:sz="0" w:space="0" w:color="auto"/>
                    <w:left w:val="none" w:sz="0" w:space="0" w:color="auto"/>
                    <w:bottom w:val="none" w:sz="0" w:space="0" w:color="auto"/>
                    <w:right w:val="none" w:sz="0" w:space="0" w:color="auto"/>
                  </w:divBdr>
                  <w:divsChild>
                    <w:div w:id="1695617315">
                      <w:marLeft w:val="0"/>
                      <w:marRight w:val="0"/>
                      <w:marTop w:val="0"/>
                      <w:marBottom w:val="0"/>
                      <w:divBdr>
                        <w:top w:val="none" w:sz="0" w:space="0" w:color="auto"/>
                        <w:left w:val="none" w:sz="0" w:space="0" w:color="auto"/>
                        <w:bottom w:val="none" w:sz="0" w:space="0" w:color="auto"/>
                        <w:right w:val="none" w:sz="0" w:space="0" w:color="auto"/>
                      </w:divBdr>
                      <w:divsChild>
                        <w:div w:id="699860057">
                          <w:marLeft w:val="0"/>
                          <w:marRight w:val="0"/>
                          <w:marTop w:val="0"/>
                          <w:marBottom w:val="0"/>
                          <w:divBdr>
                            <w:top w:val="none" w:sz="0" w:space="0" w:color="auto"/>
                            <w:left w:val="none" w:sz="0" w:space="0" w:color="auto"/>
                            <w:bottom w:val="none" w:sz="0" w:space="0" w:color="auto"/>
                            <w:right w:val="none" w:sz="0" w:space="0" w:color="auto"/>
                          </w:divBdr>
                          <w:divsChild>
                            <w:div w:id="1412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597791">
      <w:bodyDiv w:val="1"/>
      <w:marLeft w:val="0"/>
      <w:marRight w:val="0"/>
      <w:marTop w:val="0"/>
      <w:marBottom w:val="0"/>
      <w:divBdr>
        <w:top w:val="none" w:sz="0" w:space="0" w:color="auto"/>
        <w:left w:val="none" w:sz="0" w:space="0" w:color="auto"/>
        <w:bottom w:val="none" w:sz="0" w:space="0" w:color="auto"/>
        <w:right w:val="none" w:sz="0" w:space="0" w:color="auto"/>
      </w:divBdr>
    </w:div>
    <w:div w:id="554973610">
      <w:bodyDiv w:val="1"/>
      <w:marLeft w:val="120"/>
      <w:marRight w:val="120"/>
      <w:marTop w:val="0"/>
      <w:marBottom w:val="0"/>
      <w:divBdr>
        <w:top w:val="none" w:sz="0" w:space="0" w:color="auto"/>
        <w:left w:val="none" w:sz="0" w:space="0" w:color="auto"/>
        <w:bottom w:val="none" w:sz="0" w:space="0" w:color="auto"/>
        <w:right w:val="none" w:sz="0" w:space="0" w:color="auto"/>
      </w:divBdr>
    </w:div>
    <w:div w:id="688800797">
      <w:bodyDiv w:val="1"/>
      <w:marLeft w:val="0"/>
      <w:marRight w:val="0"/>
      <w:marTop w:val="0"/>
      <w:marBottom w:val="0"/>
      <w:divBdr>
        <w:top w:val="none" w:sz="0" w:space="0" w:color="auto"/>
        <w:left w:val="none" w:sz="0" w:space="0" w:color="auto"/>
        <w:bottom w:val="none" w:sz="0" w:space="0" w:color="auto"/>
        <w:right w:val="none" w:sz="0" w:space="0" w:color="auto"/>
      </w:divBdr>
    </w:div>
    <w:div w:id="700395607">
      <w:bodyDiv w:val="1"/>
      <w:marLeft w:val="120"/>
      <w:marRight w:val="120"/>
      <w:marTop w:val="0"/>
      <w:marBottom w:val="0"/>
      <w:divBdr>
        <w:top w:val="none" w:sz="0" w:space="0" w:color="auto"/>
        <w:left w:val="none" w:sz="0" w:space="0" w:color="auto"/>
        <w:bottom w:val="none" w:sz="0" w:space="0" w:color="auto"/>
        <w:right w:val="none" w:sz="0" w:space="0" w:color="auto"/>
      </w:divBdr>
    </w:div>
    <w:div w:id="832524734">
      <w:bodyDiv w:val="1"/>
      <w:marLeft w:val="0"/>
      <w:marRight w:val="0"/>
      <w:marTop w:val="0"/>
      <w:marBottom w:val="0"/>
      <w:divBdr>
        <w:top w:val="none" w:sz="0" w:space="0" w:color="auto"/>
        <w:left w:val="none" w:sz="0" w:space="0" w:color="auto"/>
        <w:bottom w:val="none" w:sz="0" w:space="0" w:color="auto"/>
        <w:right w:val="none" w:sz="0" w:space="0" w:color="auto"/>
      </w:divBdr>
    </w:div>
    <w:div w:id="950935121">
      <w:bodyDiv w:val="1"/>
      <w:marLeft w:val="0"/>
      <w:marRight w:val="0"/>
      <w:marTop w:val="0"/>
      <w:marBottom w:val="0"/>
      <w:divBdr>
        <w:top w:val="none" w:sz="0" w:space="0" w:color="auto"/>
        <w:left w:val="none" w:sz="0" w:space="0" w:color="auto"/>
        <w:bottom w:val="none" w:sz="0" w:space="0" w:color="auto"/>
        <w:right w:val="none" w:sz="0" w:space="0" w:color="auto"/>
      </w:divBdr>
    </w:div>
    <w:div w:id="1012756262">
      <w:bodyDiv w:val="1"/>
      <w:marLeft w:val="0"/>
      <w:marRight w:val="0"/>
      <w:marTop w:val="0"/>
      <w:marBottom w:val="0"/>
      <w:divBdr>
        <w:top w:val="none" w:sz="0" w:space="0" w:color="auto"/>
        <w:left w:val="none" w:sz="0" w:space="0" w:color="auto"/>
        <w:bottom w:val="none" w:sz="0" w:space="0" w:color="auto"/>
        <w:right w:val="none" w:sz="0" w:space="0" w:color="auto"/>
      </w:divBdr>
    </w:div>
    <w:div w:id="1050500078">
      <w:bodyDiv w:val="1"/>
      <w:marLeft w:val="0"/>
      <w:marRight w:val="0"/>
      <w:marTop w:val="0"/>
      <w:marBottom w:val="0"/>
      <w:divBdr>
        <w:top w:val="none" w:sz="0" w:space="0" w:color="auto"/>
        <w:left w:val="none" w:sz="0" w:space="0" w:color="auto"/>
        <w:bottom w:val="none" w:sz="0" w:space="0" w:color="auto"/>
        <w:right w:val="none" w:sz="0" w:space="0" w:color="auto"/>
      </w:divBdr>
    </w:div>
    <w:div w:id="1143431334">
      <w:bodyDiv w:val="1"/>
      <w:marLeft w:val="0"/>
      <w:marRight w:val="0"/>
      <w:marTop w:val="0"/>
      <w:marBottom w:val="0"/>
      <w:divBdr>
        <w:top w:val="none" w:sz="0" w:space="0" w:color="auto"/>
        <w:left w:val="none" w:sz="0" w:space="0" w:color="auto"/>
        <w:bottom w:val="none" w:sz="0" w:space="0" w:color="auto"/>
        <w:right w:val="none" w:sz="0" w:space="0" w:color="auto"/>
      </w:divBdr>
    </w:div>
    <w:div w:id="1155143445">
      <w:bodyDiv w:val="1"/>
      <w:marLeft w:val="0"/>
      <w:marRight w:val="0"/>
      <w:marTop w:val="0"/>
      <w:marBottom w:val="0"/>
      <w:divBdr>
        <w:top w:val="none" w:sz="0" w:space="0" w:color="auto"/>
        <w:left w:val="none" w:sz="0" w:space="0" w:color="auto"/>
        <w:bottom w:val="none" w:sz="0" w:space="0" w:color="auto"/>
        <w:right w:val="none" w:sz="0" w:space="0" w:color="auto"/>
      </w:divBdr>
      <w:divsChild>
        <w:div w:id="1676686338">
          <w:marLeft w:val="0"/>
          <w:marRight w:val="0"/>
          <w:marTop w:val="0"/>
          <w:marBottom w:val="0"/>
          <w:divBdr>
            <w:top w:val="none" w:sz="0" w:space="0" w:color="auto"/>
            <w:left w:val="none" w:sz="0" w:space="0" w:color="auto"/>
            <w:bottom w:val="none" w:sz="0" w:space="0" w:color="auto"/>
            <w:right w:val="none" w:sz="0" w:space="0" w:color="auto"/>
          </w:divBdr>
          <w:divsChild>
            <w:div w:id="1365444664">
              <w:marLeft w:val="0"/>
              <w:marRight w:val="0"/>
              <w:marTop w:val="0"/>
              <w:marBottom w:val="0"/>
              <w:divBdr>
                <w:top w:val="none" w:sz="0" w:space="0" w:color="auto"/>
                <w:left w:val="none" w:sz="0" w:space="0" w:color="auto"/>
                <w:bottom w:val="none" w:sz="0" w:space="0" w:color="auto"/>
                <w:right w:val="none" w:sz="0" w:space="0" w:color="auto"/>
              </w:divBdr>
              <w:divsChild>
                <w:div w:id="7939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9541">
      <w:bodyDiv w:val="1"/>
      <w:marLeft w:val="0"/>
      <w:marRight w:val="0"/>
      <w:marTop w:val="0"/>
      <w:marBottom w:val="0"/>
      <w:divBdr>
        <w:top w:val="none" w:sz="0" w:space="0" w:color="auto"/>
        <w:left w:val="none" w:sz="0" w:space="0" w:color="auto"/>
        <w:bottom w:val="none" w:sz="0" w:space="0" w:color="auto"/>
        <w:right w:val="none" w:sz="0" w:space="0" w:color="auto"/>
      </w:divBdr>
    </w:div>
    <w:div w:id="1280838736">
      <w:bodyDiv w:val="1"/>
      <w:marLeft w:val="0"/>
      <w:marRight w:val="0"/>
      <w:marTop w:val="0"/>
      <w:marBottom w:val="0"/>
      <w:divBdr>
        <w:top w:val="none" w:sz="0" w:space="0" w:color="auto"/>
        <w:left w:val="none" w:sz="0" w:space="0" w:color="auto"/>
        <w:bottom w:val="none" w:sz="0" w:space="0" w:color="auto"/>
        <w:right w:val="none" w:sz="0" w:space="0" w:color="auto"/>
      </w:divBdr>
    </w:div>
    <w:div w:id="1306281742">
      <w:bodyDiv w:val="1"/>
      <w:marLeft w:val="0"/>
      <w:marRight w:val="0"/>
      <w:marTop w:val="0"/>
      <w:marBottom w:val="0"/>
      <w:divBdr>
        <w:top w:val="none" w:sz="0" w:space="0" w:color="auto"/>
        <w:left w:val="none" w:sz="0" w:space="0" w:color="auto"/>
        <w:bottom w:val="none" w:sz="0" w:space="0" w:color="auto"/>
        <w:right w:val="none" w:sz="0" w:space="0" w:color="auto"/>
      </w:divBdr>
    </w:div>
    <w:div w:id="1333869556">
      <w:bodyDiv w:val="1"/>
      <w:marLeft w:val="0"/>
      <w:marRight w:val="0"/>
      <w:marTop w:val="0"/>
      <w:marBottom w:val="0"/>
      <w:divBdr>
        <w:top w:val="none" w:sz="0" w:space="0" w:color="auto"/>
        <w:left w:val="none" w:sz="0" w:space="0" w:color="auto"/>
        <w:bottom w:val="none" w:sz="0" w:space="0" w:color="auto"/>
        <w:right w:val="none" w:sz="0" w:space="0" w:color="auto"/>
      </w:divBdr>
      <w:divsChild>
        <w:div w:id="314408597">
          <w:marLeft w:val="0"/>
          <w:marRight w:val="0"/>
          <w:marTop w:val="0"/>
          <w:marBottom w:val="0"/>
          <w:divBdr>
            <w:top w:val="none" w:sz="0" w:space="0" w:color="auto"/>
            <w:left w:val="none" w:sz="0" w:space="0" w:color="auto"/>
            <w:bottom w:val="none" w:sz="0" w:space="0" w:color="auto"/>
            <w:right w:val="none" w:sz="0" w:space="0" w:color="auto"/>
          </w:divBdr>
          <w:divsChild>
            <w:div w:id="45495777">
              <w:marLeft w:val="0"/>
              <w:marRight w:val="0"/>
              <w:marTop w:val="0"/>
              <w:marBottom w:val="0"/>
              <w:divBdr>
                <w:top w:val="none" w:sz="0" w:space="0" w:color="auto"/>
                <w:left w:val="none" w:sz="0" w:space="0" w:color="auto"/>
                <w:bottom w:val="none" w:sz="0" w:space="0" w:color="auto"/>
                <w:right w:val="none" w:sz="0" w:space="0" w:color="auto"/>
              </w:divBdr>
              <w:divsChild>
                <w:div w:id="141430265">
                  <w:marLeft w:val="0"/>
                  <w:marRight w:val="0"/>
                  <w:marTop w:val="0"/>
                  <w:marBottom w:val="0"/>
                  <w:divBdr>
                    <w:top w:val="none" w:sz="0" w:space="0" w:color="auto"/>
                    <w:left w:val="none" w:sz="0" w:space="0" w:color="auto"/>
                    <w:bottom w:val="none" w:sz="0" w:space="0" w:color="auto"/>
                    <w:right w:val="none" w:sz="0" w:space="0" w:color="auto"/>
                  </w:divBdr>
                  <w:divsChild>
                    <w:div w:id="1047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0636">
      <w:bodyDiv w:val="1"/>
      <w:marLeft w:val="0"/>
      <w:marRight w:val="0"/>
      <w:marTop w:val="0"/>
      <w:marBottom w:val="0"/>
      <w:divBdr>
        <w:top w:val="none" w:sz="0" w:space="0" w:color="auto"/>
        <w:left w:val="none" w:sz="0" w:space="0" w:color="auto"/>
        <w:bottom w:val="none" w:sz="0" w:space="0" w:color="auto"/>
        <w:right w:val="none" w:sz="0" w:space="0" w:color="auto"/>
      </w:divBdr>
    </w:div>
    <w:div w:id="1400590355">
      <w:bodyDiv w:val="1"/>
      <w:marLeft w:val="0"/>
      <w:marRight w:val="0"/>
      <w:marTop w:val="0"/>
      <w:marBottom w:val="0"/>
      <w:divBdr>
        <w:top w:val="none" w:sz="0" w:space="0" w:color="auto"/>
        <w:left w:val="none" w:sz="0" w:space="0" w:color="auto"/>
        <w:bottom w:val="none" w:sz="0" w:space="0" w:color="auto"/>
        <w:right w:val="none" w:sz="0" w:space="0" w:color="auto"/>
      </w:divBdr>
    </w:div>
    <w:div w:id="1440029614">
      <w:bodyDiv w:val="1"/>
      <w:marLeft w:val="0"/>
      <w:marRight w:val="0"/>
      <w:marTop w:val="0"/>
      <w:marBottom w:val="0"/>
      <w:divBdr>
        <w:top w:val="none" w:sz="0" w:space="0" w:color="auto"/>
        <w:left w:val="none" w:sz="0" w:space="0" w:color="auto"/>
        <w:bottom w:val="none" w:sz="0" w:space="0" w:color="auto"/>
        <w:right w:val="none" w:sz="0" w:space="0" w:color="auto"/>
      </w:divBdr>
    </w:div>
    <w:div w:id="1539128541">
      <w:bodyDiv w:val="1"/>
      <w:marLeft w:val="0"/>
      <w:marRight w:val="0"/>
      <w:marTop w:val="0"/>
      <w:marBottom w:val="0"/>
      <w:divBdr>
        <w:top w:val="none" w:sz="0" w:space="0" w:color="auto"/>
        <w:left w:val="none" w:sz="0" w:space="0" w:color="auto"/>
        <w:bottom w:val="none" w:sz="0" w:space="0" w:color="auto"/>
        <w:right w:val="none" w:sz="0" w:space="0" w:color="auto"/>
      </w:divBdr>
    </w:div>
    <w:div w:id="1588155898">
      <w:bodyDiv w:val="1"/>
      <w:marLeft w:val="120"/>
      <w:marRight w:val="120"/>
      <w:marTop w:val="0"/>
      <w:marBottom w:val="0"/>
      <w:divBdr>
        <w:top w:val="none" w:sz="0" w:space="0" w:color="auto"/>
        <w:left w:val="none" w:sz="0" w:space="0" w:color="auto"/>
        <w:bottom w:val="none" w:sz="0" w:space="0" w:color="auto"/>
        <w:right w:val="none" w:sz="0" w:space="0" w:color="auto"/>
      </w:divBdr>
    </w:div>
    <w:div w:id="1629973375">
      <w:bodyDiv w:val="1"/>
      <w:marLeft w:val="0"/>
      <w:marRight w:val="0"/>
      <w:marTop w:val="0"/>
      <w:marBottom w:val="0"/>
      <w:divBdr>
        <w:top w:val="none" w:sz="0" w:space="0" w:color="auto"/>
        <w:left w:val="none" w:sz="0" w:space="0" w:color="auto"/>
        <w:bottom w:val="none" w:sz="0" w:space="0" w:color="auto"/>
        <w:right w:val="none" w:sz="0" w:space="0" w:color="auto"/>
      </w:divBdr>
      <w:divsChild>
        <w:div w:id="2118794283">
          <w:marLeft w:val="0"/>
          <w:marRight w:val="0"/>
          <w:marTop w:val="0"/>
          <w:marBottom w:val="0"/>
          <w:divBdr>
            <w:top w:val="none" w:sz="0" w:space="0" w:color="auto"/>
            <w:left w:val="none" w:sz="0" w:space="0" w:color="auto"/>
            <w:bottom w:val="none" w:sz="0" w:space="0" w:color="auto"/>
            <w:right w:val="none" w:sz="0" w:space="0" w:color="auto"/>
          </w:divBdr>
          <w:divsChild>
            <w:div w:id="880751332">
              <w:marLeft w:val="0"/>
              <w:marRight w:val="0"/>
              <w:marTop w:val="0"/>
              <w:marBottom w:val="0"/>
              <w:divBdr>
                <w:top w:val="none" w:sz="0" w:space="0" w:color="auto"/>
                <w:left w:val="none" w:sz="0" w:space="0" w:color="auto"/>
                <w:bottom w:val="none" w:sz="0" w:space="0" w:color="auto"/>
                <w:right w:val="none" w:sz="0" w:space="0" w:color="auto"/>
              </w:divBdr>
              <w:divsChild>
                <w:div w:id="1687636945">
                  <w:marLeft w:val="0"/>
                  <w:marRight w:val="0"/>
                  <w:marTop w:val="0"/>
                  <w:marBottom w:val="0"/>
                  <w:divBdr>
                    <w:top w:val="none" w:sz="0" w:space="0" w:color="auto"/>
                    <w:left w:val="none" w:sz="0" w:space="0" w:color="auto"/>
                    <w:bottom w:val="none" w:sz="0" w:space="0" w:color="auto"/>
                    <w:right w:val="none" w:sz="0" w:space="0" w:color="auto"/>
                  </w:divBdr>
                  <w:divsChild>
                    <w:div w:id="12755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727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42">
          <w:marLeft w:val="0"/>
          <w:marRight w:val="0"/>
          <w:marTop w:val="0"/>
          <w:marBottom w:val="0"/>
          <w:divBdr>
            <w:top w:val="none" w:sz="0" w:space="0" w:color="auto"/>
            <w:left w:val="none" w:sz="0" w:space="0" w:color="auto"/>
            <w:bottom w:val="none" w:sz="0" w:space="0" w:color="auto"/>
            <w:right w:val="none" w:sz="0" w:space="0" w:color="auto"/>
          </w:divBdr>
        </w:div>
        <w:div w:id="2138258609">
          <w:marLeft w:val="0"/>
          <w:marRight w:val="0"/>
          <w:marTop w:val="0"/>
          <w:marBottom w:val="0"/>
          <w:divBdr>
            <w:top w:val="none" w:sz="0" w:space="0" w:color="auto"/>
            <w:left w:val="none" w:sz="0" w:space="0" w:color="auto"/>
            <w:bottom w:val="none" w:sz="0" w:space="0" w:color="auto"/>
            <w:right w:val="none" w:sz="0" w:space="0" w:color="auto"/>
          </w:divBdr>
        </w:div>
        <w:div w:id="1792086060">
          <w:marLeft w:val="0"/>
          <w:marRight w:val="0"/>
          <w:marTop w:val="0"/>
          <w:marBottom w:val="0"/>
          <w:divBdr>
            <w:top w:val="none" w:sz="0" w:space="0" w:color="auto"/>
            <w:left w:val="none" w:sz="0" w:space="0" w:color="auto"/>
            <w:bottom w:val="none" w:sz="0" w:space="0" w:color="auto"/>
            <w:right w:val="none" w:sz="0" w:space="0" w:color="auto"/>
          </w:divBdr>
        </w:div>
        <w:div w:id="2063406084">
          <w:marLeft w:val="0"/>
          <w:marRight w:val="0"/>
          <w:marTop w:val="0"/>
          <w:marBottom w:val="0"/>
          <w:divBdr>
            <w:top w:val="none" w:sz="0" w:space="0" w:color="auto"/>
            <w:left w:val="none" w:sz="0" w:space="0" w:color="auto"/>
            <w:bottom w:val="none" w:sz="0" w:space="0" w:color="auto"/>
            <w:right w:val="none" w:sz="0" w:space="0" w:color="auto"/>
          </w:divBdr>
        </w:div>
      </w:divsChild>
    </w:div>
    <w:div w:id="1910505892">
      <w:bodyDiv w:val="1"/>
      <w:marLeft w:val="120"/>
      <w:marRight w:val="120"/>
      <w:marTop w:val="0"/>
      <w:marBottom w:val="0"/>
      <w:divBdr>
        <w:top w:val="none" w:sz="0" w:space="0" w:color="auto"/>
        <w:left w:val="none" w:sz="0" w:space="0" w:color="auto"/>
        <w:bottom w:val="none" w:sz="0" w:space="0" w:color="auto"/>
        <w:right w:val="none" w:sz="0" w:space="0" w:color="auto"/>
      </w:divBdr>
    </w:div>
    <w:div w:id="1951736638">
      <w:bodyDiv w:val="1"/>
      <w:marLeft w:val="0"/>
      <w:marRight w:val="0"/>
      <w:marTop w:val="0"/>
      <w:marBottom w:val="0"/>
      <w:divBdr>
        <w:top w:val="none" w:sz="0" w:space="0" w:color="auto"/>
        <w:left w:val="none" w:sz="0" w:space="0" w:color="auto"/>
        <w:bottom w:val="none" w:sz="0" w:space="0" w:color="auto"/>
        <w:right w:val="none" w:sz="0" w:space="0" w:color="auto"/>
      </w:divBdr>
      <w:divsChild>
        <w:div w:id="998384979">
          <w:marLeft w:val="0"/>
          <w:marRight w:val="0"/>
          <w:marTop w:val="0"/>
          <w:marBottom w:val="0"/>
          <w:divBdr>
            <w:top w:val="none" w:sz="0" w:space="0" w:color="auto"/>
            <w:left w:val="none" w:sz="0" w:space="0" w:color="auto"/>
            <w:bottom w:val="none" w:sz="0" w:space="0" w:color="auto"/>
            <w:right w:val="none" w:sz="0" w:space="0" w:color="auto"/>
          </w:divBdr>
        </w:div>
        <w:div w:id="1938362687">
          <w:marLeft w:val="0"/>
          <w:marRight w:val="0"/>
          <w:marTop w:val="0"/>
          <w:marBottom w:val="0"/>
          <w:divBdr>
            <w:top w:val="none" w:sz="0" w:space="0" w:color="auto"/>
            <w:left w:val="none" w:sz="0" w:space="0" w:color="auto"/>
            <w:bottom w:val="none" w:sz="0" w:space="0" w:color="auto"/>
            <w:right w:val="none" w:sz="0" w:space="0" w:color="auto"/>
          </w:divBdr>
        </w:div>
        <w:div w:id="598680215">
          <w:marLeft w:val="0"/>
          <w:marRight w:val="0"/>
          <w:marTop w:val="0"/>
          <w:marBottom w:val="0"/>
          <w:divBdr>
            <w:top w:val="none" w:sz="0" w:space="0" w:color="auto"/>
            <w:left w:val="none" w:sz="0" w:space="0" w:color="auto"/>
            <w:bottom w:val="none" w:sz="0" w:space="0" w:color="auto"/>
            <w:right w:val="none" w:sz="0" w:space="0" w:color="auto"/>
          </w:divBdr>
        </w:div>
        <w:div w:id="187451605">
          <w:marLeft w:val="0"/>
          <w:marRight w:val="0"/>
          <w:marTop w:val="0"/>
          <w:marBottom w:val="0"/>
          <w:divBdr>
            <w:top w:val="none" w:sz="0" w:space="0" w:color="auto"/>
            <w:left w:val="none" w:sz="0" w:space="0" w:color="auto"/>
            <w:bottom w:val="none" w:sz="0" w:space="0" w:color="auto"/>
            <w:right w:val="none" w:sz="0" w:space="0" w:color="auto"/>
          </w:divBdr>
        </w:div>
        <w:div w:id="1018510827">
          <w:marLeft w:val="0"/>
          <w:marRight w:val="0"/>
          <w:marTop w:val="0"/>
          <w:marBottom w:val="0"/>
          <w:divBdr>
            <w:top w:val="none" w:sz="0" w:space="0" w:color="auto"/>
            <w:left w:val="none" w:sz="0" w:space="0" w:color="auto"/>
            <w:bottom w:val="none" w:sz="0" w:space="0" w:color="auto"/>
            <w:right w:val="none" w:sz="0" w:space="0" w:color="auto"/>
          </w:divBdr>
        </w:div>
        <w:div w:id="666730">
          <w:marLeft w:val="0"/>
          <w:marRight w:val="0"/>
          <w:marTop w:val="0"/>
          <w:marBottom w:val="0"/>
          <w:divBdr>
            <w:top w:val="none" w:sz="0" w:space="0" w:color="auto"/>
            <w:left w:val="none" w:sz="0" w:space="0" w:color="auto"/>
            <w:bottom w:val="none" w:sz="0" w:space="0" w:color="auto"/>
            <w:right w:val="none" w:sz="0" w:space="0" w:color="auto"/>
          </w:divBdr>
        </w:div>
        <w:div w:id="1999917785">
          <w:marLeft w:val="0"/>
          <w:marRight w:val="0"/>
          <w:marTop w:val="0"/>
          <w:marBottom w:val="0"/>
          <w:divBdr>
            <w:top w:val="none" w:sz="0" w:space="0" w:color="auto"/>
            <w:left w:val="none" w:sz="0" w:space="0" w:color="auto"/>
            <w:bottom w:val="none" w:sz="0" w:space="0" w:color="auto"/>
            <w:right w:val="none" w:sz="0" w:space="0" w:color="auto"/>
          </w:divBdr>
        </w:div>
        <w:div w:id="1902448917">
          <w:marLeft w:val="0"/>
          <w:marRight w:val="0"/>
          <w:marTop w:val="0"/>
          <w:marBottom w:val="0"/>
          <w:divBdr>
            <w:top w:val="none" w:sz="0" w:space="0" w:color="auto"/>
            <w:left w:val="none" w:sz="0" w:space="0" w:color="auto"/>
            <w:bottom w:val="none" w:sz="0" w:space="0" w:color="auto"/>
            <w:right w:val="none" w:sz="0" w:space="0" w:color="auto"/>
          </w:divBdr>
        </w:div>
        <w:div w:id="1427730116">
          <w:marLeft w:val="0"/>
          <w:marRight w:val="0"/>
          <w:marTop w:val="0"/>
          <w:marBottom w:val="0"/>
          <w:divBdr>
            <w:top w:val="none" w:sz="0" w:space="0" w:color="auto"/>
            <w:left w:val="none" w:sz="0" w:space="0" w:color="auto"/>
            <w:bottom w:val="none" w:sz="0" w:space="0" w:color="auto"/>
            <w:right w:val="none" w:sz="0" w:space="0" w:color="auto"/>
          </w:divBdr>
        </w:div>
        <w:div w:id="20456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www.tga.gov.au/product-information-pi" TargetMode="External"/><Relationship Id="rId1" Type="http://schemas.openxmlformats.org/officeDocument/2006/relationships/hyperlink" Target="http://www.pbs.gov.au/info/industry/listing/elements/pbac-meetings/psd/2015-03/posaconazole-noxafil-psd-03-201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D1064%20-%20SCRPT_SU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D1064%20-%20SCRPT_SUM%20+%20indicati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D1064%20-%20SCRPT_S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D1064%20-%20SCRPT_SUM%20+%20indic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D1064%20-%20SCRPT_SUM%20+%20indic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D1064_PATCNTBY_DRUG_N_YMSUP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4%20-%20Posaconazole%20PvA%20utilisation%20review\posacon_patient_data_0203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userenv\Users\User_07\mcnuln\Desktop\INITIATING_PREVALENT_PA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userenv\Users\User_07\mcnuln\Desktop\DURATION2_tablet_prophylax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ral.health\dfsuserenv\Users\User_07\mcnuln\Desktop\DURATION5_oral_aspergillo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userenv\Users\User_07\mcnuln\Desktop\EXPENDITURE_POSACONAZO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[D1064 - SCRPT_SUM.xlsx]Sheet1 (3)!PivotTable1</c:name>
    <c:fmtId val="4"/>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marker>
          <c:symbol val="none"/>
        </c:marker>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s>
    <c:plotArea>
      <c:layout>
        <c:manualLayout>
          <c:layoutTarget val="inner"/>
          <c:xMode val="edge"/>
          <c:yMode val="edge"/>
          <c:x val="0.13341875133831893"/>
          <c:y val="3.771838568669092E-2"/>
          <c:w val="0.8420212281557341"/>
          <c:h val="0.61590976392103003"/>
        </c:manualLayout>
      </c:layout>
      <c:lineChart>
        <c:grouping val="standard"/>
        <c:varyColors val="0"/>
        <c:ser>
          <c:idx val="0"/>
          <c:order val="0"/>
          <c:tx>
            <c:strRef>
              <c:f>'Sheet1 (3)'!$B$1:$B$3</c:f>
              <c:strCache>
                <c:ptCount val="1"/>
                <c:pt idx="0">
                  <c:v>POSACONAZOLE - Oral suspension 40 mg per mL, 105 mL</c:v>
                </c:pt>
              </c:strCache>
            </c:strRef>
          </c:tx>
          <c:cat>
            <c:strRef>
              <c:f>'Sheet1 (3)'!$A$4:$A$64</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(3)'!$B$4:$B$64</c:f>
              <c:numCache>
                <c:formatCode>General</c:formatCode>
                <c:ptCount val="60"/>
                <c:pt idx="0">
                  <c:v>287</c:v>
                </c:pt>
                <c:pt idx="1">
                  <c:v>266</c:v>
                </c:pt>
                <c:pt idx="2">
                  <c:v>289</c:v>
                </c:pt>
                <c:pt idx="3">
                  <c:v>284</c:v>
                </c:pt>
                <c:pt idx="4">
                  <c:v>354</c:v>
                </c:pt>
                <c:pt idx="5">
                  <c:v>310</c:v>
                </c:pt>
                <c:pt idx="6">
                  <c:v>346</c:v>
                </c:pt>
                <c:pt idx="7">
                  <c:v>307</c:v>
                </c:pt>
                <c:pt idx="8">
                  <c:v>305</c:v>
                </c:pt>
                <c:pt idx="9">
                  <c:v>328</c:v>
                </c:pt>
                <c:pt idx="10">
                  <c:v>315</c:v>
                </c:pt>
                <c:pt idx="11">
                  <c:v>318</c:v>
                </c:pt>
                <c:pt idx="12">
                  <c:v>332</c:v>
                </c:pt>
                <c:pt idx="13">
                  <c:v>299</c:v>
                </c:pt>
                <c:pt idx="14">
                  <c:v>315</c:v>
                </c:pt>
                <c:pt idx="15">
                  <c:v>352</c:v>
                </c:pt>
                <c:pt idx="16">
                  <c:v>301</c:v>
                </c:pt>
                <c:pt idx="17">
                  <c:v>305</c:v>
                </c:pt>
                <c:pt idx="18">
                  <c:v>332</c:v>
                </c:pt>
                <c:pt idx="19">
                  <c:v>331</c:v>
                </c:pt>
                <c:pt idx="20">
                  <c:v>377</c:v>
                </c:pt>
                <c:pt idx="21">
                  <c:v>353</c:v>
                </c:pt>
                <c:pt idx="22">
                  <c:v>352</c:v>
                </c:pt>
                <c:pt idx="23">
                  <c:v>392</c:v>
                </c:pt>
                <c:pt idx="24">
                  <c:v>332</c:v>
                </c:pt>
                <c:pt idx="25">
                  <c:v>321</c:v>
                </c:pt>
                <c:pt idx="26">
                  <c:v>381</c:v>
                </c:pt>
                <c:pt idx="27">
                  <c:v>400</c:v>
                </c:pt>
                <c:pt idx="28">
                  <c:v>375</c:v>
                </c:pt>
                <c:pt idx="29">
                  <c:v>409</c:v>
                </c:pt>
                <c:pt idx="30">
                  <c:v>395</c:v>
                </c:pt>
                <c:pt idx="31">
                  <c:v>377</c:v>
                </c:pt>
                <c:pt idx="32">
                  <c:v>294</c:v>
                </c:pt>
                <c:pt idx="33">
                  <c:v>236</c:v>
                </c:pt>
                <c:pt idx="34">
                  <c:v>185</c:v>
                </c:pt>
                <c:pt idx="35">
                  <c:v>226</c:v>
                </c:pt>
                <c:pt idx="36">
                  <c:v>169</c:v>
                </c:pt>
                <c:pt idx="37">
                  <c:v>120</c:v>
                </c:pt>
                <c:pt idx="38">
                  <c:v>137</c:v>
                </c:pt>
                <c:pt idx="39">
                  <c:v>130</c:v>
                </c:pt>
                <c:pt idx="40">
                  <c:v>109</c:v>
                </c:pt>
                <c:pt idx="41">
                  <c:v>101</c:v>
                </c:pt>
                <c:pt idx="42">
                  <c:v>79</c:v>
                </c:pt>
                <c:pt idx="43">
                  <c:v>99</c:v>
                </c:pt>
                <c:pt idx="44">
                  <c:v>76</c:v>
                </c:pt>
                <c:pt idx="45">
                  <c:v>62</c:v>
                </c:pt>
                <c:pt idx="46">
                  <c:v>64</c:v>
                </c:pt>
                <c:pt idx="47">
                  <c:v>71</c:v>
                </c:pt>
                <c:pt idx="48">
                  <c:v>51</c:v>
                </c:pt>
                <c:pt idx="49">
                  <c:v>44</c:v>
                </c:pt>
                <c:pt idx="50">
                  <c:v>76</c:v>
                </c:pt>
                <c:pt idx="51">
                  <c:v>51</c:v>
                </c:pt>
                <c:pt idx="52">
                  <c:v>50</c:v>
                </c:pt>
                <c:pt idx="53">
                  <c:v>46</c:v>
                </c:pt>
                <c:pt idx="54">
                  <c:v>50</c:v>
                </c:pt>
                <c:pt idx="55">
                  <c:v>49</c:v>
                </c:pt>
                <c:pt idx="56">
                  <c:v>44</c:v>
                </c:pt>
                <c:pt idx="57">
                  <c:v>52</c:v>
                </c:pt>
                <c:pt idx="58">
                  <c:v>42</c:v>
                </c:pt>
                <c:pt idx="59">
                  <c:v>66</c:v>
                </c:pt>
              </c:numCache>
            </c:numRef>
          </c:val>
          <c:smooth val="0"/>
        </c:ser>
        <c:ser>
          <c:idx val="1"/>
          <c:order val="1"/>
          <c:tx>
            <c:strRef>
              <c:f>'Sheet1 (3)'!$C$1:$C$3</c:f>
              <c:strCache>
                <c:ptCount val="1"/>
                <c:pt idx="0">
                  <c:v>POSACONAZOLE - Tablet (modified release) 100 mg</c:v>
                </c:pt>
              </c:strCache>
            </c:strRef>
          </c:tx>
          <c:cat>
            <c:strRef>
              <c:f>'Sheet1 (3)'!$A$4:$A$64</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(3)'!$C$4:$C$64</c:f>
              <c:numCache>
                <c:formatCode>General</c:formatCode>
                <c:ptCount val="60"/>
                <c:pt idx="32">
                  <c:v>165</c:v>
                </c:pt>
                <c:pt idx="33">
                  <c:v>255</c:v>
                </c:pt>
                <c:pt idx="34">
                  <c:v>311</c:v>
                </c:pt>
                <c:pt idx="35">
                  <c:v>400</c:v>
                </c:pt>
                <c:pt idx="36">
                  <c:v>339</c:v>
                </c:pt>
                <c:pt idx="37">
                  <c:v>424</c:v>
                </c:pt>
                <c:pt idx="38">
                  <c:v>504</c:v>
                </c:pt>
                <c:pt idx="39">
                  <c:v>500</c:v>
                </c:pt>
                <c:pt idx="40">
                  <c:v>528</c:v>
                </c:pt>
                <c:pt idx="41">
                  <c:v>584</c:v>
                </c:pt>
                <c:pt idx="42">
                  <c:v>568</c:v>
                </c:pt>
                <c:pt idx="43">
                  <c:v>623</c:v>
                </c:pt>
                <c:pt idx="44">
                  <c:v>632</c:v>
                </c:pt>
                <c:pt idx="45">
                  <c:v>685</c:v>
                </c:pt>
                <c:pt idx="46">
                  <c:v>680</c:v>
                </c:pt>
                <c:pt idx="47">
                  <c:v>777</c:v>
                </c:pt>
                <c:pt idx="48">
                  <c:v>627</c:v>
                </c:pt>
                <c:pt idx="49">
                  <c:v>542</c:v>
                </c:pt>
                <c:pt idx="50">
                  <c:v>701</c:v>
                </c:pt>
                <c:pt idx="51">
                  <c:v>609</c:v>
                </c:pt>
                <c:pt idx="52">
                  <c:v>750</c:v>
                </c:pt>
                <c:pt idx="53">
                  <c:v>732</c:v>
                </c:pt>
                <c:pt idx="54">
                  <c:v>676</c:v>
                </c:pt>
                <c:pt idx="55">
                  <c:v>745</c:v>
                </c:pt>
                <c:pt idx="56">
                  <c:v>672</c:v>
                </c:pt>
                <c:pt idx="57">
                  <c:v>745</c:v>
                </c:pt>
                <c:pt idx="58">
                  <c:v>774</c:v>
                </c:pt>
                <c:pt idx="59">
                  <c:v>868</c:v>
                </c:pt>
              </c:numCache>
            </c:numRef>
          </c:val>
          <c:smooth val="0"/>
        </c:ser>
        <c:ser>
          <c:idx val="2"/>
          <c:order val="2"/>
          <c:tx>
            <c:strRef>
              <c:f>'Sheet1 (3)'!$E$1:$E$3</c:f>
              <c:strCache>
                <c:ptCount val="1"/>
                <c:pt idx="0">
                  <c:v>VORICONAZOLE - Powder for oral suspension 40 mg per mL, 70 mL</c:v>
                </c:pt>
              </c:strCache>
            </c:strRef>
          </c:tx>
          <c:cat>
            <c:strRef>
              <c:f>'Sheet1 (3)'!$A$4:$A$64</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(3)'!$E$4:$E$64</c:f>
              <c:numCache>
                <c:formatCode>General</c:formatCode>
                <c:ptCount val="60"/>
                <c:pt idx="0">
                  <c:v>11</c:v>
                </c:pt>
                <c:pt idx="1">
                  <c:v>9</c:v>
                </c:pt>
                <c:pt idx="2">
                  <c:v>13</c:v>
                </c:pt>
                <c:pt idx="3">
                  <c:v>10</c:v>
                </c:pt>
                <c:pt idx="4">
                  <c:v>16</c:v>
                </c:pt>
                <c:pt idx="5">
                  <c:v>16</c:v>
                </c:pt>
                <c:pt idx="6">
                  <c:v>14</c:v>
                </c:pt>
                <c:pt idx="7">
                  <c:v>10</c:v>
                </c:pt>
                <c:pt idx="8">
                  <c:v>9</c:v>
                </c:pt>
                <c:pt idx="9">
                  <c:v>7</c:v>
                </c:pt>
                <c:pt idx="10">
                  <c:v>9</c:v>
                </c:pt>
                <c:pt idx="11">
                  <c:v>7</c:v>
                </c:pt>
                <c:pt idx="12">
                  <c:v>7</c:v>
                </c:pt>
                <c:pt idx="13">
                  <c:v>11</c:v>
                </c:pt>
                <c:pt idx="14">
                  <c:v>10</c:v>
                </c:pt>
                <c:pt idx="15">
                  <c:v>9</c:v>
                </c:pt>
                <c:pt idx="16">
                  <c:v>11</c:v>
                </c:pt>
                <c:pt idx="17">
                  <c:v>9</c:v>
                </c:pt>
                <c:pt idx="18">
                  <c:v>11</c:v>
                </c:pt>
                <c:pt idx="19">
                  <c:v>17</c:v>
                </c:pt>
                <c:pt idx="20">
                  <c:v>15</c:v>
                </c:pt>
                <c:pt idx="21">
                  <c:v>12</c:v>
                </c:pt>
                <c:pt idx="22">
                  <c:v>11</c:v>
                </c:pt>
                <c:pt idx="23">
                  <c:v>14</c:v>
                </c:pt>
                <c:pt idx="24">
                  <c:v>18</c:v>
                </c:pt>
                <c:pt idx="25">
                  <c:v>7</c:v>
                </c:pt>
                <c:pt idx="26">
                  <c:v>17</c:v>
                </c:pt>
                <c:pt idx="27">
                  <c:v>13</c:v>
                </c:pt>
                <c:pt idx="28">
                  <c:v>18</c:v>
                </c:pt>
                <c:pt idx="29">
                  <c:v>15</c:v>
                </c:pt>
                <c:pt idx="30">
                  <c:v>18</c:v>
                </c:pt>
                <c:pt idx="31">
                  <c:v>12</c:v>
                </c:pt>
                <c:pt idx="32">
                  <c:v>12</c:v>
                </c:pt>
                <c:pt idx="33">
                  <c:v>17</c:v>
                </c:pt>
                <c:pt idx="34">
                  <c:v>13</c:v>
                </c:pt>
                <c:pt idx="35">
                  <c:v>18</c:v>
                </c:pt>
                <c:pt idx="36">
                  <c:v>11</c:v>
                </c:pt>
                <c:pt idx="37">
                  <c:v>13</c:v>
                </c:pt>
                <c:pt idx="38">
                  <c:v>16</c:v>
                </c:pt>
                <c:pt idx="39">
                  <c:v>11</c:v>
                </c:pt>
                <c:pt idx="40">
                  <c:v>15</c:v>
                </c:pt>
                <c:pt idx="41">
                  <c:v>11</c:v>
                </c:pt>
                <c:pt idx="42">
                  <c:v>17</c:v>
                </c:pt>
                <c:pt idx="43">
                  <c:v>7</c:v>
                </c:pt>
                <c:pt idx="44">
                  <c:v>7</c:v>
                </c:pt>
                <c:pt idx="45">
                  <c:v>10</c:v>
                </c:pt>
                <c:pt idx="46">
                  <c:v>7</c:v>
                </c:pt>
                <c:pt idx="47">
                  <c:v>9</c:v>
                </c:pt>
                <c:pt idx="48">
                  <c:v>15</c:v>
                </c:pt>
                <c:pt idx="49">
                  <c:v>19</c:v>
                </c:pt>
                <c:pt idx="50">
                  <c:v>19</c:v>
                </c:pt>
                <c:pt idx="51">
                  <c:v>17</c:v>
                </c:pt>
                <c:pt idx="52">
                  <c:v>13</c:v>
                </c:pt>
                <c:pt idx="53">
                  <c:v>11</c:v>
                </c:pt>
                <c:pt idx="54">
                  <c:v>11</c:v>
                </c:pt>
                <c:pt idx="55">
                  <c:v>12</c:v>
                </c:pt>
                <c:pt idx="56">
                  <c:v>10</c:v>
                </c:pt>
                <c:pt idx="57">
                  <c:v>12</c:v>
                </c:pt>
                <c:pt idx="58">
                  <c:v>15</c:v>
                </c:pt>
                <c:pt idx="59">
                  <c:v>17</c:v>
                </c:pt>
              </c:numCache>
            </c:numRef>
          </c:val>
          <c:smooth val="0"/>
        </c:ser>
        <c:ser>
          <c:idx val="3"/>
          <c:order val="3"/>
          <c:tx>
            <c:strRef>
              <c:f>'Sheet1 (3)'!$F$1:$F$3</c:f>
              <c:strCache>
                <c:ptCount val="1"/>
                <c:pt idx="0">
                  <c:v>VORICONAZOLE - Tablet 200 mg</c:v>
                </c:pt>
              </c:strCache>
            </c:strRef>
          </c:tx>
          <c:cat>
            <c:strRef>
              <c:f>'Sheet1 (3)'!$A$4:$A$64</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(3)'!$F$4:$F$64</c:f>
              <c:numCache>
                <c:formatCode>General</c:formatCode>
                <c:ptCount val="60"/>
                <c:pt idx="0">
                  <c:v>312</c:v>
                </c:pt>
                <c:pt idx="1">
                  <c:v>344</c:v>
                </c:pt>
                <c:pt idx="2">
                  <c:v>366</c:v>
                </c:pt>
                <c:pt idx="3">
                  <c:v>374</c:v>
                </c:pt>
                <c:pt idx="4">
                  <c:v>414</c:v>
                </c:pt>
                <c:pt idx="5">
                  <c:v>420</c:v>
                </c:pt>
                <c:pt idx="6">
                  <c:v>474</c:v>
                </c:pt>
                <c:pt idx="7">
                  <c:v>421</c:v>
                </c:pt>
                <c:pt idx="8">
                  <c:v>412</c:v>
                </c:pt>
                <c:pt idx="9">
                  <c:v>436</c:v>
                </c:pt>
                <c:pt idx="10">
                  <c:v>404</c:v>
                </c:pt>
                <c:pt idx="11">
                  <c:v>437</c:v>
                </c:pt>
                <c:pt idx="12">
                  <c:v>347</c:v>
                </c:pt>
                <c:pt idx="13">
                  <c:v>364</c:v>
                </c:pt>
                <c:pt idx="14">
                  <c:v>420</c:v>
                </c:pt>
                <c:pt idx="15">
                  <c:v>457</c:v>
                </c:pt>
                <c:pt idx="16">
                  <c:v>457</c:v>
                </c:pt>
                <c:pt idx="17">
                  <c:v>436</c:v>
                </c:pt>
                <c:pt idx="18">
                  <c:v>478</c:v>
                </c:pt>
                <c:pt idx="19">
                  <c:v>395</c:v>
                </c:pt>
                <c:pt idx="20">
                  <c:v>402</c:v>
                </c:pt>
                <c:pt idx="21">
                  <c:v>406</c:v>
                </c:pt>
                <c:pt idx="22">
                  <c:v>383</c:v>
                </c:pt>
                <c:pt idx="23">
                  <c:v>437</c:v>
                </c:pt>
                <c:pt idx="24">
                  <c:v>348</c:v>
                </c:pt>
                <c:pt idx="25">
                  <c:v>333</c:v>
                </c:pt>
                <c:pt idx="26">
                  <c:v>369</c:v>
                </c:pt>
                <c:pt idx="27">
                  <c:v>342</c:v>
                </c:pt>
                <c:pt idx="28">
                  <c:v>383</c:v>
                </c:pt>
                <c:pt idx="29">
                  <c:v>375</c:v>
                </c:pt>
                <c:pt idx="30">
                  <c:v>378</c:v>
                </c:pt>
                <c:pt idx="31">
                  <c:v>367</c:v>
                </c:pt>
                <c:pt idx="32">
                  <c:v>366</c:v>
                </c:pt>
                <c:pt idx="33">
                  <c:v>386</c:v>
                </c:pt>
                <c:pt idx="34">
                  <c:v>367</c:v>
                </c:pt>
                <c:pt idx="35">
                  <c:v>396</c:v>
                </c:pt>
                <c:pt idx="36">
                  <c:v>258</c:v>
                </c:pt>
                <c:pt idx="37">
                  <c:v>281</c:v>
                </c:pt>
                <c:pt idx="38">
                  <c:v>337</c:v>
                </c:pt>
                <c:pt idx="39">
                  <c:v>297</c:v>
                </c:pt>
                <c:pt idx="40">
                  <c:v>321</c:v>
                </c:pt>
                <c:pt idx="41">
                  <c:v>318</c:v>
                </c:pt>
                <c:pt idx="42">
                  <c:v>323</c:v>
                </c:pt>
                <c:pt idx="43">
                  <c:v>346</c:v>
                </c:pt>
                <c:pt idx="44">
                  <c:v>316</c:v>
                </c:pt>
                <c:pt idx="45">
                  <c:v>293</c:v>
                </c:pt>
                <c:pt idx="46">
                  <c:v>280</c:v>
                </c:pt>
                <c:pt idx="47">
                  <c:v>340</c:v>
                </c:pt>
                <c:pt idx="48">
                  <c:v>273</c:v>
                </c:pt>
                <c:pt idx="49">
                  <c:v>268</c:v>
                </c:pt>
                <c:pt idx="50">
                  <c:v>334</c:v>
                </c:pt>
                <c:pt idx="51">
                  <c:v>275</c:v>
                </c:pt>
                <c:pt idx="52">
                  <c:v>327</c:v>
                </c:pt>
                <c:pt idx="53">
                  <c:v>324</c:v>
                </c:pt>
                <c:pt idx="54">
                  <c:v>339</c:v>
                </c:pt>
                <c:pt idx="55">
                  <c:v>366</c:v>
                </c:pt>
                <c:pt idx="56">
                  <c:v>367</c:v>
                </c:pt>
                <c:pt idx="57">
                  <c:v>332</c:v>
                </c:pt>
                <c:pt idx="58">
                  <c:v>349</c:v>
                </c:pt>
                <c:pt idx="59">
                  <c:v>349</c:v>
                </c:pt>
              </c:numCache>
            </c:numRef>
          </c:val>
          <c:smooth val="0"/>
        </c:ser>
        <c:ser>
          <c:idx val="4"/>
          <c:order val="4"/>
          <c:tx>
            <c:strRef>
              <c:f>'Sheet1 (3)'!$G$1:$G$3</c:f>
              <c:strCache>
                <c:ptCount val="1"/>
                <c:pt idx="0">
                  <c:v>VORICONAZOLE - Tablet 50 mg</c:v>
                </c:pt>
              </c:strCache>
            </c:strRef>
          </c:tx>
          <c:cat>
            <c:strRef>
              <c:f>'Sheet1 (3)'!$A$4:$A$64</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(3)'!$G$4:$G$64</c:f>
              <c:numCache>
                <c:formatCode>General</c:formatCode>
                <c:ptCount val="60"/>
                <c:pt idx="0">
                  <c:v>95</c:v>
                </c:pt>
                <c:pt idx="1">
                  <c:v>84</c:v>
                </c:pt>
                <c:pt idx="2">
                  <c:v>121</c:v>
                </c:pt>
                <c:pt idx="3">
                  <c:v>115</c:v>
                </c:pt>
                <c:pt idx="4">
                  <c:v>116</c:v>
                </c:pt>
                <c:pt idx="5">
                  <c:v>132</c:v>
                </c:pt>
                <c:pt idx="6">
                  <c:v>142</c:v>
                </c:pt>
                <c:pt idx="7">
                  <c:v>95</c:v>
                </c:pt>
                <c:pt idx="8">
                  <c:v>96</c:v>
                </c:pt>
                <c:pt idx="9">
                  <c:v>137</c:v>
                </c:pt>
                <c:pt idx="10">
                  <c:v>131</c:v>
                </c:pt>
                <c:pt idx="11">
                  <c:v>135</c:v>
                </c:pt>
                <c:pt idx="12">
                  <c:v>111</c:v>
                </c:pt>
                <c:pt idx="13">
                  <c:v>108</c:v>
                </c:pt>
                <c:pt idx="14">
                  <c:v>111</c:v>
                </c:pt>
                <c:pt idx="15">
                  <c:v>122</c:v>
                </c:pt>
                <c:pt idx="16">
                  <c:v>137</c:v>
                </c:pt>
                <c:pt idx="17">
                  <c:v>118</c:v>
                </c:pt>
                <c:pt idx="18">
                  <c:v>123</c:v>
                </c:pt>
                <c:pt idx="19">
                  <c:v>112</c:v>
                </c:pt>
                <c:pt idx="20">
                  <c:v>109</c:v>
                </c:pt>
                <c:pt idx="21">
                  <c:v>131</c:v>
                </c:pt>
                <c:pt idx="22">
                  <c:v>107</c:v>
                </c:pt>
                <c:pt idx="23">
                  <c:v>142</c:v>
                </c:pt>
                <c:pt idx="24">
                  <c:v>123</c:v>
                </c:pt>
                <c:pt idx="25">
                  <c:v>101</c:v>
                </c:pt>
                <c:pt idx="26">
                  <c:v>108</c:v>
                </c:pt>
                <c:pt idx="27">
                  <c:v>97</c:v>
                </c:pt>
                <c:pt idx="28">
                  <c:v>119</c:v>
                </c:pt>
                <c:pt idx="29">
                  <c:v>112</c:v>
                </c:pt>
                <c:pt idx="30">
                  <c:v>125</c:v>
                </c:pt>
                <c:pt idx="31">
                  <c:v>131</c:v>
                </c:pt>
                <c:pt idx="32">
                  <c:v>130</c:v>
                </c:pt>
                <c:pt idx="33">
                  <c:v>126</c:v>
                </c:pt>
                <c:pt idx="34">
                  <c:v>118</c:v>
                </c:pt>
                <c:pt idx="35">
                  <c:v>111</c:v>
                </c:pt>
                <c:pt idx="36">
                  <c:v>88</c:v>
                </c:pt>
                <c:pt idx="37">
                  <c:v>92</c:v>
                </c:pt>
                <c:pt idx="38">
                  <c:v>87</c:v>
                </c:pt>
                <c:pt idx="39">
                  <c:v>104</c:v>
                </c:pt>
                <c:pt idx="40">
                  <c:v>106</c:v>
                </c:pt>
                <c:pt idx="41">
                  <c:v>114</c:v>
                </c:pt>
                <c:pt idx="42">
                  <c:v>106</c:v>
                </c:pt>
                <c:pt idx="43">
                  <c:v>110</c:v>
                </c:pt>
                <c:pt idx="44">
                  <c:v>113</c:v>
                </c:pt>
                <c:pt idx="45">
                  <c:v>107</c:v>
                </c:pt>
                <c:pt idx="46">
                  <c:v>116</c:v>
                </c:pt>
                <c:pt idx="47">
                  <c:v>118</c:v>
                </c:pt>
                <c:pt idx="48">
                  <c:v>121</c:v>
                </c:pt>
                <c:pt idx="49">
                  <c:v>123</c:v>
                </c:pt>
                <c:pt idx="50">
                  <c:v>155</c:v>
                </c:pt>
                <c:pt idx="51">
                  <c:v>108</c:v>
                </c:pt>
                <c:pt idx="52">
                  <c:v>124</c:v>
                </c:pt>
                <c:pt idx="53">
                  <c:v>104</c:v>
                </c:pt>
                <c:pt idx="54">
                  <c:v>130</c:v>
                </c:pt>
                <c:pt idx="55">
                  <c:v>126</c:v>
                </c:pt>
                <c:pt idx="56">
                  <c:v>122</c:v>
                </c:pt>
                <c:pt idx="57">
                  <c:v>99</c:v>
                </c:pt>
                <c:pt idx="58">
                  <c:v>114</c:v>
                </c:pt>
                <c:pt idx="59">
                  <c:v>117</c:v>
                </c:pt>
              </c:numCache>
            </c:numRef>
          </c:val>
          <c:smooth val="0"/>
        </c:ser>
        <c:dLbls>
          <c:showLegendKey val="0"/>
          <c:showVal val="0"/>
          <c:showCatName val="0"/>
          <c:showSerName val="0"/>
          <c:showPercent val="0"/>
          <c:showBubbleSize val="0"/>
        </c:dLbls>
        <c:marker val="1"/>
        <c:smooth val="0"/>
        <c:axId val="37264768"/>
        <c:axId val="38014336"/>
      </c:lineChart>
      <c:catAx>
        <c:axId val="37264768"/>
        <c:scaling>
          <c:orientation val="minMax"/>
        </c:scaling>
        <c:delete val="0"/>
        <c:axPos val="b"/>
        <c:title>
          <c:tx>
            <c:rich>
              <a:bodyPr/>
              <a:lstStyle/>
              <a:p>
                <a:pPr>
                  <a:defRPr b="0"/>
                </a:pPr>
                <a:r>
                  <a:rPr lang="en-US" b="0"/>
                  <a:t>Month of Supply</a:t>
                </a:r>
              </a:p>
            </c:rich>
          </c:tx>
          <c:overlay val="0"/>
        </c:title>
        <c:majorTickMark val="out"/>
        <c:minorTickMark val="none"/>
        <c:tickLblPos val="nextTo"/>
        <c:crossAx val="38014336"/>
        <c:crosses val="autoZero"/>
        <c:auto val="1"/>
        <c:lblAlgn val="ctr"/>
        <c:lblOffset val="100"/>
        <c:noMultiLvlLbl val="0"/>
      </c:catAx>
      <c:valAx>
        <c:axId val="38014336"/>
        <c:scaling>
          <c:orientation val="minMax"/>
        </c:scaling>
        <c:delete val="0"/>
        <c:axPos val="l"/>
        <c:majorGridlines/>
        <c:title>
          <c:tx>
            <c:rich>
              <a:bodyPr rot="-5400000" vert="horz"/>
              <a:lstStyle/>
              <a:p>
                <a:pPr>
                  <a:defRPr b="0"/>
                </a:pPr>
                <a:r>
                  <a:rPr lang="en-US" b="0"/>
                  <a:t>Prescriptions</a:t>
                </a:r>
              </a:p>
            </c:rich>
          </c:tx>
          <c:overlay val="0"/>
        </c:title>
        <c:numFmt formatCode="#,##0" sourceLinked="0"/>
        <c:majorTickMark val="out"/>
        <c:minorTickMark val="none"/>
        <c:tickLblPos val="nextTo"/>
        <c:crossAx val="37264768"/>
        <c:crosses val="autoZero"/>
        <c:crossBetween val="between"/>
      </c:valAx>
    </c:plotArea>
    <c:legend>
      <c:legendPos val="b"/>
      <c:layout>
        <c:manualLayout>
          <c:xMode val="edge"/>
          <c:yMode val="edge"/>
          <c:x val="1.2581019200220834E-2"/>
          <c:y val="0.84634085894925126"/>
          <c:w val="0.97929205257426633"/>
          <c:h val="0.13432530388951289"/>
        </c:manualLayout>
      </c:layout>
      <c:overlay val="0"/>
      <c:txPr>
        <a:bodyPr/>
        <a:lstStyle/>
        <a:p>
          <a:pPr>
            <a:defRPr sz="7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marker>
          <c:symbol val="none"/>
        </c:marker>
      </c:pivotFmt>
      <c:pivotFmt>
        <c:idx val="16"/>
      </c:pivotFmt>
      <c:pivotFmt>
        <c:idx val="17"/>
      </c:pivotFmt>
      <c:pivotFmt>
        <c:idx val="18"/>
      </c:pivotFmt>
      <c:pivotFmt>
        <c:idx val="19"/>
      </c:pivotFmt>
      <c:pivotFmt>
        <c:idx val="20"/>
      </c:pivotFmt>
      <c:pivotFmt>
        <c:idx val="21"/>
      </c:pivotFmt>
      <c:pivotFmt>
        <c:idx val="22"/>
      </c:pivotFmt>
      <c:pivotFmt>
        <c:idx val="23"/>
      </c:pivotFmt>
    </c:pivotFmts>
    <c:plotArea>
      <c:layout/>
      <c:lineChart>
        <c:grouping val="standard"/>
        <c:varyColors val="0"/>
        <c:ser>
          <c:idx val="0"/>
          <c:order val="0"/>
          <c:tx>
            <c:v>FLUCONAZOLE</c:v>
          </c:tx>
          <c:cat>
            <c:strLit>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Lit>
          </c:cat>
          <c:val>
            <c:numLit>
              <c:formatCode>General</c:formatCode>
              <c:ptCount val="60"/>
              <c:pt idx="0">
                <c:v>2797</c:v>
              </c:pt>
              <c:pt idx="1">
                <c:v>2800</c:v>
              </c:pt>
              <c:pt idx="2">
                <c:v>2992</c:v>
              </c:pt>
              <c:pt idx="3">
                <c:v>3031</c:v>
              </c:pt>
              <c:pt idx="4">
                <c:v>3243</c:v>
              </c:pt>
              <c:pt idx="5">
                <c:v>2915</c:v>
              </c:pt>
              <c:pt idx="6">
                <c:v>3186</c:v>
              </c:pt>
              <c:pt idx="7">
                <c:v>3217</c:v>
              </c:pt>
              <c:pt idx="8">
                <c:v>3154</c:v>
              </c:pt>
              <c:pt idx="9">
                <c:v>3450</c:v>
              </c:pt>
              <c:pt idx="10">
                <c:v>3342</c:v>
              </c:pt>
              <c:pt idx="11">
                <c:v>4018</c:v>
              </c:pt>
              <c:pt idx="12">
                <c:v>3069</c:v>
              </c:pt>
              <c:pt idx="13">
                <c:v>3083</c:v>
              </c:pt>
              <c:pt idx="14">
                <c:v>3364</c:v>
              </c:pt>
              <c:pt idx="15">
                <c:v>3422</c:v>
              </c:pt>
              <c:pt idx="16">
                <c:v>3560</c:v>
              </c:pt>
              <c:pt idx="17">
                <c:v>3425</c:v>
              </c:pt>
              <c:pt idx="18">
                <c:v>3670</c:v>
              </c:pt>
              <c:pt idx="19">
                <c:v>3514</c:v>
              </c:pt>
              <c:pt idx="20">
                <c:v>3722</c:v>
              </c:pt>
              <c:pt idx="21">
                <c:v>3846</c:v>
              </c:pt>
              <c:pt idx="22">
                <c:v>3617</c:v>
              </c:pt>
              <c:pt idx="23">
                <c:v>4447</c:v>
              </c:pt>
              <c:pt idx="24">
                <c:v>3237</c:v>
              </c:pt>
              <c:pt idx="25">
                <c:v>3294</c:v>
              </c:pt>
              <c:pt idx="26">
                <c:v>3824</c:v>
              </c:pt>
              <c:pt idx="27">
                <c:v>3662</c:v>
              </c:pt>
              <c:pt idx="28">
                <c:v>3535</c:v>
              </c:pt>
              <c:pt idx="29">
                <c:v>3642</c:v>
              </c:pt>
              <c:pt idx="30">
                <c:v>3755</c:v>
              </c:pt>
              <c:pt idx="31">
                <c:v>3721</c:v>
              </c:pt>
              <c:pt idx="32">
                <c:v>3831</c:v>
              </c:pt>
              <c:pt idx="33">
                <c:v>3813</c:v>
              </c:pt>
              <c:pt idx="34">
                <c:v>3743</c:v>
              </c:pt>
              <c:pt idx="35">
                <c:v>4516</c:v>
              </c:pt>
              <c:pt idx="36">
                <c:v>3213</c:v>
              </c:pt>
              <c:pt idx="37">
                <c:v>3536</c:v>
              </c:pt>
              <c:pt idx="38">
                <c:v>3844</c:v>
              </c:pt>
              <c:pt idx="39">
                <c:v>5617</c:v>
              </c:pt>
              <c:pt idx="40">
                <c:v>6272</c:v>
              </c:pt>
              <c:pt idx="41">
                <c:v>6325</c:v>
              </c:pt>
              <c:pt idx="42">
                <c:v>6448</c:v>
              </c:pt>
              <c:pt idx="43">
                <c:v>7329</c:v>
              </c:pt>
              <c:pt idx="44">
                <c:v>7219</c:v>
              </c:pt>
              <c:pt idx="45">
                <c:v>7227</c:v>
              </c:pt>
              <c:pt idx="46">
                <c:v>7861</c:v>
              </c:pt>
              <c:pt idx="47">
                <c:v>8557</c:v>
              </c:pt>
              <c:pt idx="48">
                <c:v>7220</c:v>
              </c:pt>
              <c:pt idx="49">
                <c:v>7845</c:v>
              </c:pt>
              <c:pt idx="50">
                <c:v>8612</c:v>
              </c:pt>
              <c:pt idx="51">
                <c:v>7694</c:v>
              </c:pt>
              <c:pt idx="52">
                <c:v>8877</c:v>
              </c:pt>
              <c:pt idx="53">
                <c:v>8444</c:v>
              </c:pt>
              <c:pt idx="54">
                <c:v>8353</c:v>
              </c:pt>
              <c:pt idx="55">
                <c:v>8758</c:v>
              </c:pt>
              <c:pt idx="56">
                <c:v>8232</c:v>
              </c:pt>
              <c:pt idx="57">
                <c:v>8855</c:v>
              </c:pt>
              <c:pt idx="58">
                <c:v>9111</c:v>
              </c:pt>
              <c:pt idx="59">
                <c:v>9766</c:v>
              </c:pt>
            </c:numLit>
          </c:val>
          <c:smooth val="0"/>
        </c:ser>
        <c:ser>
          <c:idx val="1"/>
          <c:order val="1"/>
          <c:tx>
            <c:v>ITRACONAZOLE</c:v>
          </c:tx>
          <c:cat>
            <c:strLit>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Lit>
          </c:cat>
          <c:val>
            <c:numLit>
              <c:formatCode>General</c:formatCode>
              <c:ptCount val="60"/>
              <c:pt idx="0">
                <c:v>575</c:v>
              </c:pt>
              <c:pt idx="1">
                <c:v>621</c:v>
              </c:pt>
              <c:pt idx="2">
                <c:v>665</c:v>
              </c:pt>
              <c:pt idx="3">
                <c:v>655</c:v>
              </c:pt>
              <c:pt idx="4">
                <c:v>747</c:v>
              </c:pt>
              <c:pt idx="5">
                <c:v>666</c:v>
              </c:pt>
              <c:pt idx="6">
                <c:v>707</c:v>
              </c:pt>
              <c:pt idx="7">
                <c:v>760</c:v>
              </c:pt>
              <c:pt idx="8">
                <c:v>690</c:v>
              </c:pt>
              <c:pt idx="9">
                <c:v>742</c:v>
              </c:pt>
              <c:pt idx="10">
                <c:v>663</c:v>
              </c:pt>
              <c:pt idx="11">
                <c:v>937</c:v>
              </c:pt>
              <c:pt idx="12">
                <c:v>665</c:v>
              </c:pt>
              <c:pt idx="13">
                <c:v>638</c:v>
              </c:pt>
              <c:pt idx="14">
                <c:v>690</c:v>
              </c:pt>
              <c:pt idx="15">
                <c:v>708</c:v>
              </c:pt>
              <c:pt idx="16">
                <c:v>814</c:v>
              </c:pt>
              <c:pt idx="17">
                <c:v>782</c:v>
              </c:pt>
              <c:pt idx="18">
                <c:v>775</c:v>
              </c:pt>
              <c:pt idx="19">
                <c:v>811</c:v>
              </c:pt>
              <c:pt idx="20">
                <c:v>814</c:v>
              </c:pt>
              <c:pt idx="21">
                <c:v>844</c:v>
              </c:pt>
              <c:pt idx="22">
                <c:v>745</c:v>
              </c:pt>
              <c:pt idx="23">
                <c:v>1000</c:v>
              </c:pt>
              <c:pt idx="24">
                <c:v>687</c:v>
              </c:pt>
              <c:pt idx="25">
                <c:v>658</c:v>
              </c:pt>
              <c:pt idx="26">
                <c:v>862</c:v>
              </c:pt>
              <c:pt idx="27">
                <c:v>794</c:v>
              </c:pt>
              <c:pt idx="28">
                <c:v>789</c:v>
              </c:pt>
              <c:pt idx="29">
                <c:v>831</c:v>
              </c:pt>
              <c:pt idx="30">
                <c:v>785</c:v>
              </c:pt>
              <c:pt idx="31">
                <c:v>843</c:v>
              </c:pt>
              <c:pt idx="32">
                <c:v>847</c:v>
              </c:pt>
              <c:pt idx="33">
                <c:v>862</c:v>
              </c:pt>
              <c:pt idx="34">
                <c:v>884</c:v>
              </c:pt>
              <c:pt idx="35">
                <c:v>1145</c:v>
              </c:pt>
              <c:pt idx="36">
                <c:v>723</c:v>
              </c:pt>
              <c:pt idx="37">
                <c:v>769</c:v>
              </c:pt>
              <c:pt idx="38">
                <c:v>832</c:v>
              </c:pt>
              <c:pt idx="39">
                <c:v>912</c:v>
              </c:pt>
              <c:pt idx="40">
                <c:v>1027</c:v>
              </c:pt>
              <c:pt idx="41">
                <c:v>1038</c:v>
              </c:pt>
              <c:pt idx="42">
                <c:v>1076</c:v>
              </c:pt>
              <c:pt idx="43">
                <c:v>1252</c:v>
              </c:pt>
              <c:pt idx="44">
                <c:v>1192</c:v>
              </c:pt>
              <c:pt idx="45">
                <c:v>1217</c:v>
              </c:pt>
              <c:pt idx="46">
                <c:v>1359</c:v>
              </c:pt>
              <c:pt idx="47">
                <c:v>1436</c:v>
              </c:pt>
              <c:pt idx="48">
                <c:v>1116</c:v>
              </c:pt>
              <c:pt idx="49">
                <c:v>1205</c:v>
              </c:pt>
              <c:pt idx="50">
                <c:v>1457</c:v>
              </c:pt>
              <c:pt idx="51">
                <c:v>1305</c:v>
              </c:pt>
              <c:pt idx="52">
                <c:v>1379</c:v>
              </c:pt>
              <c:pt idx="53">
                <c:v>1403</c:v>
              </c:pt>
              <c:pt idx="54">
                <c:v>1419</c:v>
              </c:pt>
              <c:pt idx="55">
                <c:v>1500</c:v>
              </c:pt>
              <c:pt idx="56">
                <c:v>1460</c:v>
              </c:pt>
              <c:pt idx="57">
                <c:v>1605</c:v>
              </c:pt>
              <c:pt idx="58">
                <c:v>1552</c:v>
              </c:pt>
              <c:pt idx="59">
                <c:v>1718</c:v>
              </c:pt>
            </c:numLit>
          </c:val>
          <c:smooth val="0"/>
        </c:ser>
        <c:ser>
          <c:idx val="2"/>
          <c:order val="2"/>
          <c:tx>
            <c:v>POSACONAZOLE</c:v>
          </c:tx>
          <c:cat>
            <c:strLit>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Lit>
          </c:cat>
          <c:val>
            <c:numLit>
              <c:formatCode>General</c:formatCode>
              <c:ptCount val="60"/>
              <c:pt idx="0">
                <c:v>287</c:v>
              </c:pt>
              <c:pt idx="1">
                <c:v>266</c:v>
              </c:pt>
              <c:pt idx="2">
                <c:v>289</c:v>
              </c:pt>
              <c:pt idx="3">
                <c:v>284</c:v>
              </c:pt>
              <c:pt idx="4">
                <c:v>354</c:v>
              </c:pt>
              <c:pt idx="5">
                <c:v>310</c:v>
              </c:pt>
              <c:pt idx="6">
                <c:v>346</c:v>
              </c:pt>
              <c:pt idx="7">
                <c:v>307</c:v>
              </c:pt>
              <c:pt idx="8">
                <c:v>305</c:v>
              </c:pt>
              <c:pt idx="9">
                <c:v>328</c:v>
              </c:pt>
              <c:pt idx="10">
                <c:v>315</c:v>
              </c:pt>
              <c:pt idx="11">
                <c:v>318</c:v>
              </c:pt>
              <c:pt idx="12">
                <c:v>332</c:v>
              </c:pt>
              <c:pt idx="13">
                <c:v>299</c:v>
              </c:pt>
              <c:pt idx="14">
                <c:v>315</c:v>
              </c:pt>
              <c:pt idx="15">
                <c:v>352</c:v>
              </c:pt>
              <c:pt idx="16">
                <c:v>301</c:v>
              </c:pt>
              <c:pt idx="17">
                <c:v>305</c:v>
              </c:pt>
              <c:pt idx="18">
                <c:v>332</c:v>
              </c:pt>
              <c:pt idx="19">
                <c:v>331</c:v>
              </c:pt>
              <c:pt idx="20">
                <c:v>377</c:v>
              </c:pt>
              <c:pt idx="21">
                <c:v>353</c:v>
              </c:pt>
              <c:pt idx="22">
                <c:v>352</c:v>
              </c:pt>
              <c:pt idx="23">
                <c:v>392</c:v>
              </c:pt>
              <c:pt idx="24">
                <c:v>332</c:v>
              </c:pt>
              <c:pt idx="25">
                <c:v>321</c:v>
              </c:pt>
              <c:pt idx="26">
                <c:v>381</c:v>
              </c:pt>
              <c:pt idx="27">
                <c:v>400</c:v>
              </c:pt>
              <c:pt idx="28">
                <c:v>375</c:v>
              </c:pt>
              <c:pt idx="29">
                <c:v>409</c:v>
              </c:pt>
              <c:pt idx="30">
                <c:v>395</c:v>
              </c:pt>
              <c:pt idx="31">
                <c:v>377</c:v>
              </c:pt>
              <c:pt idx="32">
                <c:v>459</c:v>
              </c:pt>
              <c:pt idx="33">
                <c:v>491</c:v>
              </c:pt>
              <c:pt idx="34">
                <c:v>496</c:v>
              </c:pt>
              <c:pt idx="35">
                <c:v>626</c:v>
              </c:pt>
              <c:pt idx="36">
                <c:v>508</c:v>
              </c:pt>
              <c:pt idx="37">
                <c:v>544</c:v>
              </c:pt>
              <c:pt idx="38">
                <c:v>641</c:v>
              </c:pt>
              <c:pt idx="39">
                <c:v>630</c:v>
              </c:pt>
              <c:pt idx="40">
                <c:v>637</c:v>
              </c:pt>
              <c:pt idx="41">
                <c:v>685</c:v>
              </c:pt>
              <c:pt idx="42">
                <c:v>647</c:v>
              </c:pt>
              <c:pt idx="43">
                <c:v>722</c:v>
              </c:pt>
              <c:pt idx="44">
                <c:v>708</c:v>
              </c:pt>
              <c:pt idx="45">
                <c:v>747</c:v>
              </c:pt>
              <c:pt idx="46">
                <c:v>744</c:v>
              </c:pt>
              <c:pt idx="47">
                <c:v>848</c:v>
              </c:pt>
              <c:pt idx="48">
                <c:v>678</c:v>
              </c:pt>
              <c:pt idx="49">
                <c:v>586</c:v>
              </c:pt>
              <c:pt idx="50">
                <c:v>777</c:v>
              </c:pt>
              <c:pt idx="51">
                <c:v>660</c:v>
              </c:pt>
              <c:pt idx="52">
                <c:v>800</c:v>
              </c:pt>
              <c:pt idx="53">
                <c:v>778</c:v>
              </c:pt>
              <c:pt idx="54">
                <c:v>726</c:v>
              </c:pt>
              <c:pt idx="55">
                <c:v>794</c:v>
              </c:pt>
              <c:pt idx="56">
                <c:v>716</c:v>
              </c:pt>
              <c:pt idx="57">
                <c:v>797</c:v>
              </c:pt>
              <c:pt idx="58">
                <c:v>816</c:v>
              </c:pt>
              <c:pt idx="59">
                <c:v>934</c:v>
              </c:pt>
            </c:numLit>
          </c:val>
          <c:smooth val="0"/>
        </c:ser>
        <c:ser>
          <c:idx val="3"/>
          <c:order val="3"/>
          <c:tx>
            <c:v>VORICONAZOLE</c:v>
          </c:tx>
          <c:cat>
            <c:strLit>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Lit>
          </c:cat>
          <c:val>
            <c:numLit>
              <c:formatCode>General</c:formatCode>
              <c:ptCount val="60"/>
              <c:pt idx="0">
                <c:v>418</c:v>
              </c:pt>
              <c:pt idx="1">
                <c:v>437</c:v>
              </c:pt>
              <c:pt idx="2">
                <c:v>500</c:v>
              </c:pt>
              <c:pt idx="3">
                <c:v>499</c:v>
              </c:pt>
              <c:pt idx="4">
                <c:v>546</c:v>
              </c:pt>
              <c:pt idx="5">
                <c:v>568</c:v>
              </c:pt>
              <c:pt idx="6">
                <c:v>630</c:v>
              </c:pt>
              <c:pt idx="7">
                <c:v>526</c:v>
              </c:pt>
              <c:pt idx="8">
                <c:v>517</c:v>
              </c:pt>
              <c:pt idx="9">
                <c:v>580</c:v>
              </c:pt>
              <c:pt idx="10">
                <c:v>544</c:v>
              </c:pt>
              <c:pt idx="11">
                <c:v>579</c:v>
              </c:pt>
              <c:pt idx="12">
                <c:v>465</c:v>
              </c:pt>
              <c:pt idx="13">
                <c:v>483</c:v>
              </c:pt>
              <c:pt idx="14">
                <c:v>541</c:v>
              </c:pt>
              <c:pt idx="15">
                <c:v>588</c:v>
              </c:pt>
              <c:pt idx="16">
                <c:v>605</c:v>
              </c:pt>
              <c:pt idx="17">
                <c:v>563</c:v>
              </c:pt>
              <c:pt idx="18">
                <c:v>612</c:v>
              </c:pt>
              <c:pt idx="19">
                <c:v>524</c:v>
              </c:pt>
              <c:pt idx="20">
                <c:v>526</c:v>
              </c:pt>
              <c:pt idx="21">
                <c:v>549</c:v>
              </c:pt>
              <c:pt idx="22">
                <c:v>501</c:v>
              </c:pt>
              <c:pt idx="23">
                <c:v>593</c:v>
              </c:pt>
              <c:pt idx="24">
                <c:v>489</c:v>
              </c:pt>
              <c:pt idx="25">
                <c:v>441</c:v>
              </c:pt>
              <c:pt idx="26">
                <c:v>494</c:v>
              </c:pt>
              <c:pt idx="27">
                <c:v>452</c:v>
              </c:pt>
              <c:pt idx="28">
                <c:v>520</c:v>
              </c:pt>
              <c:pt idx="29">
                <c:v>502</c:v>
              </c:pt>
              <c:pt idx="30">
                <c:v>521</c:v>
              </c:pt>
              <c:pt idx="31">
                <c:v>510</c:v>
              </c:pt>
              <c:pt idx="32">
                <c:v>508</c:v>
              </c:pt>
              <c:pt idx="33">
                <c:v>529</c:v>
              </c:pt>
              <c:pt idx="34">
                <c:v>498</c:v>
              </c:pt>
              <c:pt idx="35">
                <c:v>525</c:v>
              </c:pt>
              <c:pt idx="36">
                <c:v>357</c:v>
              </c:pt>
              <c:pt idx="37">
                <c:v>386</c:v>
              </c:pt>
              <c:pt idx="38">
                <c:v>440</c:v>
              </c:pt>
              <c:pt idx="39">
                <c:v>412</c:v>
              </c:pt>
              <c:pt idx="40">
                <c:v>442</c:v>
              </c:pt>
              <c:pt idx="41">
                <c:v>443</c:v>
              </c:pt>
              <c:pt idx="42">
                <c:v>446</c:v>
              </c:pt>
              <c:pt idx="43">
                <c:v>463</c:v>
              </c:pt>
              <c:pt idx="44">
                <c:v>436</c:v>
              </c:pt>
              <c:pt idx="45">
                <c:v>410</c:v>
              </c:pt>
              <c:pt idx="46">
                <c:v>403</c:v>
              </c:pt>
              <c:pt idx="47">
                <c:v>467</c:v>
              </c:pt>
              <c:pt idx="48">
                <c:v>409</c:v>
              </c:pt>
              <c:pt idx="49">
                <c:v>410</c:v>
              </c:pt>
              <c:pt idx="50">
                <c:v>508</c:v>
              </c:pt>
              <c:pt idx="51">
                <c:v>400</c:v>
              </c:pt>
              <c:pt idx="52">
                <c:v>464</c:v>
              </c:pt>
              <c:pt idx="53">
                <c:v>439</c:v>
              </c:pt>
              <c:pt idx="54">
                <c:v>480</c:v>
              </c:pt>
              <c:pt idx="55">
                <c:v>504</c:v>
              </c:pt>
              <c:pt idx="56">
                <c:v>499</c:v>
              </c:pt>
              <c:pt idx="57">
                <c:v>443</c:v>
              </c:pt>
              <c:pt idx="58">
                <c:v>478</c:v>
              </c:pt>
              <c:pt idx="59">
                <c:v>483</c:v>
              </c:pt>
            </c:numLit>
          </c:val>
          <c:smooth val="0"/>
        </c:ser>
        <c:dLbls>
          <c:showLegendKey val="0"/>
          <c:showVal val="0"/>
          <c:showCatName val="0"/>
          <c:showSerName val="0"/>
          <c:showPercent val="0"/>
          <c:showBubbleSize val="0"/>
        </c:dLbls>
        <c:marker val="1"/>
        <c:smooth val="0"/>
        <c:axId val="37249024"/>
        <c:axId val="37250944"/>
      </c:lineChart>
      <c:catAx>
        <c:axId val="37249024"/>
        <c:scaling>
          <c:orientation val="minMax"/>
        </c:scaling>
        <c:delete val="0"/>
        <c:axPos val="b"/>
        <c:title>
          <c:tx>
            <c:rich>
              <a:bodyPr/>
              <a:lstStyle/>
              <a:p>
                <a:pPr>
                  <a:defRPr b="0"/>
                </a:pPr>
                <a:r>
                  <a:rPr lang="en-US" b="0"/>
                  <a:t>Month of Supply</a:t>
                </a:r>
              </a:p>
            </c:rich>
          </c:tx>
          <c:overlay val="0"/>
        </c:title>
        <c:majorTickMark val="out"/>
        <c:minorTickMark val="none"/>
        <c:tickLblPos val="nextTo"/>
        <c:crossAx val="37250944"/>
        <c:crosses val="autoZero"/>
        <c:auto val="1"/>
        <c:lblAlgn val="ctr"/>
        <c:lblOffset val="100"/>
        <c:noMultiLvlLbl val="0"/>
      </c:catAx>
      <c:valAx>
        <c:axId val="37250944"/>
        <c:scaling>
          <c:orientation val="minMax"/>
        </c:scaling>
        <c:delete val="0"/>
        <c:axPos val="l"/>
        <c:majorGridlines/>
        <c:title>
          <c:tx>
            <c:rich>
              <a:bodyPr rot="-5400000" vert="horz"/>
              <a:lstStyle/>
              <a:p>
                <a:pPr>
                  <a:defRPr b="0"/>
                </a:pPr>
                <a:r>
                  <a:rPr lang="en-US" b="0"/>
                  <a:t>Prescriptions</a:t>
                </a:r>
              </a:p>
            </c:rich>
          </c:tx>
          <c:overlay val="0"/>
        </c:title>
        <c:numFmt formatCode="#,##0" sourceLinked="0"/>
        <c:majorTickMark val="out"/>
        <c:minorTickMark val="none"/>
        <c:tickLblPos val="nextTo"/>
        <c:crossAx val="37249024"/>
        <c:crosses val="autoZero"/>
        <c:crossBetween val="between"/>
      </c:valAx>
    </c:plotArea>
    <c:legend>
      <c:legendPos val="b"/>
      <c:overlay val="0"/>
    </c:legend>
    <c:plotVisOnly val="1"/>
    <c:dispBlanksAs val="gap"/>
    <c:showDLblsOverMax val="0"/>
  </c:chart>
  <c:externalData r:id="rId1">
    <c:autoUpdate val="0"/>
  </c:externalData>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[D1064 - SCRPT_SUM.xlsx]Sheet1 (2)!PivotTable1</c:name>
    <c:fmtId val="7"/>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marker>
          <c:symbol val="none"/>
        </c:marker>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s>
    <c:plotArea>
      <c:layout/>
      <c:lineChart>
        <c:grouping val="standard"/>
        <c:varyColors val="0"/>
        <c:ser>
          <c:idx val="0"/>
          <c:order val="0"/>
          <c:tx>
            <c:strRef>
              <c:f>'Sheet1 (2)'!$B$1:$B$2</c:f>
              <c:strCache>
                <c:ptCount val="1"/>
                <c:pt idx="0">
                  <c:v>Total</c:v>
                </c:pt>
              </c:strCache>
            </c:strRef>
          </c:tx>
          <c:cat>
            <c:strRef>
              <c:f>'Sheet1 (2)'!$A$3:$A$63</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(2)'!$B$3:$B$63</c:f>
              <c:numCache>
                <c:formatCode>General</c:formatCode>
                <c:ptCount val="60"/>
                <c:pt idx="0">
                  <c:v>705</c:v>
                </c:pt>
                <c:pt idx="1">
                  <c:v>703</c:v>
                </c:pt>
                <c:pt idx="2">
                  <c:v>789</c:v>
                </c:pt>
                <c:pt idx="3">
                  <c:v>783</c:v>
                </c:pt>
                <c:pt idx="4">
                  <c:v>900</c:v>
                </c:pt>
                <c:pt idx="5">
                  <c:v>878</c:v>
                </c:pt>
                <c:pt idx="6">
                  <c:v>976</c:v>
                </c:pt>
                <c:pt idx="7">
                  <c:v>833</c:v>
                </c:pt>
                <c:pt idx="8">
                  <c:v>822</c:v>
                </c:pt>
                <c:pt idx="9">
                  <c:v>908</c:v>
                </c:pt>
                <c:pt idx="10">
                  <c:v>859</c:v>
                </c:pt>
                <c:pt idx="11">
                  <c:v>897</c:v>
                </c:pt>
                <c:pt idx="12">
                  <c:v>797</c:v>
                </c:pt>
                <c:pt idx="13">
                  <c:v>782</c:v>
                </c:pt>
                <c:pt idx="14">
                  <c:v>856</c:v>
                </c:pt>
                <c:pt idx="15">
                  <c:v>940</c:v>
                </c:pt>
                <c:pt idx="16">
                  <c:v>906</c:v>
                </c:pt>
                <c:pt idx="17">
                  <c:v>868</c:v>
                </c:pt>
                <c:pt idx="18">
                  <c:v>944</c:v>
                </c:pt>
                <c:pt idx="19">
                  <c:v>855</c:v>
                </c:pt>
                <c:pt idx="20">
                  <c:v>903</c:v>
                </c:pt>
                <c:pt idx="21">
                  <c:v>902</c:v>
                </c:pt>
                <c:pt idx="22">
                  <c:v>853</c:v>
                </c:pt>
                <c:pt idx="23">
                  <c:v>985</c:v>
                </c:pt>
                <c:pt idx="24">
                  <c:v>821</c:v>
                </c:pt>
                <c:pt idx="25">
                  <c:v>762</c:v>
                </c:pt>
                <c:pt idx="26">
                  <c:v>875</c:v>
                </c:pt>
                <c:pt idx="27">
                  <c:v>852</c:v>
                </c:pt>
                <c:pt idx="28">
                  <c:v>895</c:v>
                </c:pt>
                <c:pt idx="29">
                  <c:v>911</c:v>
                </c:pt>
                <c:pt idx="30">
                  <c:v>916</c:v>
                </c:pt>
                <c:pt idx="31">
                  <c:v>887</c:v>
                </c:pt>
                <c:pt idx="32">
                  <c:v>967</c:v>
                </c:pt>
                <c:pt idx="33">
                  <c:v>1020</c:v>
                </c:pt>
                <c:pt idx="34">
                  <c:v>994</c:v>
                </c:pt>
                <c:pt idx="35">
                  <c:v>1151</c:v>
                </c:pt>
                <c:pt idx="36">
                  <c:v>865</c:v>
                </c:pt>
                <c:pt idx="37">
                  <c:v>930</c:v>
                </c:pt>
                <c:pt idx="38">
                  <c:v>1081</c:v>
                </c:pt>
                <c:pt idx="39">
                  <c:v>1042</c:v>
                </c:pt>
                <c:pt idx="40">
                  <c:v>1079</c:v>
                </c:pt>
                <c:pt idx="41">
                  <c:v>1128</c:v>
                </c:pt>
                <c:pt idx="42">
                  <c:v>1093</c:v>
                </c:pt>
                <c:pt idx="43">
                  <c:v>1185</c:v>
                </c:pt>
                <c:pt idx="44">
                  <c:v>1144</c:v>
                </c:pt>
                <c:pt idx="45">
                  <c:v>1157</c:v>
                </c:pt>
                <c:pt idx="46">
                  <c:v>1147</c:v>
                </c:pt>
                <c:pt idx="47">
                  <c:v>1315</c:v>
                </c:pt>
                <c:pt idx="48">
                  <c:v>1087</c:v>
                </c:pt>
                <c:pt idx="49">
                  <c:v>996</c:v>
                </c:pt>
                <c:pt idx="50">
                  <c:v>1285</c:v>
                </c:pt>
                <c:pt idx="51">
                  <c:v>1060</c:v>
                </c:pt>
                <c:pt idx="52">
                  <c:v>1264</c:v>
                </c:pt>
                <c:pt idx="53">
                  <c:v>1217</c:v>
                </c:pt>
                <c:pt idx="54">
                  <c:v>1206</c:v>
                </c:pt>
                <c:pt idx="55">
                  <c:v>1298</c:v>
                </c:pt>
                <c:pt idx="56">
                  <c:v>1215</c:v>
                </c:pt>
                <c:pt idx="57">
                  <c:v>1240</c:v>
                </c:pt>
                <c:pt idx="58">
                  <c:v>1294</c:v>
                </c:pt>
                <c:pt idx="59">
                  <c:v>1417</c:v>
                </c:pt>
              </c:numCache>
            </c:numRef>
          </c:val>
          <c:smooth val="0"/>
        </c:ser>
        <c:ser>
          <c:idx val="1"/>
          <c:order val="1"/>
          <c:tx>
            <c:strRef>
              <c:f>'Sheet1 (2)'!$C$1:$C$2</c:f>
              <c:strCache>
                <c:ptCount val="1"/>
                <c:pt idx="0">
                  <c:v>POSACONAZOLE</c:v>
                </c:pt>
              </c:strCache>
            </c:strRef>
          </c:tx>
          <c:cat>
            <c:strRef>
              <c:f>'Sheet1 (2)'!$A$3:$A$63</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(2)'!$C$3:$C$63</c:f>
              <c:numCache>
                <c:formatCode>General</c:formatCode>
                <c:ptCount val="60"/>
                <c:pt idx="0">
                  <c:v>287</c:v>
                </c:pt>
                <c:pt idx="1">
                  <c:v>266</c:v>
                </c:pt>
                <c:pt idx="2">
                  <c:v>289</c:v>
                </c:pt>
                <c:pt idx="3">
                  <c:v>284</c:v>
                </c:pt>
                <c:pt idx="4">
                  <c:v>354</c:v>
                </c:pt>
                <c:pt idx="5">
                  <c:v>310</c:v>
                </c:pt>
                <c:pt idx="6">
                  <c:v>346</c:v>
                </c:pt>
                <c:pt idx="7">
                  <c:v>307</c:v>
                </c:pt>
                <c:pt idx="8">
                  <c:v>305</c:v>
                </c:pt>
                <c:pt idx="9">
                  <c:v>328</c:v>
                </c:pt>
                <c:pt idx="10">
                  <c:v>315</c:v>
                </c:pt>
                <c:pt idx="11">
                  <c:v>318</c:v>
                </c:pt>
                <c:pt idx="12">
                  <c:v>332</c:v>
                </c:pt>
                <c:pt idx="13">
                  <c:v>299</c:v>
                </c:pt>
                <c:pt idx="14">
                  <c:v>315</c:v>
                </c:pt>
                <c:pt idx="15">
                  <c:v>352</c:v>
                </c:pt>
                <c:pt idx="16">
                  <c:v>301</c:v>
                </c:pt>
                <c:pt idx="17">
                  <c:v>305</c:v>
                </c:pt>
                <c:pt idx="18">
                  <c:v>332</c:v>
                </c:pt>
                <c:pt idx="19">
                  <c:v>331</c:v>
                </c:pt>
                <c:pt idx="20">
                  <c:v>377</c:v>
                </c:pt>
                <c:pt idx="21">
                  <c:v>353</c:v>
                </c:pt>
                <c:pt idx="22">
                  <c:v>352</c:v>
                </c:pt>
                <c:pt idx="23">
                  <c:v>392</c:v>
                </c:pt>
                <c:pt idx="24">
                  <c:v>332</c:v>
                </c:pt>
                <c:pt idx="25">
                  <c:v>321</c:v>
                </c:pt>
                <c:pt idx="26">
                  <c:v>381</c:v>
                </c:pt>
                <c:pt idx="27">
                  <c:v>400</c:v>
                </c:pt>
                <c:pt idx="28">
                  <c:v>375</c:v>
                </c:pt>
                <c:pt idx="29">
                  <c:v>409</c:v>
                </c:pt>
                <c:pt idx="30">
                  <c:v>395</c:v>
                </c:pt>
                <c:pt idx="31">
                  <c:v>377</c:v>
                </c:pt>
                <c:pt idx="32">
                  <c:v>459</c:v>
                </c:pt>
                <c:pt idx="33">
                  <c:v>491</c:v>
                </c:pt>
                <c:pt idx="34">
                  <c:v>496</c:v>
                </c:pt>
                <c:pt idx="35">
                  <c:v>626</c:v>
                </c:pt>
                <c:pt idx="36">
                  <c:v>508</c:v>
                </c:pt>
                <c:pt idx="37">
                  <c:v>544</c:v>
                </c:pt>
                <c:pt idx="38">
                  <c:v>641</c:v>
                </c:pt>
                <c:pt idx="39">
                  <c:v>630</c:v>
                </c:pt>
                <c:pt idx="40">
                  <c:v>637</c:v>
                </c:pt>
                <c:pt idx="41">
                  <c:v>685</c:v>
                </c:pt>
                <c:pt idx="42">
                  <c:v>647</c:v>
                </c:pt>
                <c:pt idx="43">
                  <c:v>722</c:v>
                </c:pt>
                <c:pt idx="44">
                  <c:v>708</c:v>
                </c:pt>
                <c:pt idx="45">
                  <c:v>747</c:v>
                </c:pt>
                <c:pt idx="46">
                  <c:v>744</c:v>
                </c:pt>
                <c:pt idx="47">
                  <c:v>848</c:v>
                </c:pt>
                <c:pt idx="48">
                  <c:v>678</c:v>
                </c:pt>
                <c:pt idx="49">
                  <c:v>586</c:v>
                </c:pt>
                <c:pt idx="50">
                  <c:v>777</c:v>
                </c:pt>
                <c:pt idx="51">
                  <c:v>660</c:v>
                </c:pt>
                <c:pt idx="52">
                  <c:v>800</c:v>
                </c:pt>
                <c:pt idx="53">
                  <c:v>778</c:v>
                </c:pt>
                <c:pt idx="54">
                  <c:v>726</c:v>
                </c:pt>
                <c:pt idx="55">
                  <c:v>794</c:v>
                </c:pt>
                <c:pt idx="56">
                  <c:v>716</c:v>
                </c:pt>
                <c:pt idx="57">
                  <c:v>797</c:v>
                </c:pt>
                <c:pt idx="58">
                  <c:v>816</c:v>
                </c:pt>
                <c:pt idx="59">
                  <c:v>934</c:v>
                </c:pt>
              </c:numCache>
            </c:numRef>
          </c:val>
          <c:smooth val="0"/>
        </c:ser>
        <c:ser>
          <c:idx val="2"/>
          <c:order val="2"/>
          <c:tx>
            <c:strRef>
              <c:f>'Sheet1 (2)'!$D$1:$D$2</c:f>
              <c:strCache>
                <c:ptCount val="1"/>
                <c:pt idx="0">
                  <c:v>VORICONAZOLE</c:v>
                </c:pt>
              </c:strCache>
            </c:strRef>
          </c:tx>
          <c:cat>
            <c:strRef>
              <c:f>'Sheet1 (2)'!$A$3:$A$63</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(2)'!$D$3:$D$63</c:f>
              <c:numCache>
                <c:formatCode>General</c:formatCode>
                <c:ptCount val="60"/>
                <c:pt idx="0">
                  <c:v>418</c:v>
                </c:pt>
                <c:pt idx="1">
                  <c:v>437</c:v>
                </c:pt>
                <c:pt idx="2">
                  <c:v>500</c:v>
                </c:pt>
                <c:pt idx="3">
                  <c:v>499</c:v>
                </c:pt>
                <c:pt idx="4">
                  <c:v>546</c:v>
                </c:pt>
                <c:pt idx="5">
                  <c:v>568</c:v>
                </c:pt>
                <c:pt idx="6">
                  <c:v>630</c:v>
                </c:pt>
                <c:pt idx="7">
                  <c:v>526</c:v>
                </c:pt>
                <c:pt idx="8">
                  <c:v>517</c:v>
                </c:pt>
                <c:pt idx="9">
                  <c:v>580</c:v>
                </c:pt>
                <c:pt idx="10">
                  <c:v>544</c:v>
                </c:pt>
                <c:pt idx="11">
                  <c:v>579</c:v>
                </c:pt>
                <c:pt idx="12">
                  <c:v>465</c:v>
                </c:pt>
                <c:pt idx="13">
                  <c:v>483</c:v>
                </c:pt>
                <c:pt idx="14">
                  <c:v>541</c:v>
                </c:pt>
                <c:pt idx="15">
                  <c:v>588</c:v>
                </c:pt>
                <c:pt idx="16">
                  <c:v>605</c:v>
                </c:pt>
                <c:pt idx="17">
                  <c:v>563</c:v>
                </c:pt>
                <c:pt idx="18">
                  <c:v>612</c:v>
                </c:pt>
                <c:pt idx="19">
                  <c:v>524</c:v>
                </c:pt>
                <c:pt idx="20">
                  <c:v>526</c:v>
                </c:pt>
                <c:pt idx="21">
                  <c:v>549</c:v>
                </c:pt>
                <c:pt idx="22">
                  <c:v>501</c:v>
                </c:pt>
                <c:pt idx="23">
                  <c:v>593</c:v>
                </c:pt>
                <c:pt idx="24">
                  <c:v>489</c:v>
                </c:pt>
                <c:pt idx="25">
                  <c:v>441</c:v>
                </c:pt>
                <c:pt idx="26">
                  <c:v>494</c:v>
                </c:pt>
                <c:pt idx="27">
                  <c:v>452</c:v>
                </c:pt>
                <c:pt idx="28">
                  <c:v>520</c:v>
                </c:pt>
                <c:pt idx="29">
                  <c:v>502</c:v>
                </c:pt>
                <c:pt idx="30">
                  <c:v>521</c:v>
                </c:pt>
                <c:pt idx="31">
                  <c:v>510</c:v>
                </c:pt>
                <c:pt idx="32">
                  <c:v>508</c:v>
                </c:pt>
                <c:pt idx="33">
                  <c:v>529</c:v>
                </c:pt>
                <c:pt idx="34">
                  <c:v>498</c:v>
                </c:pt>
                <c:pt idx="35">
                  <c:v>525</c:v>
                </c:pt>
                <c:pt idx="36">
                  <c:v>357</c:v>
                </c:pt>
                <c:pt idx="37">
                  <c:v>386</c:v>
                </c:pt>
                <c:pt idx="38">
                  <c:v>440</c:v>
                </c:pt>
                <c:pt idx="39">
                  <c:v>412</c:v>
                </c:pt>
                <c:pt idx="40">
                  <c:v>442</c:v>
                </c:pt>
                <c:pt idx="41">
                  <c:v>443</c:v>
                </c:pt>
                <c:pt idx="42">
                  <c:v>446</c:v>
                </c:pt>
                <c:pt idx="43">
                  <c:v>463</c:v>
                </c:pt>
                <c:pt idx="44">
                  <c:v>436</c:v>
                </c:pt>
                <c:pt idx="45">
                  <c:v>410</c:v>
                </c:pt>
                <c:pt idx="46">
                  <c:v>403</c:v>
                </c:pt>
                <c:pt idx="47">
                  <c:v>467</c:v>
                </c:pt>
                <c:pt idx="48">
                  <c:v>409</c:v>
                </c:pt>
                <c:pt idx="49">
                  <c:v>410</c:v>
                </c:pt>
                <c:pt idx="50">
                  <c:v>508</c:v>
                </c:pt>
                <c:pt idx="51">
                  <c:v>400</c:v>
                </c:pt>
                <c:pt idx="52">
                  <c:v>464</c:v>
                </c:pt>
                <c:pt idx="53">
                  <c:v>439</c:v>
                </c:pt>
                <c:pt idx="54">
                  <c:v>480</c:v>
                </c:pt>
                <c:pt idx="55">
                  <c:v>504</c:v>
                </c:pt>
                <c:pt idx="56">
                  <c:v>499</c:v>
                </c:pt>
                <c:pt idx="57">
                  <c:v>443</c:v>
                </c:pt>
                <c:pt idx="58">
                  <c:v>478</c:v>
                </c:pt>
                <c:pt idx="59">
                  <c:v>483</c:v>
                </c:pt>
              </c:numCache>
            </c:numRef>
          </c:val>
          <c:smooth val="0"/>
        </c:ser>
        <c:dLbls>
          <c:showLegendKey val="0"/>
          <c:showVal val="0"/>
          <c:showCatName val="0"/>
          <c:showSerName val="0"/>
          <c:showPercent val="0"/>
          <c:showBubbleSize val="0"/>
        </c:dLbls>
        <c:marker val="1"/>
        <c:smooth val="0"/>
        <c:axId val="38023552"/>
        <c:axId val="38025472"/>
      </c:lineChart>
      <c:catAx>
        <c:axId val="38023552"/>
        <c:scaling>
          <c:orientation val="minMax"/>
        </c:scaling>
        <c:delete val="0"/>
        <c:axPos val="b"/>
        <c:title>
          <c:tx>
            <c:rich>
              <a:bodyPr/>
              <a:lstStyle/>
              <a:p>
                <a:pPr>
                  <a:defRPr b="0"/>
                </a:pPr>
                <a:r>
                  <a:rPr lang="en-US" b="0"/>
                  <a:t>Month of Supply</a:t>
                </a:r>
              </a:p>
            </c:rich>
          </c:tx>
          <c:overlay val="0"/>
        </c:title>
        <c:majorTickMark val="out"/>
        <c:minorTickMark val="none"/>
        <c:tickLblPos val="nextTo"/>
        <c:crossAx val="38025472"/>
        <c:crosses val="autoZero"/>
        <c:auto val="1"/>
        <c:lblAlgn val="ctr"/>
        <c:lblOffset val="100"/>
        <c:noMultiLvlLbl val="0"/>
      </c:catAx>
      <c:valAx>
        <c:axId val="38025472"/>
        <c:scaling>
          <c:orientation val="minMax"/>
        </c:scaling>
        <c:delete val="0"/>
        <c:axPos val="l"/>
        <c:majorGridlines/>
        <c:title>
          <c:tx>
            <c:rich>
              <a:bodyPr rot="-5400000" vert="horz"/>
              <a:lstStyle/>
              <a:p>
                <a:pPr>
                  <a:defRPr b="0"/>
                </a:pPr>
                <a:r>
                  <a:rPr lang="en-US" b="0"/>
                  <a:t>Prescriptions</a:t>
                </a:r>
              </a:p>
            </c:rich>
          </c:tx>
          <c:overlay val="0"/>
        </c:title>
        <c:numFmt formatCode="#,##0" sourceLinked="0"/>
        <c:majorTickMark val="out"/>
        <c:minorTickMark val="none"/>
        <c:tickLblPos val="nextTo"/>
        <c:crossAx val="3802355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[D1064 - SCRPT_SUM + indication.xlsx]Sheet1 (5)!PivotTable1</c:name>
    <c:fmtId val="14"/>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marker>
          <c:symbol val="none"/>
        </c:marker>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s>
    <c:plotArea>
      <c:layout/>
      <c:lineChart>
        <c:grouping val="standard"/>
        <c:varyColors val="0"/>
        <c:ser>
          <c:idx val="0"/>
          <c:order val="0"/>
          <c:tx>
            <c:strRef>
              <c:f>'Sheet1 (5)'!$B$3:$B$4</c:f>
              <c:strCache>
                <c:ptCount val="1"/>
                <c:pt idx="0">
                  <c:v>Prophylaxis</c:v>
                </c:pt>
              </c:strCache>
            </c:strRef>
          </c:tx>
          <c:cat>
            <c:strRef>
              <c:f>'Sheet1 (5)'!$A$5:$A$65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(5)'!$B$5:$B$65</c:f>
              <c:numCache>
                <c:formatCode>General</c:formatCode>
                <c:ptCount val="60"/>
                <c:pt idx="0">
                  <c:v>138</c:v>
                </c:pt>
                <c:pt idx="1">
                  <c:v>136</c:v>
                </c:pt>
                <c:pt idx="2">
                  <c:v>150</c:v>
                </c:pt>
                <c:pt idx="3">
                  <c:v>172</c:v>
                </c:pt>
                <c:pt idx="4">
                  <c:v>227</c:v>
                </c:pt>
                <c:pt idx="5">
                  <c:v>213</c:v>
                </c:pt>
                <c:pt idx="6">
                  <c:v>229</c:v>
                </c:pt>
                <c:pt idx="7">
                  <c:v>210</c:v>
                </c:pt>
                <c:pt idx="8">
                  <c:v>215</c:v>
                </c:pt>
                <c:pt idx="9">
                  <c:v>217</c:v>
                </c:pt>
                <c:pt idx="10">
                  <c:v>204</c:v>
                </c:pt>
                <c:pt idx="11">
                  <c:v>208</c:v>
                </c:pt>
                <c:pt idx="12">
                  <c:v>230</c:v>
                </c:pt>
                <c:pt idx="13">
                  <c:v>188</c:v>
                </c:pt>
                <c:pt idx="14">
                  <c:v>196</c:v>
                </c:pt>
                <c:pt idx="15">
                  <c:v>230</c:v>
                </c:pt>
                <c:pt idx="16">
                  <c:v>188</c:v>
                </c:pt>
                <c:pt idx="17">
                  <c:v>201</c:v>
                </c:pt>
                <c:pt idx="18">
                  <c:v>220</c:v>
                </c:pt>
                <c:pt idx="19">
                  <c:v>222</c:v>
                </c:pt>
                <c:pt idx="20">
                  <c:v>255</c:v>
                </c:pt>
                <c:pt idx="21">
                  <c:v>223</c:v>
                </c:pt>
                <c:pt idx="22">
                  <c:v>223</c:v>
                </c:pt>
                <c:pt idx="23">
                  <c:v>263</c:v>
                </c:pt>
                <c:pt idx="24">
                  <c:v>221</c:v>
                </c:pt>
                <c:pt idx="25">
                  <c:v>209</c:v>
                </c:pt>
                <c:pt idx="26">
                  <c:v>250</c:v>
                </c:pt>
                <c:pt idx="27">
                  <c:v>270</c:v>
                </c:pt>
                <c:pt idx="28">
                  <c:v>253</c:v>
                </c:pt>
                <c:pt idx="29">
                  <c:v>282</c:v>
                </c:pt>
                <c:pt idx="30">
                  <c:v>265</c:v>
                </c:pt>
                <c:pt idx="31">
                  <c:v>261</c:v>
                </c:pt>
                <c:pt idx="32">
                  <c:v>306</c:v>
                </c:pt>
                <c:pt idx="33">
                  <c:v>315</c:v>
                </c:pt>
                <c:pt idx="34">
                  <c:v>292</c:v>
                </c:pt>
                <c:pt idx="35">
                  <c:v>369</c:v>
                </c:pt>
                <c:pt idx="36">
                  <c:v>301</c:v>
                </c:pt>
                <c:pt idx="37">
                  <c:v>319</c:v>
                </c:pt>
                <c:pt idx="38">
                  <c:v>376</c:v>
                </c:pt>
                <c:pt idx="39">
                  <c:v>373</c:v>
                </c:pt>
                <c:pt idx="40">
                  <c:v>372</c:v>
                </c:pt>
                <c:pt idx="41">
                  <c:v>438</c:v>
                </c:pt>
                <c:pt idx="42">
                  <c:v>417</c:v>
                </c:pt>
                <c:pt idx="43">
                  <c:v>455</c:v>
                </c:pt>
                <c:pt idx="44">
                  <c:v>420</c:v>
                </c:pt>
                <c:pt idx="45">
                  <c:v>463</c:v>
                </c:pt>
                <c:pt idx="46">
                  <c:v>454</c:v>
                </c:pt>
                <c:pt idx="47">
                  <c:v>515</c:v>
                </c:pt>
                <c:pt idx="48">
                  <c:v>426</c:v>
                </c:pt>
                <c:pt idx="49">
                  <c:v>375</c:v>
                </c:pt>
                <c:pt idx="50">
                  <c:v>466</c:v>
                </c:pt>
                <c:pt idx="51">
                  <c:v>413</c:v>
                </c:pt>
                <c:pt idx="52">
                  <c:v>537</c:v>
                </c:pt>
                <c:pt idx="53">
                  <c:v>508</c:v>
                </c:pt>
                <c:pt idx="54">
                  <c:v>468</c:v>
                </c:pt>
                <c:pt idx="55">
                  <c:v>502</c:v>
                </c:pt>
                <c:pt idx="56">
                  <c:v>432</c:v>
                </c:pt>
                <c:pt idx="57">
                  <c:v>460</c:v>
                </c:pt>
                <c:pt idx="58">
                  <c:v>474</c:v>
                </c:pt>
                <c:pt idx="59">
                  <c:v>494</c:v>
                </c:pt>
              </c:numCache>
            </c:numRef>
          </c:val>
          <c:smooth val="0"/>
        </c:ser>
        <c:ser>
          <c:idx val="1"/>
          <c:order val="1"/>
          <c:tx>
            <c:strRef>
              <c:f>'Sheet1 (5)'!$C$3:$C$4</c:f>
              <c:strCache>
                <c:ptCount val="1"/>
                <c:pt idx="0">
                  <c:v>Treatment (Other)</c:v>
                </c:pt>
              </c:strCache>
            </c:strRef>
          </c:tx>
          <c:cat>
            <c:strRef>
              <c:f>'Sheet1 (5)'!$A$5:$A$65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(5)'!$C$5:$C$65</c:f>
              <c:numCache>
                <c:formatCode>General</c:formatCode>
                <c:ptCount val="60"/>
                <c:pt idx="0">
                  <c:v>13</c:v>
                </c:pt>
                <c:pt idx="1">
                  <c:v>6</c:v>
                </c:pt>
                <c:pt idx="2">
                  <c:v>8</c:v>
                </c:pt>
                <c:pt idx="3">
                  <c:v>14</c:v>
                </c:pt>
                <c:pt idx="4">
                  <c:v>9</c:v>
                </c:pt>
                <c:pt idx="5">
                  <c:v>9</c:v>
                </c:pt>
                <c:pt idx="6">
                  <c:v>9</c:v>
                </c:pt>
                <c:pt idx="7">
                  <c:v>5</c:v>
                </c:pt>
                <c:pt idx="8">
                  <c:v>8</c:v>
                </c:pt>
                <c:pt idx="9">
                  <c:v>6</c:v>
                </c:pt>
                <c:pt idx="10">
                  <c:v>7</c:v>
                </c:pt>
                <c:pt idx="11">
                  <c:v>10</c:v>
                </c:pt>
                <c:pt idx="12">
                  <c:v>9</c:v>
                </c:pt>
                <c:pt idx="13">
                  <c:v>11</c:v>
                </c:pt>
                <c:pt idx="14">
                  <c:v>20</c:v>
                </c:pt>
                <c:pt idx="15">
                  <c:v>19</c:v>
                </c:pt>
                <c:pt idx="16">
                  <c:v>15</c:v>
                </c:pt>
                <c:pt idx="17">
                  <c:v>13</c:v>
                </c:pt>
                <c:pt idx="18">
                  <c:v>15</c:v>
                </c:pt>
                <c:pt idx="19">
                  <c:v>15</c:v>
                </c:pt>
                <c:pt idx="20">
                  <c:v>13</c:v>
                </c:pt>
                <c:pt idx="21">
                  <c:v>17</c:v>
                </c:pt>
                <c:pt idx="22">
                  <c:v>15</c:v>
                </c:pt>
                <c:pt idx="23">
                  <c:v>19</c:v>
                </c:pt>
                <c:pt idx="24">
                  <c:v>15</c:v>
                </c:pt>
                <c:pt idx="25">
                  <c:v>14</c:v>
                </c:pt>
                <c:pt idx="26">
                  <c:v>25</c:v>
                </c:pt>
                <c:pt idx="27">
                  <c:v>18</c:v>
                </c:pt>
                <c:pt idx="28">
                  <c:v>13</c:v>
                </c:pt>
                <c:pt idx="29">
                  <c:v>17</c:v>
                </c:pt>
                <c:pt idx="30">
                  <c:v>12</c:v>
                </c:pt>
                <c:pt idx="31">
                  <c:v>18</c:v>
                </c:pt>
                <c:pt idx="32">
                  <c:v>27</c:v>
                </c:pt>
                <c:pt idx="33">
                  <c:v>31</c:v>
                </c:pt>
                <c:pt idx="34">
                  <c:v>37</c:v>
                </c:pt>
                <c:pt idx="35">
                  <c:v>69</c:v>
                </c:pt>
                <c:pt idx="36">
                  <c:v>68</c:v>
                </c:pt>
                <c:pt idx="37">
                  <c:v>57</c:v>
                </c:pt>
                <c:pt idx="38">
                  <c:v>71</c:v>
                </c:pt>
                <c:pt idx="39">
                  <c:v>76</c:v>
                </c:pt>
                <c:pt idx="40">
                  <c:v>94</c:v>
                </c:pt>
                <c:pt idx="41">
                  <c:v>62</c:v>
                </c:pt>
                <c:pt idx="42">
                  <c:v>67</c:v>
                </c:pt>
                <c:pt idx="43">
                  <c:v>76</c:v>
                </c:pt>
                <c:pt idx="44">
                  <c:v>86</c:v>
                </c:pt>
                <c:pt idx="45">
                  <c:v>73</c:v>
                </c:pt>
                <c:pt idx="46">
                  <c:v>68</c:v>
                </c:pt>
                <c:pt idx="47">
                  <c:v>85</c:v>
                </c:pt>
                <c:pt idx="48">
                  <c:v>68</c:v>
                </c:pt>
                <c:pt idx="49">
                  <c:v>69</c:v>
                </c:pt>
                <c:pt idx="50">
                  <c:v>89</c:v>
                </c:pt>
                <c:pt idx="51">
                  <c:v>60</c:v>
                </c:pt>
                <c:pt idx="52">
                  <c:v>85</c:v>
                </c:pt>
                <c:pt idx="53">
                  <c:v>68</c:v>
                </c:pt>
                <c:pt idx="54">
                  <c:v>90</c:v>
                </c:pt>
                <c:pt idx="55">
                  <c:v>92</c:v>
                </c:pt>
                <c:pt idx="56">
                  <c:v>114</c:v>
                </c:pt>
                <c:pt idx="57">
                  <c:v>146</c:v>
                </c:pt>
                <c:pt idx="58">
                  <c:v>172</c:v>
                </c:pt>
                <c:pt idx="59">
                  <c:v>196</c:v>
                </c:pt>
              </c:numCache>
            </c:numRef>
          </c:val>
          <c:smooth val="0"/>
        </c:ser>
        <c:ser>
          <c:idx val="2"/>
          <c:order val="2"/>
          <c:tx>
            <c:strRef>
              <c:f>'Sheet1 (5)'!$D$3:$D$4</c:f>
              <c:strCache>
                <c:ptCount val="1"/>
                <c:pt idx="0">
                  <c:v>Treatment(Aspergillosis)</c:v>
                </c:pt>
              </c:strCache>
            </c:strRef>
          </c:tx>
          <c:cat>
            <c:strRef>
              <c:f>'Sheet1 (5)'!$A$5:$A$65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(5)'!$D$5:$D$65</c:f>
              <c:numCache>
                <c:formatCode>General</c:formatCode>
                <c:ptCount val="60"/>
                <c:pt idx="0">
                  <c:v>35</c:v>
                </c:pt>
                <c:pt idx="1">
                  <c:v>63</c:v>
                </c:pt>
                <c:pt idx="2">
                  <c:v>78</c:v>
                </c:pt>
                <c:pt idx="3">
                  <c:v>69</c:v>
                </c:pt>
                <c:pt idx="4">
                  <c:v>95</c:v>
                </c:pt>
                <c:pt idx="5">
                  <c:v>71</c:v>
                </c:pt>
                <c:pt idx="6">
                  <c:v>96</c:v>
                </c:pt>
                <c:pt idx="7">
                  <c:v>82</c:v>
                </c:pt>
                <c:pt idx="8">
                  <c:v>74</c:v>
                </c:pt>
                <c:pt idx="9">
                  <c:v>97</c:v>
                </c:pt>
                <c:pt idx="10">
                  <c:v>100</c:v>
                </c:pt>
                <c:pt idx="11">
                  <c:v>96</c:v>
                </c:pt>
                <c:pt idx="12">
                  <c:v>90</c:v>
                </c:pt>
                <c:pt idx="13">
                  <c:v>99</c:v>
                </c:pt>
                <c:pt idx="14">
                  <c:v>92</c:v>
                </c:pt>
                <c:pt idx="15">
                  <c:v>97</c:v>
                </c:pt>
                <c:pt idx="16">
                  <c:v>96</c:v>
                </c:pt>
                <c:pt idx="17">
                  <c:v>89</c:v>
                </c:pt>
                <c:pt idx="18">
                  <c:v>95</c:v>
                </c:pt>
                <c:pt idx="19">
                  <c:v>88</c:v>
                </c:pt>
                <c:pt idx="20">
                  <c:v>106</c:v>
                </c:pt>
                <c:pt idx="21">
                  <c:v>108</c:v>
                </c:pt>
                <c:pt idx="22">
                  <c:v>112</c:v>
                </c:pt>
                <c:pt idx="23">
                  <c:v>106</c:v>
                </c:pt>
                <c:pt idx="24">
                  <c:v>93</c:v>
                </c:pt>
                <c:pt idx="25">
                  <c:v>96</c:v>
                </c:pt>
                <c:pt idx="26">
                  <c:v>102</c:v>
                </c:pt>
                <c:pt idx="27">
                  <c:v>110</c:v>
                </c:pt>
                <c:pt idx="28">
                  <c:v>102</c:v>
                </c:pt>
                <c:pt idx="29">
                  <c:v>107</c:v>
                </c:pt>
                <c:pt idx="30">
                  <c:v>113</c:v>
                </c:pt>
                <c:pt idx="31">
                  <c:v>95</c:v>
                </c:pt>
                <c:pt idx="32">
                  <c:v>117</c:v>
                </c:pt>
                <c:pt idx="33">
                  <c:v>130</c:v>
                </c:pt>
                <c:pt idx="34">
                  <c:v>141</c:v>
                </c:pt>
                <c:pt idx="35">
                  <c:v>174</c:v>
                </c:pt>
                <c:pt idx="36">
                  <c:v>127</c:v>
                </c:pt>
                <c:pt idx="37">
                  <c:v>156</c:v>
                </c:pt>
                <c:pt idx="38">
                  <c:v>188</c:v>
                </c:pt>
                <c:pt idx="39">
                  <c:v>170</c:v>
                </c:pt>
                <c:pt idx="40">
                  <c:v>161</c:v>
                </c:pt>
                <c:pt idx="41">
                  <c:v>173</c:v>
                </c:pt>
                <c:pt idx="42">
                  <c:v>155</c:v>
                </c:pt>
                <c:pt idx="43">
                  <c:v>173</c:v>
                </c:pt>
                <c:pt idx="44">
                  <c:v>194</c:v>
                </c:pt>
                <c:pt idx="45">
                  <c:v>203</c:v>
                </c:pt>
                <c:pt idx="46">
                  <c:v>206</c:v>
                </c:pt>
                <c:pt idx="47">
                  <c:v>241</c:v>
                </c:pt>
                <c:pt idx="48">
                  <c:v>182</c:v>
                </c:pt>
                <c:pt idx="49">
                  <c:v>137</c:v>
                </c:pt>
                <c:pt idx="50">
                  <c:v>210</c:v>
                </c:pt>
                <c:pt idx="51">
                  <c:v>176</c:v>
                </c:pt>
                <c:pt idx="52">
                  <c:v>169</c:v>
                </c:pt>
                <c:pt idx="53">
                  <c:v>192</c:v>
                </c:pt>
                <c:pt idx="54">
                  <c:v>158</c:v>
                </c:pt>
                <c:pt idx="55">
                  <c:v>192</c:v>
                </c:pt>
                <c:pt idx="56">
                  <c:v>165</c:v>
                </c:pt>
                <c:pt idx="57">
                  <c:v>174</c:v>
                </c:pt>
                <c:pt idx="58">
                  <c:v>165</c:v>
                </c:pt>
                <c:pt idx="59">
                  <c:v>233</c:v>
                </c:pt>
              </c:numCache>
            </c:numRef>
          </c:val>
          <c:smooth val="0"/>
        </c:ser>
        <c:ser>
          <c:idx val="3"/>
          <c:order val="3"/>
          <c:tx>
            <c:strRef>
              <c:f>'Sheet1 (5)'!$E$3:$E$4</c:f>
              <c:strCache>
                <c:ptCount val="1"/>
                <c:pt idx="0">
                  <c:v>Unknown</c:v>
                </c:pt>
              </c:strCache>
            </c:strRef>
          </c:tx>
          <c:cat>
            <c:strRef>
              <c:f>'Sheet1 (5)'!$A$5:$A$65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(5)'!$E$5:$E$65</c:f>
              <c:numCache>
                <c:formatCode>General</c:formatCode>
                <c:ptCount val="60"/>
                <c:pt idx="0">
                  <c:v>101</c:v>
                </c:pt>
                <c:pt idx="1">
                  <c:v>61</c:v>
                </c:pt>
                <c:pt idx="2">
                  <c:v>53</c:v>
                </c:pt>
                <c:pt idx="3">
                  <c:v>29</c:v>
                </c:pt>
                <c:pt idx="4">
                  <c:v>23</c:v>
                </c:pt>
                <c:pt idx="5">
                  <c:v>17</c:v>
                </c:pt>
                <c:pt idx="6">
                  <c:v>12</c:v>
                </c:pt>
                <c:pt idx="7">
                  <c:v>10</c:v>
                </c:pt>
                <c:pt idx="8">
                  <c:v>8</c:v>
                </c:pt>
                <c:pt idx="9">
                  <c:v>8</c:v>
                </c:pt>
                <c:pt idx="10">
                  <c:v>4</c:v>
                </c:pt>
                <c:pt idx="11">
                  <c:v>4</c:v>
                </c:pt>
                <c:pt idx="12">
                  <c:v>3</c:v>
                </c:pt>
                <c:pt idx="13">
                  <c:v>1</c:v>
                </c:pt>
                <c:pt idx="14">
                  <c:v>7</c:v>
                </c:pt>
                <c:pt idx="15">
                  <c:v>6</c:v>
                </c:pt>
                <c:pt idx="16">
                  <c:v>2</c:v>
                </c:pt>
                <c:pt idx="17">
                  <c:v>2</c:v>
                </c:pt>
                <c:pt idx="18">
                  <c:v>2</c:v>
                </c:pt>
                <c:pt idx="19">
                  <c:v>6</c:v>
                </c:pt>
                <c:pt idx="20">
                  <c:v>3</c:v>
                </c:pt>
                <c:pt idx="21">
                  <c:v>5</c:v>
                </c:pt>
                <c:pt idx="22">
                  <c:v>2</c:v>
                </c:pt>
                <c:pt idx="23">
                  <c:v>4</c:v>
                </c:pt>
                <c:pt idx="24">
                  <c:v>3</c:v>
                </c:pt>
                <c:pt idx="25">
                  <c:v>2</c:v>
                </c:pt>
                <c:pt idx="26">
                  <c:v>4</c:v>
                </c:pt>
                <c:pt idx="27">
                  <c:v>2</c:v>
                </c:pt>
                <c:pt idx="28">
                  <c:v>7</c:v>
                </c:pt>
                <c:pt idx="29">
                  <c:v>3</c:v>
                </c:pt>
                <c:pt idx="30">
                  <c:v>5</c:v>
                </c:pt>
                <c:pt idx="31">
                  <c:v>3</c:v>
                </c:pt>
                <c:pt idx="32">
                  <c:v>9</c:v>
                </c:pt>
                <c:pt idx="33">
                  <c:v>15</c:v>
                </c:pt>
                <c:pt idx="34">
                  <c:v>26</c:v>
                </c:pt>
                <c:pt idx="35">
                  <c:v>14</c:v>
                </c:pt>
                <c:pt idx="36">
                  <c:v>12</c:v>
                </c:pt>
                <c:pt idx="37">
                  <c:v>12</c:v>
                </c:pt>
                <c:pt idx="38">
                  <c:v>6</c:v>
                </c:pt>
                <c:pt idx="39">
                  <c:v>11</c:v>
                </c:pt>
                <c:pt idx="40">
                  <c:v>10</c:v>
                </c:pt>
                <c:pt idx="41">
                  <c:v>12</c:v>
                </c:pt>
                <c:pt idx="42">
                  <c:v>8</c:v>
                </c:pt>
                <c:pt idx="43">
                  <c:v>18</c:v>
                </c:pt>
                <c:pt idx="44">
                  <c:v>8</c:v>
                </c:pt>
                <c:pt idx="45">
                  <c:v>8</c:v>
                </c:pt>
                <c:pt idx="46">
                  <c:v>16</c:v>
                </c:pt>
                <c:pt idx="47">
                  <c:v>7</c:v>
                </c:pt>
                <c:pt idx="48">
                  <c:v>2</c:v>
                </c:pt>
                <c:pt idx="49">
                  <c:v>5</c:v>
                </c:pt>
                <c:pt idx="50">
                  <c:v>12</c:v>
                </c:pt>
                <c:pt idx="51">
                  <c:v>11</c:v>
                </c:pt>
                <c:pt idx="52">
                  <c:v>9</c:v>
                </c:pt>
                <c:pt idx="53">
                  <c:v>10</c:v>
                </c:pt>
                <c:pt idx="54">
                  <c:v>10</c:v>
                </c:pt>
                <c:pt idx="55">
                  <c:v>8</c:v>
                </c:pt>
                <c:pt idx="56">
                  <c:v>5</c:v>
                </c:pt>
                <c:pt idx="57">
                  <c:v>17</c:v>
                </c:pt>
                <c:pt idx="58">
                  <c:v>5</c:v>
                </c:pt>
                <c:pt idx="59">
                  <c:v>11</c:v>
                </c:pt>
              </c:numCache>
            </c:numRef>
          </c:val>
          <c:smooth val="0"/>
        </c:ser>
        <c:dLbls>
          <c:showLegendKey val="0"/>
          <c:showVal val="0"/>
          <c:showCatName val="0"/>
          <c:showSerName val="0"/>
          <c:showPercent val="0"/>
          <c:showBubbleSize val="0"/>
        </c:dLbls>
        <c:marker val="1"/>
        <c:smooth val="0"/>
        <c:axId val="81765120"/>
        <c:axId val="354390016"/>
      </c:lineChart>
      <c:catAx>
        <c:axId val="81765120"/>
        <c:scaling>
          <c:orientation val="minMax"/>
        </c:scaling>
        <c:delete val="0"/>
        <c:axPos val="b"/>
        <c:title>
          <c:tx>
            <c:rich>
              <a:bodyPr/>
              <a:lstStyle/>
              <a:p>
                <a:pPr>
                  <a:defRPr b="0"/>
                </a:pPr>
                <a:r>
                  <a:rPr lang="en-US" b="0"/>
                  <a:t>Month of Supply</a:t>
                </a:r>
              </a:p>
            </c:rich>
          </c:tx>
          <c:overlay val="0"/>
        </c:title>
        <c:majorTickMark val="out"/>
        <c:minorTickMark val="none"/>
        <c:tickLblPos val="nextTo"/>
        <c:crossAx val="354390016"/>
        <c:crosses val="autoZero"/>
        <c:auto val="1"/>
        <c:lblAlgn val="ctr"/>
        <c:lblOffset val="100"/>
        <c:noMultiLvlLbl val="0"/>
      </c:catAx>
      <c:valAx>
        <c:axId val="354390016"/>
        <c:scaling>
          <c:orientation val="minMax"/>
        </c:scaling>
        <c:delete val="0"/>
        <c:axPos val="l"/>
        <c:majorGridlines/>
        <c:title>
          <c:tx>
            <c:rich>
              <a:bodyPr rot="-5400000" vert="horz"/>
              <a:lstStyle/>
              <a:p>
                <a:pPr>
                  <a:defRPr b="0"/>
                </a:pPr>
                <a:r>
                  <a:rPr lang="en-US" b="0"/>
                  <a:t>Prescriptions</a:t>
                </a:r>
              </a:p>
            </c:rich>
          </c:tx>
          <c:overlay val="0"/>
        </c:title>
        <c:numFmt formatCode="#,##0" sourceLinked="0"/>
        <c:majorTickMark val="out"/>
        <c:minorTickMark val="none"/>
        <c:tickLblPos val="nextTo"/>
        <c:crossAx val="8176512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[D1064 - SCRPT_SUM + indication.xlsx]Sheet1 (6)!PivotTable1</c:name>
    <c:fmtId val="1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marker>
          <c:symbol val="none"/>
        </c:marker>
      </c:pivotFmt>
      <c:pivotFmt>
        <c:idx val="10"/>
      </c:pivotFmt>
      <c:pivotFmt>
        <c:idx val="11"/>
        <c:marker>
          <c:symbol val="none"/>
        </c:marker>
      </c:pivotFmt>
      <c:pivotFmt>
        <c:idx val="12"/>
      </c:pivotFmt>
      <c:pivotFmt>
        <c:idx val="13"/>
        <c:marker>
          <c:symbol val="none"/>
        </c:marker>
      </c:pivotFmt>
      <c:pivotFmt>
        <c:idx val="14"/>
      </c:pivotFmt>
      <c:pivotFmt>
        <c:idx val="15"/>
        <c:marker>
          <c:symbol val="none"/>
        </c:marker>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s>
    <c:plotArea>
      <c:layout/>
      <c:lineChart>
        <c:grouping val="standard"/>
        <c:varyColors val="0"/>
        <c:ser>
          <c:idx val="0"/>
          <c:order val="0"/>
          <c:tx>
            <c:strRef>
              <c:f>'Sheet1 (6)'!$B$3:$B$4</c:f>
              <c:strCache>
                <c:ptCount val="1"/>
                <c:pt idx="0">
                  <c:v>Prophylaxis</c:v>
                </c:pt>
              </c:strCache>
            </c:strRef>
          </c:tx>
          <c:cat>
            <c:strRef>
              <c:f>'Sheet1 (6)'!$A$5:$A$65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(6)'!$B$5:$B$65</c:f>
              <c:numCache>
                <c:formatCode>General</c:formatCode>
                <c:ptCount val="60"/>
                <c:pt idx="23">
                  <c:v>33</c:v>
                </c:pt>
                <c:pt idx="24">
                  <c:v>44</c:v>
                </c:pt>
                <c:pt idx="25">
                  <c:v>55</c:v>
                </c:pt>
                <c:pt idx="26">
                  <c:v>50</c:v>
                </c:pt>
                <c:pt idx="27">
                  <c:v>70</c:v>
                </c:pt>
                <c:pt idx="28">
                  <c:v>67</c:v>
                </c:pt>
                <c:pt idx="29">
                  <c:v>77</c:v>
                </c:pt>
                <c:pt idx="30">
                  <c:v>71</c:v>
                </c:pt>
                <c:pt idx="31">
                  <c:v>75</c:v>
                </c:pt>
                <c:pt idx="32">
                  <c:v>77</c:v>
                </c:pt>
                <c:pt idx="33">
                  <c:v>76</c:v>
                </c:pt>
                <c:pt idx="34">
                  <c:v>72</c:v>
                </c:pt>
                <c:pt idx="35">
                  <c:v>107</c:v>
                </c:pt>
                <c:pt idx="36">
                  <c:v>66</c:v>
                </c:pt>
                <c:pt idx="37">
                  <c:v>62</c:v>
                </c:pt>
                <c:pt idx="38">
                  <c:v>66</c:v>
                </c:pt>
                <c:pt idx="39">
                  <c:v>66</c:v>
                </c:pt>
                <c:pt idx="40">
                  <c:v>56</c:v>
                </c:pt>
                <c:pt idx="41">
                  <c:v>53</c:v>
                </c:pt>
                <c:pt idx="42">
                  <c:v>52</c:v>
                </c:pt>
                <c:pt idx="43">
                  <c:v>49</c:v>
                </c:pt>
                <c:pt idx="44">
                  <c:v>62</c:v>
                </c:pt>
                <c:pt idx="45">
                  <c:v>56</c:v>
                </c:pt>
                <c:pt idx="46">
                  <c:v>53</c:v>
                </c:pt>
                <c:pt idx="47">
                  <c:v>56</c:v>
                </c:pt>
                <c:pt idx="48">
                  <c:v>69</c:v>
                </c:pt>
                <c:pt idx="49">
                  <c:v>62</c:v>
                </c:pt>
                <c:pt idx="50">
                  <c:v>51</c:v>
                </c:pt>
                <c:pt idx="51">
                  <c:v>61</c:v>
                </c:pt>
                <c:pt idx="52">
                  <c:v>64</c:v>
                </c:pt>
                <c:pt idx="53">
                  <c:v>65</c:v>
                </c:pt>
                <c:pt idx="54">
                  <c:v>88</c:v>
                </c:pt>
                <c:pt idx="55">
                  <c:v>61</c:v>
                </c:pt>
                <c:pt idx="56">
                  <c:v>61</c:v>
                </c:pt>
                <c:pt idx="57">
                  <c:v>65</c:v>
                </c:pt>
                <c:pt idx="58">
                  <c:v>92</c:v>
                </c:pt>
                <c:pt idx="59">
                  <c:v>61</c:v>
                </c:pt>
              </c:numCache>
            </c:numRef>
          </c:val>
          <c:smooth val="0"/>
        </c:ser>
        <c:ser>
          <c:idx val="1"/>
          <c:order val="1"/>
          <c:tx>
            <c:strRef>
              <c:f>'Sheet1 (6)'!$C$3:$C$4</c:f>
              <c:strCache>
                <c:ptCount val="1"/>
                <c:pt idx="0">
                  <c:v>Treatment(Aspergillosis)</c:v>
                </c:pt>
              </c:strCache>
            </c:strRef>
          </c:tx>
          <c:cat>
            <c:strRef>
              <c:f>'Sheet1 (6)'!$A$5:$A$65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(6)'!$C$5:$C$65</c:f>
              <c:numCache>
                <c:formatCode>General</c:formatCode>
                <c:ptCount val="60"/>
                <c:pt idx="0">
                  <c:v>161</c:v>
                </c:pt>
                <c:pt idx="1">
                  <c:v>213</c:v>
                </c:pt>
                <c:pt idx="2">
                  <c:v>282</c:v>
                </c:pt>
                <c:pt idx="3">
                  <c:v>306</c:v>
                </c:pt>
                <c:pt idx="4">
                  <c:v>370</c:v>
                </c:pt>
                <c:pt idx="5">
                  <c:v>368</c:v>
                </c:pt>
                <c:pt idx="6">
                  <c:v>420</c:v>
                </c:pt>
                <c:pt idx="7">
                  <c:v>379</c:v>
                </c:pt>
                <c:pt idx="8">
                  <c:v>338</c:v>
                </c:pt>
                <c:pt idx="9">
                  <c:v>391</c:v>
                </c:pt>
                <c:pt idx="10">
                  <c:v>367</c:v>
                </c:pt>
                <c:pt idx="11">
                  <c:v>384</c:v>
                </c:pt>
                <c:pt idx="12">
                  <c:v>307</c:v>
                </c:pt>
                <c:pt idx="13">
                  <c:v>304</c:v>
                </c:pt>
                <c:pt idx="14">
                  <c:v>330</c:v>
                </c:pt>
                <c:pt idx="15">
                  <c:v>372</c:v>
                </c:pt>
                <c:pt idx="16">
                  <c:v>389</c:v>
                </c:pt>
                <c:pt idx="17">
                  <c:v>356</c:v>
                </c:pt>
                <c:pt idx="18">
                  <c:v>400</c:v>
                </c:pt>
                <c:pt idx="19">
                  <c:v>350</c:v>
                </c:pt>
                <c:pt idx="20">
                  <c:v>336</c:v>
                </c:pt>
                <c:pt idx="21">
                  <c:v>373</c:v>
                </c:pt>
                <c:pt idx="22">
                  <c:v>324</c:v>
                </c:pt>
                <c:pt idx="23">
                  <c:v>352</c:v>
                </c:pt>
                <c:pt idx="24">
                  <c:v>297</c:v>
                </c:pt>
                <c:pt idx="25">
                  <c:v>237</c:v>
                </c:pt>
                <c:pt idx="26">
                  <c:v>279</c:v>
                </c:pt>
                <c:pt idx="27">
                  <c:v>233</c:v>
                </c:pt>
                <c:pt idx="28">
                  <c:v>284</c:v>
                </c:pt>
                <c:pt idx="29">
                  <c:v>260</c:v>
                </c:pt>
                <c:pt idx="30">
                  <c:v>287</c:v>
                </c:pt>
                <c:pt idx="31">
                  <c:v>251</c:v>
                </c:pt>
                <c:pt idx="32">
                  <c:v>271</c:v>
                </c:pt>
                <c:pt idx="33">
                  <c:v>285</c:v>
                </c:pt>
                <c:pt idx="34">
                  <c:v>248</c:v>
                </c:pt>
                <c:pt idx="35">
                  <c:v>281</c:v>
                </c:pt>
                <c:pt idx="36">
                  <c:v>197</c:v>
                </c:pt>
                <c:pt idx="37">
                  <c:v>191</c:v>
                </c:pt>
                <c:pt idx="38">
                  <c:v>253</c:v>
                </c:pt>
                <c:pt idx="39">
                  <c:v>230</c:v>
                </c:pt>
                <c:pt idx="40">
                  <c:v>252</c:v>
                </c:pt>
                <c:pt idx="41">
                  <c:v>264</c:v>
                </c:pt>
                <c:pt idx="42">
                  <c:v>252</c:v>
                </c:pt>
                <c:pt idx="43">
                  <c:v>266</c:v>
                </c:pt>
                <c:pt idx="44">
                  <c:v>229</c:v>
                </c:pt>
                <c:pt idx="45">
                  <c:v>226</c:v>
                </c:pt>
                <c:pt idx="46">
                  <c:v>225</c:v>
                </c:pt>
                <c:pt idx="47">
                  <c:v>244</c:v>
                </c:pt>
                <c:pt idx="48">
                  <c:v>221</c:v>
                </c:pt>
                <c:pt idx="49">
                  <c:v>215</c:v>
                </c:pt>
                <c:pt idx="50">
                  <c:v>289</c:v>
                </c:pt>
                <c:pt idx="51">
                  <c:v>226</c:v>
                </c:pt>
                <c:pt idx="52">
                  <c:v>262</c:v>
                </c:pt>
                <c:pt idx="53">
                  <c:v>241</c:v>
                </c:pt>
                <c:pt idx="54">
                  <c:v>245</c:v>
                </c:pt>
                <c:pt idx="55">
                  <c:v>284</c:v>
                </c:pt>
                <c:pt idx="56">
                  <c:v>292</c:v>
                </c:pt>
                <c:pt idx="57">
                  <c:v>260</c:v>
                </c:pt>
                <c:pt idx="58">
                  <c:v>264</c:v>
                </c:pt>
                <c:pt idx="59">
                  <c:v>248</c:v>
                </c:pt>
              </c:numCache>
            </c:numRef>
          </c:val>
          <c:smooth val="0"/>
        </c:ser>
        <c:ser>
          <c:idx val="2"/>
          <c:order val="2"/>
          <c:tx>
            <c:strRef>
              <c:f>'Sheet1 (6)'!$D$3:$D$4</c:f>
              <c:strCache>
                <c:ptCount val="1"/>
                <c:pt idx="0">
                  <c:v>Treatment(Other)</c:v>
                </c:pt>
              </c:strCache>
            </c:strRef>
          </c:tx>
          <c:cat>
            <c:strRef>
              <c:f>'Sheet1 (6)'!$A$5:$A$65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(6)'!$D$5:$D$65</c:f>
              <c:numCache>
                <c:formatCode>General</c:formatCode>
                <c:ptCount val="60"/>
                <c:pt idx="0">
                  <c:v>55</c:v>
                </c:pt>
                <c:pt idx="1">
                  <c:v>82</c:v>
                </c:pt>
                <c:pt idx="2">
                  <c:v>112</c:v>
                </c:pt>
                <c:pt idx="3">
                  <c:v>105</c:v>
                </c:pt>
                <c:pt idx="4">
                  <c:v>125</c:v>
                </c:pt>
                <c:pt idx="5">
                  <c:v>144</c:v>
                </c:pt>
                <c:pt idx="6">
                  <c:v>153</c:v>
                </c:pt>
                <c:pt idx="7">
                  <c:v>122</c:v>
                </c:pt>
                <c:pt idx="8">
                  <c:v>138</c:v>
                </c:pt>
                <c:pt idx="9">
                  <c:v>144</c:v>
                </c:pt>
                <c:pt idx="10">
                  <c:v>135</c:v>
                </c:pt>
                <c:pt idx="11">
                  <c:v>145</c:v>
                </c:pt>
                <c:pt idx="12">
                  <c:v>127</c:v>
                </c:pt>
                <c:pt idx="13">
                  <c:v>149</c:v>
                </c:pt>
                <c:pt idx="14">
                  <c:v>178</c:v>
                </c:pt>
                <c:pt idx="15">
                  <c:v>176</c:v>
                </c:pt>
                <c:pt idx="16">
                  <c:v>177</c:v>
                </c:pt>
                <c:pt idx="17">
                  <c:v>169</c:v>
                </c:pt>
                <c:pt idx="18">
                  <c:v>176</c:v>
                </c:pt>
                <c:pt idx="19">
                  <c:v>139</c:v>
                </c:pt>
                <c:pt idx="20">
                  <c:v>152</c:v>
                </c:pt>
                <c:pt idx="21">
                  <c:v>143</c:v>
                </c:pt>
                <c:pt idx="22">
                  <c:v>143</c:v>
                </c:pt>
                <c:pt idx="23">
                  <c:v>150</c:v>
                </c:pt>
                <c:pt idx="24">
                  <c:v>115</c:v>
                </c:pt>
                <c:pt idx="25">
                  <c:v>120</c:v>
                </c:pt>
                <c:pt idx="26">
                  <c:v>122</c:v>
                </c:pt>
                <c:pt idx="27">
                  <c:v>114</c:v>
                </c:pt>
                <c:pt idx="28">
                  <c:v>128</c:v>
                </c:pt>
                <c:pt idx="29">
                  <c:v>115</c:v>
                </c:pt>
                <c:pt idx="30">
                  <c:v>126</c:v>
                </c:pt>
                <c:pt idx="31">
                  <c:v>143</c:v>
                </c:pt>
                <c:pt idx="32">
                  <c:v>120</c:v>
                </c:pt>
                <c:pt idx="33">
                  <c:v>124</c:v>
                </c:pt>
                <c:pt idx="34">
                  <c:v>124</c:v>
                </c:pt>
                <c:pt idx="35">
                  <c:v>105</c:v>
                </c:pt>
                <c:pt idx="36">
                  <c:v>60</c:v>
                </c:pt>
                <c:pt idx="37">
                  <c:v>94</c:v>
                </c:pt>
                <c:pt idx="38">
                  <c:v>89</c:v>
                </c:pt>
                <c:pt idx="39">
                  <c:v>81</c:v>
                </c:pt>
                <c:pt idx="40">
                  <c:v>91</c:v>
                </c:pt>
                <c:pt idx="41">
                  <c:v>85</c:v>
                </c:pt>
                <c:pt idx="42">
                  <c:v>104</c:v>
                </c:pt>
                <c:pt idx="43">
                  <c:v>105</c:v>
                </c:pt>
                <c:pt idx="44">
                  <c:v>111</c:v>
                </c:pt>
                <c:pt idx="45">
                  <c:v>88</c:v>
                </c:pt>
                <c:pt idx="46">
                  <c:v>86</c:v>
                </c:pt>
                <c:pt idx="47">
                  <c:v>126</c:v>
                </c:pt>
                <c:pt idx="48">
                  <c:v>73</c:v>
                </c:pt>
                <c:pt idx="49">
                  <c:v>84</c:v>
                </c:pt>
                <c:pt idx="50">
                  <c:v>125</c:v>
                </c:pt>
                <c:pt idx="51">
                  <c:v>74</c:v>
                </c:pt>
                <c:pt idx="52">
                  <c:v>95</c:v>
                </c:pt>
                <c:pt idx="53">
                  <c:v>91</c:v>
                </c:pt>
                <c:pt idx="54">
                  <c:v>101</c:v>
                </c:pt>
                <c:pt idx="55">
                  <c:v>106</c:v>
                </c:pt>
                <c:pt idx="56">
                  <c:v>98</c:v>
                </c:pt>
                <c:pt idx="57">
                  <c:v>72</c:v>
                </c:pt>
                <c:pt idx="58">
                  <c:v>78</c:v>
                </c:pt>
                <c:pt idx="59">
                  <c:v>121</c:v>
                </c:pt>
              </c:numCache>
            </c:numRef>
          </c:val>
          <c:smooth val="0"/>
        </c:ser>
        <c:ser>
          <c:idx val="3"/>
          <c:order val="3"/>
          <c:tx>
            <c:strRef>
              <c:f>'Sheet1 (6)'!$E$3:$E$4</c:f>
              <c:strCache>
                <c:ptCount val="1"/>
                <c:pt idx="0">
                  <c:v>Unknown</c:v>
                </c:pt>
              </c:strCache>
            </c:strRef>
          </c:tx>
          <c:cat>
            <c:strRef>
              <c:f>'Sheet1 (6)'!$A$5:$A$65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(6)'!$E$5:$E$65</c:f>
              <c:numCache>
                <c:formatCode>General</c:formatCode>
                <c:ptCount val="60"/>
                <c:pt idx="0">
                  <c:v>202</c:v>
                </c:pt>
                <c:pt idx="1">
                  <c:v>142</c:v>
                </c:pt>
                <c:pt idx="2">
                  <c:v>106</c:v>
                </c:pt>
                <c:pt idx="3">
                  <c:v>88</c:v>
                </c:pt>
                <c:pt idx="4">
                  <c:v>51</c:v>
                </c:pt>
                <c:pt idx="5">
                  <c:v>56</c:v>
                </c:pt>
                <c:pt idx="6">
                  <c:v>57</c:v>
                </c:pt>
                <c:pt idx="7">
                  <c:v>25</c:v>
                </c:pt>
                <c:pt idx="8">
                  <c:v>41</c:v>
                </c:pt>
                <c:pt idx="9">
                  <c:v>45</c:v>
                </c:pt>
                <c:pt idx="10">
                  <c:v>42</c:v>
                </c:pt>
                <c:pt idx="11">
                  <c:v>50</c:v>
                </c:pt>
                <c:pt idx="12">
                  <c:v>31</c:v>
                </c:pt>
                <c:pt idx="13">
                  <c:v>30</c:v>
                </c:pt>
                <c:pt idx="14">
                  <c:v>33</c:v>
                </c:pt>
                <c:pt idx="15">
                  <c:v>40</c:v>
                </c:pt>
                <c:pt idx="16">
                  <c:v>39</c:v>
                </c:pt>
                <c:pt idx="17">
                  <c:v>38</c:v>
                </c:pt>
                <c:pt idx="18">
                  <c:v>36</c:v>
                </c:pt>
                <c:pt idx="19">
                  <c:v>35</c:v>
                </c:pt>
                <c:pt idx="20">
                  <c:v>38</c:v>
                </c:pt>
                <c:pt idx="21">
                  <c:v>33</c:v>
                </c:pt>
                <c:pt idx="22">
                  <c:v>34</c:v>
                </c:pt>
                <c:pt idx="23">
                  <c:v>58</c:v>
                </c:pt>
                <c:pt idx="24">
                  <c:v>33</c:v>
                </c:pt>
                <c:pt idx="25">
                  <c:v>29</c:v>
                </c:pt>
                <c:pt idx="26">
                  <c:v>43</c:v>
                </c:pt>
                <c:pt idx="27">
                  <c:v>35</c:v>
                </c:pt>
                <c:pt idx="28">
                  <c:v>41</c:v>
                </c:pt>
                <c:pt idx="29">
                  <c:v>50</c:v>
                </c:pt>
                <c:pt idx="30">
                  <c:v>37</c:v>
                </c:pt>
                <c:pt idx="31">
                  <c:v>41</c:v>
                </c:pt>
                <c:pt idx="32">
                  <c:v>40</c:v>
                </c:pt>
                <c:pt idx="33">
                  <c:v>44</c:v>
                </c:pt>
                <c:pt idx="34">
                  <c:v>54</c:v>
                </c:pt>
                <c:pt idx="35">
                  <c:v>32</c:v>
                </c:pt>
                <c:pt idx="36">
                  <c:v>34</c:v>
                </c:pt>
                <c:pt idx="37">
                  <c:v>39</c:v>
                </c:pt>
                <c:pt idx="38">
                  <c:v>32</c:v>
                </c:pt>
                <c:pt idx="39">
                  <c:v>35</c:v>
                </c:pt>
                <c:pt idx="40">
                  <c:v>43</c:v>
                </c:pt>
                <c:pt idx="41">
                  <c:v>41</c:v>
                </c:pt>
                <c:pt idx="42">
                  <c:v>38</c:v>
                </c:pt>
                <c:pt idx="43">
                  <c:v>43</c:v>
                </c:pt>
                <c:pt idx="44">
                  <c:v>34</c:v>
                </c:pt>
                <c:pt idx="45">
                  <c:v>40</c:v>
                </c:pt>
                <c:pt idx="46">
                  <c:v>39</c:v>
                </c:pt>
                <c:pt idx="47">
                  <c:v>41</c:v>
                </c:pt>
                <c:pt idx="48">
                  <c:v>46</c:v>
                </c:pt>
                <c:pt idx="49">
                  <c:v>49</c:v>
                </c:pt>
                <c:pt idx="50">
                  <c:v>43</c:v>
                </c:pt>
                <c:pt idx="51">
                  <c:v>39</c:v>
                </c:pt>
                <c:pt idx="52">
                  <c:v>43</c:v>
                </c:pt>
                <c:pt idx="53">
                  <c:v>42</c:v>
                </c:pt>
                <c:pt idx="54">
                  <c:v>46</c:v>
                </c:pt>
                <c:pt idx="55">
                  <c:v>53</c:v>
                </c:pt>
                <c:pt idx="56">
                  <c:v>48</c:v>
                </c:pt>
                <c:pt idx="57">
                  <c:v>46</c:v>
                </c:pt>
                <c:pt idx="58">
                  <c:v>44</c:v>
                </c:pt>
                <c:pt idx="59">
                  <c:v>53</c:v>
                </c:pt>
              </c:numCache>
            </c:numRef>
          </c:val>
          <c:smooth val="0"/>
        </c:ser>
        <c:dLbls>
          <c:showLegendKey val="0"/>
          <c:showVal val="0"/>
          <c:showCatName val="0"/>
          <c:showSerName val="0"/>
          <c:showPercent val="0"/>
          <c:showBubbleSize val="0"/>
        </c:dLbls>
        <c:marker val="1"/>
        <c:smooth val="0"/>
        <c:axId val="412225920"/>
        <c:axId val="412240896"/>
      </c:lineChart>
      <c:catAx>
        <c:axId val="412225920"/>
        <c:scaling>
          <c:orientation val="minMax"/>
        </c:scaling>
        <c:delete val="0"/>
        <c:axPos val="b"/>
        <c:title>
          <c:tx>
            <c:rich>
              <a:bodyPr/>
              <a:lstStyle/>
              <a:p>
                <a:pPr>
                  <a:defRPr b="0"/>
                </a:pPr>
                <a:r>
                  <a:rPr lang="en-US" b="0"/>
                  <a:t>Month of Supply</a:t>
                </a:r>
              </a:p>
            </c:rich>
          </c:tx>
          <c:overlay val="0"/>
        </c:title>
        <c:majorTickMark val="out"/>
        <c:minorTickMark val="none"/>
        <c:tickLblPos val="nextTo"/>
        <c:crossAx val="412240896"/>
        <c:crosses val="autoZero"/>
        <c:auto val="1"/>
        <c:lblAlgn val="ctr"/>
        <c:lblOffset val="100"/>
        <c:noMultiLvlLbl val="0"/>
      </c:catAx>
      <c:valAx>
        <c:axId val="412240896"/>
        <c:scaling>
          <c:orientation val="minMax"/>
        </c:scaling>
        <c:delete val="0"/>
        <c:axPos val="l"/>
        <c:majorGridlines/>
        <c:title>
          <c:tx>
            <c:rich>
              <a:bodyPr rot="-5400000" vert="horz"/>
              <a:lstStyle/>
              <a:p>
                <a:pPr>
                  <a:defRPr b="0"/>
                </a:pPr>
                <a:r>
                  <a:rPr lang="en-US" b="0"/>
                  <a:t>Prescriptions</a:t>
                </a:r>
              </a:p>
            </c:rich>
          </c:tx>
          <c:overlay val="0"/>
        </c:title>
        <c:numFmt formatCode="#,##0" sourceLinked="0"/>
        <c:majorTickMark val="out"/>
        <c:minorTickMark val="none"/>
        <c:tickLblPos val="nextTo"/>
        <c:crossAx val="41222592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[D1064_PATCNTBY_DRUG_N_YMSUPP.xlsx]Sheet1 (2)!PivotTable5</c:name>
    <c:fmtId val="1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pivotFmt>
      <c:pivotFmt>
        <c:idx val="21"/>
      </c:pivotFmt>
      <c:pivotFmt>
        <c:idx val="22"/>
      </c:pivotFmt>
      <c:pivotFmt>
        <c:idx val="23"/>
      </c:pivotFmt>
    </c:pivotFmts>
    <c:plotArea>
      <c:layout>
        <c:manualLayout>
          <c:layoutTarget val="inner"/>
          <c:xMode val="edge"/>
          <c:yMode val="edge"/>
          <c:x val="0.10299515005639368"/>
          <c:y val="0.14150880306973104"/>
          <c:w val="0.86803240056683584"/>
          <c:h val="0.60238300013606871"/>
        </c:manualLayout>
      </c:layout>
      <c:lineChart>
        <c:grouping val="standard"/>
        <c:varyColors val="0"/>
        <c:ser>
          <c:idx val="0"/>
          <c:order val="0"/>
          <c:tx>
            <c:strRef>
              <c:f>'Sheet1 (2)'!$B$3:$B$4</c:f>
              <c:strCache>
                <c:ptCount val="1"/>
                <c:pt idx="0">
                  <c:v>initiating patients</c:v>
                </c:pt>
              </c:strCache>
            </c:strRef>
          </c:tx>
          <c:cat>
            <c:strRef>
              <c:f>'Sheet1 (2)'!$A$5:$A$65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(2)'!$B$5:$B$65</c:f>
              <c:numCache>
                <c:formatCode>General</c:formatCode>
                <c:ptCount val="60"/>
                <c:pt idx="8">
                  <c:v>55</c:v>
                </c:pt>
                <c:pt idx="9">
                  <c:v>85</c:v>
                </c:pt>
                <c:pt idx="10">
                  <c:v>71</c:v>
                </c:pt>
                <c:pt idx="11">
                  <c:v>61</c:v>
                </c:pt>
                <c:pt idx="12">
                  <c:v>78</c:v>
                </c:pt>
                <c:pt idx="13">
                  <c:v>59</c:v>
                </c:pt>
                <c:pt idx="14">
                  <c:v>72</c:v>
                </c:pt>
                <c:pt idx="15">
                  <c:v>80</c:v>
                </c:pt>
                <c:pt idx="16">
                  <c:v>59</c:v>
                </c:pt>
                <c:pt idx="17">
                  <c:v>65</c:v>
                </c:pt>
                <c:pt idx="18">
                  <c:v>76</c:v>
                </c:pt>
                <c:pt idx="19">
                  <c:v>82</c:v>
                </c:pt>
                <c:pt idx="20">
                  <c:v>94</c:v>
                </c:pt>
                <c:pt idx="21">
                  <c:v>71</c:v>
                </c:pt>
                <c:pt idx="22">
                  <c:v>79</c:v>
                </c:pt>
                <c:pt idx="23">
                  <c:v>83</c:v>
                </c:pt>
                <c:pt idx="24">
                  <c:v>71</c:v>
                </c:pt>
                <c:pt idx="25">
                  <c:v>60</c:v>
                </c:pt>
                <c:pt idx="26">
                  <c:v>84</c:v>
                </c:pt>
                <c:pt idx="27">
                  <c:v>87</c:v>
                </c:pt>
                <c:pt idx="28">
                  <c:v>62</c:v>
                </c:pt>
                <c:pt idx="29">
                  <c:v>78</c:v>
                </c:pt>
                <c:pt idx="30">
                  <c:v>75</c:v>
                </c:pt>
                <c:pt idx="31">
                  <c:v>77</c:v>
                </c:pt>
                <c:pt idx="32">
                  <c:v>106</c:v>
                </c:pt>
                <c:pt idx="33">
                  <c:v>111</c:v>
                </c:pt>
                <c:pt idx="34">
                  <c:v>94</c:v>
                </c:pt>
                <c:pt idx="35">
                  <c:v>111</c:v>
                </c:pt>
                <c:pt idx="36">
                  <c:v>106</c:v>
                </c:pt>
                <c:pt idx="37">
                  <c:v>109</c:v>
                </c:pt>
                <c:pt idx="38">
                  <c:v>129</c:v>
                </c:pt>
                <c:pt idx="39">
                  <c:v>117</c:v>
                </c:pt>
                <c:pt idx="40">
                  <c:v>113</c:v>
                </c:pt>
                <c:pt idx="41">
                  <c:v>122</c:v>
                </c:pt>
                <c:pt idx="42">
                  <c:v>115</c:v>
                </c:pt>
                <c:pt idx="43">
                  <c:v>112</c:v>
                </c:pt>
                <c:pt idx="44">
                  <c:v>115</c:v>
                </c:pt>
                <c:pt idx="45">
                  <c:v>108</c:v>
                </c:pt>
                <c:pt idx="46">
                  <c:v>114</c:v>
                </c:pt>
                <c:pt idx="47">
                  <c:v>101</c:v>
                </c:pt>
                <c:pt idx="48">
                  <c:v>103</c:v>
                </c:pt>
                <c:pt idx="49">
                  <c:v>85</c:v>
                </c:pt>
                <c:pt idx="50">
                  <c:v>87</c:v>
                </c:pt>
                <c:pt idx="51">
                  <c:v>104</c:v>
                </c:pt>
                <c:pt idx="52">
                  <c:v>126</c:v>
                </c:pt>
                <c:pt idx="53">
                  <c:v>134</c:v>
                </c:pt>
                <c:pt idx="54">
                  <c:v>112</c:v>
                </c:pt>
                <c:pt idx="55">
                  <c:v>112</c:v>
                </c:pt>
                <c:pt idx="56">
                  <c:v>105</c:v>
                </c:pt>
                <c:pt idx="57">
                  <c:v>130</c:v>
                </c:pt>
                <c:pt idx="58">
                  <c:v>132</c:v>
                </c:pt>
                <c:pt idx="59">
                  <c:v>128</c:v>
                </c:pt>
              </c:numCache>
            </c:numRef>
          </c:val>
          <c:smooth val="0"/>
        </c:ser>
        <c:ser>
          <c:idx val="1"/>
          <c:order val="1"/>
          <c:tx>
            <c:strRef>
              <c:f>'Sheet1 (2)'!$C$3:$C$4</c:f>
              <c:strCache>
                <c:ptCount val="1"/>
                <c:pt idx="0">
                  <c:v>prevalent patients</c:v>
                </c:pt>
              </c:strCache>
            </c:strRef>
          </c:tx>
          <c:cat>
            <c:strRef>
              <c:f>'Sheet1 (2)'!$A$5:$A$65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 (2)'!$C$5:$C$65</c:f>
              <c:numCache>
                <c:formatCode>General</c:formatCode>
                <c:ptCount val="60"/>
                <c:pt idx="0">
                  <c:v>243</c:v>
                </c:pt>
                <c:pt idx="1">
                  <c:v>224</c:v>
                </c:pt>
                <c:pt idx="2">
                  <c:v>240</c:v>
                </c:pt>
                <c:pt idx="3">
                  <c:v>244</c:v>
                </c:pt>
                <c:pt idx="4">
                  <c:v>290</c:v>
                </c:pt>
                <c:pt idx="5">
                  <c:v>260</c:v>
                </c:pt>
                <c:pt idx="6">
                  <c:v>281</c:v>
                </c:pt>
                <c:pt idx="7">
                  <c:v>255</c:v>
                </c:pt>
                <c:pt idx="8">
                  <c:v>242</c:v>
                </c:pt>
                <c:pt idx="9">
                  <c:v>272</c:v>
                </c:pt>
                <c:pt idx="10">
                  <c:v>258</c:v>
                </c:pt>
                <c:pt idx="11">
                  <c:v>261</c:v>
                </c:pt>
                <c:pt idx="12">
                  <c:v>250</c:v>
                </c:pt>
                <c:pt idx="13">
                  <c:v>256</c:v>
                </c:pt>
                <c:pt idx="14">
                  <c:v>262</c:v>
                </c:pt>
                <c:pt idx="15">
                  <c:v>279</c:v>
                </c:pt>
                <c:pt idx="16">
                  <c:v>259</c:v>
                </c:pt>
                <c:pt idx="17">
                  <c:v>251</c:v>
                </c:pt>
                <c:pt idx="18">
                  <c:v>265</c:v>
                </c:pt>
                <c:pt idx="19">
                  <c:v>267</c:v>
                </c:pt>
                <c:pt idx="20">
                  <c:v>310</c:v>
                </c:pt>
                <c:pt idx="21">
                  <c:v>296</c:v>
                </c:pt>
                <c:pt idx="22">
                  <c:v>292</c:v>
                </c:pt>
                <c:pt idx="23">
                  <c:v>325</c:v>
                </c:pt>
                <c:pt idx="24">
                  <c:v>287</c:v>
                </c:pt>
                <c:pt idx="25">
                  <c:v>269</c:v>
                </c:pt>
                <c:pt idx="26">
                  <c:v>324</c:v>
                </c:pt>
                <c:pt idx="27">
                  <c:v>336</c:v>
                </c:pt>
                <c:pt idx="28">
                  <c:v>297</c:v>
                </c:pt>
                <c:pt idx="29">
                  <c:v>317</c:v>
                </c:pt>
                <c:pt idx="30">
                  <c:v>319</c:v>
                </c:pt>
                <c:pt idx="31">
                  <c:v>310</c:v>
                </c:pt>
                <c:pt idx="32">
                  <c:v>367</c:v>
                </c:pt>
                <c:pt idx="33">
                  <c:v>397</c:v>
                </c:pt>
                <c:pt idx="34">
                  <c:v>387</c:v>
                </c:pt>
                <c:pt idx="35">
                  <c:v>464</c:v>
                </c:pt>
                <c:pt idx="36">
                  <c:v>418</c:v>
                </c:pt>
                <c:pt idx="37">
                  <c:v>461</c:v>
                </c:pt>
                <c:pt idx="38">
                  <c:v>509</c:v>
                </c:pt>
                <c:pt idx="39">
                  <c:v>524</c:v>
                </c:pt>
                <c:pt idx="40">
                  <c:v>521</c:v>
                </c:pt>
                <c:pt idx="41">
                  <c:v>563</c:v>
                </c:pt>
                <c:pt idx="42">
                  <c:v>551</c:v>
                </c:pt>
                <c:pt idx="43">
                  <c:v>582</c:v>
                </c:pt>
                <c:pt idx="44">
                  <c:v>589</c:v>
                </c:pt>
                <c:pt idx="45">
                  <c:v>604</c:v>
                </c:pt>
                <c:pt idx="46">
                  <c:v>624</c:v>
                </c:pt>
                <c:pt idx="47">
                  <c:v>658</c:v>
                </c:pt>
                <c:pt idx="48">
                  <c:v>584</c:v>
                </c:pt>
                <c:pt idx="49">
                  <c:v>533</c:v>
                </c:pt>
                <c:pt idx="50">
                  <c:v>627</c:v>
                </c:pt>
                <c:pt idx="51">
                  <c:v>573</c:v>
                </c:pt>
                <c:pt idx="52">
                  <c:v>680</c:v>
                </c:pt>
                <c:pt idx="53">
                  <c:v>667</c:v>
                </c:pt>
                <c:pt idx="54">
                  <c:v>628</c:v>
                </c:pt>
                <c:pt idx="55">
                  <c:v>650</c:v>
                </c:pt>
                <c:pt idx="56">
                  <c:v>610</c:v>
                </c:pt>
                <c:pt idx="57">
                  <c:v>671</c:v>
                </c:pt>
                <c:pt idx="58">
                  <c:v>674</c:v>
                </c:pt>
                <c:pt idx="59">
                  <c:v>740</c:v>
                </c:pt>
              </c:numCache>
            </c:numRef>
          </c:val>
          <c:smooth val="0"/>
        </c:ser>
        <c:dLbls>
          <c:showLegendKey val="0"/>
          <c:showVal val="0"/>
          <c:showCatName val="0"/>
          <c:showSerName val="0"/>
          <c:showPercent val="0"/>
          <c:showBubbleSize val="0"/>
        </c:dLbls>
        <c:marker val="1"/>
        <c:smooth val="0"/>
        <c:axId val="417235712"/>
        <c:axId val="417237632"/>
      </c:lineChart>
      <c:catAx>
        <c:axId val="417235712"/>
        <c:scaling>
          <c:orientation val="minMax"/>
        </c:scaling>
        <c:delete val="0"/>
        <c:axPos val="b"/>
        <c:title>
          <c:tx>
            <c:rich>
              <a:bodyPr/>
              <a:lstStyle/>
              <a:p>
                <a:pPr>
                  <a:defRPr b="0"/>
                </a:pPr>
                <a:r>
                  <a:rPr lang="en-US" b="0"/>
                  <a:t>Month of supply</a:t>
                </a:r>
              </a:p>
            </c:rich>
          </c:tx>
          <c:overlay val="0"/>
        </c:title>
        <c:majorTickMark val="out"/>
        <c:minorTickMark val="none"/>
        <c:tickLblPos val="nextTo"/>
        <c:crossAx val="417237632"/>
        <c:crosses val="autoZero"/>
        <c:auto val="1"/>
        <c:lblAlgn val="ctr"/>
        <c:lblOffset val="100"/>
        <c:noMultiLvlLbl val="0"/>
      </c:catAx>
      <c:valAx>
        <c:axId val="417237632"/>
        <c:scaling>
          <c:orientation val="minMax"/>
        </c:scaling>
        <c:delete val="0"/>
        <c:axPos val="l"/>
        <c:majorGridlines/>
        <c:title>
          <c:tx>
            <c:rich>
              <a:bodyPr rot="-5400000" vert="horz"/>
              <a:lstStyle/>
              <a:p>
                <a:pPr>
                  <a:defRPr b="0"/>
                </a:pPr>
                <a:r>
                  <a:rPr lang="en-US" b="0"/>
                  <a:t>Patients</a:t>
                </a:r>
              </a:p>
            </c:rich>
          </c:tx>
          <c:overlay val="0"/>
        </c:title>
        <c:numFmt formatCode="General" sourceLinked="1"/>
        <c:majorTickMark val="out"/>
        <c:minorTickMark val="none"/>
        <c:tickLblPos val="nextTo"/>
        <c:crossAx val="417235712"/>
        <c:crosses val="autoZero"/>
        <c:crossBetween val="between"/>
      </c:valAx>
    </c:plotArea>
    <c:legend>
      <c:legendPos val="b"/>
      <c:layout>
        <c:manualLayout>
          <c:xMode val="edge"/>
          <c:yMode val="edge"/>
          <c:x val="0.10884555612592912"/>
          <c:y val="0.91745085560397532"/>
          <c:w val="0.74219714664727976"/>
          <c:h val="6.1982908972546505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[posacon_patient_data_02032018.xlsx]pivot table!PivotTable1</c:name>
    <c:fmtId val="-1"/>
  </c:pivotSource>
  <c:chart>
    <c:autoTitleDeleted val="0"/>
    <c:pivotFmts>
      <c:pivotFmt>
        <c:idx val="0"/>
        <c:marker>
          <c:symbol val="x"/>
          <c:size val="5"/>
        </c:marker>
      </c:pivotFmt>
      <c:pivotFmt>
        <c:idx val="1"/>
        <c:marker>
          <c:symbol val="x"/>
          <c:size val="5"/>
        </c:marker>
      </c:pivotFmt>
      <c:pivotFmt>
        <c:idx val="2"/>
        <c:marker>
          <c:symbol val="x"/>
          <c:size val="5"/>
        </c:marker>
      </c:pivotFmt>
      <c:pivotFmt>
        <c:idx val="3"/>
        <c:marker>
          <c:symbol val="circle"/>
          <c:size val="5"/>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s>
    <c:plotArea>
      <c:layout/>
      <c:lineChart>
        <c:grouping val="standard"/>
        <c:varyColors val="0"/>
        <c:ser>
          <c:idx val="0"/>
          <c:order val="0"/>
          <c:tx>
            <c:strRef>
              <c:f>'pivot table'!$B$3:$B$5</c:f>
              <c:strCache>
                <c:ptCount val="1"/>
                <c:pt idx="0">
                  <c:v>Prevalent patients - Oral suspension 40 mg per mL, 105 mL</c:v>
                </c:pt>
              </c:strCache>
            </c:strRef>
          </c:tx>
          <c:cat>
            <c:strRef>
              <c:f>'pivot table'!$A$6:$A$66</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'pivot table'!$B$6:$B$66</c:f>
              <c:numCache>
                <c:formatCode>General</c:formatCode>
                <c:ptCount val="60"/>
                <c:pt idx="0">
                  <c:v>244</c:v>
                </c:pt>
                <c:pt idx="1">
                  <c:v>225</c:v>
                </c:pt>
                <c:pt idx="2">
                  <c:v>241</c:v>
                </c:pt>
                <c:pt idx="3">
                  <c:v>244</c:v>
                </c:pt>
                <c:pt idx="4">
                  <c:v>291</c:v>
                </c:pt>
                <c:pt idx="5">
                  <c:v>261</c:v>
                </c:pt>
                <c:pt idx="6">
                  <c:v>281</c:v>
                </c:pt>
                <c:pt idx="7">
                  <c:v>256</c:v>
                </c:pt>
                <c:pt idx="8">
                  <c:v>243</c:v>
                </c:pt>
                <c:pt idx="9">
                  <c:v>274</c:v>
                </c:pt>
                <c:pt idx="10">
                  <c:v>259</c:v>
                </c:pt>
                <c:pt idx="11">
                  <c:v>262</c:v>
                </c:pt>
                <c:pt idx="12">
                  <c:v>251</c:v>
                </c:pt>
                <c:pt idx="13">
                  <c:v>256</c:v>
                </c:pt>
                <c:pt idx="14">
                  <c:v>263</c:v>
                </c:pt>
                <c:pt idx="15">
                  <c:v>280</c:v>
                </c:pt>
                <c:pt idx="16">
                  <c:v>259</c:v>
                </c:pt>
                <c:pt idx="17">
                  <c:v>251</c:v>
                </c:pt>
                <c:pt idx="18">
                  <c:v>266</c:v>
                </c:pt>
                <c:pt idx="19">
                  <c:v>268</c:v>
                </c:pt>
                <c:pt idx="20">
                  <c:v>311</c:v>
                </c:pt>
                <c:pt idx="21">
                  <c:v>297</c:v>
                </c:pt>
                <c:pt idx="22">
                  <c:v>293</c:v>
                </c:pt>
                <c:pt idx="23">
                  <c:v>325</c:v>
                </c:pt>
                <c:pt idx="24">
                  <c:v>287</c:v>
                </c:pt>
                <c:pt idx="25">
                  <c:v>269</c:v>
                </c:pt>
                <c:pt idx="26">
                  <c:v>324</c:v>
                </c:pt>
                <c:pt idx="27">
                  <c:v>336</c:v>
                </c:pt>
                <c:pt idx="28">
                  <c:v>298</c:v>
                </c:pt>
                <c:pt idx="29">
                  <c:v>318</c:v>
                </c:pt>
                <c:pt idx="30">
                  <c:v>320</c:v>
                </c:pt>
                <c:pt idx="31">
                  <c:v>311</c:v>
                </c:pt>
                <c:pt idx="32">
                  <c:v>238</c:v>
                </c:pt>
                <c:pt idx="33">
                  <c:v>204</c:v>
                </c:pt>
                <c:pt idx="34">
                  <c:v>156</c:v>
                </c:pt>
                <c:pt idx="35">
                  <c:v>172</c:v>
                </c:pt>
                <c:pt idx="36">
                  <c:v>142</c:v>
                </c:pt>
                <c:pt idx="37">
                  <c:v>105</c:v>
                </c:pt>
                <c:pt idx="38">
                  <c:v>111</c:v>
                </c:pt>
                <c:pt idx="39">
                  <c:v>104</c:v>
                </c:pt>
                <c:pt idx="40">
                  <c:v>85</c:v>
                </c:pt>
                <c:pt idx="41">
                  <c:v>87</c:v>
                </c:pt>
                <c:pt idx="42">
                  <c:v>70</c:v>
                </c:pt>
                <c:pt idx="43">
                  <c:v>77</c:v>
                </c:pt>
                <c:pt idx="44">
                  <c:v>65</c:v>
                </c:pt>
                <c:pt idx="45">
                  <c:v>49</c:v>
                </c:pt>
                <c:pt idx="46">
                  <c:v>49</c:v>
                </c:pt>
                <c:pt idx="47">
                  <c:v>58</c:v>
                </c:pt>
                <c:pt idx="48">
                  <c:v>45</c:v>
                </c:pt>
                <c:pt idx="49">
                  <c:v>42</c:v>
                </c:pt>
                <c:pt idx="50">
                  <c:v>49</c:v>
                </c:pt>
                <c:pt idx="51">
                  <c:v>37</c:v>
                </c:pt>
                <c:pt idx="52">
                  <c:v>42</c:v>
                </c:pt>
                <c:pt idx="53">
                  <c:v>40</c:v>
                </c:pt>
                <c:pt idx="54">
                  <c:v>41</c:v>
                </c:pt>
                <c:pt idx="55">
                  <c:v>40</c:v>
                </c:pt>
                <c:pt idx="56">
                  <c:v>37</c:v>
                </c:pt>
                <c:pt idx="57">
                  <c:v>44</c:v>
                </c:pt>
                <c:pt idx="58">
                  <c:v>36</c:v>
                </c:pt>
                <c:pt idx="59">
                  <c:v>44</c:v>
                </c:pt>
              </c:numCache>
            </c:numRef>
          </c:val>
          <c:smooth val="0"/>
        </c:ser>
        <c:ser>
          <c:idx val="1"/>
          <c:order val="1"/>
          <c:tx>
            <c:strRef>
              <c:f>'pivot table'!$C$3:$C$5</c:f>
              <c:strCache>
                <c:ptCount val="1"/>
                <c:pt idx="0">
                  <c:v>Prevalent patients - Tablet (modified release) 100 mg</c:v>
                </c:pt>
              </c:strCache>
            </c:strRef>
          </c:tx>
          <c:cat>
            <c:strRef>
              <c:f>'pivot table'!$A$6:$A$66</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'pivot table'!$C$6:$C$66</c:f>
              <c:numCache>
                <c:formatCode>General</c:formatCode>
                <c:ptCount val="60"/>
                <c:pt idx="32">
                  <c:v>137</c:v>
                </c:pt>
                <c:pt idx="33">
                  <c:v>203</c:v>
                </c:pt>
                <c:pt idx="34">
                  <c:v>241</c:v>
                </c:pt>
                <c:pt idx="35">
                  <c:v>301</c:v>
                </c:pt>
                <c:pt idx="36">
                  <c:v>285</c:v>
                </c:pt>
                <c:pt idx="37">
                  <c:v>362</c:v>
                </c:pt>
                <c:pt idx="38">
                  <c:v>405</c:v>
                </c:pt>
                <c:pt idx="39">
                  <c:v>428</c:v>
                </c:pt>
                <c:pt idx="40">
                  <c:v>442</c:v>
                </c:pt>
                <c:pt idx="41">
                  <c:v>478</c:v>
                </c:pt>
                <c:pt idx="42">
                  <c:v>484</c:v>
                </c:pt>
                <c:pt idx="43">
                  <c:v>509</c:v>
                </c:pt>
                <c:pt idx="44">
                  <c:v>526</c:v>
                </c:pt>
                <c:pt idx="45">
                  <c:v>559</c:v>
                </c:pt>
                <c:pt idx="46">
                  <c:v>577</c:v>
                </c:pt>
                <c:pt idx="47">
                  <c:v>604</c:v>
                </c:pt>
                <c:pt idx="48">
                  <c:v>542</c:v>
                </c:pt>
                <c:pt idx="49">
                  <c:v>493</c:v>
                </c:pt>
                <c:pt idx="50">
                  <c:v>580</c:v>
                </c:pt>
                <c:pt idx="51">
                  <c:v>541</c:v>
                </c:pt>
                <c:pt idx="52">
                  <c:v>639</c:v>
                </c:pt>
                <c:pt idx="53">
                  <c:v>631</c:v>
                </c:pt>
                <c:pt idx="54">
                  <c:v>590</c:v>
                </c:pt>
                <c:pt idx="55">
                  <c:v>613</c:v>
                </c:pt>
                <c:pt idx="56">
                  <c:v>575</c:v>
                </c:pt>
                <c:pt idx="57">
                  <c:v>633</c:v>
                </c:pt>
                <c:pt idx="58">
                  <c:v>640</c:v>
                </c:pt>
                <c:pt idx="59">
                  <c:v>702</c:v>
                </c:pt>
              </c:numCache>
            </c:numRef>
          </c:val>
          <c:smooth val="0"/>
        </c:ser>
        <c:ser>
          <c:idx val="2"/>
          <c:order val="2"/>
          <c:tx>
            <c:strRef>
              <c:f>'pivot table'!$D$3:$D$5</c:f>
              <c:strCache>
                <c:ptCount val="1"/>
                <c:pt idx="0">
                  <c:v>Initiating patients - Oral suspension 40 mg per mL, 105 mL</c:v>
                </c:pt>
              </c:strCache>
            </c:strRef>
          </c:tx>
          <c:cat>
            <c:strRef>
              <c:f>'pivot table'!$A$6:$A$66</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'pivot table'!$D$6:$D$66</c:f>
              <c:numCache>
                <c:formatCode>General</c:formatCode>
                <c:ptCount val="60"/>
                <c:pt idx="0">
                  <c:v>243</c:v>
                </c:pt>
                <c:pt idx="1">
                  <c:v>112</c:v>
                </c:pt>
                <c:pt idx="2">
                  <c:v>109</c:v>
                </c:pt>
                <c:pt idx="3">
                  <c:v>82</c:v>
                </c:pt>
                <c:pt idx="4">
                  <c:v>87</c:v>
                </c:pt>
                <c:pt idx="5">
                  <c:v>74</c:v>
                </c:pt>
                <c:pt idx="6">
                  <c:v>69</c:v>
                </c:pt>
                <c:pt idx="7">
                  <c:v>59</c:v>
                </c:pt>
                <c:pt idx="8">
                  <c:v>55</c:v>
                </c:pt>
                <c:pt idx="9">
                  <c:v>85</c:v>
                </c:pt>
                <c:pt idx="10">
                  <c:v>71</c:v>
                </c:pt>
                <c:pt idx="11">
                  <c:v>61</c:v>
                </c:pt>
                <c:pt idx="12">
                  <c:v>78</c:v>
                </c:pt>
                <c:pt idx="13">
                  <c:v>59</c:v>
                </c:pt>
                <c:pt idx="14">
                  <c:v>72</c:v>
                </c:pt>
                <c:pt idx="15">
                  <c:v>80</c:v>
                </c:pt>
                <c:pt idx="16">
                  <c:v>59</c:v>
                </c:pt>
                <c:pt idx="17">
                  <c:v>65</c:v>
                </c:pt>
                <c:pt idx="18">
                  <c:v>76</c:v>
                </c:pt>
                <c:pt idx="19">
                  <c:v>82</c:v>
                </c:pt>
                <c:pt idx="20">
                  <c:v>94</c:v>
                </c:pt>
                <c:pt idx="21">
                  <c:v>71</c:v>
                </c:pt>
                <c:pt idx="22">
                  <c:v>79</c:v>
                </c:pt>
                <c:pt idx="23">
                  <c:v>83</c:v>
                </c:pt>
                <c:pt idx="24">
                  <c:v>71</c:v>
                </c:pt>
                <c:pt idx="25">
                  <c:v>60</c:v>
                </c:pt>
                <c:pt idx="26">
                  <c:v>84</c:v>
                </c:pt>
                <c:pt idx="27">
                  <c:v>87</c:v>
                </c:pt>
                <c:pt idx="28">
                  <c:v>62</c:v>
                </c:pt>
                <c:pt idx="29">
                  <c:v>78</c:v>
                </c:pt>
                <c:pt idx="30">
                  <c:v>75</c:v>
                </c:pt>
                <c:pt idx="31">
                  <c:v>77</c:v>
                </c:pt>
                <c:pt idx="32">
                  <c:v>39</c:v>
                </c:pt>
                <c:pt idx="33">
                  <c:v>39</c:v>
                </c:pt>
                <c:pt idx="34">
                  <c:v>27</c:v>
                </c:pt>
                <c:pt idx="35">
                  <c:v>28</c:v>
                </c:pt>
                <c:pt idx="36">
                  <c:v>26</c:v>
                </c:pt>
                <c:pt idx="37">
                  <c:v>15</c:v>
                </c:pt>
                <c:pt idx="38">
                  <c:v>19</c:v>
                </c:pt>
                <c:pt idx="39">
                  <c:v>10</c:v>
                </c:pt>
                <c:pt idx="40">
                  <c:v>16</c:v>
                </c:pt>
                <c:pt idx="41">
                  <c:v>14</c:v>
                </c:pt>
                <c:pt idx="42">
                  <c:v>7</c:v>
                </c:pt>
                <c:pt idx="43">
                  <c:v>9</c:v>
                </c:pt>
                <c:pt idx="44">
                  <c:v>5</c:v>
                </c:pt>
                <c:pt idx="45">
                  <c:v>1</c:v>
                </c:pt>
                <c:pt idx="46">
                  <c:v>7</c:v>
                </c:pt>
                <c:pt idx="47">
                  <c:v>3</c:v>
                </c:pt>
                <c:pt idx="48">
                  <c:v>6</c:v>
                </c:pt>
                <c:pt idx="49">
                  <c:v>10</c:v>
                </c:pt>
                <c:pt idx="50">
                  <c:v>7</c:v>
                </c:pt>
                <c:pt idx="51">
                  <c:v>6</c:v>
                </c:pt>
                <c:pt idx="52">
                  <c:v>9</c:v>
                </c:pt>
                <c:pt idx="53">
                  <c:v>7</c:v>
                </c:pt>
                <c:pt idx="54">
                  <c:v>7</c:v>
                </c:pt>
                <c:pt idx="55">
                  <c:v>5</c:v>
                </c:pt>
                <c:pt idx="56">
                  <c:v>6</c:v>
                </c:pt>
                <c:pt idx="57">
                  <c:v>6</c:v>
                </c:pt>
                <c:pt idx="58">
                  <c:v>7</c:v>
                </c:pt>
                <c:pt idx="59">
                  <c:v>11</c:v>
                </c:pt>
              </c:numCache>
            </c:numRef>
          </c:val>
          <c:smooth val="0"/>
        </c:ser>
        <c:ser>
          <c:idx val="3"/>
          <c:order val="3"/>
          <c:tx>
            <c:strRef>
              <c:f>'pivot table'!$E$3:$E$5</c:f>
              <c:strCache>
                <c:ptCount val="1"/>
                <c:pt idx="0">
                  <c:v>Initiating patients - Tablet (modified release) 100 mg</c:v>
                </c:pt>
              </c:strCache>
            </c:strRef>
          </c:tx>
          <c:cat>
            <c:strRef>
              <c:f>'pivot table'!$A$6:$A$66</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'pivot table'!$E$6:$E$66</c:f>
              <c:numCache>
                <c:formatCode>General</c:formatCode>
                <c:ptCount val="60"/>
                <c:pt idx="32">
                  <c:v>67</c:v>
                </c:pt>
                <c:pt idx="33">
                  <c:v>72</c:v>
                </c:pt>
                <c:pt idx="34">
                  <c:v>67</c:v>
                </c:pt>
                <c:pt idx="35">
                  <c:v>83</c:v>
                </c:pt>
                <c:pt idx="36">
                  <c:v>80</c:v>
                </c:pt>
                <c:pt idx="37">
                  <c:v>94</c:v>
                </c:pt>
                <c:pt idx="38">
                  <c:v>110</c:v>
                </c:pt>
                <c:pt idx="39">
                  <c:v>107</c:v>
                </c:pt>
                <c:pt idx="40">
                  <c:v>97</c:v>
                </c:pt>
                <c:pt idx="41">
                  <c:v>108</c:v>
                </c:pt>
                <c:pt idx="42">
                  <c:v>108</c:v>
                </c:pt>
                <c:pt idx="43">
                  <c:v>103</c:v>
                </c:pt>
                <c:pt idx="44">
                  <c:v>110</c:v>
                </c:pt>
                <c:pt idx="45">
                  <c:v>107</c:v>
                </c:pt>
                <c:pt idx="46">
                  <c:v>107</c:v>
                </c:pt>
                <c:pt idx="47">
                  <c:v>98</c:v>
                </c:pt>
                <c:pt idx="48">
                  <c:v>97</c:v>
                </c:pt>
                <c:pt idx="49">
                  <c:v>75</c:v>
                </c:pt>
                <c:pt idx="50">
                  <c:v>80</c:v>
                </c:pt>
                <c:pt idx="51">
                  <c:v>98</c:v>
                </c:pt>
                <c:pt idx="52">
                  <c:v>117</c:v>
                </c:pt>
                <c:pt idx="53">
                  <c:v>127</c:v>
                </c:pt>
                <c:pt idx="54">
                  <c:v>105</c:v>
                </c:pt>
                <c:pt idx="55">
                  <c:v>107</c:v>
                </c:pt>
                <c:pt idx="56">
                  <c:v>99</c:v>
                </c:pt>
                <c:pt idx="57">
                  <c:v>124</c:v>
                </c:pt>
                <c:pt idx="58">
                  <c:v>125</c:v>
                </c:pt>
                <c:pt idx="59">
                  <c:v>117</c:v>
                </c:pt>
              </c:numCache>
            </c:numRef>
          </c:val>
          <c:smooth val="0"/>
        </c:ser>
        <c:dLbls>
          <c:showLegendKey val="0"/>
          <c:showVal val="0"/>
          <c:showCatName val="0"/>
          <c:showSerName val="0"/>
          <c:showPercent val="0"/>
          <c:showBubbleSize val="0"/>
        </c:dLbls>
        <c:marker val="1"/>
        <c:smooth val="0"/>
        <c:axId val="535865600"/>
        <c:axId val="537383680"/>
      </c:lineChart>
      <c:catAx>
        <c:axId val="535865600"/>
        <c:scaling>
          <c:orientation val="minMax"/>
        </c:scaling>
        <c:delete val="0"/>
        <c:axPos val="b"/>
        <c:title>
          <c:tx>
            <c:rich>
              <a:bodyPr/>
              <a:lstStyle/>
              <a:p>
                <a:pPr>
                  <a:defRPr/>
                </a:pPr>
                <a:r>
                  <a:rPr lang="en-AU"/>
                  <a:t>Year and month of supply</a:t>
                </a:r>
              </a:p>
            </c:rich>
          </c:tx>
          <c:overlay val="0"/>
        </c:title>
        <c:majorTickMark val="out"/>
        <c:minorTickMark val="none"/>
        <c:tickLblPos val="nextTo"/>
        <c:crossAx val="537383680"/>
        <c:crosses val="autoZero"/>
        <c:auto val="1"/>
        <c:lblAlgn val="ctr"/>
        <c:lblOffset val="100"/>
        <c:noMultiLvlLbl val="0"/>
      </c:catAx>
      <c:valAx>
        <c:axId val="537383680"/>
        <c:scaling>
          <c:orientation val="minMax"/>
        </c:scaling>
        <c:delete val="0"/>
        <c:axPos val="l"/>
        <c:majorGridlines/>
        <c:title>
          <c:tx>
            <c:rich>
              <a:bodyPr rot="-5400000" vert="horz"/>
              <a:lstStyle/>
              <a:p>
                <a:pPr>
                  <a:defRPr/>
                </a:pPr>
                <a:r>
                  <a:rPr lang="en-AU"/>
                  <a:t>Number of patients</a:t>
                </a:r>
              </a:p>
            </c:rich>
          </c:tx>
          <c:overlay val="0"/>
        </c:title>
        <c:numFmt formatCode="General" sourceLinked="1"/>
        <c:majorTickMark val="out"/>
        <c:minorTickMark val="none"/>
        <c:tickLblPos val="nextTo"/>
        <c:crossAx val="53586560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[INITIATING_PREVALENT_PATS.xlsx]Sheet1!PivotTable1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s>
    <c:plotArea>
      <c:layout/>
      <c:lineChart>
        <c:grouping val="standard"/>
        <c:varyColors val="0"/>
        <c:ser>
          <c:idx val="0"/>
          <c:order val="0"/>
          <c:tx>
            <c:strRef>
              <c:f>Sheet1!$B$1:$B$4</c:f>
              <c:strCache>
                <c:ptCount val="1"/>
                <c:pt idx="0">
                  <c:v>Prevalent patients - Prophylaxis - Oral suspension 40 mg per mL, 105 mL</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Sheet1!$B$5:$B$65</c:f>
              <c:numCache>
                <c:formatCode>General</c:formatCode>
                <c:ptCount val="60"/>
                <c:pt idx="0">
                  <c:v>116</c:v>
                </c:pt>
                <c:pt idx="1">
                  <c:v>107</c:v>
                </c:pt>
                <c:pt idx="2">
                  <c:v>131</c:v>
                </c:pt>
                <c:pt idx="3">
                  <c:v>143</c:v>
                </c:pt>
                <c:pt idx="4">
                  <c:v>186</c:v>
                </c:pt>
                <c:pt idx="5">
                  <c:v>175</c:v>
                </c:pt>
                <c:pt idx="6">
                  <c:v>193</c:v>
                </c:pt>
                <c:pt idx="7">
                  <c:v>170</c:v>
                </c:pt>
                <c:pt idx="8">
                  <c:v>169</c:v>
                </c:pt>
                <c:pt idx="9">
                  <c:v>180</c:v>
                </c:pt>
                <c:pt idx="10">
                  <c:v>173</c:v>
                </c:pt>
                <c:pt idx="11">
                  <c:v>173</c:v>
                </c:pt>
                <c:pt idx="12">
                  <c:v>176</c:v>
                </c:pt>
                <c:pt idx="13">
                  <c:v>165</c:v>
                </c:pt>
                <c:pt idx="14">
                  <c:v>166</c:v>
                </c:pt>
                <c:pt idx="15">
                  <c:v>181</c:v>
                </c:pt>
                <c:pt idx="16">
                  <c:v>162</c:v>
                </c:pt>
                <c:pt idx="17">
                  <c:v>167</c:v>
                </c:pt>
                <c:pt idx="18">
                  <c:v>177</c:v>
                </c:pt>
                <c:pt idx="19">
                  <c:v>179</c:v>
                </c:pt>
                <c:pt idx="20">
                  <c:v>209</c:v>
                </c:pt>
                <c:pt idx="21">
                  <c:v>188</c:v>
                </c:pt>
                <c:pt idx="22">
                  <c:v>185</c:v>
                </c:pt>
                <c:pt idx="23">
                  <c:v>217</c:v>
                </c:pt>
                <c:pt idx="24">
                  <c:v>197</c:v>
                </c:pt>
                <c:pt idx="25">
                  <c:v>173</c:v>
                </c:pt>
                <c:pt idx="26">
                  <c:v>209</c:v>
                </c:pt>
                <c:pt idx="27">
                  <c:v>226</c:v>
                </c:pt>
                <c:pt idx="28">
                  <c:v>210</c:v>
                </c:pt>
                <c:pt idx="29">
                  <c:v>218</c:v>
                </c:pt>
                <c:pt idx="30">
                  <c:v>218</c:v>
                </c:pt>
                <c:pt idx="31">
                  <c:v>217</c:v>
                </c:pt>
                <c:pt idx="32">
                  <c:v>167</c:v>
                </c:pt>
                <c:pt idx="33">
                  <c:v>146</c:v>
                </c:pt>
                <c:pt idx="34">
                  <c:v>109</c:v>
                </c:pt>
                <c:pt idx="35">
                  <c:v>116</c:v>
                </c:pt>
                <c:pt idx="36">
                  <c:v>102</c:v>
                </c:pt>
                <c:pt idx="37">
                  <c:v>75</c:v>
                </c:pt>
                <c:pt idx="38">
                  <c:v>78</c:v>
                </c:pt>
                <c:pt idx="39">
                  <c:v>64</c:v>
                </c:pt>
                <c:pt idx="40">
                  <c:v>55</c:v>
                </c:pt>
                <c:pt idx="41">
                  <c:v>57</c:v>
                </c:pt>
                <c:pt idx="42">
                  <c:v>43</c:v>
                </c:pt>
                <c:pt idx="43">
                  <c:v>59</c:v>
                </c:pt>
                <c:pt idx="44">
                  <c:v>43</c:v>
                </c:pt>
                <c:pt idx="45">
                  <c:v>35</c:v>
                </c:pt>
                <c:pt idx="46">
                  <c:v>31</c:v>
                </c:pt>
                <c:pt idx="47">
                  <c:v>34</c:v>
                </c:pt>
                <c:pt idx="48">
                  <c:v>26</c:v>
                </c:pt>
                <c:pt idx="49">
                  <c:v>28</c:v>
                </c:pt>
                <c:pt idx="50">
                  <c:v>31</c:v>
                </c:pt>
                <c:pt idx="51">
                  <c:v>22</c:v>
                </c:pt>
                <c:pt idx="52">
                  <c:v>30</c:v>
                </c:pt>
                <c:pt idx="53">
                  <c:v>28</c:v>
                </c:pt>
                <c:pt idx="54">
                  <c:v>28</c:v>
                </c:pt>
                <c:pt idx="55">
                  <c:v>29</c:v>
                </c:pt>
                <c:pt idx="56">
                  <c:v>28</c:v>
                </c:pt>
                <c:pt idx="57">
                  <c:v>28</c:v>
                </c:pt>
                <c:pt idx="58">
                  <c:v>26</c:v>
                </c:pt>
                <c:pt idx="59">
                  <c:v>28</c:v>
                </c:pt>
              </c:numCache>
            </c:numRef>
          </c:val>
          <c:smooth val="0"/>
        </c:ser>
        <c:ser>
          <c:idx val="1"/>
          <c:order val="1"/>
          <c:tx>
            <c:strRef>
              <c:f>Sheet1!$C$1:$C$4</c:f>
              <c:strCache>
                <c:ptCount val="1"/>
                <c:pt idx="0">
                  <c:v>Prevalent patients - Prophylaxis - Tablet (modified release) 100 mg</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Sheet1!$C$5:$C$65</c:f>
              <c:numCache>
                <c:formatCode>General</c:formatCode>
                <c:ptCount val="60"/>
                <c:pt idx="32">
                  <c:v>90</c:v>
                </c:pt>
                <c:pt idx="33">
                  <c:v>125</c:v>
                </c:pt>
                <c:pt idx="34">
                  <c:v>130</c:v>
                </c:pt>
                <c:pt idx="35">
                  <c:v>159</c:v>
                </c:pt>
                <c:pt idx="36">
                  <c:v>154</c:v>
                </c:pt>
                <c:pt idx="37">
                  <c:v>203</c:v>
                </c:pt>
                <c:pt idx="38">
                  <c:v>228</c:v>
                </c:pt>
                <c:pt idx="39">
                  <c:v>254</c:v>
                </c:pt>
                <c:pt idx="40">
                  <c:v>256</c:v>
                </c:pt>
                <c:pt idx="41">
                  <c:v>314</c:v>
                </c:pt>
                <c:pt idx="42">
                  <c:v>314</c:v>
                </c:pt>
                <c:pt idx="43">
                  <c:v>316</c:v>
                </c:pt>
                <c:pt idx="44">
                  <c:v>321</c:v>
                </c:pt>
                <c:pt idx="45">
                  <c:v>345</c:v>
                </c:pt>
                <c:pt idx="46">
                  <c:v>353</c:v>
                </c:pt>
                <c:pt idx="47">
                  <c:v>378</c:v>
                </c:pt>
                <c:pt idx="48">
                  <c:v>345</c:v>
                </c:pt>
                <c:pt idx="49">
                  <c:v>312</c:v>
                </c:pt>
                <c:pt idx="50">
                  <c:v>361</c:v>
                </c:pt>
                <c:pt idx="51">
                  <c:v>343</c:v>
                </c:pt>
                <c:pt idx="52">
                  <c:v>423</c:v>
                </c:pt>
                <c:pt idx="53">
                  <c:v>419</c:v>
                </c:pt>
                <c:pt idx="54">
                  <c:v>385</c:v>
                </c:pt>
                <c:pt idx="55">
                  <c:v>388</c:v>
                </c:pt>
                <c:pt idx="56">
                  <c:v>339</c:v>
                </c:pt>
                <c:pt idx="57">
                  <c:v>371</c:v>
                </c:pt>
                <c:pt idx="58">
                  <c:v>371</c:v>
                </c:pt>
                <c:pt idx="59">
                  <c:v>372</c:v>
                </c:pt>
              </c:numCache>
            </c:numRef>
          </c:val>
          <c:smooth val="0"/>
        </c:ser>
        <c:ser>
          <c:idx val="2"/>
          <c:order val="2"/>
          <c:tx>
            <c:strRef>
              <c:f>Sheet1!$E$1:$E$4</c:f>
              <c:strCache>
                <c:ptCount val="1"/>
                <c:pt idx="0">
                  <c:v>Initiating patients - Prophylaxis - Oral suspension 40 mg per mL, 105 mL</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Sheet1!$E$5:$E$65</c:f>
              <c:numCache>
                <c:formatCode>General</c:formatCode>
                <c:ptCount val="60"/>
                <c:pt idx="0">
                  <c:v>113</c:v>
                </c:pt>
                <c:pt idx="1">
                  <c:v>55</c:v>
                </c:pt>
                <c:pt idx="2">
                  <c:v>67</c:v>
                </c:pt>
                <c:pt idx="3">
                  <c:v>57</c:v>
                </c:pt>
                <c:pt idx="4">
                  <c:v>67</c:v>
                </c:pt>
                <c:pt idx="5">
                  <c:v>50</c:v>
                </c:pt>
                <c:pt idx="6">
                  <c:v>55</c:v>
                </c:pt>
                <c:pt idx="7">
                  <c:v>41</c:v>
                </c:pt>
                <c:pt idx="8">
                  <c:v>42</c:v>
                </c:pt>
                <c:pt idx="9">
                  <c:v>58</c:v>
                </c:pt>
                <c:pt idx="10">
                  <c:v>55</c:v>
                </c:pt>
                <c:pt idx="11">
                  <c:v>41</c:v>
                </c:pt>
                <c:pt idx="12">
                  <c:v>65</c:v>
                </c:pt>
                <c:pt idx="13">
                  <c:v>40</c:v>
                </c:pt>
                <c:pt idx="14">
                  <c:v>45</c:v>
                </c:pt>
                <c:pt idx="15">
                  <c:v>57</c:v>
                </c:pt>
                <c:pt idx="16">
                  <c:v>43</c:v>
                </c:pt>
                <c:pt idx="17">
                  <c:v>46</c:v>
                </c:pt>
                <c:pt idx="18">
                  <c:v>63</c:v>
                </c:pt>
                <c:pt idx="19">
                  <c:v>55</c:v>
                </c:pt>
                <c:pt idx="20">
                  <c:v>74</c:v>
                </c:pt>
                <c:pt idx="21">
                  <c:v>53</c:v>
                </c:pt>
                <c:pt idx="22">
                  <c:v>54</c:v>
                </c:pt>
                <c:pt idx="23">
                  <c:v>63</c:v>
                </c:pt>
                <c:pt idx="24">
                  <c:v>54</c:v>
                </c:pt>
                <c:pt idx="25">
                  <c:v>42</c:v>
                </c:pt>
                <c:pt idx="26">
                  <c:v>62</c:v>
                </c:pt>
                <c:pt idx="27">
                  <c:v>67</c:v>
                </c:pt>
                <c:pt idx="28">
                  <c:v>49</c:v>
                </c:pt>
                <c:pt idx="29">
                  <c:v>62</c:v>
                </c:pt>
                <c:pt idx="30">
                  <c:v>52</c:v>
                </c:pt>
                <c:pt idx="31">
                  <c:v>61</c:v>
                </c:pt>
                <c:pt idx="32">
                  <c:v>31</c:v>
                </c:pt>
                <c:pt idx="33">
                  <c:v>30</c:v>
                </c:pt>
                <c:pt idx="34">
                  <c:v>18</c:v>
                </c:pt>
                <c:pt idx="35">
                  <c:v>21</c:v>
                </c:pt>
                <c:pt idx="36">
                  <c:v>20</c:v>
                </c:pt>
                <c:pt idx="37">
                  <c:v>11</c:v>
                </c:pt>
                <c:pt idx="38">
                  <c:v>18</c:v>
                </c:pt>
                <c:pt idx="39">
                  <c:v>6</c:v>
                </c:pt>
                <c:pt idx="40">
                  <c:v>12</c:v>
                </c:pt>
                <c:pt idx="41">
                  <c:v>13</c:v>
                </c:pt>
                <c:pt idx="42">
                  <c:v>3</c:v>
                </c:pt>
                <c:pt idx="43">
                  <c:v>8</c:v>
                </c:pt>
                <c:pt idx="44">
                  <c:v>4</c:v>
                </c:pt>
                <c:pt idx="45">
                  <c:v>1</c:v>
                </c:pt>
                <c:pt idx="46">
                  <c:v>5</c:v>
                </c:pt>
                <c:pt idx="47">
                  <c:v>2</c:v>
                </c:pt>
                <c:pt idx="48">
                  <c:v>5</c:v>
                </c:pt>
                <c:pt idx="49">
                  <c:v>9</c:v>
                </c:pt>
                <c:pt idx="50">
                  <c:v>5</c:v>
                </c:pt>
                <c:pt idx="51">
                  <c:v>2</c:v>
                </c:pt>
                <c:pt idx="52">
                  <c:v>7</c:v>
                </c:pt>
                <c:pt idx="53">
                  <c:v>2</c:v>
                </c:pt>
                <c:pt idx="54">
                  <c:v>5</c:v>
                </c:pt>
                <c:pt idx="55">
                  <c:v>5</c:v>
                </c:pt>
                <c:pt idx="56">
                  <c:v>6</c:v>
                </c:pt>
                <c:pt idx="57">
                  <c:v>4</c:v>
                </c:pt>
                <c:pt idx="58">
                  <c:v>5</c:v>
                </c:pt>
                <c:pt idx="59">
                  <c:v>7</c:v>
                </c:pt>
              </c:numCache>
            </c:numRef>
          </c:val>
          <c:smooth val="0"/>
        </c:ser>
        <c:ser>
          <c:idx val="3"/>
          <c:order val="3"/>
          <c:tx>
            <c:strRef>
              <c:f>Sheet1!$F$1:$F$4</c:f>
              <c:strCache>
                <c:ptCount val="1"/>
                <c:pt idx="0">
                  <c:v>Initiating patients - Prophylaxis - Tablet (modified release) 100 mg</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Sheet1!$F$5:$F$65</c:f>
              <c:numCache>
                <c:formatCode>General</c:formatCode>
                <c:ptCount val="60"/>
                <c:pt idx="32">
                  <c:v>40</c:v>
                </c:pt>
                <c:pt idx="33">
                  <c:v>44</c:v>
                </c:pt>
                <c:pt idx="34">
                  <c:v>33</c:v>
                </c:pt>
                <c:pt idx="35">
                  <c:v>46</c:v>
                </c:pt>
                <c:pt idx="36">
                  <c:v>49</c:v>
                </c:pt>
                <c:pt idx="37">
                  <c:v>61</c:v>
                </c:pt>
                <c:pt idx="38">
                  <c:v>59</c:v>
                </c:pt>
                <c:pt idx="39">
                  <c:v>66</c:v>
                </c:pt>
                <c:pt idx="40">
                  <c:v>59</c:v>
                </c:pt>
                <c:pt idx="41">
                  <c:v>83</c:v>
                </c:pt>
                <c:pt idx="42">
                  <c:v>78</c:v>
                </c:pt>
                <c:pt idx="43">
                  <c:v>67</c:v>
                </c:pt>
                <c:pt idx="44">
                  <c:v>64</c:v>
                </c:pt>
                <c:pt idx="45">
                  <c:v>74</c:v>
                </c:pt>
                <c:pt idx="46">
                  <c:v>65</c:v>
                </c:pt>
                <c:pt idx="47">
                  <c:v>70</c:v>
                </c:pt>
                <c:pt idx="48">
                  <c:v>68</c:v>
                </c:pt>
                <c:pt idx="49">
                  <c:v>39</c:v>
                </c:pt>
                <c:pt idx="50">
                  <c:v>46</c:v>
                </c:pt>
                <c:pt idx="51">
                  <c:v>67</c:v>
                </c:pt>
                <c:pt idx="52">
                  <c:v>82</c:v>
                </c:pt>
                <c:pt idx="53">
                  <c:v>99</c:v>
                </c:pt>
                <c:pt idx="54">
                  <c:v>73</c:v>
                </c:pt>
                <c:pt idx="55">
                  <c:v>79</c:v>
                </c:pt>
                <c:pt idx="56">
                  <c:v>51</c:v>
                </c:pt>
                <c:pt idx="57">
                  <c:v>75</c:v>
                </c:pt>
                <c:pt idx="58">
                  <c:v>72</c:v>
                </c:pt>
                <c:pt idx="59">
                  <c:v>65</c:v>
                </c:pt>
              </c:numCache>
            </c:numRef>
          </c:val>
          <c:smooth val="0"/>
        </c:ser>
        <c:dLbls>
          <c:showLegendKey val="0"/>
          <c:showVal val="0"/>
          <c:showCatName val="0"/>
          <c:showSerName val="0"/>
          <c:showPercent val="0"/>
          <c:showBubbleSize val="0"/>
        </c:dLbls>
        <c:marker val="1"/>
        <c:smooth val="0"/>
        <c:axId val="558552960"/>
        <c:axId val="565616640"/>
      </c:lineChart>
      <c:catAx>
        <c:axId val="558552960"/>
        <c:scaling>
          <c:orientation val="minMax"/>
        </c:scaling>
        <c:delete val="0"/>
        <c:axPos val="b"/>
        <c:title>
          <c:tx>
            <c:rich>
              <a:bodyPr/>
              <a:lstStyle/>
              <a:p>
                <a:pPr>
                  <a:defRPr/>
                </a:pPr>
                <a:r>
                  <a:rPr lang="en-US"/>
                  <a:t>Year and month of supply</a:t>
                </a:r>
              </a:p>
            </c:rich>
          </c:tx>
          <c:overlay val="0"/>
        </c:title>
        <c:majorTickMark val="out"/>
        <c:minorTickMark val="none"/>
        <c:tickLblPos val="nextTo"/>
        <c:crossAx val="565616640"/>
        <c:crosses val="autoZero"/>
        <c:auto val="1"/>
        <c:lblAlgn val="ctr"/>
        <c:lblOffset val="100"/>
        <c:noMultiLvlLbl val="0"/>
      </c:catAx>
      <c:valAx>
        <c:axId val="565616640"/>
        <c:scaling>
          <c:orientation val="minMax"/>
        </c:scaling>
        <c:delete val="0"/>
        <c:axPos val="l"/>
        <c:majorGridlines/>
        <c:title>
          <c:tx>
            <c:rich>
              <a:bodyPr rot="-5400000" vert="horz"/>
              <a:lstStyle/>
              <a:p>
                <a:pPr>
                  <a:defRPr/>
                </a:pPr>
                <a:r>
                  <a:rPr lang="en-US"/>
                  <a:t>Number of patients</a:t>
                </a:r>
              </a:p>
            </c:rich>
          </c:tx>
          <c:overlay val="0"/>
        </c:title>
        <c:numFmt formatCode="General" sourceLinked="1"/>
        <c:majorTickMark val="out"/>
        <c:minorTickMark val="none"/>
        <c:tickLblPos val="nextTo"/>
        <c:crossAx val="55855296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'combined + chart'!$B$1</c:f>
              <c:strCache>
                <c:ptCount val="1"/>
                <c:pt idx="0">
                  <c:v>Tablet (modified release) 100 mg</c:v>
                </c:pt>
              </c:strCache>
            </c:strRef>
          </c:tx>
          <c:spPr>
            <a:ln>
              <a:solidFill>
                <a:schemeClr val="tx2"/>
              </a:solidFill>
            </a:ln>
          </c:spPr>
          <c:marker>
            <c:symbol val="none"/>
          </c:marker>
          <c:val>
            <c:numRef>
              <c:f>'combined + chart'!$B$3:$B$92</c:f>
              <c:numCache>
                <c:formatCode>General</c:formatCode>
                <c:ptCount val="90"/>
                <c:pt idx="0">
                  <c:v>53</c:v>
                </c:pt>
                <c:pt idx="1">
                  <c:v>50</c:v>
                </c:pt>
                <c:pt idx="2">
                  <c:v>66</c:v>
                </c:pt>
                <c:pt idx="3">
                  <c:v>52</c:v>
                </c:pt>
                <c:pt idx="4">
                  <c:v>46</c:v>
                </c:pt>
                <c:pt idx="5">
                  <c:v>67</c:v>
                </c:pt>
                <c:pt idx="6">
                  <c:v>117</c:v>
                </c:pt>
                <c:pt idx="7">
                  <c:v>59</c:v>
                </c:pt>
                <c:pt idx="8">
                  <c:v>62</c:v>
                </c:pt>
                <c:pt idx="9">
                  <c:v>61</c:v>
                </c:pt>
                <c:pt idx="10">
                  <c:v>53</c:v>
                </c:pt>
                <c:pt idx="11">
                  <c:v>49</c:v>
                </c:pt>
                <c:pt idx="12">
                  <c:v>62</c:v>
                </c:pt>
                <c:pt idx="13">
                  <c:v>116</c:v>
                </c:pt>
                <c:pt idx="14">
                  <c:v>77</c:v>
                </c:pt>
                <c:pt idx="15">
                  <c:v>73</c:v>
                </c:pt>
                <c:pt idx="16">
                  <c:v>72</c:v>
                </c:pt>
                <c:pt idx="17">
                  <c:v>81</c:v>
                </c:pt>
                <c:pt idx="18">
                  <c:v>79</c:v>
                </c:pt>
                <c:pt idx="19">
                  <c:v>118</c:v>
                </c:pt>
                <c:pt idx="20">
                  <c:v>176</c:v>
                </c:pt>
                <c:pt idx="21">
                  <c:v>133</c:v>
                </c:pt>
                <c:pt idx="22">
                  <c:v>122</c:v>
                </c:pt>
                <c:pt idx="23">
                  <c:v>122</c:v>
                </c:pt>
                <c:pt idx="24">
                  <c:v>119</c:v>
                </c:pt>
                <c:pt idx="25">
                  <c:v>155</c:v>
                </c:pt>
                <c:pt idx="26">
                  <c:v>228</c:v>
                </c:pt>
                <c:pt idx="27">
                  <c:v>414</c:v>
                </c:pt>
                <c:pt idx="28">
                  <c:v>241</c:v>
                </c:pt>
                <c:pt idx="29">
                  <c:v>189</c:v>
                </c:pt>
                <c:pt idx="30">
                  <c:v>203</c:v>
                </c:pt>
                <c:pt idx="31">
                  <c:v>175</c:v>
                </c:pt>
                <c:pt idx="32">
                  <c:v>197</c:v>
                </c:pt>
                <c:pt idx="33">
                  <c:v>184</c:v>
                </c:pt>
                <c:pt idx="34">
                  <c:v>308</c:v>
                </c:pt>
                <c:pt idx="35">
                  <c:v>172</c:v>
                </c:pt>
                <c:pt idx="36">
                  <c:v>136</c:v>
                </c:pt>
                <c:pt idx="37">
                  <c:v>116</c:v>
                </c:pt>
                <c:pt idx="38">
                  <c:v>97</c:v>
                </c:pt>
                <c:pt idx="39">
                  <c:v>96</c:v>
                </c:pt>
                <c:pt idx="40">
                  <c:v>111</c:v>
                </c:pt>
                <c:pt idx="41">
                  <c:v>186</c:v>
                </c:pt>
                <c:pt idx="42">
                  <c:v>83</c:v>
                </c:pt>
                <c:pt idx="43">
                  <c:v>75</c:v>
                </c:pt>
                <c:pt idx="44">
                  <c:v>64</c:v>
                </c:pt>
                <c:pt idx="45">
                  <c:v>49</c:v>
                </c:pt>
                <c:pt idx="46">
                  <c:v>64</c:v>
                </c:pt>
                <c:pt idx="47">
                  <c:v>55</c:v>
                </c:pt>
                <c:pt idx="48">
                  <c:v>79</c:v>
                </c:pt>
                <c:pt idx="49">
                  <c:v>46</c:v>
                </c:pt>
                <c:pt idx="50">
                  <c:v>40</c:v>
                </c:pt>
                <c:pt idx="51">
                  <c:v>40</c:v>
                </c:pt>
                <c:pt idx="52">
                  <c:v>28</c:v>
                </c:pt>
                <c:pt idx="53">
                  <c:v>42</c:v>
                </c:pt>
                <c:pt idx="54">
                  <c:v>28</c:v>
                </c:pt>
                <c:pt idx="55">
                  <c:v>62</c:v>
                </c:pt>
                <c:pt idx="56">
                  <c:v>34</c:v>
                </c:pt>
                <c:pt idx="57">
                  <c:v>24</c:v>
                </c:pt>
                <c:pt idx="58">
                  <c:v>28</c:v>
                </c:pt>
                <c:pt idx="59">
                  <c:v>23</c:v>
                </c:pt>
                <c:pt idx="60">
                  <c:v>32</c:v>
                </c:pt>
                <c:pt idx="61">
                  <c:v>28</c:v>
                </c:pt>
                <c:pt idx="62">
                  <c:v>30</c:v>
                </c:pt>
                <c:pt idx="63">
                  <c:v>20</c:v>
                </c:pt>
                <c:pt idx="64">
                  <c:v>22</c:v>
                </c:pt>
                <c:pt idx="65">
                  <c:v>13</c:v>
                </c:pt>
                <c:pt idx="66">
                  <c:v>11</c:v>
                </c:pt>
                <c:pt idx="67">
                  <c:v>13</c:v>
                </c:pt>
                <c:pt idx="68">
                  <c:v>19</c:v>
                </c:pt>
                <c:pt idx="69">
                  <c:v>22</c:v>
                </c:pt>
                <c:pt idx="70">
                  <c:v>9</c:v>
                </c:pt>
                <c:pt idx="71">
                  <c:v>21</c:v>
                </c:pt>
                <c:pt idx="72">
                  <c:v>9</c:v>
                </c:pt>
                <c:pt idx="73">
                  <c:v>14</c:v>
                </c:pt>
                <c:pt idx="74">
                  <c:v>19</c:v>
                </c:pt>
                <c:pt idx="75">
                  <c:v>7</c:v>
                </c:pt>
                <c:pt idx="76">
                  <c:v>14</c:v>
                </c:pt>
                <c:pt idx="77">
                  <c:v>15</c:v>
                </c:pt>
                <c:pt idx="78">
                  <c:v>11</c:v>
                </c:pt>
                <c:pt idx="79">
                  <c:v>8</c:v>
                </c:pt>
                <c:pt idx="80">
                  <c:v>10</c:v>
                </c:pt>
                <c:pt idx="81">
                  <c:v>7</c:v>
                </c:pt>
                <c:pt idx="82">
                  <c:v>12</c:v>
                </c:pt>
                <c:pt idx="83">
                  <c:v>10</c:v>
                </c:pt>
                <c:pt idx="84">
                  <c:v>16</c:v>
                </c:pt>
                <c:pt idx="85">
                  <c:v>5</c:v>
                </c:pt>
                <c:pt idx="86">
                  <c:v>4</c:v>
                </c:pt>
                <c:pt idx="87">
                  <c:v>10</c:v>
                </c:pt>
                <c:pt idx="88">
                  <c:v>6</c:v>
                </c:pt>
                <c:pt idx="89">
                  <c:v>8</c:v>
                </c:pt>
              </c:numCache>
            </c:numRef>
          </c:val>
          <c:smooth val="0"/>
        </c:ser>
        <c:ser>
          <c:idx val="1"/>
          <c:order val="1"/>
          <c:tx>
            <c:strRef>
              <c:f>'combined + chart'!$D$1</c:f>
              <c:strCache>
                <c:ptCount val="1"/>
                <c:pt idx="0">
                  <c:v>Oral suspension 40 mg/mL, 105 mL</c:v>
                </c:pt>
              </c:strCache>
            </c:strRef>
          </c:tx>
          <c:spPr>
            <a:ln>
              <a:solidFill>
                <a:srgbClr val="C00000"/>
              </a:solidFill>
            </a:ln>
          </c:spPr>
          <c:marker>
            <c:symbol val="none"/>
          </c:marker>
          <c:val>
            <c:numRef>
              <c:f>'combined + chart'!$D$3:$D$92</c:f>
              <c:numCache>
                <c:formatCode>General</c:formatCode>
                <c:ptCount val="90"/>
                <c:pt idx="0">
                  <c:v>41</c:v>
                </c:pt>
                <c:pt idx="1">
                  <c:v>53</c:v>
                </c:pt>
                <c:pt idx="2">
                  <c:v>50</c:v>
                </c:pt>
                <c:pt idx="3">
                  <c:v>57</c:v>
                </c:pt>
                <c:pt idx="4">
                  <c:v>73</c:v>
                </c:pt>
                <c:pt idx="5">
                  <c:v>88</c:v>
                </c:pt>
                <c:pt idx="6">
                  <c:v>163</c:v>
                </c:pt>
                <c:pt idx="7">
                  <c:v>76</c:v>
                </c:pt>
                <c:pt idx="8">
                  <c:v>61</c:v>
                </c:pt>
                <c:pt idx="9">
                  <c:v>79</c:v>
                </c:pt>
                <c:pt idx="10">
                  <c:v>81</c:v>
                </c:pt>
                <c:pt idx="11">
                  <c:v>62</c:v>
                </c:pt>
                <c:pt idx="12">
                  <c:v>72</c:v>
                </c:pt>
                <c:pt idx="13">
                  <c:v>120</c:v>
                </c:pt>
                <c:pt idx="14">
                  <c:v>64</c:v>
                </c:pt>
                <c:pt idx="15">
                  <c:v>72</c:v>
                </c:pt>
                <c:pt idx="16">
                  <c:v>77</c:v>
                </c:pt>
                <c:pt idx="17">
                  <c:v>68</c:v>
                </c:pt>
                <c:pt idx="18">
                  <c:v>71</c:v>
                </c:pt>
                <c:pt idx="19">
                  <c:v>83</c:v>
                </c:pt>
                <c:pt idx="20">
                  <c:v>151</c:v>
                </c:pt>
                <c:pt idx="21">
                  <c:v>98</c:v>
                </c:pt>
                <c:pt idx="22">
                  <c:v>98</c:v>
                </c:pt>
                <c:pt idx="23">
                  <c:v>81</c:v>
                </c:pt>
                <c:pt idx="24">
                  <c:v>113</c:v>
                </c:pt>
                <c:pt idx="25">
                  <c:v>105</c:v>
                </c:pt>
                <c:pt idx="26">
                  <c:v>131</c:v>
                </c:pt>
                <c:pt idx="27">
                  <c:v>266</c:v>
                </c:pt>
                <c:pt idx="28">
                  <c:v>140</c:v>
                </c:pt>
                <c:pt idx="29">
                  <c:v>126</c:v>
                </c:pt>
                <c:pt idx="30">
                  <c:v>105</c:v>
                </c:pt>
                <c:pt idx="31">
                  <c:v>127</c:v>
                </c:pt>
                <c:pt idx="32">
                  <c:v>112</c:v>
                </c:pt>
                <c:pt idx="33">
                  <c:v>134</c:v>
                </c:pt>
                <c:pt idx="34">
                  <c:v>152</c:v>
                </c:pt>
                <c:pt idx="35">
                  <c:v>94</c:v>
                </c:pt>
                <c:pt idx="36">
                  <c:v>82</c:v>
                </c:pt>
                <c:pt idx="37">
                  <c:v>100</c:v>
                </c:pt>
                <c:pt idx="38">
                  <c:v>72</c:v>
                </c:pt>
                <c:pt idx="39">
                  <c:v>68</c:v>
                </c:pt>
                <c:pt idx="40">
                  <c:v>89</c:v>
                </c:pt>
                <c:pt idx="41">
                  <c:v>99</c:v>
                </c:pt>
                <c:pt idx="42">
                  <c:v>61</c:v>
                </c:pt>
                <c:pt idx="43">
                  <c:v>48</c:v>
                </c:pt>
                <c:pt idx="44">
                  <c:v>61</c:v>
                </c:pt>
                <c:pt idx="45">
                  <c:v>48</c:v>
                </c:pt>
                <c:pt idx="46">
                  <c:v>41</c:v>
                </c:pt>
                <c:pt idx="47">
                  <c:v>49</c:v>
                </c:pt>
                <c:pt idx="48">
                  <c:v>94</c:v>
                </c:pt>
                <c:pt idx="49">
                  <c:v>52</c:v>
                </c:pt>
                <c:pt idx="50">
                  <c:v>33</c:v>
                </c:pt>
                <c:pt idx="51">
                  <c:v>38</c:v>
                </c:pt>
                <c:pt idx="52">
                  <c:v>42</c:v>
                </c:pt>
                <c:pt idx="53">
                  <c:v>42</c:v>
                </c:pt>
                <c:pt idx="54">
                  <c:v>55</c:v>
                </c:pt>
                <c:pt idx="55">
                  <c:v>69</c:v>
                </c:pt>
                <c:pt idx="56">
                  <c:v>46</c:v>
                </c:pt>
                <c:pt idx="57">
                  <c:v>42</c:v>
                </c:pt>
                <c:pt idx="58">
                  <c:v>29</c:v>
                </c:pt>
                <c:pt idx="59">
                  <c:v>33</c:v>
                </c:pt>
                <c:pt idx="60">
                  <c:v>21</c:v>
                </c:pt>
                <c:pt idx="61">
                  <c:v>31</c:v>
                </c:pt>
                <c:pt idx="62">
                  <c:v>47</c:v>
                </c:pt>
                <c:pt idx="63">
                  <c:v>23</c:v>
                </c:pt>
                <c:pt idx="64">
                  <c:v>22</c:v>
                </c:pt>
                <c:pt idx="65">
                  <c:v>17</c:v>
                </c:pt>
                <c:pt idx="66">
                  <c:v>16</c:v>
                </c:pt>
                <c:pt idx="67">
                  <c:v>29</c:v>
                </c:pt>
                <c:pt idx="68">
                  <c:v>22</c:v>
                </c:pt>
                <c:pt idx="69">
                  <c:v>28</c:v>
                </c:pt>
                <c:pt idx="70">
                  <c:v>23</c:v>
                </c:pt>
                <c:pt idx="71">
                  <c:v>24</c:v>
                </c:pt>
                <c:pt idx="72">
                  <c:v>8</c:v>
                </c:pt>
                <c:pt idx="73">
                  <c:v>12</c:v>
                </c:pt>
                <c:pt idx="74">
                  <c:v>18</c:v>
                </c:pt>
                <c:pt idx="75">
                  <c:v>20</c:v>
                </c:pt>
                <c:pt idx="76">
                  <c:v>20</c:v>
                </c:pt>
                <c:pt idx="77">
                  <c:v>13</c:v>
                </c:pt>
                <c:pt idx="78">
                  <c:v>14</c:v>
                </c:pt>
                <c:pt idx="79">
                  <c:v>8</c:v>
                </c:pt>
                <c:pt idx="80">
                  <c:v>9</c:v>
                </c:pt>
                <c:pt idx="81">
                  <c:v>7</c:v>
                </c:pt>
                <c:pt idx="82">
                  <c:v>9</c:v>
                </c:pt>
                <c:pt idx="83">
                  <c:v>10</c:v>
                </c:pt>
                <c:pt idx="84">
                  <c:v>13</c:v>
                </c:pt>
                <c:pt idx="85">
                  <c:v>9</c:v>
                </c:pt>
                <c:pt idx="86">
                  <c:v>17</c:v>
                </c:pt>
                <c:pt idx="87">
                  <c:v>9</c:v>
                </c:pt>
                <c:pt idx="88">
                  <c:v>6</c:v>
                </c:pt>
                <c:pt idx="89">
                  <c:v>8</c:v>
                </c:pt>
              </c:numCache>
            </c:numRef>
          </c:val>
          <c:smooth val="0"/>
        </c:ser>
        <c:dLbls>
          <c:showLegendKey val="0"/>
          <c:showVal val="0"/>
          <c:showCatName val="0"/>
          <c:showSerName val="0"/>
          <c:showPercent val="0"/>
          <c:showBubbleSize val="0"/>
        </c:dLbls>
        <c:marker val="1"/>
        <c:smooth val="0"/>
        <c:axId val="6061056"/>
        <c:axId val="6063232"/>
      </c:lineChart>
      <c:catAx>
        <c:axId val="6061056"/>
        <c:scaling>
          <c:orientation val="minMax"/>
        </c:scaling>
        <c:delete val="0"/>
        <c:axPos val="b"/>
        <c:title>
          <c:tx>
            <c:rich>
              <a:bodyPr/>
              <a:lstStyle/>
              <a:p>
                <a:pPr>
                  <a:defRPr/>
                </a:pPr>
                <a:r>
                  <a:rPr lang="en-US"/>
                  <a:t>Number of days</a:t>
                </a:r>
              </a:p>
            </c:rich>
          </c:tx>
          <c:overlay val="0"/>
        </c:title>
        <c:majorTickMark val="out"/>
        <c:minorTickMark val="none"/>
        <c:tickLblPos val="nextTo"/>
        <c:crossAx val="6063232"/>
        <c:crosses val="autoZero"/>
        <c:auto val="1"/>
        <c:lblAlgn val="ctr"/>
        <c:lblOffset val="100"/>
        <c:tickLblSkip val="4"/>
        <c:noMultiLvlLbl val="0"/>
      </c:catAx>
      <c:valAx>
        <c:axId val="6063232"/>
        <c:scaling>
          <c:orientation val="minMax"/>
        </c:scaling>
        <c:delete val="0"/>
        <c:axPos val="l"/>
        <c:majorGridlines/>
        <c:title>
          <c:tx>
            <c:rich>
              <a:bodyPr rot="-5400000" vert="horz"/>
              <a:lstStyle/>
              <a:p>
                <a:pPr>
                  <a:defRPr/>
                </a:pPr>
                <a:r>
                  <a:rPr lang="en-US"/>
                  <a:t>Number of patients</a:t>
                </a:r>
              </a:p>
            </c:rich>
          </c:tx>
          <c:overlay val="0"/>
        </c:title>
        <c:numFmt formatCode="General" sourceLinked="1"/>
        <c:majorTickMark val="out"/>
        <c:minorTickMark val="none"/>
        <c:tickLblPos val="nextTo"/>
        <c:crossAx val="606105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'limited data + chart'!$B$1</c:f>
              <c:strCache>
                <c:ptCount val="1"/>
                <c:pt idx="0">
                  <c:v>Oral suspension 40 mg/mL, 105 mL</c:v>
                </c:pt>
              </c:strCache>
            </c:strRef>
          </c:tx>
          <c:spPr>
            <a:ln>
              <a:solidFill>
                <a:srgbClr val="C00000"/>
              </a:solidFill>
            </a:ln>
          </c:spPr>
          <c:marker>
            <c:symbol val="none"/>
          </c:marker>
          <c:val>
            <c:numRef>
              <c:f>'limited data + chart'!$B$3:$B$92</c:f>
              <c:numCache>
                <c:formatCode>General</c:formatCode>
                <c:ptCount val="90"/>
                <c:pt idx="0">
                  <c:v>21</c:v>
                </c:pt>
                <c:pt idx="1">
                  <c:v>9</c:v>
                </c:pt>
                <c:pt idx="2">
                  <c:v>14</c:v>
                </c:pt>
                <c:pt idx="3">
                  <c:v>15</c:v>
                </c:pt>
                <c:pt idx="4">
                  <c:v>23</c:v>
                </c:pt>
                <c:pt idx="5">
                  <c:v>25</c:v>
                </c:pt>
                <c:pt idx="6">
                  <c:v>49</c:v>
                </c:pt>
                <c:pt idx="7">
                  <c:v>22</c:v>
                </c:pt>
                <c:pt idx="8">
                  <c:v>20</c:v>
                </c:pt>
                <c:pt idx="9">
                  <c:v>12</c:v>
                </c:pt>
                <c:pt idx="10">
                  <c:v>14</c:v>
                </c:pt>
                <c:pt idx="11">
                  <c:v>19</c:v>
                </c:pt>
                <c:pt idx="12">
                  <c:v>22</c:v>
                </c:pt>
                <c:pt idx="13">
                  <c:v>40</c:v>
                </c:pt>
                <c:pt idx="14">
                  <c:v>21</c:v>
                </c:pt>
                <c:pt idx="15">
                  <c:v>30</c:v>
                </c:pt>
                <c:pt idx="16">
                  <c:v>14</c:v>
                </c:pt>
                <c:pt idx="17">
                  <c:v>19</c:v>
                </c:pt>
                <c:pt idx="18">
                  <c:v>24</c:v>
                </c:pt>
                <c:pt idx="19">
                  <c:v>43</c:v>
                </c:pt>
                <c:pt idx="20">
                  <c:v>60</c:v>
                </c:pt>
                <c:pt idx="21">
                  <c:v>51</c:v>
                </c:pt>
                <c:pt idx="22">
                  <c:v>48</c:v>
                </c:pt>
                <c:pt idx="23">
                  <c:v>40</c:v>
                </c:pt>
                <c:pt idx="24">
                  <c:v>47</c:v>
                </c:pt>
                <c:pt idx="25">
                  <c:v>41</c:v>
                </c:pt>
                <c:pt idx="26">
                  <c:v>48</c:v>
                </c:pt>
                <c:pt idx="27">
                  <c:v>118</c:v>
                </c:pt>
                <c:pt idx="28">
                  <c:v>88</c:v>
                </c:pt>
                <c:pt idx="29">
                  <c:v>55</c:v>
                </c:pt>
                <c:pt idx="30">
                  <c:v>76</c:v>
                </c:pt>
                <c:pt idx="31">
                  <c:v>62</c:v>
                </c:pt>
                <c:pt idx="32">
                  <c:v>60</c:v>
                </c:pt>
                <c:pt idx="33">
                  <c:v>65</c:v>
                </c:pt>
                <c:pt idx="34">
                  <c:v>89</c:v>
                </c:pt>
                <c:pt idx="35">
                  <c:v>75</c:v>
                </c:pt>
                <c:pt idx="36">
                  <c:v>38</c:v>
                </c:pt>
                <c:pt idx="37">
                  <c:v>42</c:v>
                </c:pt>
                <c:pt idx="38">
                  <c:v>44</c:v>
                </c:pt>
                <c:pt idx="39">
                  <c:v>41</c:v>
                </c:pt>
                <c:pt idx="40">
                  <c:v>44</c:v>
                </c:pt>
                <c:pt idx="41">
                  <c:v>56</c:v>
                </c:pt>
                <c:pt idx="42">
                  <c:v>33</c:v>
                </c:pt>
                <c:pt idx="43">
                  <c:v>45</c:v>
                </c:pt>
                <c:pt idx="44">
                  <c:v>29</c:v>
                </c:pt>
                <c:pt idx="45">
                  <c:v>25</c:v>
                </c:pt>
                <c:pt idx="46">
                  <c:v>18</c:v>
                </c:pt>
                <c:pt idx="47">
                  <c:v>27</c:v>
                </c:pt>
                <c:pt idx="48">
                  <c:v>33</c:v>
                </c:pt>
                <c:pt idx="49">
                  <c:v>24</c:v>
                </c:pt>
                <c:pt idx="50">
                  <c:v>16</c:v>
                </c:pt>
                <c:pt idx="51">
                  <c:v>16</c:v>
                </c:pt>
                <c:pt idx="52">
                  <c:v>15</c:v>
                </c:pt>
                <c:pt idx="53">
                  <c:v>13</c:v>
                </c:pt>
                <c:pt idx="54">
                  <c:v>21</c:v>
                </c:pt>
                <c:pt idx="55">
                  <c:v>32</c:v>
                </c:pt>
                <c:pt idx="56">
                  <c:v>19</c:v>
                </c:pt>
                <c:pt idx="57">
                  <c:v>11</c:v>
                </c:pt>
                <c:pt idx="58">
                  <c:v>15</c:v>
                </c:pt>
                <c:pt idx="59">
                  <c:v>18</c:v>
                </c:pt>
                <c:pt idx="60">
                  <c:v>10</c:v>
                </c:pt>
                <c:pt idx="61">
                  <c:v>7</c:v>
                </c:pt>
                <c:pt idx="62">
                  <c:v>18</c:v>
                </c:pt>
                <c:pt idx="63">
                  <c:v>10</c:v>
                </c:pt>
                <c:pt idx="64">
                  <c:v>8</c:v>
                </c:pt>
                <c:pt idx="65">
                  <c:v>5</c:v>
                </c:pt>
                <c:pt idx="66">
                  <c:v>11</c:v>
                </c:pt>
                <c:pt idx="67">
                  <c:v>13</c:v>
                </c:pt>
                <c:pt idx="68">
                  <c:v>11</c:v>
                </c:pt>
                <c:pt idx="69">
                  <c:v>10</c:v>
                </c:pt>
                <c:pt idx="70">
                  <c:v>5</c:v>
                </c:pt>
                <c:pt idx="71">
                  <c:v>7</c:v>
                </c:pt>
                <c:pt idx="72">
                  <c:v>6</c:v>
                </c:pt>
                <c:pt idx="73">
                  <c:v>10</c:v>
                </c:pt>
                <c:pt idx="74">
                  <c:v>4</c:v>
                </c:pt>
                <c:pt idx="75">
                  <c:v>12</c:v>
                </c:pt>
                <c:pt idx="76">
                  <c:v>6</c:v>
                </c:pt>
                <c:pt idx="77">
                  <c:v>7</c:v>
                </c:pt>
                <c:pt idx="78">
                  <c:v>3</c:v>
                </c:pt>
                <c:pt idx="79">
                  <c:v>4</c:v>
                </c:pt>
                <c:pt idx="80">
                  <c:v>3</c:v>
                </c:pt>
                <c:pt idx="81">
                  <c:v>4</c:v>
                </c:pt>
                <c:pt idx="82">
                  <c:v>7</c:v>
                </c:pt>
                <c:pt idx="83">
                  <c:v>6</c:v>
                </c:pt>
                <c:pt idx="84">
                  <c:v>2</c:v>
                </c:pt>
                <c:pt idx="85">
                  <c:v>3</c:v>
                </c:pt>
                <c:pt idx="86">
                  <c:v>6</c:v>
                </c:pt>
                <c:pt idx="87">
                  <c:v>3</c:v>
                </c:pt>
                <c:pt idx="88">
                  <c:v>4</c:v>
                </c:pt>
                <c:pt idx="89">
                  <c:v>2</c:v>
                </c:pt>
              </c:numCache>
            </c:numRef>
          </c:val>
          <c:smooth val="0"/>
        </c:ser>
        <c:ser>
          <c:idx val="1"/>
          <c:order val="1"/>
          <c:tx>
            <c:strRef>
              <c:f>'limited data + chart'!$D$1</c:f>
              <c:strCache>
                <c:ptCount val="1"/>
                <c:pt idx="0">
                  <c:v>Tablet (modified release) 100 mg</c:v>
                </c:pt>
              </c:strCache>
            </c:strRef>
          </c:tx>
          <c:spPr>
            <a:ln>
              <a:solidFill>
                <a:schemeClr val="tx2"/>
              </a:solidFill>
            </a:ln>
          </c:spPr>
          <c:marker>
            <c:symbol val="none"/>
          </c:marker>
          <c:val>
            <c:numRef>
              <c:f>'limited data + chart'!$D$3:$D$92</c:f>
              <c:numCache>
                <c:formatCode>General</c:formatCode>
                <c:ptCount val="90"/>
                <c:pt idx="0">
                  <c:v>13</c:v>
                </c:pt>
                <c:pt idx="1">
                  <c:v>15</c:v>
                </c:pt>
                <c:pt idx="2">
                  <c:v>15</c:v>
                </c:pt>
                <c:pt idx="3">
                  <c:v>9</c:v>
                </c:pt>
                <c:pt idx="4">
                  <c:v>19</c:v>
                </c:pt>
                <c:pt idx="5">
                  <c:v>24</c:v>
                </c:pt>
                <c:pt idx="6">
                  <c:v>40</c:v>
                </c:pt>
                <c:pt idx="7">
                  <c:v>29</c:v>
                </c:pt>
                <c:pt idx="8">
                  <c:v>23</c:v>
                </c:pt>
                <c:pt idx="9">
                  <c:v>29</c:v>
                </c:pt>
                <c:pt idx="10">
                  <c:v>19</c:v>
                </c:pt>
                <c:pt idx="11">
                  <c:v>28</c:v>
                </c:pt>
                <c:pt idx="12">
                  <c:v>29</c:v>
                </c:pt>
                <c:pt idx="13">
                  <c:v>57</c:v>
                </c:pt>
                <c:pt idx="14">
                  <c:v>39</c:v>
                </c:pt>
                <c:pt idx="15">
                  <c:v>44</c:v>
                </c:pt>
                <c:pt idx="16">
                  <c:v>47</c:v>
                </c:pt>
                <c:pt idx="17">
                  <c:v>34</c:v>
                </c:pt>
                <c:pt idx="18">
                  <c:v>33</c:v>
                </c:pt>
                <c:pt idx="19">
                  <c:v>59</c:v>
                </c:pt>
                <c:pt idx="20">
                  <c:v>111</c:v>
                </c:pt>
                <c:pt idx="21">
                  <c:v>71</c:v>
                </c:pt>
                <c:pt idx="22">
                  <c:v>49</c:v>
                </c:pt>
                <c:pt idx="23">
                  <c:v>66</c:v>
                </c:pt>
                <c:pt idx="24">
                  <c:v>83</c:v>
                </c:pt>
                <c:pt idx="25">
                  <c:v>75</c:v>
                </c:pt>
                <c:pt idx="26">
                  <c:v>86</c:v>
                </c:pt>
                <c:pt idx="27">
                  <c:v>170</c:v>
                </c:pt>
                <c:pt idx="28">
                  <c:v>102</c:v>
                </c:pt>
                <c:pt idx="29">
                  <c:v>104</c:v>
                </c:pt>
                <c:pt idx="30">
                  <c:v>80</c:v>
                </c:pt>
                <c:pt idx="31">
                  <c:v>91</c:v>
                </c:pt>
                <c:pt idx="32">
                  <c:v>93</c:v>
                </c:pt>
                <c:pt idx="33">
                  <c:v>103</c:v>
                </c:pt>
                <c:pt idx="34">
                  <c:v>136</c:v>
                </c:pt>
                <c:pt idx="35">
                  <c:v>57</c:v>
                </c:pt>
                <c:pt idx="36">
                  <c:v>49</c:v>
                </c:pt>
                <c:pt idx="37">
                  <c:v>53</c:v>
                </c:pt>
                <c:pt idx="38">
                  <c:v>44</c:v>
                </c:pt>
                <c:pt idx="39">
                  <c:v>40</c:v>
                </c:pt>
                <c:pt idx="40">
                  <c:v>49</c:v>
                </c:pt>
                <c:pt idx="41">
                  <c:v>61</c:v>
                </c:pt>
                <c:pt idx="42">
                  <c:v>46</c:v>
                </c:pt>
                <c:pt idx="43">
                  <c:v>29</c:v>
                </c:pt>
                <c:pt idx="44">
                  <c:v>36</c:v>
                </c:pt>
                <c:pt idx="45">
                  <c:v>18</c:v>
                </c:pt>
                <c:pt idx="46">
                  <c:v>22</c:v>
                </c:pt>
                <c:pt idx="47">
                  <c:v>31</c:v>
                </c:pt>
                <c:pt idx="48">
                  <c:v>31</c:v>
                </c:pt>
                <c:pt idx="49">
                  <c:v>22</c:v>
                </c:pt>
                <c:pt idx="50">
                  <c:v>29</c:v>
                </c:pt>
                <c:pt idx="51">
                  <c:v>13</c:v>
                </c:pt>
                <c:pt idx="52">
                  <c:v>15</c:v>
                </c:pt>
                <c:pt idx="53">
                  <c:v>17</c:v>
                </c:pt>
                <c:pt idx="54">
                  <c:v>18</c:v>
                </c:pt>
                <c:pt idx="55">
                  <c:v>37</c:v>
                </c:pt>
                <c:pt idx="56">
                  <c:v>12</c:v>
                </c:pt>
                <c:pt idx="57">
                  <c:v>19</c:v>
                </c:pt>
                <c:pt idx="58">
                  <c:v>14</c:v>
                </c:pt>
                <c:pt idx="59">
                  <c:v>8</c:v>
                </c:pt>
                <c:pt idx="60">
                  <c:v>13</c:v>
                </c:pt>
                <c:pt idx="61">
                  <c:v>7</c:v>
                </c:pt>
                <c:pt idx="62">
                  <c:v>15</c:v>
                </c:pt>
                <c:pt idx="63">
                  <c:v>9</c:v>
                </c:pt>
                <c:pt idx="64">
                  <c:v>10</c:v>
                </c:pt>
                <c:pt idx="65">
                  <c:v>12</c:v>
                </c:pt>
                <c:pt idx="66">
                  <c:v>13</c:v>
                </c:pt>
                <c:pt idx="67">
                  <c:v>11</c:v>
                </c:pt>
                <c:pt idx="68">
                  <c:v>6</c:v>
                </c:pt>
                <c:pt idx="69">
                  <c:v>11</c:v>
                </c:pt>
                <c:pt idx="70">
                  <c:v>5</c:v>
                </c:pt>
                <c:pt idx="71">
                  <c:v>4</c:v>
                </c:pt>
                <c:pt idx="72">
                  <c:v>1</c:v>
                </c:pt>
                <c:pt idx="73">
                  <c:v>6</c:v>
                </c:pt>
                <c:pt idx="74">
                  <c:v>7</c:v>
                </c:pt>
                <c:pt idx="75">
                  <c:v>3</c:v>
                </c:pt>
                <c:pt idx="76">
                  <c:v>6</c:v>
                </c:pt>
                <c:pt idx="77">
                  <c:v>7</c:v>
                </c:pt>
                <c:pt idx="78">
                  <c:v>2</c:v>
                </c:pt>
                <c:pt idx="79">
                  <c:v>3</c:v>
                </c:pt>
                <c:pt idx="80">
                  <c:v>3</c:v>
                </c:pt>
                <c:pt idx="81">
                  <c:v>6</c:v>
                </c:pt>
                <c:pt idx="82">
                  <c:v>6</c:v>
                </c:pt>
                <c:pt idx="83">
                  <c:v>7</c:v>
                </c:pt>
                <c:pt idx="84">
                  <c:v>1</c:v>
                </c:pt>
                <c:pt idx="85">
                  <c:v>4</c:v>
                </c:pt>
                <c:pt idx="86">
                  <c:v>2</c:v>
                </c:pt>
                <c:pt idx="87">
                  <c:v>1</c:v>
                </c:pt>
                <c:pt idx="88">
                  <c:v>3</c:v>
                </c:pt>
                <c:pt idx="89">
                  <c:v>4</c:v>
                </c:pt>
              </c:numCache>
            </c:numRef>
          </c:val>
          <c:smooth val="0"/>
        </c:ser>
        <c:dLbls>
          <c:showLegendKey val="0"/>
          <c:showVal val="0"/>
          <c:showCatName val="0"/>
          <c:showSerName val="0"/>
          <c:showPercent val="0"/>
          <c:showBubbleSize val="0"/>
        </c:dLbls>
        <c:marker val="1"/>
        <c:smooth val="0"/>
        <c:axId val="6072576"/>
        <c:axId val="6074752"/>
      </c:lineChart>
      <c:catAx>
        <c:axId val="6072576"/>
        <c:scaling>
          <c:orientation val="minMax"/>
        </c:scaling>
        <c:delete val="0"/>
        <c:axPos val="b"/>
        <c:title>
          <c:tx>
            <c:rich>
              <a:bodyPr/>
              <a:lstStyle/>
              <a:p>
                <a:pPr>
                  <a:defRPr/>
                </a:pPr>
                <a:r>
                  <a:rPr lang="en-AU"/>
                  <a:t>Number of days</a:t>
                </a:r>
              </a:p>
            </c:rich>
          </c:tx>
          <c:overlay val="0"/>
        </c:title>
        <c:majorTickMark val="out"/>
        <c:minorTickMark val="none"/>
        <c:tickLblPos val="nextTo"/>
        <c:crossAx val="6074752"/>
        <c:crosses val="autoZero"/>
        <c:auto val="1"/>
        <c:lblAlgn val="ctr"/>
        <c:lblOffset val="100"/>
        <c:tickLblSkip val="4"/>
        <c:noMultiLvlLbl val="0"/>
      </c:catAx>
      <c:valAx>
        <c:axId val="6074752"/>
        <c:scaling>
          <c:orientation val="minMax"/>
        </c:scaling>
        <c:delete val="0"/>
        <c:axPos val="l"/>
        <c:majorGridlines/>
        <c:title>
          <c:tx>
            <c:rich>
              <a:bodyPr rot="-5400000" vert="horz"/>
              <a:lstStyle/>
              <a:p>
                <a:pPr>
                  <a:defRPr/>
                </a:pPr>
                <a:r>
                  <a:rPr lang="en-AU"/>
                  <a:t>Number of patients</a:t>
                </a:r>
              </a:p>
            </c:rich>
          </c:tx>
          <c:overlay val="0"/>
        </c:title>
        <c:numFmt formatCode="General" sourceLinked="1"/>
        <c:majorTickMark val="out"/>
        <c:minorTickMark val="none"/>
        <c:tickLblPos val="nextTo"/>
        <c:crossAx val="6072576"/>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[expenditure_all_antifungals.xlsx]Sheet1!PivotTable1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s>
    <c:plotArea>
      <c:layout/>
      <c:areaChart>
        <c:grouping val="stacked"/>
        <c:varyColors val="0"/>
        <c:ser>
          <c:idx val="0"/>
          <c:order val="0"/>
          <c:tx>
            <c:strRef>
              <c:f>Sheet1!$B$3:$B$4</c:f>
              <c:strCache>
                <c:ptCount val="1"/>
                <c:pt idx="0">
                  <c:v>FLUCONAZOLE</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Sheet1!$B$5:$B$65</c:f>
              <c:numCache>
                <c:formatCode>General</c:formatCode>
                <c:ptCount val="60"/>
                <c:pt idx="0">
                  <c:v>256213.33000000159</c:v>
                </c:pt>
                <c:pt idx="1">
                  <c:v>245786.43000000069</c:v>
                </c:pt>
                <c:pt idx="2">
                  <c:v>271995.06000000151</c:v>
                </c:pt>
                <c:pt idx="3">
                  <c:v>278065.55000000156</c:v>
                </c:pt>
                <c:pt idx="4">
                  <c:v>290850.65000000241</c:v>
                </c:pt>
                <c:pt idx="5">
                  <c:v>262216.21000000159</c:v>
                </c:pt>
                <c:pt idx="6">
                  <c:v>292418.06999999768</c:v>
                </c:pt>
                <c:pt idx="7">
                  <c:v>231155.18999999814</c:v>
                </c:pt>
                <c:pt idx="8">
                  <c:v>235997.08999999808</c:v>
                </c:pt>
                <c:pt idx="9">
                  <c:v>254753.19999999809</c:v>
                </c:pt>
                <c:pt idx="10">
                  <c:v>248858.30999999819</c:v>
                </c:pt>
                <c:pt idx="11">
                  <c:v>301497.59999999712</c:v>
                </c:pt>
                <c:pt idx="12">
                  <c:v>213077.58999999924</c:v>
                </c:pt>
                <c:pt idx="13">
                  <c:v>203419.48000000024</c:v>
                </c:pt>
                <c:pt idx="14">
                  <c:v>225704.10999999929</c:v>
                </c:pt>
                <c:pt idx="15">
                  <c:v>181792.13999999996</c:v>
                </c:pt>
                <c:pt idx="16">
                  <c:v>195230.07000000082</c:v>
                </c:pt>
                <c:pt idx="17">
                  <c:v>187074.99000000083</c:v>
                </c:pt>
                <c:pt idx="18">
                  <c:v>211116.21000000052</c:v>
                </c:pt>
                <c:pt idx="19">
                  <c:v>205181.70999999947</c:v>
                </c:pt>
                <c:pt idx="20">
                  <c:v>218182.5200000006</c:v>
                </c:pt>
                <c:pt idx="21">
                  <c:v>202576.63000000201</c:v>
                </c:pt>
                <c:pt idx="22">
                  <c:v>180041.520000002</c:v>
                </c:pt>
                <c:pt idx="23">
                  <c:v>229014.0000000016</c:v>
                </c:pt>
                <c:pt idx="24">
                  <c:v>152915.61999999965</c:v>
                </c:pt>
                <c:pt idx="25">
                  <c:v>156238.57999999964</c:v>
                </c:pt>
                <c:pt idx="26">
                  <c:v>178360.61999999947</c:v>
                </c:pt>
                <c:pt idx="27">
                  <c:v>173728.40999999957</c:v>
                </c:pt>
                <c:pt idx="28">
                  <c:v>165094.18999999965</c:v>
                </c:pt>
                <c:pt idx="29">
                  <c:v>174535.89999999964</c:v>
                </c:pt>
                <c:pt idx="30">
                  <c:v>175220.67999999929</c:v>
                </c:pt>
                <c:pt idx="31">
                  <c:v>170846.71000000028</c:v>
                </c:pt>
                <c:pt idx="32">
                  <c:v>184176.94000000021</c:v>
                </c:pt>
                <c:pt idx="33">
                  <c:v>166517.88000000009</c:v>
                </c:pt>
                <c:pt idx="34">
                  <c:v>166499.95000000001</c:v>
                </c:pt>
                <c:pt idx="35">
                  <c:v>199824.54999999978</c:v>
                </c:pt>
                <c:pt idx="36">
                  <c:v>121734.6600000004</c:v>
                </c:pt>
                <c:pt idx="37">
                  <c:v>137533.1000000005</c:v>
                </c:pt>
                <c:pt idx="38">
                  <c:v>145952.66000000079</c:v>
                </c:pt>
                <c:pt idx="39">
                  <c:v>162806.89000000129</c:v>
                </c:pt>
                <c:pt idx="40">
                  <c:v>174059.65000000049</c:v>
                </c:pt>
                <c:pt idx="41">
                  <c:v>169693.36000000048</c:v>
                </c:pt>
                <c:pt idx="42">
                  <c:v>173895.9200000001</c:v>
                </c:pt>
                <c:pt idx="43">
                  <c:v>200965.4699999989</c:v>
                </c:pt>
                <c:pt idx="44">
                  <c:v>200313.60000000001</c:v>
                </c:pt>
                <c:pt idx="45">
                  <c:v>176101.14000000071</c:v>
                </c:pt>
                <c:pt idx="46">
                  <c:v>186839.00000000087</c:v>
                </c:pt>
                <c:pt idx="47">
                  <c:v>222621.57000000111</c:v>
                </c:pt>
                <c:pt idx="48">
                  <c:v>149484.84999999902</c:v>
                </c:pt>
                <c:pt idx="49">
                  <c:v>157667.1999999992</c:v>
                </c:pt>
                <c:pt idx="50">
                  <c:v>180781.42999999871</c:v>
                </c:pt>
                <c:pt idx="51">
                  <c:v>163155.2899999994</c:v>
                </c:pt>
                <c:pt idx="52">
                  <c:v>187078.62999999861</c:v>
                </c:pt>
                <c:pt idx="53">
                  <c:v>173722.9599999997</c:v>
                </c:pt>
                <c:pt idx="54">
                  <c:v>183683.84999999718</c:v>
                </c:pt>
                <c:pt idx="55">
                  <c:v>193126.66999999818</c:v>
                </c:pt>
                <c:pt idx="56">
                  <c:v>185590.57999999728</c:v>
                </c:pt>
                <c:pt idx="57">
                  <c:v>169412.77000000191</c:v>
                </c:pt>
                <c:pt idx="58">
                  <c:v>175138.48000000353</c:v>
                </c:pt>
                <c:pt idx="59">
                  <c:v>193396.32000000268</c:v>
                </c:pt>
              </c:numCache>
            </c:numRef>
          </c:val>
        </c:ser>
        <c:ser>
          <c:idx val="1"/>
          <c:order val="1"/>
          <c:tx>
            <c:strRef>
              <c:f>Sheet1!$C$3:$C$4</c:f>
              <c:strCache>
                <c:ptCount val="1"/>
                <c:pt idx="0">
                  <c:v>ITRACONAZOLE</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Sheet1!$C$5:$C$65</c:f>
              <c:numCache>
                <c:formatCode>General</c:formatCode>
                <c:ptCount val="60"/>
                <c:pt idx="0">
                  <c:v>160114.23000000001</c:v>
                </c:pt>
                <c:pt idx="1">
                  <c:v>176687.12</c:v>
                </c:pt>
                <c:pt idx="2">
                  <c:v>187939.7</c:v>
                </c:pt>
                <c:pt idx="3">
                  <c:v>189391.24999999901</c:v>
                </c:pt>
                <c:pt idx="4">
                  <c:v>214687.77</c:v>
                </c:pt>
                <c:pt idx="5">
                  <c:v>188906.15</c:v>
                </c:pt>
                <c:pt idx="6">
                  <c:v>208819.82</c:v>
                </c:pt>
                <c:pt idx="7">
                  <c:v>224336.19</c:v>
                </c:pt>
                <c:pt idx="8">
                  <c:v>199626.92</c:v>
                </c:pt>
                <c:pt idx="9">
                  <c:v>221375.62</c:v>
                </c:pt>
                <c:pt idx="10">
                  <c:v>196531.14</c:v>
                </c:pt>
                <c:pt idx="11">
                  <c:v>285070.77999999898</c:v>
                </c:pt>
                <c:pt idx="12">
                  <c:v>190513.55</c:v>
                </c:pt>
                <c:pt idx="13">
                  <c:v>180970.4</c:v>
                </c:pt>
                <c:pt idx="14">
                  <c:v>206093.86</c:v>
                </c:pt>
                <c:pt idx="15">
                  <c:v>207610.980000001</c:v>
                </c:pt>
                <c:pt idx="16">
                  <c:v>232662.90000000101</c:v>
                </c:pt>
                <c:pt idx="17">
                  <c:v>235879.33</c:v>
                </c:pt>
                <c:pt idx="18">
                  <c:v>220928.63000000201</c:v>
                </c:pt>
                <c:pt idx="19">
                  <c:v>238424.460000002</c:v>
                </c:pt>
                <c:pt idx="20">
                  <c:v>243630.22000000201</c:v>
                </c:pt>
                <c:pt idx="21">
                  <c:v>249826.85000000201</c:v>
                </c:pt>
                <c:pt idx="22">
                  <c:v>230762.97000000201</c:v>
                </c:pt>
                <c:pt idx="23">
                  <c:v>307077.60000000201</c:v>
                </c:pt>
                <c:pt idx="24">
                  <c:v>197016.659999998</c:v>
                </c:pt>
                <c:pt idx="25">
                  <c:v>186806.64999999799</c:v>
                </c:pt>
                <c:pt idx="26">
                  <c:v>250125.17999999801</c:v>
                </c:pt>
                <c:pt idx="27">
                  <c:v>230893.42999999801</c:v>
                </c:pt>
                <c:pt idx="28">
                  <c:v>226974.26999999801</c:v>
                </c:pt>
                <c:pt idx="29">
                  <c:v>246529.229999998</c:v>
                </c:pt>
                <c:pt idx="30">
                  <c:v>216593.13</c:v>
                </c:pt>
                <c:pt idx="31">
                  <c:v>231566.83</c:v>
                </c:pt>
                <c:pt idx="32">
                  <c:v>237525.53000000099</c:v>
                </c:pt>
                <c:pt idx="33">
                  <c:v>240422.00000000099</c:v>
                </c:pt>
                <c:pt idx="34">
                  <c:v>245509.540000001</c:v>
                </c:pt>
                <c:pt idx="35">
                  <c:v>329267.28000000102</c:v>
                </c:pt>
                <c:pt idx="36">
                  <c:v>186937.76000000199</c:v>
                </c:pt>
                <c:pt idx="37">
                  <c:v>213261.98000000199</c:v>
                </c:pt>
                <c:pt idx="38">
                  <c:v>225489.29000000199</c:v>
                </c:pt>
                <c:pt idx="39">
                  <c:v>217337.370000002</c:v>
                </c:pt>
                <c:pt idx="40">
                  <c:v>241469.10000000198</c:v>
                </c:pt>
                <c:pt idx="41">
                  <c:v>239481.14000000199</c:v>
                </c:pt>
                <c:pt idx="42">
                  <c:v>253431.29999999798</c:v>
                </c:pt>
                <c:pt idx="43">
                  <c:v>279877.38999999699</c:v>
                </c:pt>
                <c:pt idx="44">
                  <c:v>270659.74999999808</c:v>
                </c:pt>
                <c:pt idx="45">
                  <c:v>281732.349999998</c:v>
                </c:pt>
                <c:pt idx="46">
                  <c:v>318204.57999999798</c:v>
                </c:pt>
                <c:pt idx="47">
                  <c:v>192144.50999999908</c:v>
                </c:pt>
                <c:pt idx="48">
                  <c:v>135751.7100000011</c:v>
                </c:pt>
                <c:pt idx="49">
                  <c:v>146009.4400000012</c:v>
                </c:pt>
                <c:pt idx="50">
                  <c:v>179763.6900000014</c:v>
                </c:pt>
                <c:pt idx="51">
                  <c:v>161110.33000000121</c:v>
                </c:pt>
                <c:pt idx="52">
                  <c:v>169987.1500000013</c:v>
                </c:pt>
                <c:pt idx="53">
                  <c:v>176081.19000000128</c:v>
                </c:pt>
                <c:pt idx="54">
                  <c:v>178634.4000000011</c:v>
                </c:pt>
                <c:pt idx="55">
                  <c:v>191189.98000000019</c:v>
                </c:pt>
                <c:pt idx="56">
                  <c:v>190630.97000000119</c:v>
                </c:pt>
                <c:pt idx="57">
                  <c:v>208241.92000000022</c:v>
                </c:pt>
                <c:pt idx="58">
                  <c:v>197429.08000000031</c:v>
                </c:pt>
                <c:pt idx="59">
                  <c:v>230467.13999999937</c:v>
                </c:pt>
              </c:numCache>
            </c:numRef>
          </c:val>
        </c:ser>
        <c:ser>
          <c:idx val="2"/>
          <c:order val="2"/>
          <c:tx>
            <c:strRef>
              <c:f>Sheet1!$D$3:$D$4</c:f>
              <c:strCache>
                <c:ptCount val="1"/>
                <c:pt idx="0">
                  <c:v>POSACONAZOLE</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Sheet1!$D$5:$D$65</c:f>
              <c:numCache>
                <c:formatCode>General</c:formatCode>
                <c:ptCount val="60"/>
                <c:pt idx="0">
                  <c:v>874011.77</c:v>
                </c:pt>
                <c:pt idx="1">
                  <c:v>802595.65999999898</c:v>
                </c:pt>
                <c:pt idx="2">
                  <c:v>834298.89999999898</c:v>
                </c:pt>
                <c:pt idx="3">
                  <c:v>829764.27</c:v>
                </c:pt>
                <c:pt idx="4">
                  <c:v>1055244.55</c:v>
                </c:pt>
                <c:pt idx="5">
                  <c:v>968008.24999999895</c:v>
                </c:pt>
                <c:pt idx="6">
                  <c:v>1034287.59</c:v>
                </c:pt>
                <c:pt idx="7">
                  <c:v>863054.30999999901</c:v>
                </c:pt>
                <c:pt idx="8">
                  <c:v>901022.26999999897</c:v>
                </c:pt>
                <c:pt idx="9">
                  <c:v>941769.02</c:v>
                </c:pt>
                <c:pt idx="10">
                  <c:v>937525.94</c:v>
                </c:pt>
                <c:pt idx="11">
                  <c:v>971347.7</c:v>
                </c:pt>
                <c:pt idx="12">
                  <c:v>855767.75</c:v>
                </c:pt>
                <c:pt idx="13">
                  <c:v>864041.06999999902</c:v>
                </c:pt>
                <c:pt idx="14">
                  <c:v>954136.35</c:v>
                </c:pt>
                <c:pt idx="15">
                  <c:v>995245.33</c:v>
                </c:pt>
                <c:pt idx="16">
                  <c:v>911243.93</c:v>
                </c:pt>
                <c:pt idx="17">
                  <c:v>868281.1</c:v>
                </c:pt>
                <c:pt idx="18">
                  <c:v>936777.21999999904</c:v>
                </c:pt>
                <c:pt idx="19">
                  <c:v>906380.84</c:v>
                </c:pt>
                <c:pt idx="20">
                  <c:v>1062553.68</c:v>
                </c:pt>
                <c:pt idx="21">
                  <c:v>1051875.97</c:v>
                </c:pt>
                <c:pt idx="22">
                  <c:v>1024380.67</c:v>
                </c:pt>
                <c:pt idx="23">
                  <c:v>1168496.8600000001</c:v>
                </c:pt>
                <c:pt idx="24">
                  <c:v>936521.12</c:v>
                </c:pt>
                <c:pt idx="25">
                  <c:v>911617.04000000097</c:v>
                </c:pt>
                <c:pt idx="26">
                  <c:v>1116778.3600000001</c:v>
                </c:pt>
                <c:pt idx="27">
                  <c:v>1223751.31</c:v>
                </c:pt>
                <c:pt idx="28">
                  <c:v>1049489.57</c:v>
                </c:pt>
                <c:pt idx="29">
                  <c:v>1195538.01</c:v>
                </c:pt>
                <c:pt idx="30">
                  <c:v>1092279.22</c:v>
                </c:pt>
                <c:pt idx="31">
                  <c:v>1023329.83</c:v>
                </c:pt>
                <c:pt idx="32">
                  <c:v>1295830.6900000011</c:v>
                </c:pt>
                <c:pt idx="33">
                  <c:v>1434705.7300000009</c:v>
                </c:pt>
                <c:pt idx="34">
                  <c:v>1388294.4400000009</c:v>
                </c:pt>
                <c:pt idx="35">
                  <c:v>1810272.4000000001</c:v>
                </c:pt>
                <c:pt idx="36">
                  <c:v>1468313.6600000001</c:v>
                </c:pt>
                <c:pt idx="37">
                  <c:v>1595685.6299999901</c:v>
                </c:pt>
                <c:pt idx="38">
                  <c:v>1876520.8599999999</c:v>
                </c:pt>
                <c:pt idx="39">
                  <c:v>1800271.0699999998</c:v>
                </c:pt>
                <c:pt idx="40">
                  <c:v>1775396.7400000002</c:v>
                </c:pt>
                <c:pt idx="41">
                  <c:v>1967442.27</c:v>
                </c:pt>
                <c:pt idx="42">
                  <c:v>1911602.39</c:v>
                </c:pt>
                <c:pt idx="43">
                  <c:v>2134627.86</c:v>
                </c:pt>
                <c:pt idx="44">
                  <c:v>2133724.9399999902</c:v>
                </c:pt>
                <c:pt idx="45">
                  <c:v>2226928.25</c:v>
                </c:pt>
                <c:pt idx="46">
                  <c:v>2247016.0399999898</c:v>
                </c:pt>
                <c:pt idx="47">
                  <c:v>2584539.19</c:v>
                </c:pt>
                <c:pt idx="48">
                  <c:v>2029555.8999999799</c:v>
                </c:pt>
                <c:pt idx="49">
                  <c:v>1794958.26000001</c:v>
                </c:pt>
                <c:pt idx="50">
                  <c:v>2322483.3399999901</c:v>
                </c:pt>
                <c:pt idx="51">
                  <c:v>1981130.23</c:v>
                </c:pt>
                <c:pt idx="52">
                  <c:v>2465327.6599999904</c:v>
                </c:pt>
                <c:pt idx="53">
                  <c:v>2417105.29</c:v>
                </c:pt>
                <c:pt idx="54">
                  <c:v>2218520.9499999802</c:v>
                </c:pt>
                <c:pt idx="55">
                  <c:v>2419482.9099999899</c:v>
                </c:pt>
                <c:pt idx="56">
                  <c:v>2232044.7799999802</c:v>
                </c:pt>
                <c:pt idx="57">
                  <c:v>2497981.3499999898</c:v>
                </c:pt>
                <c:pt idx="58">
                  <c:v>2501184.6099999901</c:v>
                </c:pt>
                <c:pt idx="59">
                  <c:v>2935408.8599999901</c:v>
                </c:pt>
              </c:numCache>
            </c:numRef>
          </c:val>
        </c:ser>
        <c:ser>
          <c:idx val="3"/>
          <c:order val="3"/>
          <c:tx>
            <c:strRef>
              <c:f>Sheet1!$E$3:$E$4</c:f>
              <c:strCache>
                <c:ptCount val="1"/>
                <c:pt idx="0">
                  <c:v>VORICONAZOLE</c:v>
                </c:pt>
              </c:strCache>
            </c:strRef>
          </c:tx>
          <c:cat>
            <c:strRef>
              <c:f>Sheet1!$A$5:$A$65</c:f>
              <c:strCache>
                <c:ptCount val="60"/>
                <c:pt idx="0">
                  <c:v>201301</c:v>
                </c:pt>
                <c:pt idx="1">
                  <c:v>201302</c:v>
                </c:pt>
                <c:pt idx="2">
                  <c:v>201303</c:v>
                </c:pt>
                <c:pt idx="3">
                  <c:v>201304</c:v>
                </c:pt>
                <c:pt idx="4">
                  <c:v>201305</c:v>
                </c:pt>
                <c:pt idx="5">
                  <c:v>201306</c:v>
                </c:pt>
                <c:pt idx="6">
                  <c:v>201307</c:v>
                </c:pt>
                <c:pt idx="7">
                  <c:v>201308</c:v>
                </c:pt>
                <c:pt idx="8">
                  <c:v>201309</c:v>
                </c:pt>
                <c:pt idx="9">
                  <c:v>201310</c:v>
                </c:pt>
                <c:pt idx="10">
                  <c:v>201311</c:v>
                </c:pt>
                <c:pt idx="11">
                  <c:v>201312</c:v>
                </c:pt>
                <c:pt idx="12">
                  <c:v>201401</c:v>
                </c:pt>
                <c:pt idx="13">
                  <c:v>201402</c:v>
                </c:pt>
                <c:pt idx="14">
                  <c:v>201403</c:v>
                </c:pt>
                <c:pt idx="15">
                  <c:v>201404</c:v>
                </c:pt>
                <c:pt idx="16">
                  <c:v>201405</c:v>
                </c:pt>
                <c:pt idx="17">
                  <c:v>201406</c:v>
                </c:pt>
                <c:pt idx="18">
                  <c:v>201407</c:v>
                </c:pt>
                <c:pt idx="19">
                  <c:v>201408</c:v>
                </c:pt>
                <c:pt idx="20">
                  <c:v>201409</c:v>
                </c:pt>
                <c:pt idx="21">
                  <c:v>201410</c:v>
                </c:pt>
                <c:pt idx="22">
                  <c:v>201411</c:v>
                </c:pt>
                <c:pt idx="23">
                  <c:v>201412</c:v>
                </c:pt>
                <c:pt idx="24">
                  <c:v>201501</c:v>
                </c:pt>
                <c:pt idx="25">
                  <c:v>201502</c:v>
                </c:pt>
                <c:pt idx="26">
                  <c:v>201503</c:v>
                </c:pt>
                <c:pt idx="27">
                  <c:v>201504</c:v>
                </c:pt>
                <c:pt idx="28">
                  <c:v>201505</c:v>
                </c:pt>
                <c:pt idx="29">
                  <c:v>201506</c:v>
                </c:pt>
                <c:pt idx="30">
                  <c:v>201507</c:v>
                </c:pt>
                <c:pt idx="31">
                  <c:v>201508</c:v>
                </c:pt>
                <c:pt idx="32">
                  <c:v>201509</c:v>
                </c:pt>
                <c:pt idx="33">
                  <c:v>201510</c:v>
                </c:pt>
                <c:pt idx="34">
                  <c:v>201511</c:v>
                </c:pt>
                <c:pt idx="35">
                  <c:v>201512</c:v>
                </c:pt>
                <c:pt idx="36">
                  <c:v>201601</c:v>
                </c:pt>
                <c:pt idx="37">
                  <c:v>201602</c:v>
                </c:pt>
                <c:pt idx="38">
                  <c:v>201603</c:v>
                </c:pt>
                <c:pt idx="39">
                  <c:v>201604</c:v>
                </c:pt>
                <c:pt idx="40">
                  <c:v>201605</c:v>
                </c:pt>
                <c:pt idx="41">
                  <c:v>201606</c:v>
                </c:pt>
                <c:pt idx="42">
                  <c:v>201607</c:v>
                </c:pt>
                <c:pt idx="43">
                  <c:v>201608</c:v>
                </c:pt>
                <c:pt idx="44">
                  <c:v>201609</c:v>
                </c:pt>
                <c:pt idx="45">
                  <c:v>201610</c:v>
                </c:pt>
                <c:pt idx="46">
                  <c:v>201611</c:v>
                </c:pt>
                <c:pt idx="47">
                  <c:v>201612</c:v>
                </c:pt>
                <c:pt idx="48">
                  <c:v>201701</c:v>
                </c:pt>
                <c:pt idx="49">
                  <c:v>201702</c:v>
                </c:pt>
                <c:pt idx="50">
                  <c:v>201703</c:v>
                </c:pt>
                <c:pt idx="51">
                  <c:v>201704</c:v>
                </c:pt>
                <c:pt idx="52">
                  <c:v>201705</c:v>
                </c:pt>
                <c:pt idx="53">
                  <c:v>201706</c:v>
                </c:pt>
                <c:pt idx="54">
                  <c:v>201707</c:v>
                </c:pt>
                <c:pt idx="55">
                  <c:v>201708</c:v>
                </c:pt>
                <c:pt idx="56">
                  <c:v>201709</c:v>
                </c:pt>
                <c:pt idx="57">
                  <c:v>201710</c:v>
                </c:pt>
                <c:pt idx="58">
                  <c:v>201711</c:v>
                </c:pt>
                <c:pt idx="59">
                  <c:v>201712</c:v>
                </c:pt>
              </c:strCache>
            </c:strRef>
          </c:cat>
          <c:val>
            <c:numRef>
              <c:f>Sheet1!$E$5:$E$65</c:f>
              <c:numCache>
                <c:formatCode>General</c:formatCode>
                <c:ptCount val="60"/>
                <c:pt idx="0">
                  <c:v>1023632.0500000019</c:v>
                </c:pt>
                <c:pt idx="1">
                  <c:v>1075849.5800000022</c:v>
                </c:pt>
                <c:pt idx="2">
                  <c:v>1208002</c:v>
                </c:pt>
                <c:pt idx="3">
                  <c:v>1226893.8700000001</c:v>
                </c:pt>
                <c:pt idx="4">
                  <c:v>1339207.6100000001</c:v>
                </c:pt>
                <c:pt idx="5">
                  <c:v>1374385.6</c:v>
                </c:pt>
                <c:pt idx="6">
                  <c:v>1528830.2200000002</c:v>
                </c:pt>
                <c:pt idx="7">
                  <c:v>1328204.92</c:v>
                </c:pt>
                <c:pt idx="8">
                  <c:v>1282223.69</c:v>
                </c:pt>
                <c:pt idx="9">
                  <c:v>1429996.4799999997</c:v>
                </c:pt>
                <c:pt idx="10">
                  <c:v>1323669.5900000001</c:v>
                </c:pt>
                <c:pt idx="11">
                  <c:v>1418914.9099999997</c:v>
                </c:pt>
                <c:pt idx="12">
                  <c:v>1123027.6600000039</c:v>
                </c:pt>
                <c:pt idx="13">
                  <c:v>1196238.3700000001</c:v>
                </c:pt>
                <c:pt idx="14">
                  <c:v>1331442.68</c:v>
                </c:pt>
                <c:pt idx="15">
                  <c:v>1454984.92</c:v>
                </c:pt>
                <c:pt idx="16">
                  <c:v>1460195.3399999999</c:v>
                </c:pt>
                <c:pt idx="17">
                  <c:v>1373489.8599999999</c:v>
                </c:pt>
                <c:pt idx="18">
                  <c:v>1501580.26</c:v>
                </c:pt>
                <c:pt idx="19">
                  <c:v>1271218.3900000001</c:v>
                </c:pt>
                <c:pt idx="20">
                  <c:v>1266041.6399999999</c:v>
                </c:pt>
                <c:pt idx="21">
                  <c:v>1312874.0900000001</c:v>
                </c:pt>
                <c:pt idx="22">
                  <c:v>1221880.3900000101</c:v>
                </c:pt>
                <c:pt idx="23">
                  <c:v>1175690.1799999978</c:v>
                </c:pt>
                <c:pt idx="24">
                  <c:v>968935.71000000101</c:v>
                </c:pt>
                <c:pt idx="25">
                  <c:v>899253.26000000117</c:v>
                </c:pt>
                <c:pt idx="26">
                  <c:v>1016148.6700000011</c:v>
                </c:pt>
                <c:pt idx="27">
                  <c:v>899613.45000000007</c:v>
                </c:pt>
                <c:pt idx="28">
                  <c:v>1047914.0100000009</c:v>
                </c:pt>
                <c:pt idx="29">
                  <c:v>1062030.9400000011</c:v>
                </c:pt>
                <c:pt idx="30">
                  <c:v>1060815.5300000021</c:v>
                </c:pt>
                <c:pt idx="31">
                  <c:v>1026711.320000001</c:v>
                </c:pt>
                <c:pt idx="32">
                  <c:v>1024003.8300000019</c:v>
                </c:pt>
                <c:pt idx="33">
                  <c:v>1073298.6500000029</c:v>
                </c:pt>
                <c:pt idx="34">
                  <c:v>1026776.1400000009</c:v>
                </c:pt>
                <c:pt idx="35">
                  <c:v>1095663.980000003</c:v>
                </c:pt>
                <c:pt idx="36">
                  <c:v>748126.54999999993</c:v>
                </c:pt>
                <c:pt idx="37">
                  <c:v>663413.74999999895</c:v>
                </c:pt>
                <c:pt idx="38">
                  <c:v>779365.91999999899</c:v>
                </c:pt>
                <c:pt idx="39">
                  <c:v>678038.45999999892</c:v>
                </c:pt>
                <c:pt idx="40">
                  <c:v>749650.32999999798</c:v>
                </c:pt>
                <c:pt idx="41">
                  <c:v>746551.09999999893</c:v>
                </c:pt>
                <c:pt idx="42">
                  <c:v>770391.16999999993</c:v>
                </c:pt>
                <c:pt idx="43">
                  <c:v>799640.55999999994</c:v>
                </c:pt>
                <c:pt idx="44">
                  <c:v>728428.04000000097</c:v>
                </c:pt>
                <c:pt idx="45">
                  <c:v>701833.91</c:v>
                </c:pt>
                <c:pt idx="46">
                  <c:v>666533.59</c:v>
                </c:pt>
                <c:pt idx="47">
                  <c:v>793716.80999999994</c:v>
                </c:pt>
                <c:pt idx="48">
                  <c:v>671943.820000001</c:v>
                </c:pt>
                <c:pt idx="49">
                  <c:v>679445.78</c:v>
                </c:pt>
                <c:pt idx="50">
                  <c:v>802261.34000000195</c:v>
                </c:pt>
                <c:pt idx="51">
                  <c:v>687429.66</c:v>
                </c:pt>
                <c:pt idx="52">
                  <c:v>788032.22000000195</c:v>
                </c:pt>
                <c:pt idx="53">
                  <c:v>771046.61000000092</c:v>
                </c:pt>
                <c:pt idx="54">
                  <c:v>813004.86999999988</c:v>
                </c:pt>
                <c:pt idx="55">
                  <c:v>866567</c:v>
                </c:pt>
                <c:pt idx="56">
                  <c:v>840180.28000000096</c:v>
                </c:pt>
                <c:pt idx="57">
                  <c:v>646716.20999999798</c:v>
                </c:pt>
                <c:pt idx="58">
                  <c:v>681637.12000000011</c:v>
                </c:pt>
                <c:pt idx="59">
                  <c:v>692813.53999999911</c:v>
                </c:pt>
              </c:numCache>
            </c:numRef>
          </c:val>
        </c:ser>
        <c:dLbls>
          <c:showLegendKey val="0"/>
          <c:showVal val="0"/>
          <c:showCatName val="0"/>
          <c:showSerName val="0"/>
          <c:showPercent val="0"/>
          <c:showBubbleSize val="0"/>
        </c:dLbls>
        <c:axId val="6093440"/>
        <c:axId val="7983872"/>
      </c:areaChart>
      <c:catAx>
        <c:axId val="6093440"/>
        <c:scaling>
          <c:orientation val="minMax"/>
        </c:scaling>
        <c:delete val="0"/>
        <c:axPos val="b"/>
        <c:title>
          <c:tx>
            <c:rich>
              <a:bodyPr/>
              <a:lstStyle/>
              <a:p>
                <a:pPr>
                  <a:defRPr/>
                </a:pPr>
                <a:r>
                  <a:rPr lang="en-US"/>
                  <a:t>Year and month of supply</a:t>
                </a:r>
              </a:p>
            </c:rich>
          </c:tx>
          <c:overlay val="0"/>
        </c:title>
        <c:majorTickMark val="out"/>
        <c:minorTickMark val="none"/>
        <c:tickLblPos val="nextTo"/>
        <c:crossAx val="7983872"/>
        <c:crosses val="autoZero"/>
        <c:auto val="1"/>
        <c:lblAlgn val="ctr"/>
        <c:lblOffset val="100"/>
        <c:noMultiLvlLbl val="0"/>
      </c:catAx>
      <c:valAx>
        <c:axId val="7983872"/>
        <c:scaling>
          <c:orientation val="minMax"/>
        </c:scaling>
        <c:delete val="0"/>
        <c:axPos val="l"/>
        <c:majorGridlines/>
        <c:title>
          <c:tx>
            <c:rich>
              <a:bodyPr rot="-5400000" vert="horz"/>
              <a:lstStyle/>
              <a:p>
                <a:pPr>
                  <a:defRPr/>
                </a:pPr>
                <a:r>
                  <a:rPr lang="en-US"/>
                  <a:t>Government expenditure</a:t>
                </a:r>
              </a:p>
            </c:rich>
          </c:tx>
          <c:overlay val="0"/>
        </c:title>
        <c:numFmt formatCode="General" sourceLinked="1"/>
        <c:majorTickMark val="out"/>
        <c:minorTickMark val="none"/>
        <c:tickLblPos val="nextTo"/>
        <c:crossAx val="6093440"/>
        <c:crosses val="autoZero"/>
        <c:crossBetween val="midCat"/>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6EB1-3218-49CA-9325-9B2E86F3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7871</Words>
  <Characters>44868</Characters>
  <Application>Microsoft Office Word</Application>
  <DocSecurity>0</DocSecurity>
  <Lines>373</Lines>
  <Paragraphs>105</Paragraphs>
  <ScaleCrop>false</ScaleCrop>
  <Company/>
  <LinksUpToDate>false</LinksUpToDate>
  <CharactersWithSpaces>52634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2018-10-18T04:46:00Z</dcterms:created>
  <dcterms:modified xsi:type="dcterms:W3CDTF">2018-10-18T04:46:00Z</dcterms:modified>
</cp:coreProperties>
</file>