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2D9B3F56" w:rsidR="00832324" w:rsidRPr="00E53FB9" w:rsidRDefault="00606BEF" w:rsidP="00C92CE7">
      <w:pPr>
        <w:pStyle w:val="Title"/>
      </w:pPr>
      <w:r w:rsidRPr="00E53FB9">
        <w:t xml:space="preserve">Bevacizumab for epithelial ovarian, fallopian tube, or primary peritoneal cancer: </w:t>
      </w:r>
      <w:r w:rsidR="00C262EC" w:rsidRPr="00E53FB9">
        <w:t xml:space="preserve">24 </w:t>
      </w:r>
      <w:r w:rsidRPr="00E53FB9">
        <w:t>month predicted versus actual analysis</w:t>
      </w:r>
    </w:p>
    <w:p w14:paraId="68F00614" w14:textId="799F8740" w:rsidR="00736041" w:rsidRPr="00E53FB9" w:rsidRDefault="009053D3" w:rsidP="00C92CE7">
      <w:pPr>
        <w:pStyle w:val="Title2"/>
      </w:pPr>
      <w:r w:rsidRPr="00E53FB9">
        <w:t>D</w:t>
      </w:r>
      <w:r w:rsidR="00832324" w:rsidRPr="00E53FB9">
        <w:t>rug utilisation sub-committee (DUSC)</w:t>
      </w:r>
    </w:p>
    <w:p w14:paraId="654B21F0" w14:textId="6FF65DAC" w:rsidR="00606BEF" w:rsidRPr="00E53FB9" w:rsidRDefault="002E7E6A" w:rsidP="00C92CE7">
      <w:pPr>
        <w:pStyle w:val="Meetingdate"/>
      </w:pPr>
      <w:r w:rsidRPr="00E53FB9">
        <w:t>September 2018</w:t>
      </w:r>
    </w:p>
    <w:p w14:paraId="1494B8AD" w14:textId="77777777" w:rsidR="005C6661" w:rsidRPr="00E53FB9" w:rsidRDefault="005C6661" w:rsidP="00C92CE7">
      <w:pPr>
        <w:pStyle w:val="Heading2"/>
      </w:pPr>
      <w:r w:rsidRPr="00E53FB9">
        <w:t>Abstract</w:t>
      </w:r>
    </w:p>
    <w:p w14:paraId="287D7939" w14:textId="77777777" w:rsidR="005C6661" w:rsidRPr="00E53FB9" w:rsidRDefault="005C6661" w:rsidP="00C92CE7">
      <w:pPr>
        <w:pStyle w:val="Heading3"/>
      </w:pPr>
      <w:r w:rsidRPr="00E53FB9">
        <w:t>Purpose</w:t>
      </w:r>
    </w:p>
    <w:p w14:paraId="310F2B43" w14:textId="19F0D0AA" w:rsidR="00E938F5" w:rsidRPr="00E53FB9" w:rsidRDefault="00BE653F" w:rsidP="00C92CE7">
      <w:r w:rsidRPr="00E53FB9">
        <w:t xml:space="preserve">To compare the predicted and actual utilisation of bevacizumab </w:t>
      </w:r>
      <w:r w:rsidR="00D20AFA" w:rsidRPr="00E53FB9">
        <w:t xml:space="preserve">since </w:t>
      </w:r>
      <w:r w:rsidR="009713F5" w:rsidRPr="00E53FB9">
        <w:t>PBS list</w:t>
      </w:r>
      <w:r w:rsidR="00D20AFA" w:rsidRPr="00E53FB9">
        <w:t>ing</w:t>
      </w:r>
      <w:r w:rsidR="00887426" w:rsidRPr="00E53FB9">
        <w:t xml:space="preserve"> on 1 </w:t>
      </w:r>
      <w:r w:rsidR="009713F5" w:rsidRPr="00E53FB9">
        <w:t>August 2014.</w:t>
      </w:r>
    </w:p>
    <w:p w14:paraId="16F2EB62" w14:textId="0DCED4D2" w:rsidR="00E67721" w:rsidRPr="00E53FB9" w:rsidRDefault="004D6596" w:rsidP="00C92CE7">
      <w:pPr>
        <w:spacing w:before="240"/>
        <w:rPr>
          <w:b/>
          <w:i/>
        </w:rPr>
      </w:pPr>
      <w:r w:rsidRPr="00E53FB9">
        <w:rPr>
          <w:b/>
          <w:i/>
        </w:rPr>
        <w:t>L</w:t>
      </w:r>
      <w:r w:rsidR="00E67721" w:rsidRPr="00E53FB9">
        <w:rPr>
          <w:b/>
          <w:i/>
        </w:rPr>
        <w:t>isting on the Pharmaceutical Benefits Scheme (</w:t>
      </w:r>
      <w:r w:rsidRPr="00E53FB9">
        <w:rPr>
          <w:b/>
          <w:i/>
        </w:rPr>
        <w:t>abridged</w:t>
      </w:r>
      <w:r w:rsidR="00E67721" w:rsidRPr="00E53FB9">
        <w:rPr>
          <w:b/>
          <w:i/>
        </w:rPr>
        <w:t>)</w:t>
      </w:r>
    </w:p>
    <w:p w14:paraId="357E924E" w14:textId="3D43884A" w:rsidR="004D6596" w:rsidRPr="00E53FB9" w:rsidRDefault="00E67721" w:rsidP="00C92CE7">
      <w:pPr>
        <w:rPr>
          <w:rFonts w:ascii="Calibri" w:hAnsi="Calibri" w:cs="Calibri"/>
        </w:rPr>
      </w:pPr>
      <w:r w:rsidRPr="00E53FB9">
        <w:t xml:space="preserve">Bevacizumab </w:t>
      </w:r>
      <w:r w:rsidR="004D6596" w:rsidRPr="00E53FB9">
        <w:t>is subsidised through the PBS for previously untreated a</w:t>
      </w:r>
      <w:r w:rsidR="004D6596" w:rsidRPr="00E53FB9">
        <w:rPr>
          <w:rFonts w:ascii="Calibri" w:hAnsi="Calibri" w:cs="Calibri"/>
        </w:rPr>
        <w:t>dvanced FIGO Stage IIIB, IIIC or Stage IV epithelial ovarian, fallopian tube or primary peritoneal cancer where:</w:t>
      </w:r>
    </w:p>
    <w:p w14:paraId="7696202C" w14:textId="791F5341" w:rsidR="004D6596" w:rsidRPr="00E53FB9" w:rsidRDefault="004D6596" w:rsidP="00C92CE7">
      <w:pPr>
        <w:pStyle w:val="ListParagraph"/>
        <w:numPr>
          <w:ilvl w:val="0"/>
          <w:numId w:val="8"/>
        </w:numPr>
        <w:ind w:left="357" w:hanging="357"/>
        <w:rPr>
          <w:rFonts w:ascii="Calibri" w:hAnsi="Calibri" w:cs="Calibri"/>
        </w:rPr>
      </w:pPr>
      <w:r w:rsidRPr="00E53FB9">
        <w:rPr>
          <w:rFonts w:ascii="Calibri" w:hAnsi="Calibri" w:cs="Calibri"/>
        </w:rPr>
        <w:t>the condition is suboptimally debulked (if the patient presents with Stage IIIB or Stage IIIC disease); and</w:t>
      </w:r>
    </w:p>
    <w:p w14:paraId="785D3B7B" w14:textId="5411785E" w:rsidR="004D6596" w:rsidRPr="00E53FB9" w:rsidRDefault="004D6596" w:rsidP="00C92CE7">
      <w:pPr>
        <w:pStyle w:val="ListParagraph"/>
        <w:numPr>
          <w:ilvl w:val="0"/>
          <w:numId w:val="8"/>
        </w:numPr>
        <w:rPr>
          <w:rFonts w:ascii="Calibri" w:hAnsi="Calibri" w:cs="Calibri"/>
        </w:rPr>
      </w:pPr>
      <w:r w:rsidRPr="00E53FB9">
        <w:rPr>
          <w:rFonts w:ascii="Calibri" w:hAnsi="Calibri" w:cs="Calibri"/>
        </w:rPr>
        <w:t>the patient has a WHO performance status of 2 or less; and</w:t>
      </w:r>
    </w:p>
    <w:p w14:paraId="796E2DB1" w14:textId="36D72D91" w:rsidR="004D6596" w:rsidRPr="00E53FB9" w:rsidRDefault="004D6596" w:rsidP="00C92CE7">
      <w:pPr>
        <w:pStyle w:val="ListParagraph"/>
        <w:numPr>
          <w:ilvl w:val="0"/>
          <w:numId w:val="8"/>
        </w:numPr>
        <w:rPr>
          <w:rFonts w:ascii="Calibri" w:hAnsi="Calibri" w:cs="Calibri"/>
        </w:rPr>
      </w:pPr>
      <w:r w:rsidRPr="00E53FB9">
        <w:rPr>
          <w:rFonts w:ascii="Calibri" w:hAnsi="Calibri" w:cs="Calibri"/>
        </w:rPr>
        <w:t xml:space="preserve">the treatment is commenced in combination with platinum-based chemotherapy.  </w:t>
      </w:r>
    </w:p>
    <w:p w14:paraId="19423C38" w14:textId="036CBCB4" w:rsidR="004D6596" w:rsidRPr="00E53FB9" w:rsidRDefault="004D6596" w:rsidP="00C92CE7">
      <w:pPr>
        <w:rPr>
          <w:rFonts w:ascii="Calibri" w:hAnsi="Calibri" w:cs="Calibri"/>
        </w:rPr>
      </w:pPr>
      <w:r w:rsidRPr="00E53FB9">
        <w:rPr>
          <w:rFonts w:ascii="Calibri" w:hAnsi="Calibri" w:cs="Calibri"/>
        </w:rPr>
        <w:t xml:space="preserve">The maximum PBS subsidised dose is 7.5 mg per kg every 3 weeks for not more than 18 cycles. </w:t>
      </w:r>
    </w:p>
    <w:p w14:paraId="21AB5280" w14:textId="4DA75378" w:rsidR="00E938F5" w:rsidRPr="00E53FB9" w:rsidRDefault="00763459" w:rsidP="00C92CE7">
      <w:r w:rsidRPr="00E53FB9">
        <w:rPr>
          <w:b/>
          <w:i/>
        </w:rPr>
        <w:t>Data Source / methodology</w:t>
      </w:r>
    </w:p>
    <w:p w14:paraId="273A01FB" w14:textId="7573C4AF" w:rsidR="00763459" w:rsidRPr="00E53FB9" w:rsidRDefault="00E67721" w:rsidP="00C92CE7">
      <w:pPr>
        <w:autoSpaceDE w:val="0"/>
        <w:autoSpaceDN w:val="0"/>
        <w:adjustRightInd w:val="0"/>
      </w:pPr>
      <w:r w:rsidRPr="00E53FB9">
        <w:t xml:space="preserve">Data for bevacizumab was extracted from the Department of Human Services (DHS) prescription databases from the date of listing on the PBS Schedule on 1 August 2014 </w:t>
      </w:r>
      <w:r w:rsidR="00AA1612" w:rsidRPr="00E53FB9">
        <w:t>to 31 July 2018.</w:t>
      </w:r>
      <w:r w:rsidR="00E87EE9" w:rsidRPr="00E53FB9">
        <w:t xml:space="preserve"> Fact of death data </w:t>
      </w:r>
      <w:r w:rsidR="002715E4" w:rsidRPr="00E53FB9">
        <w:t>were</w:t>
      </w:r>
      <w:r w:rsidR="00E87EE9" w:rsidRPr="00E53FB9">
        <w:t xml:space="preserve"> obtained from DHS for patients who initiated</w:t>
      </w:r>
      <w:r w:rsidR="00860112" w:rsidRPr="00E53FB9">
        <w:t xml:space="preserve"> bevacizumab between</w:t>
      </w:r>
      <w:r w:rsidR="00E87EE9" w:rsidRPr="00E53FB9">
        <w:t xml:space="preserve"> 1</w:t>
      </w:r>
      <w:r w:rsidR="00860112" w:rsidRPr="00E53FB9">
        <w:t> </w:t>
      </w:r>
      <w:r w:rsidR="00E87EE9" w:rsidRPr="00E53FB9">
        <w:t xml:space="preserve">August 2014 </w:t>
      </w:r>
      <w:r w:rsidR="00860112" w:rsidRPr="00E53FB9">
        <w:t>and</w:t>
      </w:r>
      <w:r w:rsidR="00E87EE9" w:rsidRPr="00E53FB9">
        <w:t xml:space="preserve"> 31 May 2018.</w:t>
      </w:r>
    </w:p>
    <w:p w14:paraId="4744F8C5" w14:textId="4A616D41" w:rsidR="00FA4757" w:rsidRPr="00E53FB9" w:rsidRDefault="00FA4757" w:rsidP="00C92CE7">
      <w:pPr>
        <w:spacing w:before="240"/>
        <w:rPr>
          <w:b/>
          <w:i/>
        </w:rPr>
      </w:pPr>
      <w:r w:rsidRPr="00E53FB9">
        <w:rPr>
          <w:b/>
          <w:i/>
        </w:rPr>
        <w:t>Key Findings</w:t>
      </w:r>
    </w:p>
    <w:p w14:paraId="5974892B" w14:textId="60453FF2" w:rsidR="002E7E6A" w:rsidRPr="00E53FB9" w:rsidRDefault="00AA1612" w:rsidP="00C92CE7">
      <w:pPr>
        <w:pStyle w:val="ListParagraph"/>
        <w:numPr>
          <w:ilvl w:val="0"/>
          <w:numId w:val="6"/>
        </w:numPr>
      </w:pPr>
      <w:r w:rsidRPr="00E53FB9">
        <w:t xml:space="preserve">Since listing, 17,550 prescriptions of bevacizumab </w:t>
      </w:r>
      <w:r w:rsidR="009F3A2D">
        <w:t>were</w:t>
      </w:r>
      <w:r w:rsidRPr="00E53FB9">
        <w:t xml:space="preserve"> supplied to 1,765 patients </w:t>
      </w:r>
      <w:r w:rsidR="00E600FD" w:rsidRPr="00E53FB9">
        <w:t xml:space="preserve">under the </w:t>
      </w:r>
      <w:r w:rsidRPr="00E53FB9">
        <w:t>PBS item codes for epithelial ovarian, fallopian tube, or primary peritoneal cancer.</w:t>
      </w:r>
    </w:p>
    <w:p w14:paraId="1E93DCF2" w14:textId="192BBD03" w:rsidR="002E7E6A" w:rsidRPr="00E53FB9" w:rsidRDefault="00AA1612" w:rsidP="00C92CE7">
      <w:pPr>
        <w:pStyle w:val="ListParagraph"/>
        <w:numPr>
          <w:ilvl w:val="0"/>
          <w:numId w:val="6"/>
        </w:numPr>
      </w:pPr>
      <w:r w:rsidRPr="00E53FB9">
        <w:t>The number of prescriptions and treated patients have been stable since the beginning of 2016.</w:t>
      </w:r>
    </w:p>
    <w:p w14:paraId="4517C13A" w14:textId="6C2F1441" w:rsidR="00AA0931" w:rsidRPr="00E53FB9" w:rsidRDefault="00AA0931" w:rsidP="00C92CE7">
      <w:pPr>
        <w:pStyle w:val="ListParagraph"/>
        <w:numPr>
          <w:ilvl w:val="0"/>
          <w:numId w:val="6"/>
        </w:numPr>
      </w:pPr>
      <w:r w:rsidRPr="00E53FB9">
        <w:lastRenderedPageBreak/>
        <w:t>The predicted versus actual analysis show</w:t>
      </w:r>
      <w:r w:rsidR="009F3A2D">
        <w:t>ed</w:t>
      </w:r>
      <w:r w:rsidRPr="00E53FB9">
        <w:t xml:space="preserve"> that the number of treated patients </w:t>
      </w:r>
      <w:r w:rsidR="00C95AEF" w:rsidRPr="00E53FB9">
        <w:t xml:space="preserve">was </w:t>
      </w:r>
      <w:r w:rsidR="00C95AEF">
        <w:t>close to the number predicted</w:t>
      </w:r>
      <w:r w:rsidRPr="00E53FB9">
        <w:t xml:space="preserve">, but the number of prescriptions supplied </w:t>
      </w:r>
      <w:r w:rsidR="009F3A2D">
        <w:t>was</w:t>
      </w:r>
      <w:r w:rsidRPr="00E53FB9">
        <w:t xml:space="preserve"> lower than predicted. </w:t>
      </w:r>
      <w:r w:rsidR="00D345DF" w:rsidRPr="00E53FB9">
        <w:t xml:space="preserve">The difference </w:t>
      </w:r>
      <w:r w:rsidR="009F3A2D">
        <w:t>wa</w:t>
      </w:r>
      <w:r w:rsidR="00D345DF" w:rsidRPr="00E53FB9">
        <w:t>s likely due to some patients receiving less than the maximum allowed 18 cycles of bevacizumab.</w:t>
      </w:r>
    </w:p>
    <w:p w14:paraId="30E60E44" w14:textId="2146D018" w:rsidR="00397650" w:rsidRPr="00E53FB9" w:rsidRDefault="00397650" w:rsidP="00C92CE7">
      <w:pPr>
        <w:pStyle w:val="ListParagraph"/>
        <w:numPr>
          <w:ilvl w:val="0"/>
          <w:numId w:val="6"/>
        </w:numPr>
      </w:pPr>
      <w:r w:rsidRPr="00E53FB9">
        <w:t xml:space="preserve">PBS data show </w:t>
      </w:r>
      <w:r w:rsidR="00C42B8B" w:rsidRPr="00E53FB9">
        <w:t>14</w:t>
      </w:r>
      <w:r w:rsidRPr="00E53FB9">
        <w:t>% of bevacizumab</w:t>
      </w:r>
      <w:r w:rsidR="00C42B8B" w:rsidRPr="00E53FB9">
        <w:t xml:space="preserve"> prescriptions</w:t>
      </w:r>
      <w:r w:rsidRPr="00E53FB9">
        <w:t xml:space="preserve"> supplied under the PBS item codes for epithelial ovarian, fallopian tube, or primary peritoneal cancer were for men. This could indicate incorrect code selection by prescribers (for example for colorectal cancer) or </w:t>
      </w:r>
      <w:r w:rsidR="00486570" w:rsidRPr="00E53FB9">
        <w:t xml:space="preserve">use </w:t>
      </w:r>
      <w:r w:rsidRPr="00E53FB9">
        <w:t>outside of the PBS subsidised criteria for other indications.</w:t>
      </w:r>
    </w:p>
    <w:p w14:paraId="298FF48D" w14:textId="30A4382E" w:rsidR="002E7E6A" w:rsidRPr="00E53FB9" w:rsidRDefault="002E7E6A" w:rsidP="00C92CE7">
      <w:pPr>
        <w:pStyle w:val="ListParagraph"/>
      </w:pPr>
    </w:p>
    <w:p w14:paraId="0F6F58F4" w14:textId="77777777" w:rsidR="00A55287" w:rsidRPr="00E53FB9" w:rsidRDefault="00A55287" w:rsidP="00C92CE7">
      <w:r w:rsidRPr="00E53FB9">
        <w:br w:type="page"/>
      </w:r>
    </w:p>
    <w:p w14:paraId="5B262047" w14:textId="2A4E0DAC" w:rsidR="00E677DD" w:rsidRPr="00E53FB9" w:rsidRDefault="00E677DD" w:rsidP="00C92CE7">
      <w:pPr>
        <w:pStyle w:val="Heading1"/>
      </w:pPr>
      <w:r w:rsidRPr="00E53FB9">
        <w:lastRenderedPageBreak/>
        <w:t xml:space="preserve">Purpose of </w:t>
      </w:r>
      <w:r w:rsidR="00D151EB" w:rsidRPr="00E53FB9">
        <w:t>analysis</w:t>
      </w:r>
    </w:p>
    <w:p w14:paraId="62F25C1C" w14:textId="21584454" w:rsidR="004D0161" w:rsidRPr="00E53FB9" w:rsidRDefault="004D0161" w:rsidP="00C92CE7">
      <w:pPr>
        <w:rPr>
          <w:b/>
        </w:rPr>
      </w:pPr>
      <w:r w:rsidRPr="00E53FB9">
        <w:t xml:space="preserve">To compare the predicted and actual utilisation of </w:t>
      </w:r>
      <w:r w:rsidR="00B61EF5" w:rsidRPr="00E53FB9">
        <w:t xml:space="preserve">bevacizumab since </w:t>
      </w:r>
      <w:r w:rsidR="00E67721" w:rsidRPr="00E53FB9">
        <w:t xml:space="preserve">PBS listing </w:t>
      </w:r>
      <w:r w:rsidR="00887426" w:rsidRPr="00E53FB9">
        <w:t>on 1 </w:t>
      </w:r>
      <w:r w:rsidR="00B61EF5" w:rsidRPr="00E53FB9">
        <w:t>August 2014.</w:t>
      </w:r>
    </w:p>
    <w:p w14:paraId="0A7F0B57" w14:textId="7C3FEFBD" w:rsidR="006537D9" w:rsidRPr="00E53FB9" w:rsidRDefault="00736041" w:rsidP="00C92CE7">
      <w:pPr>
        <w:pStyle w:val="Heading1"/>
        <w:tabs>
          <w:tab w:val="left" w:pos="6555"/>
        </w:tabs>
      </w:pPr>
      <w:r w:rsidRPr="00E53FB9">
        <w:t>Background</w:t>
      </w:r>
    </w:p>
    <w:p w14:paraId="2C748275" w14:textId="77777777" w:rsidR="00EE2BBB" w:rsidRPr="00E53FB9" w:rsidRDefault="00EE2BBB" w:rsidP="00C92CE7">
      <w:pPr>
        <w:pStyle w:val="Heading2"/>
      </w:pPr>
      <w:r w:rsidRPr="00E53FB9">
        <w:t>Clinical situation</w:t>
      </w:r>
    </w:p>
    <w:p w14:paraId="2637B2AC" w14:textId="0129067E" w:rsidR="00F161D9" w:rsidRPr="00E53FB9" w:rsidRDefault="00E75A1C" w:rsidP="00C92CE7">
      <w:r w:rsidRPr="00E53FB9">
        <w:t>Epithelial ovarian cancer is the most common type of ovarian cancer</w:t>
      </w:r>
      <w:r w:rsidR="00A34B20" w:rsidRPr="00E53FB9">
        <w:t>,</w:t>
      </w:r>
      <w:r w:rsidR="00C15529" w:rsidRPr="00E53FB9">
        <w:t xml:space="preserve"> </w:t>
      </w:r>
      <w:r w:rsidR="00A34B20" w:rsidRPr="00E53FB9">
        <w:t>accounting for about</w:t>
      </w:r>
      <w:r w:rsidR="00C15529" w:rsidRPr="00E53FB9">
        <w:t xml:space="preserve"> 90% of </w:t>
      </w:r>
      <w:r w:rsidR="001009A6" w:rsidRPr="00E53FB9">
        <w:t xml:space="preserve">ovarian cancer </w:t>
      </w:r>
      <w:r w:rsidR="00C15529" w:rsidRPr="00E53FB9">
        <w:t>cases.</w:t>
      </w:r>
      <w:bookmarkStart w:id="0" w:name="_Ref521416651"/>
      <w:r w:rsidR="00A36E45" w:rsidRPr="00E53FB9">
        <w:rPr>
          <w:rStyle w:val="FootnoteReference"/>
        </w:rPr>
        <w:footnoteReference w:id="1"/>
      </w:r>
      <w:bookmarkEnd w:id="0"/>
      <w:r w:rsidRPr="00E53FB9">
        <w:t xml:space="preserve"> </w:t>
      </w:r>
      <w:r w:rsidR="00C124E3" w:rsidRPr="00E53FB9">
        <w:t>Epithelial ovarian</w:t>
      </w:r>
      <w:r w:rsidR="006F2A94" w:rsidRPr="00E53FB9">
        <w:t>, fallopian tube and primary peritoneal cancer</w:t>
      </w:r>
      <w:r w:rsidR="00500C4F" w:rsidRPr="00E53FB9">
        <w:t>s</w:t>
      </w:r>
      <w:r w:rsidR="006F2A94" w:rsidRPr="00E53FB9">
        <w:t xml:space="preserve"> </w:t>
      </w:r>
      <w:r w:rsidR="00500C4F" w:rsidRPr="00E53FB9">
        <w:t xml:space="preserve">all develop in the same type of </w:t>
      </w:r>
      <w:r w:rsidR="007C704B" w:rsidRPr="00E53FB9">
        <w:t>tissue and are treated the same way</w:t>
      </w:r>
      <w:r w:rsidR="00500C4F" w:rsidRPr="00E53FB9">
        <w:t>.</w:t>
      </w:r>
      <w:r w:rsidR="00FC4A52" w:rsidRPr="00E53FB9">
        <w:rPr>
          <w:rStyle w:val="FootnoteReference"/>
        </w:rPr>
        <w:footnoteReference w:id="2"/>
      </w:r>
    </w:p>
    <w:p w14:paraId="64208610" w14:textId="21441794" w:rsidR="00D829EA" w:rsidRPr="00E53FB9" w:rsidRDefault="00F161D9" w:rsidP="00C92CE7">
      <w:r w:rsidRPr="00E53FB9">
        <w:t xml:space="preserve">In its early stages, ovarian cancer usually has no </w:t>
      </w:r>
      <w:r w:rsidR="006E693B" w:rsidRPr="00E53FB9">
        <w:t>symptoms. When signs and symptoms do appear</w:t>
      </w:r>
      <w:r w:rsidR="00A34B20" w:rsidRPr="00E53FB9">
        <w:t>, the cancer is often advanced</w:t>
      </w:r>
      <w:r w:rsidR="0073020C" w:rsidRPr="00E53FB9">
        <w:t>.</w:t>
      </w:r>
      <w:r w:rsidR="00A36E45" w:rsidRPr="00E53FB9">
        <w:fldChar w:fldCharType="begin"/>
      </w:r>
      <w:r w:rsidR="00A36E45" w:rsidRPr="00E53FB9">
        <w:instrText xml:space="preserve"> NOTEREF _Ref521416651 \f \h </w:instrText>
      </w:r>
      <w:r w:rsidR="00E53FB9">
        <w:instrText xml:space="preserve"> \* MERGEFORMAT </w:instrText>
      </w:r>
      <w:r w:rsidR="00A36E45" w:rsidRPr="00E53FB9">
        <w:fldChar w:fldCharType="separate"/>
      </w:r>
      <w:r w:rsidR="00F06D9A" w:rsidRPr="00F06D9A">
        <w:rPr>
          <w:rStyle w:val="FootnoteReference"/>
        </w:rPr>
        <w:t>1</w:t>
      </w:r>
      <w:r w:rsidR="00A36E45" w:rsidRPr="00E53FB9">
        <w:fldChar w:fldCharType="end"/>
      </w:r>
      <w:r w:rsidR="00A36E45" w:rsidRPr="00E53FB9">
        <w:t xml:space="preserve"> </w:t>
      </w:r>
    </w:p>
    <w:p w14:paraId="5423F81E" w14:textId="3164FF04" w:rsidR="003A2037" w:rsidRPr="00E53FB9" w:rsidRDefault="00D829EA" w:rsidP="00C92CE7">
      <w:r w:rsidRPr="00E53FB9">
        <w:t>Ovarian cancer is surgically staged</w:t>
      </w:r>
      <w:r w:rsidR="00DF5CA3" w:rsidRPr="00E53FB9">
        <w:t xml:space="preserve">, based on the extent of the disease. The staging system commonly used is the </w:t>
      </w:r>
      <w:r w:rsidR="00E600FD" w:rsidRPr="00E53FB9">
        <w:t>International Federation of Gynecology and</w:t>
      </w:r>
      <w:r w:rsidR="00E600FD" w:rsidRPr="00E53FB9">
        <w:rPr>
          <w:rFonts w:ascii="Arial" w:hAnsi="Arial" w:cs="Arial"/>
          <w:color w:val="545454"/>
          <w:shd w:val="clear" w:color="auto" w:fill="FFFFFF"/>
        </w:rPr>
        <w:t xml:space="preserve"> </w:t>
      </w:r>
      <w:r w:rsidR="00E600FD" w:rsidRPr="00E53FB9">
        <w:t>Obstetrics (</w:t>
      </w:r>
      <w:r w:rsidR="00DF5CA3" w:rsidRPr="00E53FB9">
        <w:t>FIGO</w:t>
      </w:r>
      <w:r w:rsidR="00E600FD" w:rsidRPr="00E53FB9">
        <w:t>)</w:t>
      </w:r>
      <w:r w:rsidR="00DF5CA3" w:rsidRPr="00E53FB9">
        <w:t xml:space="preserve"> system, which divides ovarian cancer into four stages. Stages I-II</w:t>
      </w:r>
      <w:r w:rsidR="001009A6" w:rsidRPr="00E53FB9">
        <w:t xml:space="preserve"> </w:t>
      </w:r>
      <w:r w:rsidR="00092029" w:rsidRPr="00E53FB9">
        <w:t>indicates early ovarian cancer</w:t>
      </w:r>
      <w:r w:rsidR="004546BF" w:rsidRPr="00E53FB9">
        <w:t>.</w:t>
      </w:r>
      <w:r w:rsidR="00694171" w:rsidRPr="00E53FB9">
        <w:t xml:space="preserve"> S</w:t>
      </w:r>
      <w:r w:rsidR="00DF5CA3" w:rsidRPr="00E53FB9">
        <w:t xml:space="preserve">tages III-IV </w:t>
      </w:r>
      <w:r w:rsidR="00092029" w:rsidRPr="00E53FB9">
        <w:t>indicates the</w:t>
      </w:r>
      <w:r w:rsidR="00DF5CA3" w:rsidRPr="00E53FB9">
        <w:t xml:space="preserve"> cancer is advanced.</w:t>
      </w:r>
      <w:r w:rsidR="00A36E45" w:rsidRPr="00E53FB9">
        <w:fldChar w:fldCharType="begin"/>
      </w:r>
      <w:r w:rsidR="00A36E45" w:rsidRPr="00E53FB9">
        <w:instrText xml:space="preserve"> NOTEREF _Ref521416651 \f \h </w:instrText>
      </w:r>
      <w:r w:rsidR="00E53FB9">
        <w:instrText xml:space="preserve"> \* MERGEFORMAT </w:instrText>
      </w:r>
      <w:r w:rsidR="00A36E45" w:rsidRPr="00E53FB9">
        <w:fldChar w:fldCharType="separate"/>
      </w:r>
      <w:r w:rsidR="00F06D9A" w:rsidRPr="00F06D9A">
        <w:rPr>
          <w:rStyle w:val="FootnoteReference"/>
        </w:rPr>
        <w:t>1</w:t>
      </w:r>
      <w:r w:rsidR="00A36E45" w:rsidRPr="00E53FB9">
        <w:fldChar w:fldCharType="end"/>
      </w:r>
    </w:p>
    <w:p w14:paraId="25C0A3EC" w14:textId="14C30AA7" w:rsidR="004F6542" w:rsidRPr="00E53FB9" w:rsidRDefault="00B04676" w:rsidP="00C92CE7">
      <w:r w:rsidRPr="00E53FB9">
        <w:t xml:space="preserve">Primary peritoneal cancer </w:t>
      </w:r>
      <w:r w:rsidR="001208C3" w:rsidRPr="00E53FB9">
        <w:t>forms in the tissue that lines the abdominal wall and covers organs in the abdomen.</w:t>
      </w:r>
      <w:r w:rsidR="00802B23" w:rsidRPr="00E53FB9">
        <w:rPr>
          <w:rStyle w:val="FootnoteReference"/>
        </w:rPr>
        <w:footnoteReference w:id="3"/>
      </w:r>
      <w:r w:rsidR="001208C3" w:rsidRPr="00E53FB9">
        <w:t xml:space="preserve"> </w:t>
      </w:r>
      <w:r w:rsidR="00802B23" w:rsidRPr="00E53FB9">
        <w:t>The disease</w:t>
      </w:r>
      <w:r w:rsidR="001208C3" w:rsidRPr="00E53FB9">
        <w:t xml:space="preserve"> occurs almost exclusively </w:t>
      </w:r>
      <w:r w:rsidRPr="00E53FB9">
        <w:t xml:space="preserve">in </w:t>
      </w:r>
      <w:r w:rsidR="00802B23" w:rsidRPr="00E53FB9">
        <w:t>women;</w:t>
      </w:r>
      <w:r w:rsidR="001208C3" w:rsidRPr="00E53FB9">
        <w:t xml:space="preserve"> </w:t>
      </w:r>
      <w:r w:rsidR="00B072AB" w:rsidRPr="00E53FB9">
        <w:t xml:space="preserve">though </w:t>
      </w:r>
      <w:r w:rsidR="001208C3" w:rsidRPr="00E53FB9">
        <w:t>rare</w:t>
      </w:r>
      <w:r w:rsidRPr="00E53FB9">
        <w:t xml:space="preserve"> cases </w:t>
      </w:r>
      <w:r w:rsidR="001208C3" w:rsidRPr="00E53FB9">
        <w:t>have been reported in men</w:t>
      </w:r>
      <w:r w:rsidRPr="00E53FB9">
        <w:t>.</w:t>
      </w:r>
      <w:r w:rsidR="00B072AB" w:rsidRPr="00E53FB9">
        <w:t xml:space="preserve"> Current </w:t>
      </w:r>
      <w:r w:rsidR="004F6542" w:rsidRPr="00E53FB9">
        <w:t>medical literature indicates there have</w:t>
      </w:r>
      <w:r w:rsidR="00B072AB" w:rsidRPr="00E53FB9">
        <w:t xml:space="preserve"> been</w:t>
      </w:r>
      <w:r w:rsidR="004F6542" w:rsidRPr="00E53FB9">
        <w:t xml:space="preserve"> four case reports of primary peritoneal cancer in men.</w:t>
      </w:r>
      <w:bookmarkStart w:id="1" w:name="_Ref522102035"/>
      <w:r w:rsidR="004F6542" w:rsidRPr="00E53FB9">
        <w:rPr>
          <w:rStyle w:val="FootnoteReference"/>
        </w:rPr>
        <w:footnoteReference w:id="4"/>
      </w:r>
      <w:bookmarkEnd w:id="1"/>
    </w:p>
    <w:p w14:paraId="5A48A025" w14:textId="2133F7CB" w:rsidR="00B33D91" w:rsidRPr="00E53FB9" w:rsidRDefault="00B33D91" w:rsidP="00C92CE7">
      <w:pPr>
        <w:pStyle w:val="Heading2"/>
      </w:pPr>
      <w:r w:rsidRPr="00E53FB9">
        <w:t>Pharmacology</w:t>
      </w:r>
    </w:p>
    <w:p w14:paraId="5621F2E9" w14:textId="77777777" w:rsidR="00B80871" w:rsidRPr="00E53FB9" w:rsidRDefault="006906CD" w:rsidP="00C92CE7">
      <w:pPr>
        <w:pStyle w:val="Default"/>
        <w:spacing w:after="200"/>
        <w:rPr>
          <w:vertAlign w:val="superscript"/>
        </w:rPr>
      </w:pPr>
      <w:r w:rsidRPr="00E53FB9">
        <w:t>Bevacizumab is a recombinant humanised monoclonal antibody that selectively binds to and neutralises the biologic activity of human vascular en</w:t>
      </w:r>
      <w:r w:rsidR="00AF2E92" w:rsidRPr="00E53FB9">
        <w:t>dothelial growth factor (VEGF).</w:t>
      </w:r>
    </w:p>
    <w:p w14:paraId="65C12B28" w14:textId="0260B14E" w:rsidR="00E66F0B" w:rsidRPr="00E53FB9" w:rsidRDefault="00AF2E92" w:rsidP="00C92CE7">
      <w:pPr>
        <w:pStyle w:val="Default"/>
        <w:spacing w:after="200"/>
      </w:pPr>
      <w:r w:rsidRPr="00E53FB9">
        <w:t xml:space="preserve">Tumours produce high levels of VEGF, which stimulates blood vessels to grow, thereby providing the tumour </w:t>
      </w:r>
      <w:r w:rsidR="009727A7" w:rsidRPr="00E53FB9">
        <w:t xml:space="preserve">with nutrients and oxygen. When bevacizumab </w:t>
      </w:r>
      <w:r w:rsidRPr="00E53FB9">
        <w:t>blocks VEGF it disrupts the blood supply to the tumour, stopping or slowing down its growth.</w:t>
      </w:r>
      <w:bookmarkStart w:id="2" w:name="_Ref522799272"/>
      <w:r w:rsidR="006619E7" w:rsidRPr="00E53FB9">
        <w:rPr>
          <w:rStyle w:val="FootnoteReference"/>
        </w:rPr>
        <w:footnoteReference w:id="5"/>
      </w:r>
      <w:bookmarkEnd w:id="2"/>
    </w:p>
    <w:p w14:paraId="3F15626A" w14:textId="4681D0A4" w:rsidR="00B30010" w:rsidRPr="00E53FB9" w:rsidRDefault="00B30010" w:rsidP="00C92CE7"/>
    <w:p w14:paraId="25A65844" w14:textId="77777777" w:rsidR="00E53FB9" w:rsidRDefault="00E53FB9" w:rsidP="00C92CE7">
      <w:pPr>
        <w:pStyle w:val="Heading2"/>
      </w:pPr>
    </w:p>
    <w:p w14:paraId="0CCA4E41" w14:textId="77777777" w:rsidR="00B33D91" w:rsidRPr="00E53FB9" w:rsidRDefault="00B33D91" w:rsidP="00C92CE7">
      <w:pPr>
        <w:pStyle w:val="Heading2"/>
      </w:pPr>
      <w:r w:rsidRPr="00E53FB9">
        <w:lastRenderedPageBreak/>
        <w:t>Therapeutic Goods Administration (TGA) approved indications</w:t>
      </w:r>
    </w:p>
    <w:p w14:paraId="73EFC1E7" w14:textId="1966AD94" w:rsidR="00B80871" w:rsidRPr="00E53FB9" w:rsidRDefault="00DB7C5A" w:rsidP="00C92CE7">
      <w:r w:rsidRPr="00E53FB9">
        <w:rPr>
          <w:rFonts w:cs="Arial"/>
        </w:rPr>
        <w:t>Bevacizumab</w:t>
      </w:r>
      <w:r w:rsidR="00B047EE" w:rsidRPr="00E53FB9">
        <w:rPr>
          <w:rFonts w:cs="Arial"/>
        </w:rPr>
        <w:t xml:space="preserve"> (Avastin</w:t>
      </w:r>
      <w:r w:rsidR="00B047EE" w:rsidRPr="00E53FB9">
        <w:rPr>
          <w:rFonts w:cstheme="minorHAnsi"/>
        </w:rPr>
        <w:t>®</w:t>
      </w:r>
      <w:r w:rsidR="00B047EE" w:rsidRPr="00E53FB9">
        <w:rPr>
          <w:rFonts w:cs="Arial"/>
        </w:rPr>
        <w:t>)</w:t>
      </w:r>
      <w:r w:rsidRPr="00E53FB9">
        <w:rPr>
          <w:rFonts w:cs="Arial"/>
        </w:rPr>
        <w:t xml:space="preserve"> </w:t>
      </w:r>
      <w:r w:rsidR="009727A7" w:rsidRPr="00E53FB9">
        <w:t xml:space="preserve">is </w:t>
      </w:r>
      <w:r w:rsidR="00E85241" w:rsidRPr="00E53FB9">
        <w:t>PBS listed for a</w:t>
      </w:r>
      <w:r w:rsidR="00B80871" w:rsidRPr="00E53FB9">
        <w:t xml:space="preserve">dvanced </w:t>
      </w:r>
      <w:r w:rsidR="00E85241" w:rsidRPr="00E53FB9">
        <w:t>(FIGO</w:t>
      </w:r>
      <w:r w:rsidR="00B80871" w:rsidRPr="00E53FB9">
        <w:t xml:space="preserve"> Stage IIIB, IIIC or Stage IV</w:t>
      </w:r>
      <w:r w:rsidR="00E85241" w:rsidRPr="00E53FB9">
        <w:t>)</w:t>
      </w:r>
      <w:r w:rsidR="00B80871" w:rsidRPr="00E53FB9">
        <w:t xml:space="preserve"> epithelial ovarian, fallopian tube or primary peritoneal cancer.</w:t>
      </w:r>
    </w:p>
    <w:p w14:paraId="351B99BE" w14:textId="0175A789" w:rsidR="009727A7" w:rsidRPr="00E53FB9" w:rsidRDefault="00655598" w:rsidP="00C92CE7">
      <w:r w:rsidRPr="00E53FB9">
        <w:t xml:space="preserve">Bevacizumab is also </w:t>
      </w:r>
      <w:r w:rsidR="00B11221" w:rsidRPr="00E53FB9">
        <w:t xml:space="preserve">TGA registered </w:t>
      </w:r>
      <w:r w:rsidR="00B047EE" w:rsidRPr="00E53FB9">
        <w:t>for the treatment of:</w:t>
      </w:r>
    </w:p>
    <w:p w14:paraId="10EA5FB3" w14:textId="493E85BD" w:rsidR="00E87EE9" w:rsidRPr="00E53FB9" w:rsidRDefault="00E87EE9" w:rsidP="00C92CE7">
      <w:pPr>
        <w:pStyle w:val="ListParagraph"/>
        <w:numPr>
          <w:ilvl w:val="0"/>
          <w:numId w:val="1"/>
        </w:numPr>
      </w:pPr>
      <w:r w:rsidRPr="00E53FB9">
        <w:t xml:space="preserve">metastatic colorectal cancer, </w:t>
      </w:r>
    </w:p>
    <w:p w14:paraId="0A660490" w14:textId="7E9D71A9" w:rsidR="00E87EE9" w:rsidRPr="00E53FB9" w:rsidRDefault="00E87EE9" w:rsidP="00C92CE7">
      <w:pPr>
        <w:pStyle w:val="ListParagraph"/>
        <w:numPr>
          <w:ilvl w:val="0"/>
          <w:numId w:val="1"/>
        </w:numPr>
      </w:pPr>
      <w:r w:rsidRPr="00E53FB9">
        <w:t>advanced carcinoma of cervix,</w:t>
      </w:r>
    </w:p>
    <w:p w14:paraId="47F83EA8" w14:textId="3985C25F" w:rsidR="00165824" w:rsidRPr="00E53FB9" w:rsidRDefault="00B11221" w:rsidP="00C92CE7">
      <w:pPr>
        <w:pStyle w:val="ListParagraph"/>
        <w:numPr>
          <w:ilvl w:val="0"/>
          <w:numId w:val="1"/>
        </w:numPr>
      </w:pPr>
      <w:r w:rsidRPr="00E53FB9">
        <w:t xml:space="preserve">locally </w:t>
      </w:r>
      <w:r w:rsidR="00165824" w:rsidRPr="00E53FB9">
        <w:t xml:space="preserve">recurrent or metastatic breast cancer, </w:t>
      </w:r>
    </w:p>
    <w:p w14:paraId="30ED068A" w14:textId="36C7B67D" w:rsidR="00165824" w:rsidRPr="00E53FB9" w:rsidRDefault="00165824" w:rsidP="00C92CE7">
      <w:pPr>
        <w:pStyle w:val="ListParagraph"/>
        <w:numPr>
          <w:ilvl w:val="0"/>
          <w:numId w:val="1"/>
        </w:numPr>
      </w:pPr>
      <w:r w:rsidRPr="00E53FB9">
        <w:t xml:space="preserve">advanced, metastatic or recurrent, non-squamous, non-small cell lung cancer, </w:t>
      </w:r>
    </w:p>
    <w:p w14:paraId="4D519869" w14:textId="47F1D373" w:rsidR="00165824" w:rsidRPr="00E53FB9" w:rsidRDefault="00165824" w:rsidP="00C92CE7">
      <w:pPr>
        <w:pStyle w:val="ListParagraph"/>
        <w:numPr>
          <w:ilvl w:val="0"/>
          <w:numId w:val="1"/>
        </w:numPr>
      </w:pPr>
      <w:r w:rsidRPr="00E53FB9">
        <w:t>advanced or metastatic renal cell cancer, and</w:t>
      </w:r>
    </w:p>
    <w:p w14:paraId="37C6FD15" w14:textId="047D5C73" w:rsidR="00B047EE" w:rsidRPr="00E53FB9" w:rsidRDefault="00165824" w:rsidP="00C92CE7">
      <w:pPr>
        <w:pStyle w:val="ListParagraph"/>
        <w:numPr>
          <w:ilvl w:val="0"/>
          <w:numId w:val="1"/>
        </w:numPr>
      </w:pPr>
      <w:r w:rsidRPr="00E53FB9">
        <w:t>grade IV glioma</w:t>
      </w:r>
      <w:r w:rsidR="00655598" w:rsidRPr="00E53FB9">
        <w:t>.</w:t>
      </w:r>
    </w:p>
    <w:p w14:paraId="0E653DED" w14:textId="440BE57A" w:rsidR="00165824" w:rsidRPr="00E53FB9" w:rsidRDefault="00B047EE" w:rsidP="00C92CE7">
      <w:r w:rsidRPr="00E53FB9">
        <w:t>Bevacizumab is available as a 100 mg/4 mL vial and 400 mg/16 mL vial for intravenous infusion.</w:t>
      </w:r>
    </w:p>
    <w:p w14:paraId="6064A3C6" w14:textId="77777777" w:rsidR="00B33D91" w:rsidRPr="00E53FB9" w:rsidRDefault="00B33D91" w:rsidP="00C92CE7">
      <w:pPr>
        <w:pStyle w:val="Heading2"/>
      </w:pPr>
      <w:r w:rsidRPr="00E53FB9">
        <w:t>Dosage and administration</w:t>
      </w:r>
    </w:p>
    <w:p w14:paraId="4DD29E76" w14:textId="03F01736" w:rsidR="00C676DD" w:rsidRPr="00E53FB9" w:rsidRDefault="00486370" w:rsidP="00C92CE7">
      <w:r w:rsidRPr="00E53FB9">
        <w:t xml:space="preserve">The </w:t>
      </w:r>
      <w:hyperlink r:id="rId8" w:history="1">
        <w:r w:rsidRPr="00E53FB9">
          <w:rPr>
            <w:rStyle w:val="Hyperlink"/>
          </w:rPr>
          <w:t>Product Information</w:t>
        </w:r>
      </w:hyperlink>
      <w:r w:rsidRPr="00E53FB9">
        <w:t xml:space="preserve"> recommends that </w:t>
      </w:r>
      <w:r w:rsidR="003D1351" w:rsidRPr="00E53FB9">
        <w:t xml:space="preserve">for </w:t>
      </w:r>
      <w:r w:rsidR="00C676DD" w:rsidRPr="00E53FB9">
        <w:t>advanced</w:t>
      </w:r>
      <w:r w:rsidRPr="00E53FB9">
        <w:t xml:space="preserve">  </w:t>
      </w:r>
      <w:r w:rsidR="00C676DD" w:rsidRPr="00E53FB9">
        <w:t xml:space="preserve">epithelial ovarian, fallopian tube, or primary peritoneal cancer bevacizumab </w:t>
      </w:r>
      <w:r w:rsidR="008B6008" w:rsidRPr="00E53FB9">
        <w:t>can be administered as a three weekl</w:t>
      </w:r>
      <w:r w:rsidR="00DF7BE0" w:rsidRPr="00E53FB9">
        <w:t xml:space="preserve">y infusion with a dose of 15 mg per </w:t>
      </w:r>
      <w:r w:rsidR="008B6008" w:rsidRPr="00E53FB9">
        <w:t>kg given in combination with carboplatin and paclitaxel for up to 6 cycles of treatment, followed by continued use of bevacizumab as single agent.</w:t>
      </w:r>
      <w:r w:rsidR="006619E7" w:rsidRPr="00E53FB9">
        <w:fldChar w:fldCharType="begin"/>
      </w:r>
      <w:r w:rsidR="006619E7" w:rsidRPr="00E53FB9">
        <w:instrText xml:space="preserve"> NOTEREF _Ref522799272 \f \h </w:instrText>
      </w:r>
      <w:r w:rsidR="00E53FB9">
        <w:instrText xml:space="preserve"> \* MERGEFORMAT </w:instrText>
      </w:r>
      <w:r w:rsidR="006619E7" w:rsidRPr="00E53FB9">
        <w:fldChar w:fldCharType="separate"/>
      </w:r>
      <w:r w:rsidR="00F06D9A" w:rsidRPr="00F06D9A">
        <w:rPr>
          <w:rStyle w:val="FootnoteReference"/>
        </w:rPr>
        <w:t>5</w:t>
      </w:r>
      <w:r w:rsidR="006619E7" w:rsidRPr="00E53FB9">
        <w:fldChar w:fldCharType="end"/>
      </w:r>
    </w:p>
    <w:p w14:paraId="6F30337D" w14:textId="77777777" w:rsidR="00DF7BE0" w:rsidRPr="00E53FB9" w:rsidRDefault="00DF7BE0" w:rsidP="00C92CE7">
      <w:pPr>
        <w:rPr>
          <w:b/>
        </w:rPr>
      </w:pPr>
      <w:r w:rsidRPr="00E53FB9">
        <w:t xml:space="preserve">The </w:t>
      </w:r>
      <w:hyperlink r:id="rId9" w:history="1">
        <w:r w:rsidRPr="00E53FB9">
          <w:rPr>
            <w:rStyle w:val="Hyperlink"/>
          </w:rPr>
          <w:t>eviQ</w:t>
        </w:r>
      </w:hyperlink>
      <w:r w:rsidRPr="00E53FB9">
        <w:t xml:space="preserve"> website recommends bevacizumab be administered as a three weekly infusion with a dose of 7.5 mg per kg given in combination with paclitaxel and carboplatin for six cycles, followed by 12 cycles of single agent bevacizumab (unless disease progression or unacceptable toxicity).</w:t>
      </w:r>
      <w:bookmarkStart w:id="3" w:name="_Ref522894841"/>
      <w:r w:rsidRPr="00E53FB9">
        <w:rPr>
          <w:rStyle w:val="FootnoteReference"/>
        </w:rPr>
        <w:footnoteReference w:id="6"/>
      </w:r>
      <w:bookmarkEnd w:id="3"/>
    </w:p>
    <w:p w14:paraId="65CDC9AE" w14:textId="791E549B" w:rsidR="002B2806" w:rsidRPr="00E53FB9" w:rsidRDefault="000144FA" w:rsidP="00C92CE7">
      <w:r w:rsidRPr="00E53FB9">
        <w:t>The</w:t>
      </w:r>
      <w:r w:rsidR="008B4418" w:rsidRPr="00E53FB9">
        <w:t xml:space="preserve"> </w:t>
      </w:r>
      <w:hyperlink r:id="rId10" w:history="1">
        <w:r w:rsidR="008B4418" w:rsidRPr="00E53FB9">
          <w:rPr>
            <w:rStyle w:val="Hyperlink"/>
          </w:rPr>
          <w:t xml:space="preserve">PBS </w:t>
        </w:r>
        <w:r w:rsidR="002627D5" w:rsidRPr="00E53FB9">
          <w:rPr>
            <w:rStyle w:val="Hyperlink"/>
          </w:rPr>
          <w:t>restriction</w:t>
        </w:r>
      </w:hyperlink>
      <w:r w:rsidR="002627D5" w:rsidRPr="00E53FB9">
        <w:t xml:space="preserve"> </w:t>
      </w:r>
      <w:r w:rsidR="002B2806" w:rsidRPr="00E53FB9">
        <w:t xml:space="preserve">specifies that the subsidised </w:t>
      </w:r>
      <w:r w:rsidR="002627D5" w:rsidRPr="00E53FB9">
        <w:t>dose of bevacizumab must not exceed</w:t>
      </w:r>
      <w:r w:rsidRPr="00E53FB9">
        <w:t xml:space="preserve"> </w:t>
      </w:r>
      <w:r w:rsidR="008E0A40" w:rsidRPr="00E53FB9">
        <w:t>7.5 mg</w:t>
      </w:r>
      <w:r w:rsidR="00DF7BE0" w:rsidRPr="00E53FB9">
        <w:t xml:space="preserve"> per </w:t>
      </w:r>
      <w:r w:rsidR="008E0A40" w:rsidRPr="00E53FB9">
        <w:t xml:space="preserve">kg </w:t>
      </w:r>
      <w:r w:rsidR="00DF7BE0" w:rsidRPr="00E53FB9">
        <w:t>every three weeks</w:t>
      </w:r>
      <w:r w:rsidRPr="00E53FB9">
        <w:t>. The n</w:t>
      </w:r>
      <w:r w:rsidR="00DF7BE0" w:rsidRPr="00E53FB9">
        <w:t>umber of prescribed repeats is five for initial treatment (in combination with platinum-based chemotherapy) and 11 for continuing treatment</w:t>
      </w:r>
      <w:r w:rsidRPr="00E53FB9">
        <w:t xml:space="preserve">. The </w:t>
      </w:r>
      <w:r w:rsidR="00DF7BE0" w:rsidRPr="00E53FB9">
        <w:t xml:space="preserve">PBS restriction states </w:t>
      </w:r>
      <w:r w:rsidRPr="00E53FB9">
        <w:t>treatment must not exceed a lifetime total of 18 cycles of bevacizumab for epithelial ovarian, fallopian tube or primary peritoneal cancer.</w:t>
      </w:r>
      <w:bookmarkStart w:id="4" w:name="_Ref522894866"/>
      <w:r w:rsidR="006619E7" w:rsidRPr="00E53FB9">
        <w:rPr>
          <w:rStyle w:val="FootnoteReference"/>
        </w:rPr>
        <w:footnoteReference w:id="7"/>
      </w:r>
      <w:bookmarkEnd w:id="4"/>
      <w:r w:rsidR="002B2806" w:rsidRPr="00E53FB9">
        <w:t xml:space="preserve"> See the ‘Relevant Aspects of PBAC Consideration’ section for further information about the subsidised dose of bevacizumab.</w:t>
      </w:r>
    </w:p>
    <w:p w14:paraId="2C16D829" w14:textId="0C02E311" w:rsidR="000144FA" w:rsidRPr="00E53FB9" w:rsidRDefault="000144FA" w:rsidP="00C92CE7"/>
    <w:p w14:paraId="345D75DB" w14:textId="77777777" w:rsidR="00F04343" w:rsidRPr="00E53FB9" w:rsidRDefault="00F04343" w:rsidP="00C92CE7">
      <w:pPr>
        <w:spacing w:line="276" w:lineRule="auto"/>
        <w:rPr>
          <w:b/>
        </w:rPr>
      </w:pPr>
      <w:r w:rsidRPr="00E53FB9">
        <w:br w:type="page"/>
      </w:r>
    </w:p>
    <w:p w14:paraId="46E2BB42" w14:textId="007F2655" w:rsidR="00DF0B13" w:rsidRPr="00E53FB9" w:rsidRDefault="00DF0B13" w:rsidP="00C92CE7">
      <w:pPr>
        <w:pStyle w:val="Heading2"/>
      </w:pPr>
      <w:r w:rsidRPr="00E53FB9" w:rsidDel="00EE2BBB">
        <w:lastRenderedPageBreak/>
        <w:t>PBS listing details</w:t>
      </w:r>
      <w:r w:rsidR="00D151EB" w:rsidRPr="00E53FB9" w:rsidDel="00EE2BBB">
        <w:t xml:space="preserve"> (as a</w:t>
      </w:r>
      <w:r w:rsidR="00187DB6" w:rsidRPr="00E53FB9">
        <w:t>t</w:t>
      </w:r>
      <w:r w:rsidR="00A5104F" w:rsidRPr="00E53FB9">
        <w:t xml:space="preserve"> </w:t>
      </w:r>
      <w:r w:rsidR="00E86799" w:rsidRPr="00E53FB9">
        <w:t xml:space="preserve">1 </w:t>
      </w:r>
      <w:r w:rsidR="00A5104F" w:rsidRPr="00E53FB9">
        <w:t>August 201</w:t>
      </w:r>
      <w:r w:rsidR="006B03D6" w:rsidRPr="00E53FB9">
        <w:t>8</w:t>
      </w:r>
      <w:r w:rsidR="00D151EB" w:rsidRPr="00E53FB9" w:rsidDel="00EE2BBB">
        <w:t>)</w:t>
      </w:r>
    </w:p>
    <w:p w14:paraId="36B2F046" w14:textId="754D648F" w:rsidR="00CE7E41" w:rsidRPr="00E53FB9" w:rsidRDefault="00A5104F" w:rsidP="00C92CE7">
      <w:r w:rsidRPr="00E53FB9">
        <w:t xml:space="preserve">Bevacizumab </w:t>
      </w:r>
      <w:r w:rsidR="00C92AB4" w:rsidRPr="00E53FB9">
        <w:t>is</w:t>
      </w:r>
      <w:r w:rsidRPr="00E53FB9">
        <w:t xml:space="preserve"> PBS listed as an Authority Required (STREAMLINED) listing for advanced </w:t>
      </w:r>
      <w:r w:rsidR="001D7A43" w:rsidRPr="00E53FB9">
        <w:t>(</w:t>
      </w:r>
      <w:r w:rsidR="00315FFD" w:rsidRPr="00E53FB9">
        <w:rPr>
          <w:rFonts w:cs="Arial"/>
        </w:rPr>
        <w:t>FIGO</w:t>
      </w:r>
      <w:r w:rsidRPr="00E53FB9">
        <w:rPr>
          <w:rFonts w:cs="Arial"/>
        </w:rPr>
        <w:t xml:space="preserve"> Stage IIIB, IIIC or Stage IV</w:t>
      </w:r>
      <w:r w:rsidR="001D7A43" w:rsidRPr="00E53FB9">
        <w:rPr>
          <w:rFonts w:cs="Arial"/>
        </w:rPr>
        <w:t>)</w:t>
      </w:r>
      <w:r w:rsidRPr="00E53FB9">
        <w:rPr>
          <w:rFonts w:cs="Arial"/>
        </w:rPr>
        <w:t xml:space="preserve"> epithelial ovarian, fallopian tube or primary peritoneal cancer</w:t>
      </w:r>
      <w:r w:rsidR="00315FFD" w:rsidRPr="00E53FB9">
        <w:t>, under th</w:t>
      </w:r>
      <w:r w:rsidR="00641788" w:rsidRPr="00E53FB9">
        <w:t>e item codes in T</w:t>
      </w:r>
      <w:r w:rsidR="00315FFD" w:rsidRPr="00E53FB9">
        <w:t xml:space="preserve">able </w:t>
      </w:r>
      <w:r w:rsidR="00DD08A7" w:rsidRPr="00E53FB9">
        <w:t>1</w:t>
      </w:r>
      <w:r w:rsidR="00315FFD" w:rsidRPr="00E53FB9">
        <w:t>.</w:t>
      </w:r>
    </w:p>
    <w:p w14:paraId="1D47784A" w14:textId="3517ACDF" w:rsidR="001420B3" w:rsidRPr="00E53FB9" w:rsidDel="00EE2BBB" w:rsidRDefault="00E81C1F" w:rsidP="00C92CE7">
      <w:pPr>
        <w:pStyle w:val="Tabletitle"/>
      </w:pPr>
      <w:r w:rsidRPr="00E53FB9">
        <w:t xml:space="preserve">Table </w:t>
      </w:r>
      <w:r w:rsidR="00DD08A7" w:rsidRPr="00E53FB9">
        <w:t>1</w:t>
      </w:r>
      <w:r w:rsidR="001420B3" w:rsidRPr="00E53FB9" w:rsidDel="00EE2BBB">
        <w:t xml:space="preserve">: </w:t>
      </w:r>
      <w:r w:rsidR="009663B6" w:rsidRPr="00E53FB9" w:rsidDel="00EE2BBB">
        <w:t>PB</w:t>
      </w:r>
      <w:r w:rsidR="00D151EB" w:rsidRPr="00E53FB9" w:rsidDel="00EE2BBB">
        <w:t xml:space="preserve">S </w:t>
      </w:r>
      <w:r w:rsidR="00D46602" w:rsidRPr="00E53FB9">
        <w:t>listing of bevacizumab</w:t>
      </w:r>
    </w:p>
    <w:tbl>
      <w:tblPr>
        <w:tblStyle w:val="TableGrid"/>
        <w:tblW w:w="0" w:type="auto"/>
        <w:tblLook w:val="04A0" w:firstRow="1" w:lastRow="0" w:firstColumn="1" w:lastColumn="0" w:noHBand="0" w:noVBand="1"/>
        <w:tblCaption w:val="PBS listing of bevacizumab"/>
        <w:tblDescription w:val="PBS listing of bevacizumab, 400 mg and 100 mg vials"/>
      </w:tblPr>
      <w:tblGrid>
        <w:gridCol w:w="1102"/>
        <w:gridCol w:w="2692"/>
        <w:gridCol w:w="1417"/>
        <w:gridCol w:w="993"/>
        <w:gridCol w:w="1440"/>
        <w:gridCol w:w="1529"/>
      </w:tblGrid>
      <w:tr w:rsidR="00E07A16" w:rsidRPr="00E53FB9" w14:paraId="292655AE" w14:textId="77777777" w:rsidTr="00976808">
        <w:trPr>
          <w:tblHeader/>
        </w:trPr>
        <w:tc>
          <w:tcPr>
            <w:tcW w:w="1101" w:type="dxa"/>
            <w:shd w:val="clear" w:color="auto" w:fill="BFBFBF" w:themeFill="background1" w:themeFillShade="BF"/>
          </w:tcPr>
          <w:p w14:paraId="2CAF0EBE" w14:textId="04AA06D6" w:rsidR="00E07A16" w:rsidRPr="00E53FB9" w:rsidRDefault="00E07A16" w:rsidP="00C92CE7">
            <w:pPr>
              <w:pStyle w:val="Notes"/>
              <w:spacing w:before="60" w:after="60"/>
              <w:rPr>
                <w:b/>
              </w:rPr>
            </w:pPr>
            <w:r w:rsidRPr="00E53FB9" w:rsidDel="00EE2BBB">
              <w:rPr>
                <w:b/>
              </w:rPr>
              <w:t>Item</w:t>
            </w:r>
          </w:p>
        </w:tc>
        <w:tc>
          <w:tcPr>
            <w:tcW w:w="2693" w:type="dxa"/>
            <w:shd w:val="clear" w:color="auto" w:fill="BFBFBF" w:themeFill="background1" w:themeFillShade="BF"/>
          </w:tcPr>
          <w:p w14:paraId="52D568DD" w14:textId="09D4FEFC" w:rsidR="00E07A16" w:rsidRPr="00E53FB9" w:rsidRDefault="00E07A16" w:rsidP="00C92CE7">
            <w:pPr>
              <w:pStyle w:val="Notes"/>
              <w:spacing w:before="60" w:after="60"/>
              <w:rPr>
                <w:b/>
              </w:rPr>
            </w:pPr>
            <w:r w:rsidRPr="00E53FB9" w:rsidDel="00EE2BBB">
              <w:rPr>
                <w:b/>
              </w:rPr>
              <w:t>Name, form &amp; strength, pack size</w:t>
            </w:r>
          </w:p>
        </w:tc>
        <w:tc>
          <w:tcPr>
            <w:tcW w:w="1417" w:type="dxa"/>
            <w:shd w:val="clear" w:color="auto" w:fill="BFBFBF" w:themeFill="background1" w:themeFillShade="BF"/>
          </w:tcPr>
          <w:p w14:paraId="6024B7F5" w14:textId="5CE43479" w:rsidR="00E07A16" w:rsidRPr="00E53FB9" w:rsidRDefault="00E07A16" w:rsidP="00C92CE7">
            <w:pPr>
              <w:pStyle w:val="Notes"/>
              <w:spacing w:before="60" w:after="60"/>
              <w:rPr>
                <w:b/>
              </w:rPr>
            </w:pPr>
            <w:r w:rsidRPr="00E53FB9" w:rsidDel="00EE2BBB">
              <w:rPr>
                <w:b/>
              </w:rPr>
              <w:t xml:space="preserve">Max. </w:t>
            </w:r>
            <w:r w:rsidRPr="00E53FB9">
              <w:rPr>
                <w:b/>
              </w:rPr>
              <w:t>amount</w:t>
            </w:r>
            <w:r w:rsidRPr="00E53FB9" w:rsidDel="00EE2BBB">
              <w:rPr>
                <w:b/>
              </w:rPr>
              <w:t xml:space="preserve"> </w:t>
            </w:r>
          </w:p>
        </w:tc>
        <w:tc>
          <w:tcPr>
            <w:tcW w:w="993" w:type="dxa"/>
            <w:shd w:val="clear" w:color="auto" w:fill="BFBFBF" w:themeFill="background1" w:themeFillShade="BF"/>
          </w:tcPr>
          <w:p w14:paraId="7BB20B64" w14:textId="758ECCAC" w:rsidR="00E07A16" w:rsidRPr="00E53FB9" w:rsidRDefault="00E07A16" w:rsidP="00C92CE7">
            <w:pPr>
              <w:pStyle w:val="Notes"/>
              <w:spacing w:before="60" w:after="60"/>
              <w:rPr>
                <w:b/>
              </w:rPr>
            </w:pPr>
            <w:r w:rsidRPr="00E53FB9" w:rsidDel="00EE2BBB">
              <w:rPr>
                <w:b/>
              </w:rPr>
              <w:t xml:space="preserve">Rpts </w:t>
            </w:r>
          </w:p>
        </w:tc>
        <w:tc>
          <w:tcPr>
            <w:tcW w:w="1440" w:type="dxa"/>
            <w:shd w:val="clear" w:color="auto" w:fill="BFBFBF" w:themeFill="background1" w:themeFillShade="BF"/>
          </w:tcPr>
          <w:p w14:paraId="786BEFEA" w14:textId="4F5E8DF9" w:rsidR="00E07A16" w:rsidRPr="00E53FB9" w:rsidRDefault="00E07A16" w:rsidP="00C92CE7">
            <w:pPr>
              <w:pStyle w:val="Notes"/>
              <w:spacing w:before="60" w:after="60"/>
              <w:rPr>
                <w:b/>
              </w:rPr>
            </w:pPr>
            <w:r w:rsidRPr="00E53FB9" w:rsidDel="00EE2BBB">
              <w:rPr>
                <w:b/>
              </w:rPr>
              <w:t>DPMQ</w:t>
            </w:r>
            <w:r w:rsidR="002B2806" w:rsidRPr="00E53FB9">
              <w:rPr>
                <w:b/>
              </w:rPr>
              <w:t>*</w:t>
            </w:r>
          </w:p>
        </w:tc>
        <w:tc>
          <w:tcPr>
            <w:tcW w:w="1529" w:type="dxa"/>
            <w:shd w:val="clear" w:color="auto" w:fill="BFBFBF" w:themeFill="background1" w:themeFillShade="BF"/>
          </w:tcPr>
          <w:p w14:paraId="5FDFD61F" w14:textId="28AE7C6D" w:rsidR="00E07A16" w:rsidRPr="00E53FB9" w:rsidRDefault="00E07A16" w:rsidP="00C92CE7">
            <w:pPr>
              <w:pStyle w:val="Notes"/>
              <w:spacing w:before="60" w:after="60"/>
              <w:rPr>
                <w:b/>
              </w:rPr>
            </w:pPr>
            <w:r w:rsidRPr="00E53FB9" w:rsidDel="00EE2BBB">
              <w:rPr>
                <w:b/>
              </w:rPr>
              <w:t>Brand name and manufacturer</w:t>
            </w:r>
          </w:p>
        </w:tc>
      </w:tr>
      <w:tr w:rsidR="00E07A16" w:rsidRPr="00E53FB9" w14:paraId="6A03C564" w14:textId="77777777" w:rsidTr="00E07A16">
        <w:tc>
          <w:tcPr>
            <w:tcW w:w="9173" w:type="dxa"/>
            <w:gridSpan w:val="6"/>
          </w:tcPr>
          <w:p w14:paraId="6B4C5272" w14:textId="44BDE117" w:rsidR="00E07A16" w:rsidRPr="00E53FB9" w:rsidRDefault="006B03D6" w:rsidP="00C92CE7">
            <w:pPr>
              <w:pStyle w:val="Notes"/>
              <w:spacing w:before="60" w:after="60"/>
              <w:rPr>
                <w:b/>
              </w:rPr>
            </w:pPr>
            <w:r w:rsidRPr="00E53FB9">
              <w:rPr>
                <w:b/>
              </w:rPr>
              <w:t>s</w:t>
            </w:r>
            <w:r w:rsidR="00143F16" w:rsidRPr="00E53FB9">
              <w:rPr>
                <w:b/>
              </w:rPr>
              <w:t>100 Authority R</w:t>
            </w:r>
            <w:r w:rsidR="00E07A16" w:rsidRPr="00E53FB9">
              <w:rPr>
                <w:b/>
              </w:rPr>
              <w:t>equired (</w:t>
            </w:r>
            <w:r w:rsidR="00143F16" w:rsidRPr="00E53FB9">
              <w:rPr>
                <w:b/>
              </w:rPr>
              <w:t>STREAMLINED</w:t>
            </w:r>
            <w:r w:rsidR="00E07A16" w:rsidRPr="00E53FB9">
              <w:rPr>
                <w:b/>
              </w:rPr>
              <w:t>) Private</w:t>
            </w:r>
          </w:p>
        </w:tc>
      </w:tr>
      <w:tr w:rsidR="009F06E4" w:rsidRPr="00E53FB9" w14:paraId="36E99C70" w14:textId="77777777" w:rsidTr="009F06E4">
        <w:tc>
          <w:tcPr>
            <w:tcW w:w="1101" w:type="dxa"/>
          </w:tcPr>
          <w:p w14:paraId="6D4AA0E1" w14:textId="77777777" w:rsidR="006B03D6" w:rsidRPr="00E53FB9" w:rsidRDefault="00C92CE7" w:rsidP="00C92CE7">
            <w:pPr>
              <w:pStyle w:val="Tablewriting"/>
              <w:jc w:val="center"/>
              <w:rPr>
                <w:rFonts w:cstheme="minorHAnsi"/>
              </w:rPr>
            </w:pPr>
            <w:hyperlink r:id="rId11" w:tooltip="10120p" w:history="1">
              <w:r w:rsidR="009F06E4" w:rsidRPr="00E53FB9">
                <w:rPr>
                  <w:rStyle w:val="item-code2"/>
                  <w:rFonts w:cstheme="minorHAnsi"/>
                  <w:color w:val="auto"/>
                  <w:specVanish w:val="0"/>
                </w:rPr>
                <w:t>10120P</w:t>
              </w:r>
            </w:hyperlink>
            <w:r w:rsidR="006B03D6" w:rsidRPr="00E53FB9">
              <w:rPr>
                <w:rFonts w:cstheme="minorHAnsi"/>
              </w:rPr>
              <w:t xml:space="preserve"> </w:t>
            </w:r>
          </w:p>
          <w:p w14:paraId="2DB86F69" w14:textId="630ACE59" w:rsidR="009F06E4" w:rsidRPr="00E53FB9" w:rsidRDefault="006B03D6" w:rsidP="00C92CE7">
            <w:pPr>
              <w:pStyle w:val="Tablewriting"/>
              <w:jc w:val="center"/>
            </w:pPr>
            <w:r w:rsidRPr="00E53FB9">
              <w:rPr>
                <w:rFonts w:cstheme="minorHAnsi"/>
              </w:rPr>
              <w:t>Initial treatment</w:t>
            </w:r>
          </w:p>
        </w:tc>
        <w:tc>
          <w:tcPr>
            <w:tcW w:w="2693" w:type="dxa"/>
          </w:tcPr>
          <w:p w14:paraId="12EF9C43" w14:textId="4961F3F6" w:rsidR="009F06E4" w:rsidRPr="00E53FB9" w:rsidRDefault="009F06E4" w:rsidP="00C92CE7">
            <w:pPr>
              <w:pStyle w:val="Tablewriting"/>
              <w:rPr>
                <w:rFonts w:cstheme="minorHAnsi"/>
              </w:rPr>
            </w:pPr>
            <w:r w:rsidRPr="00E53FB9">
              <w:rPr>
                <w:rFonts w:cstheme="minorHAnsi"/>
              </w:rPr>
              <w:t>bevacizumab 400 mg/16 mL injection, 1 x 16 mL vial</w:t>
            </w:r>
          </w:p>
          <w:p w14:paraId="1796E012" w14:textId="0D4A841E" w:rsidR="009F06E4" w:rsidRPr="00E53FB9" w:rsidRDefault="009F06E4" w:rsidP="00C92CE7">
            <w:pPr>
              <w:pStyle w:val="Notes"/>
              <w:spacing w:before="60" w:after="60"/>
            </w:pPr>
            <w:r w:rsidRPr="00E53FB9">
              <w:rPr>
                <w:rFonts w:cstheme="minorHAnsi"/>
              </w:rPr>
              <w:t>bevacizumab 100 mg/4 mL injection, 1 x 4 mL vial</w:t>
            </w:r>
          </w:p>
        </w:tc>
        <w:tc>
          <w:tcPr>
            <w:tcW w:w="1417" w:type="dxa"/>
            <w:vMerge w:val="restart"/>
            <w:vAlign w:val="center"/>
          </w:tcPr>
          <w:p w14:paraId="121ECC9D" w14:textId="0738D699" w:rsidR="009F06E4" w:rsidRPr="00E53FB9" w:rsidRDefault="009F06E4" w:rsidP="00C92CE7">
            <w:pPr>
              <w:pStyle w:val="Notes"/>
              <w:spacing w:before="60" w:after="60"/>
              <w:jc w:val="center"/>
            </w:pPr>
            <w:r w:rsidRPr="00E53FB9">
              <w:rPr>
                <w:rFonts w:cstheme="minorHAnsi"/>
              </w:rPr>
              <w:t>900 mg</w:t>
            </w:r>
          </w:p>
        </w:tc>
        <w:tc>
          <w:tcPr>
            <w:tcW w:w="993" w:type="dxa"/>
            <w:vAlign w:val="center"/>
          </w:tcPr>
          <w:p w14:paraId="429C4DBF" w14:textId="33A6407E" w:rsidR="009F06E4" w:rsidRPr="00E53FB9" w:rsidRDefault="009F06E4" w:rsidP="00C92CE7">
            <w:pPr>
              <w:pStyle w:val="Tablewriting"/>
              <w:jc w:val="center"/>
            </w:pPr>
            <w:r w:rsidRPr="00E53FB9">
              <w:rPr>
                <w:rFonts w:cstheme="minorHAnsi"/>
              </w:rPr>
              <w:t>5</w:t>
            </w:r>
          </w:p>
        </w:tc>
        <w:tc>
          <w:tcPr>
            <w:tcW w:w="1440" w:type="dxa"/>
            <w:vMerge w:val="restart"/>
            <w:vAlign w:val="center"/>
          </w:tcPr>
          <w:p w14:paraId="015F6066" w14:textId="1E31F642" w:rsidR="009F06E4" w:rsidRPr="00E53FB9" w:rsidRDefault="009F06E4" w:rsidP="00C92CE7">
            <w:pPr>
              <w:pStyle w:val="Notes"/>
              <w:spacing w:before="60" w:after="60"/>
              <w:jc w:val="center"/>
            </w:pPr>
            <w:r w:rsidRPr="00E53FB9">
              <w:rPr>
                <w:rFonts w:cstheme="minorHAnsi"/>
              </w:rPr>
              <w:t>$3</w:t>
            </w:r>
            <w:r w:rsidR="006B03D6" w:rsidRPr="00E53FB9">
              <w:rPr>
                <w:rFonts w:cstheme="minorHAnsi"/>
              </w:rPr>
              <w:t>,</w:t>
            </w:r>
            <w:r w:rsidRPr="00E53FB9">
              <w:rPr>
                <w:rFonts w:cstheme="minorHAnsi"/>
              </w:rPr>
              <w:t>851.64</w:t>
            </w:r>
          </w:p>
        </w:tc>
        <w:tc>
          <w:tcPr>
            <w:tcW w:w="1529" w:type="dxa"/>
            <w:vMerge w:val="restart"/>
            <w:vAlign w:val="center"/>
          </w:tcPr>
          <w:p w14:paraId="01015C2E" w14:textId="77777777" w:rsidR="009F06E4" w:rsidRPr="00E53FB9" w:rsidRDefault="009F06E4" w:rsidP="00C92CE7">
            <w:pPr>
              <w:pStyle w:val="Tablewriting"/>
              <w:jc w:val="center"/>
              <w:rPr>
                <w:rFonts w:cstheme="minorHAnsi"/>
              </w:rPr>
            </w:pPr>
            <w:r w:rsidRPr="00E53FB9">
              <w:rPr>
                <w:rFonts w:cstheme="minorHAnsi"/>
              </w:rPr>
              <w:t>Avastin®</w:t>
            </w:r>
          </w:p>
          <w:p w14:paraId="4301CB86" w14:textId="2C3A0324" w:rsidR="009F06E4" w:rsidRPr="00E53FB9" w:rsidRDefault="009F06E4" w:rsidP="00C92CE7">
            <w:pPr>
              <w:pStyle w:val="Notes"/>
              <w:spacing w:before="60" w:after="60"/>
              <w:jc w:val="center"/>
            </w:pPr>
            <w:r w:rsidRPr="00E53FB9">
              <w:rPr>
                <w:rFonts w:cstheme="minorHAnsi"/>
              </w:rPr>
              <w:t>Roche Products Pty Limited</w:t>
            </w:r>
          </w:p>
        </w:tc>
      </w:tr>
      <w:tr w:rsidR="009F06E4" w:rsidRPr="00E53FB9" w14:paraId="3C9B296D" w14:textId="77777777" w:rsidTr="009F06E4">
        <w:tc>
          <w:tcPr>
            <w:tcW w:w="1101" w:type="dxa"/>
          </w:tcPr>
          <w:p w14:paraId="1A91326D" w14:textId="77777777" w:rsidR="009F06E4" w:rsidRPr="00E53FB9" w:rsidRDefault="009F06E4" w:rsidP="00C92CE7">
            <w:pPr>
              <w:pStyle w:val="Tablewriting"/>
              <w:jc w:val="center"/>
              <w:rPr>
                <w:rFonts w:cstheme="minorHAnsi"/>
              </w:rPr>
            </w:pPr>
            <w:r w:rsidRPr="00E53FB9">
              <w:rPr>
                <w:rFonts w:cstheme="minorHAnsi"/>
              </w:rPr>
              <w:t>10114H</w:t>
            </w:r>
          </w:p>
          <w:p w14:paraId="3B2341F0" w14:textId="4F483E76" w:rsidR="006B03D6" w:rsidRPr="00E53FB9" w:rsidRDefault="006B03D6" w:rsidP="00C92CE7">
            <w:pPr>
              <w:pStyle w:val="Tablewriting"/>
              <w:jc w:val="center"/>
            </w:pPr>
            <w:r w:rsidRPr="00E53FB9">
              <w:rPr>
                <w:rFonts w:cstheme="minorHAnsi"/>
              </w:rPr>
              <w:t>Continuing treatment</w:t>
            </w:r>
          </w:p>
        </w:tc>
        <w:tc>
          <w:tcPr>
            <w:tcW w:w="2693" w:type="dxa"/>
          </w:tcPr>
          <w:p w14:paraId="23600DC3" w14:textId="4DD90B3E" w:rsidR="009F06E4" w:rsidRPr="00E53FB9" w:rsidRDefault="009F06E4" w:rsidP="00C92CE7">
            <w:pPr>
              <w:pStyle w:val="Tablewriting"/>
              <w:rPr>
                <w:rFonts w:cstheme="minorHAnsi"/>
              </w:rPr>
            </w:pPr>
            <w:r w:rsidRPr="00E53FB9">
              <w:rPr>
                <w:rFonts w:cstheme="minorHAnsi"/>
              </w:rPr>
              <w:t>bevacizumab 400 mg/16 mL injection, 1 x 16 mL vial</w:t>
            </w:r>
          </w:p>
          <w:p w14:paraId="52A57871" w14:textId="36FCC2C3" w:rsidR="009F06E4" w:rsidRPr="00E53FB9" w:rsidRDefault="009F06E4" w:rsidP="00C92CE7">
            <w:pPr>
              <w:pStyle w:val="Notes"/>
              <w:spacing w:before="60" w:after="60"/>
            </w:pPr>
            <w:r w:rsidRPr="00E53FB9">
              <w:rPr>
                <w:rFonts w:cstheme="minorHAnsi"/>
              </w:rPr>
              <w:t>bevacizumab 100 mg/4 mL injection, 1 x 4 mL vial</w:t>
            </w:r>
          </w:p>
        </w:tc>
        <w:tc>
          <w:tcPr>
            <w:tcW w:w="1417" w:type="dxa"/>
            <w:vMerge/>
          </w:tcPr>
          <w:p w14:paraId="310A623D" w14:textId="39F40422" w:rsidR="009F06E4" w:rsidRPr="00E53FB9" w:rsidRDefault="009F06E4" w:rsidP="00C92CE7">
            <w:pPr>
              <w:pStyle w:val="Notes"/>
              <w:spacing w:before="60" w:after="60"/>
            </w:pPr>
          </w:p>
        </w:tc>
        <w:tc>
          <w:tcPr>
            <w:tcW w:w="993" w:type="dxa"/>
            <w:vAlign w:val="center"/>
          </w:tcPr>
          <w:p w14:paraId="76679A2B" w14:textId="78D95BCA" w:rsidR="009F06E4" w:rsidRPr="00E53FB9" w:rsidRDefault="009F06E4" w:rsidP="00C92CE7">
            <w:pPr>
              <w:pStyle w:val="Notes"/>
              <w:spacing w:before="60" w:after="60"/>
              <w:jc w:val="center"/>
            </w:pPr>
            <w:r w:rsidRPr="00E53FB9">
              <w:rPr>
                <w:rFonts w:cstheme="minorHAnsi"/>
              </w:rPr>
              <w:t>11</w:t>
            </w:r>
          </w:p>
        </w:tc>
        <w:tc>
          <w:tcPr>
            <w:tcW w:w="1440" w:type="dxa"/>
            <w:vMerge/>
          </w:tcPr>
          <w:p w14:paraId="7F9265EB" w14:textId="2A8D52EC" w:rsidR="009F06E4" w:rsidRPr="00E53FB9" w:rsidRDefault="009F06E4" w:rsidP="00C92CE7">
            <w:pPr>
              <w:pStyle w:val="Notes"/>
              <w:spacing w:before="60" w:after="60"/>
              <w:jc w:val="center"/>
            </w:pPr>
          </w:p>
        </w:tc>
        <w:tc>
          <w:tcPr>
            <w:tcW w:w="1529" w:type="dxa"/>
            <w:vMerge/>
          </w:tcPr>
          <w:p w14:paraId="2E5CE3C8" w14:textId="77777777" w:rsidR="009F06E4" w:rsidRPr="00E53FB9" w:rsidRDefault="009F06E4" w:rsidP="00C92CE7">
            <w:pPr>
              <w:pStyle w:val="Notes"/>
              <w:spacing w:before="60" w:after="60"/>
            </w:pPr>
          </w:p>
        </w:tc>
      </w:tr>
      <w:tr w:rsidR="003C3A9E" w:rsidRPr="00E53FB9" w14:paraId="56A64ABC" w14:textId="77777777" w:rsidTr="009F06E4">
        <w:tc>
          <w:tcPr>
            <w:tcW w:w="9173" w:type="dxa"/>
            <w:gridSpan w:val="6"/>
          </w:tcPr>
          <w:p w14:paraId="5EFE238A" w14:textId="26E6C579" w:rsidR="003C3A9E" w:rsidRPr="00E53FB9" w:rsidRDefault="006B03D6" w:rsidP="00C92CE7">
            <w:pPr>
              <w:pStyle w:val="Notes"/>
              <w:spacing w:before="60" w:after="60"/>
              <w:rPr>
                <w:b/>
              </w:rPr>
            </w:pPr>
            <w:r w:rsidRPr="00E53FB9">
              <w:rPr>
                <w:b/>
              </w:rPr>
              <w:t>s</w:t>
            </w:r>
            <w:r w:rsidR="00143F16" w:rsidRPr="00E53FB9">
              <w:rPr>
                <w:b/>
              </w:rPr>
              <w:t>100 Authority R</w:t>
            </w:r>
            <w:r w:rsidR="003C3A9E" w:rsidRPr="00E53FB9">
              <w:rPr>
                <w:b/>
              </w:rPr>
              <w:t>equired (</w:t>
            </w:r>
            <w:r w:rsidR="00143F16" w:rsidRPr="00E53FB9">
              <w:rPr>
                <w:b/>
              </w:rPr>
              <w:t>STREAMLINED</w:t>
            </w:r>
            <w:r w:rsidR="003C3A9E" w:rsidRPr="00E53FB9">
              <w:rPr>
                <w:b/>
              </w:rPr>
              <w:t>) Pub</w:t>
            </w:r>
            <w:r w:rsidR="00976808">
              <w:rPr>
                <w:b/>
              </w:rPr>
              <w:t>l</w:t>
            </w:r>
            <w:r w:rsidR="003C3A9E" w:rsidRPr="00E53FB9">
              <w:rPr>
                <w:b/>
              </w:rPr>
              <w:t>ic</w:t>
            </w:r>
          </w:p>
        </w:tc>
      </w:tr>
      <w:tr w:rsidR="009F06E4" w:rsidRPr="00E53FB9" w14:paraId="2AD877E9" w14:textId="77777777" w:rsidTr="006B03D6">
        <w:tc>
          <w:tcPr>
            <w:tcW w:w="1101" w:type="dxa"/>
          </w:tcPr>
          <w:p w14:paraId="3C75B1CB" w14:textId="4F56EB5F" w:rsidR="006B03D6" w:rsidRPr="00E53FB9" w:rsidRDefault="00C92CE7" w:rsidP="00C92CE7">
            <w:pPr>
              <w:pStyle w:val="Tablewriting"/>
              <w:jc w:val="center"/>
              <w:rPr>
                <w:rFonts w:cstheme="minorHAnsi"/>
              </w:rPr>
            </w:pPr>
            <w:hyperlink r:id="rId12" w:tooltip="10115j" w:history="1">
              <w:r w:rsidR="009F06E4" w:rsidRPr="00E53FB9">
                <w:rPr>
                  <w:rStyle w:val="item-code2"/>
                  <w:rFonts w:cstheme="minorHAnsi"/>
                  <w:color w:val="auto"/>
                  <w:specVanish w:val="0"/>
                </w:rPr>
                <w:t>10115J</w:t>
              </w:r>
            </w:hyperlink>
            <w:r w:rsidR="006B03D6" w:rsidRPr="00E53FB9">
              <w:rPr>
                <w:rFonts w:cstheme="minorHAnsi"/>
              </w:rPr>
              <w:t xml:space="preserve"> </w:t>
            </w:r>
          </w:p>
          <w:p w14:paraId="448DF3D3" w14:textId="0A32864D" w:rsidR="009F06E4" w:rsidRPr="00E53FB9" w:rsidRDefault="006B03D6" w:rsidP="00C92CE7">
            <w:pPr>
              <w:pStyle w:val="Tablewriting"/>
              <w:jc w:val="center"/>
            </w:pPr>
            <w:r w:rsidRPr="00E53FB9">
              <w:rPr>
                <w:rFonts w:cstheme="minorHAnsi"/>
              </w:rPr>
              <w:t>Initial treatment</w:t>
            </w:r>
          </w:p>
        </w:tc>
        <w:tc>
          <w:tcPr>
            <w:tcW w:w="2693" w:type="dxa"/>
          </w:tcPr>
          <w:p w14:paraId="32C0F9DC" w14:textId="29DE638A" w:rsidR="009F06E4" w:rsidRPr="00E53FB9" w:rsidRDefault="009F06E4" w:rsidP="00C92CE7">
            <w:pPr>
              <w:pStyle w:val="Tablewriting"/>
              <w:rPr>
                <w:rFonts w:cstheme="minorHAnsi"/>
              </w:rPr>
            </w:pPr>
            <w:r w:rsidRPr="00E53FB9">
              <w:rPr>
                <w:rFonts w:cstheme="minorHAnsi"/>
              </w:rPr>
              <w:t>bevacizumab 400 mg/16 mL injection, 1 x 16 mL vial</w:t>
            </w:r>
          </w:p>
          <w:p w14:paraId="14CFC437" w14:textId="303E32D5" w:rsidR="009F06E4" w:rsidRPr="00E53FB9" w:rsidRDefault="009F06E4" w:rsidP="00C92CE7">
            <w:pPr>
              <w:pStyle w:val="Notes"/>
              <w:spacing w:before="60" w:after="60"/>
            </w:pPr>
            <w:r w:rsidRPr="00E53FB9">
              <w:rPr>
                <w:rFonts w:cstheme="minorHAnsi"/>
              </w:rPr>
              <w:t>bevacizumab 100 mg/4 mL injection, 1 x 4 mL vial</w:t>
            </w:r>
          </w:p>
        </w:tc>
        <w:tc>
          <w:tcPr>
            <w:tcW w:w="1417" w:type="dxa"/>
            <w:vMerge w:val="restart"/>
            <w:vAlign w:val="center"/>
          </w:tcPr>
          <w:p w14:paraId="01A72E4D" w14:textId="7A0212E3" w:rsidR="009F06E4" w:rsidRPr="00E53FB9" w:rsidRDefault="009F06E4" w:rsidP="00C92CE7">
            <w:pPr>
              <w:pStyle w:val="Notes"/>
              <w:spacing w:before="60" w:after="60"/>
              <w:jc w:val="center"/>
            </w:pPr>
            <w:r w:rsidRPr="00E53FB9">
              <w:rPr>
                <w:rFonts w:cstheme="minorHAnsi"/>
              </w:rPr>
              <w:t>900 mg</w:t>
            </w:r>
          </w:p>
        </w:tc>
        <w:tc>
          <w:tcPr>
            <w:tcW w:w="993" w:type="dxa"/>
            <w:vAlign w:val="center"/>
          </w:tcPr>
          <w:p w14:paraId="05A7FBEB" w14:textId="246CC1A0" w:rsidR="009F06E4" w:rsidRPr="00E53FB9" w:rsidRDefault="009F06E4" w:rsidP="00C92CE7">
            <w:pPr>
              <w:pStyle w:val="Tablewriting"/>
              <w:jc w:val="center"/>
            </w:pPr>
            <w:r w:rsidRPr="00E53FB9">
              <w:rPr>
                <w:rFonts w:cstheme="minorHAnsi"/>
              </w:rPr>
              <w:t>5</w:t>
            </w:r>
          </w:p>
        </w:tc>
        <w:tc>
          <w:tcPr>
            <w:tcW w:w="1440" w:type="dxa"/>
            <w:vMerge w:val="restart"/>
            <w:vAlign w:val="center"/>
          </w:tcPr>
          <w:p w14:paraId="187825D7" w14:textId="7DC10DE0" w:rsidR="009F06E4" w:rsidRPr="00E53FB9" w:rsidRDefault="006B03D6" w:rsidP="00C92CE7">
            <w:pPr>
              <w:pStyle w:val="Notes"/>
              <w:spacing w:before="60" w:after="60"/>
              <w:jc w:val="center"/>
            </w:pPr>
            <w:r w:rsidRPr="00E53FB9">
              <w:t>$3,760.94</w:t>
            </w:r>
          </w:p>
        </w:tc>
        <w:tc>
          <w:tcPr>
            <w:tcW w:w="1529" w:type="dxa"/>
            <w:vMerge w:val="restart"/>
            <w:vAlign w:val="center"/>
          </w:tcPr>
          <w:p w14:paraId="0EEFE185" w14:textId="77777777" w:rsidR="009F06E4" w:rsidRPr="00E53FB9" w:rsidRDefault="009F06E4" w:rsidP="00C92CE7">
            <w:pPr>
              <w:pStyle w:val="Tablewriting"/>
              <w:jc w:val="center"/>
              <w:rPr>
                <w:rFonts w:cstheme="minorHAnsi"/>
              </w:rPr>
            </w:pPr>
            <w:r w:rsidRPr="00E53FB9">
              <w:rPr>
                <w:rFonts w:cstheme="minorHAnsi"/>
              </w:rPr>
              <w:t>Avastin®</w:t>
            </w:r>
          </w:p>
          <w:p w14:paraId="54506250" w14:textId="23AB62FD" w:rsidR="009F06E4" w:rsidRPr="00E53FB9" w:rsidRDefault="009F06E4" w:rsidP="00C92CE7">
            <w:pPr>
              <w:pStyle w:val="Notes"/>
              <w:spacing w:before="60" w:after="60"/>
              <w:jc w:val="center"/>
            </w:pPr>
            <w:r w:rsidRPr="00E53FB9">
              <w:rPr>
                <w:rFonts w:cstheme="minorHAnsi"/>
              </w:rPr>
              <w:t>Roche Products Pty Limited</w:t>
            </w:r>
          </w:p>
        </w:tc>
      </w:tr>
      <w:tr w:rsidR="009F06E4" w:rsidRPr="00E53FB9" w14:paraId="02CCC1BF" w14:textId="77777777" w:rsidTr="009F06E4">
        <w:tc>
          <w:tcPr>
            <w:tcW w:w="1101" w:type="dxa"/>
          </w:tcPr>
          <w:p w14:paraId="4844F537" w14:textId="0647B653" w:rsidR="006B03D6" w:rsidRPr="00E53FB9" w:rsidRDefault="009F06E4" w:rsidP="00C92CE7">
            <w:pPr>
              <w:pStyle w:val="Tablewriting"/>
              <w:jc w:val="center"/>
              <w:rPr>
                <w:rFonts w:cstheme="minorHAnsi"/>
              </w:rPr>
            </w:pPr>
            <w:r w:rsidRPr="00E53FB9">
              <w:rPr>
                <w:rStyle w:val="item-code2"/>
                <w:rFonts w:cstheme="minorHAnsi"/>
                <w:specVanish w:val="0"/>
              </w:rPr>
              <w:t>10121Q</w:t>
            </w:r>
            <w:r w:rsidR="006B03D6" w:rsidRPr="00E53FB9">
              <w:rPr>
                <w:rFonts w:cstheme="minorHAnsi"/>
              </w:rPr>
              <w:t xml:space="preserve"> </w:t>
            </w:r>
          </w:p>
          <w:p w14:paraId="4D7CE389" w14:textId="18801F91" w:rsidR="009F06E4" w:rsidRPr="00E53FB9" w:rsidRDefault="006B03D6" w:rsidP="00C92CE7">
            <w:pPr>
              <w:pStyle w:val="Tablewriting"/>
              <w:jc w:val="center"/>
            </w:pPr>
            <w:r w:rsidRPr="00E53FB9">
              <w:rPr>
                <w:rFonts w:cstheme="minorHAnsi"/>
              </w:rPr>
              <w:t>Continuing treatment</w:t>
            </w:r>
          </w:p>
        </w:tc>
        <w:tc>
          <w:tcPr>
            <w:tcW w:w="2693" w:type="dxa"/>
          </w:tcPr>
          <w:p w14:paraId="3F289813" w14:textId="539D7B73" w:rsidR="009F06E4" w:rsidRPr="00E53FB9" w:rsidRDefault="009F06E4" w:rsidP="00C92CE7">
            <w:pPr>
              <w:pStyle w:val="Tablewriting"/>
              <w:rPr>
                <w:rFonts w:cstheme="minorHAnsi"/>
              </w:rPr>
            </w:pPr>
            <w:r w:rsidRPr="00E53FB9">
              <w:rPr>
                <w:rFonts w:cstheme="minorHAnsi"/>
              </w:rPr>
              <w:t>bevacizumab 400 mg/16 mL injection, 1 x 16 mL vial</w:t>
            </w:r>
          </w:p>
          <w:p w14:paraId="4B31D9F5" w14:textId="135EE4C0" w:rsidR="009F06E4" w:rsidRPr="00E53FB9" w:rsidRDefault="009F06E4" w:rsidP="00C92CE7">
            <w:pPr>
              <w:pStyle w:val="Notes"/>
              <w:spacing w:before="60" w:after="60"/>
            </w:pPr>
            <w:r w:rsidRPr="00E53FB9">
              <w:rPr>
                <w:rFonts w:cstheme="minorHAnsi"/>
              </w:rPr>
              <w:t>bevacizumab 100 mg/4 mL injection, 1 x 4 mL vial</w:t>
            </w:r>
          </w:p>
        </w:tc>
        <w:tc>
          <w:tcPr>
            <w:tcW w:w="1417" w:type="dxa"/>
            <w:vMerge/>
          </w:tcPr>
          <w:p w14:paraId="52836804" w14:textId="0563981E" w:rsidR="009F06E4" w:rsidRPr="00E53FB9" w:rsidRDefault="009F06E4" w:rsidP="00C92CE7">
            <w:pPr>
              <w:pStyle w:val="Notes"/>
              <w:spacing w:before="60" w:after="60"/>
              <w:jc w:val="center"/>
            </w:pPr>
          </w:p>
        </w:tc>
        <w:tc>
          <w:tcPr>
            <w:tcW w:w="993" w:type="dxa"/>
            <w:vAlign w:val="center"/>
          </w:tcPr>
          <w:p w14:paraId="163A3D65" w14:textId="7B4CDD68" w:rsidR="009F06E4" w:rsidRPr="00E53FB9" w:rsidRDefault="009F06E4" w:rsidP="00C92CE7">
            <w:pPr>
              <w:pStyle w:val="Notes"/>
              <w:spacing w:before="60" w:after="60"/>
              <w:jc w:val="center"/>
            </w:pPr>
            <w:r w:rsidRPr="00E53FB9">
              <w:rPr>
                <w:rFonts w:cstheme="minorHAnsi"/>
              </w:rPr>
              <w:t>11</w:t>
            </w:r>
          </w:p>
        </w:tc>
        <w:tc>
          <w:tcPr>
            <w:tcW w:w="1440" w:type="dxa"/>
            <w:vMerge/>
          </w:tcPr>
          <w:p w14:paraId="5351FA4C" w14:textId="24AF49A1" w:rsidR="009F06E4" w:rsidRPr="00E53FB9" w:rsidRDefault="009F06E4" w:rsidP="00C92CE7">
            <w:pPr>
              <w:pStyle w:val="Notes"/>
              <w:spacing w:before="60" w:after="60"/>
              <w:jc w:val="center"/>
            </w:pPr>
          </w:p>
        </w:tc>
        <w:tc>
          <w:tcPr>
            <w:tcW w:w="1529" w:type="dxa"/>
            <w:vMerge/>
          </w:tcPr>
          <w:p w14:paraId="0AFC0EB4" w14:textId="77777777" w:rsidR="009F06E4" w:rsidRPr="00E53FB9" w:rsidRDefault="009F06E4" w:rsidP="00C92CE7">
            <w:pPr>
              <w:pStyle w:val="Notes"/>
              <w:spacing w:before="60" w:after="60"/>
            </w:pPr>
          </w:p>
        </w:tc>
      </w:tr>
    </w:tbl>
    <w:p w14:paraId="043535A7" w14:textId="3C97C7CE" w:rsidR="00057FF5" w:rsidRPr="00E53FB9" w:rsidDel="00EE2BBB" w:rsidRDefault="007408C7" w:rsidP="00C92CE7">
      <w:pPr>
        <w:pStyle w:val="Notes"/>
      </w:pPr>
      <w:r w:rsidRPr="00E53FB9" w:rsidDel="00EE2BBB">
        <w:t xml:space="preserve">Source: </w:t>
      </w:r>
      <w:hyperlink r:id="rId13" w:history="1">
        <w:r w:rsidR="00A5104F" w:rsidRPr="00E53FB9">
          <w:rPr>
            <w:rStyle w:val="Hyperlink"/>
          </w:rPr>
          <w:t>PBS website</w:t>
        </w:r>
      </w:hyperlink>
      <w:r w:rsidR="001624D7" w:rsidRPr="00E53FB9" w:rsidDel="00EE2BBB">
        <w:t>.</w:t>
      </w:r>
      <w:r w:rsidR="00D46602" w:rsidRPr="00E53FB9">
        <w:t xml:space="preserve"> </w:t>
      </w:r>
      <w:r w:rsidR="002B2806" w:rsidRPr="00E53FB9">
        <w:t>*</w:t>
      </w:r>
      <w:r w:rsidR="00A739A5" w:rsidRPr="00E53FB9">
        <w:t>Special Pricing Arrangements apply.</w:t>
      </w:r>
    </w:p>
    <w:p w14:paraId="1AFA1485" w14:textId="3186A599" w:rsidR="004C3186" w:rsidRPr="00E53FB9" w:rsidRDefault="004C3186" w:rsidP="00C92CE7">
      <w:pPr>
        <w:pStyle w:val="Heading3"/>
      </w:pPr>
      <w:r w:rsidRPr="00E53FB9" w:rsidDel="00EE2BBB">
        <w:t>Restriction</w:t>
      </w:r>
    </w:p>
    <w:p w14:paraId="7B62704B" w14:textId="484F4BCA" w:rsidR="00D46602" w:rsidRPr="00E53FB9" w:rsidRDefault="00D46602" w:rsidP="00C92CE7">
      <w:pPr>
        <w:rPr>
          <w:b/>
        </w:rPr>
      </w:pPr>
      <w:r w:rsidRPr="00E53FB9">
        <w:rPr>
          <w:b/>
        </w:rPr>
        <w:t>Authority Required (STREAMLINED)</w:t>
      </w:r>
    </w:p>
    <w:p w14:paraId="3614CD29" w14:textId="5BF815C8" w:rsidR="00315FFD" w:rsidRPr="00E53FB9" w:rsidRDefault="00D46602" w:rsidP="00C92CE7">
      <w:pPr>
        <w:rPr>
          <w:rFonts w:ascii="Calibri" w:hAnsi="Calibri" w:cs="Calibri"/>
        </w:rPr>
      </w:pPr>
      <w:r w:rsidRPr="00E53FB9">
        <w:rPr>
          <w:rFonts w:ascii="Calibri" w:hAnsi="Calibri" w:cs="Calibri"/>
        </w:rPr>
        <w:t>A</w:t>
      </w:r>
      <w:r w:rsidR="00315FFD" w:rsidRPr="00E53FB9">
        <w:rPr>
          <w:rFonts w:ascii="Calibri" w:hAnsi="Calibri" w:cs="Calibri"/>
        </w:rPr>
        <w:t>dvanced FIGO Stage IIIB, IIIC or Stage IV epithelial ovarian, fallopian tube or primary peritoneal cancer</w:t>
      </w:r>
      <w:r w:rsidR="006C531E" w:rsidRPr="00E53FB9">
        <w:rPr>
          <w:rFonts w:ascii="Calibri" w:hAnsi="Calibri" w:cs="Calibri"/>
        </w:rPr>
        <w:t>.</w:t>
      </w:r>
    </w:p>
    <w:p w14:paraId="331554A8" w14:textId="620544D5" w:rsidR="00C55B42" w:rsidRPr="00E53FB9" w:rsidRDefault="00C92AB4" w:rsidP="00C92CE7">
      <w:pPr>
        <w:spacing w:after="0"/>
        <w:rPr>
          <w:rFonts w:ascii="Calibri" w:hAnsi="Calibri" w:cs="Calibri"/>
        </w:rPr>
      </w:pPr>
      <w:r w:rsidRPr="00E53FB9">
        <w:rPr>
          <w:rFonts w:ascii="Calibri" w:hAnsi="Calibri" w:cs="Calibri"/>
        </w:rPr>
        <w:t>The c</w:t>
      </w:r>
      <w:r w:rsidR="00C55B42" w:rsidRPr="00E53FB9">
        <w:rPr>
          <w:rFonts w:ascii="Calibri" w:hAnsi="Calibri" w:cs="Calibri"/>
        </w:rPr>
        <w:t>linical criteria</w:t>
      </w:r>
      <w:r w:rsidRPr="00E53FB9">
        <w:rPr>
          <w:rFonts w:ascii="Calibri" w:hAnsi="Calibri" w:cs="Calibri"/>
        </w:rPr>
        <w:t xml:space="preserve"> for initial treatment states</w:t>
      </w:r>
      <w:r w:rsidR="00C55B42" w:rsidRPr="00E53FB9">
        <w:rPr>
          <w:rFonts w:ascii="Calibri" w:hAnsi="Calibri" w:cs="Calibri"/>
        </w:rPr>
        <w:t>:</w:t>
      </w:r>
    </w:p>
    <w:p w14:paraId="5C659667" w14:textId="1BB24964" w:rsidR="00C55B42" w:rsidRPr="00E53FB9" w:rsidRDefault="00C92AB4" w:rsidP="00C92CE7">
      <w:pPr>
        <w:pStyle w:val="ListParagraph"/>
        <w:numPr>
          <w:ilvl w:val="0"/>
          <w:numId w:val="8"/>
        </w:numPr>
        <w:ind w:left="357" w:hanging="357"/>
        <w:rPr>
          <w:rFonts w:ascii="Calibri" w:hAnsi="Calibri" w:cs="Calibri"/>
        </w:rPr>
      </w:pPr>
      <w:r w:rsidRPr="00E53FB9">
        <w:rPr>
          <w:rFonts w:ascii="Calibri" w:hAnsi="Calibri" w:cs="Calibri"/>
        </w:rPr>
        <w:t>The condition must be sub</w:t>
      </w:r>
      <w:r w:rsidR="00C55B42" w:rsidRPr="00E53FB9">
        <w:rPr>
          <w:rFonts w:ascii="Calibri" w:hAnsi="Calibri" w:cs="Calibri"/>
        </w:rPr>
        <w:t>optimally debulked (maximum diameter of any gross residual disease greater than 1cm) only if the patient presents with Stage IIIB or Stage IIIC disease, AND</w:t>
      </w:r>
    </w:p>
    <w:p w14:paraId="69806AF6" w14:textId="77777777" w:rsidR="00C55B42" w:rsidRPr="00E53FB9" w:rsidRDefault="00C55B42" w:rsidP="00C92CE7">
      <w:pPr>
        <w:pStyle w:val="ListParagraph"/>
        <w:numPr>
          <w:ilvl w:val="0"/>
          <w:numId w:val="8"/>
        </w:numPr>
        <w:rPr>
          <w:rFonts w:ascii="Calibri" w:hAnsi="Calibri" w:cs="Calibri"/>
        </w:rPr>
      </w:pPr>
      <w:r w:rsidRPr="00E53FB9">
        <w:rPr>
          <w:rFonts w:ascii="Calibri" w:hAnsi="Calibri" w:cs="Calibri"/>
        </w:rPr>
        <w:t>Patient must have a WHO performance status of 2 or less, AND</w:t>
      </w:r>
    </w:p>
    <w:p w14:paraId="14FEC7D7" w14:textId="77777777" w:rsidR="00C55B42" w:rsidRPr="00E53FB9" w:rsidRDefault="00C55B42" w:rsidP="00C92CE7">
      <w:pPr>
        <w:pStyle w:val="ListParagraph"/>
        <w:numPr>
          <w:ilvl w:val="0"/>
          <w:numId w:val="8"/>
        </w:numPr>
        <w:rPr>
          <w:rFonts w:ascii="Calibri" w:hAnsi="Calibri" w:cs="Calibri"/>
        </w:rPr>
      </w:pPr>
      <w:r w:rsidRPr="00E53FB9">
        <w:rPr>
          <w:rFonts w:ascii="Calibri" w:hAnsi="Calibri" w:cs="Calibri"/>
        </w:rPr>
        <w:t>The condition must be previously untreated, AND</w:t>
      </w:r>
    </w:p>
    <w:p w14:paraId="2117E1A5" w14:textId="77777777" w:rsidR="00C55B42" w:rsidRPr="00E53FB9" w:rsidRDefault="00C55B42" w:rsidP="00C92CE7">
      <w:pPr>
        <w:pStyle w:val="ListParagraph"/>
        <w:numPr>
          <w:ilvl w:val="0"/>
          <w:numId w:val="8"/>
        </w:numPr>
        <w:rPr>
          <w:rFonts w:ascii="Calibri" w:hAnsi="Calibri" w:cs="Calibri"/>
        </w:rPr>
      </w:pPr>
      <w:r w:rsidRPr="00E53FB9">
        <w:rPr>
          <w:rFonts w:ascii="Calibri" w:hAnsi="Calibri" w:cs="Calibri"/>
        </w:rPr>
        <w:t xml:space="preserve">The treatment must be commenced in combination with platinum-based chemotherapy, AND </w:t>
      </w:r>
    </w:p>
    <w:p w14:paraId="716D2AC5" w14:textId="2E5F5020" w:rsidR="00C55B42" w:rsidRPr="00E53FB9" w:rsidRDefault="00C55B42" w:rsidP="00C92CE7">
      <w:pPr>
        <w:pStyle w:val="ListParagraph"/>
        <w:numPr>
          <w:ilvl w:val="0"/>
          <w:numId w:val="8"/>
        </w:numPr>
        <w:rPr>
          <w:rFonts w:ascii="Calibri" w:hAnsi="Calibri" w:cs="Calibri"/>
        </w:rPr>
      </w:pPr>
      <w:r w:rsidRPr="00E53FB9">
        <w:rPr>
          <w:rFonts w:ascii="Calibri" w:hAnsi="Calibri" w:cs="Calibri"/>
        </w:rPr>
        <w:t>The treatment must not exceed a dose of 7.5 mg per kg ever</w:t>
      </w:r>
      <w:r w:rsidR="00296617" w:rsidRPr="00E53FB9">
        <w:rPr>
          <w:rFonts w:ascii="Calibri" w:hAnsi="Calibri" w:cs="Calibri"/>
        </w:rPr>
        <w:t>y</w:t>
      </w:r>
      <w:r w:rsidRPr="00E53FB9">
        <w:rPr>
          <w:rFonts w:ascii="Calibri" w:hAnsi="Calibri" w:cs="Calibri"/>
        </w:rPr>
        <w:t xml:space="preserve"> 3 weeks, AND</w:t>
      </w:r>
    </w:p>
    <w:p w14:paraId="3D15FDAC" w14:textId="18821C79" w:rsidR="00C55B42" w:rsidRPr="00E53FB9" w:rsidRDefault="00C55B42" w:rsidP="00C92CE7">
      <w:pPr>
        <w:pStyle w:val="ListParagraph"/>
        <w:numPr>
          <w:ilvl w:val="0"/>
          <w:numId w:val="8"/>
        </w:numPr>
        <w:rPr>
          <w:rFonts w:ascii="Calibri" w:hAnsi="Calibri" w:cs="Calibri"/>
        </w:rPr>
      </w:pPr>
      <w:r w:rsidRPr="00E53FB9">
        <w:rPr>
          <w:rFonts w:ascii="Calibri" w:hAnsi="Calibri" w:cs="Calibri"/>
        </w:rPr>
        <w:lastRenderedPageBreak/>
        <w:t xml:space="preserve">The treatment must not exceed a lifetime total of 18 cycle of bevacizumab for epithelial ovarian, fallopian tube or primary peritoneal cancer. </w:t>
      </w:r>
    </w:p>
    <w:p w14:paraId="22433632" w14:textId="3B1A0A1C" w:rsidR="006775F1" w:rsidRPr="00E53FB9" w:rsidRDefault="006775F1" w:rsidP="00C92CE7">
      <w:pPr>
        <w:rPr>
          <w:rFonts w:ascii="Calibri" w:hAnsi="Calibri" w:cs="Calibri"/>
        </w:rPr>
      </w:pPr>
      <w:r w:rsidRPr="00E53FB9" w:rsidDel="00EE2BBB">
        <w:rPr>
          <w:rFonts w:ascii="Calibri" w:hAnsi="Calibri" w:cs="Calibri"/>
        </w:rPr>
        <w:t xml:space="preserve">For </w:t>
      </w:r>
      <w:r w:rsidR="00835337" w:rsidRPr="00E53FB9" w:rsidDel="00EE2BBB">
        <w:rPr>
          <w:rFonts w:ascii="Calibri" w:hAnsi="Calibri" w:cs="Calibri"/>
        </w:rPr>
        <w:t xml:space="preserve">details of the current PBS listing refer to the </w:t>
      </w:r>
      <w:hyperlink r:id="rId14" w:history="1">
        <w:r w:rsidR="00641788" w:rsidRPr="00E53FB9">
          <w:rPr>
            <w:rStyle w:val="Hyperlink"/>
            <w:rFonts w:ascii="Calibri" w:hAnsi="Calibri" w:cs="Calibri"/>
          </w:rPr>
          <w:t>PBS website</w:t>
        </w:r>
      </w:hyperlink>
      <w:r w:rsidR="00641788" w:rsidRPr="00E53FB9">
        <w:rPr>
          <w:rFonts w:ascii="Calibri" w:hAnsi="Calibri" w:cs="Calibri"/>
        </w:rPr>
        <w:t>.</w:t>
      </w:r>
    </w:p>
    <w:p w14:paraId="42E0AA5E" w14:textId="55D52D09" w:rsidR="00C55B42" w:rsidRPr="00E53FB9" w:rsidRDefault="00C55B42" w:rsidP="00C92CE7">
      <w:pPr>
        <w:spacing w:before="240"/>
        <w:rPr>
          <w:rFonts w:ascii="Calibri" w:hAnsi="Calibri" w:cs="Calibri"/>
          <w:b/>
          <w:i/>
        </w:rPr>
      </w:pPr>
      <w:r w:rsidRPr="00E53FB9">
        <w:rPr>
          <w:rFonts w:ascii="Calibri" w:hAnsi="Calibri" w:cs="Calibri"/>
          <w:b/>
          <w:i/>
        </w:rPr>
        <w:t>Date of listing on PBS</w:t>
      </w:r>
    </w:p>
    <w:p w14:paraId="5AC2C14F" w14:textId="2F6613F0" w:rsidR="006B03D6" w:rsidRPr="00E53FB9" w:rsidRDefault="006B03D6" w:rsidP="00C92CE7">
      <w:r w:rsidRPr="00E53FB9">
        <w:t>Bevacizumab was listed on the PBS for Stage IIIB, IIIC or IV epithelial ovarian, fallopian tube, or primary peritoneal cancer on 1 August 2014.</w:t>
      </w:r>
      <w:r w:rsidR="00485821" w:rsidRPr="00E53FB9">
        <w:t xml:space="preserve"> </w:t>
      </w:r>
    </w:p>
    <w:p w14:paraId="39EF75ED" w14:textId="73256AB5" w:rsidR="00675BB1" w:rsidRPr="00E53FB9" w:rsidDel="00EE2BBB" w:rsidRDefault="00675BB1" w:rsidP="00C92CE7">
      <w:pPr>
        <w:pStyle w:val="Heading3"/>
      </w:pPr>
      <w:r w:rsidRPr="00E53FB9" w:rsidDel="00EE2BBB">
        <w:t>Changes to listing</w:t>
      </w:r>
    </w:p>
    <w:p w14:paraId="26F38091" w14:textId="5245A9B3" w:rsidR="006B03D6" w:rsidRPr="00E53FB9" w:rsidRDefault="006B03D6" w:rsidP="00C92CE7">
      <w:pPr>
        <w:rPr>
          <w:szCs w:val="20"/>
        </w:rPr>
      </w:pPr>
      <w:r w:rsidRPr="00E53FB9">
        <w:rPr>
          <w:szCs w:val="20"/>
        </w:rPr>
        <w:t xml:space="preserve">On 1 February 2015 the PBS </w:t>
      </w:r>
      <w:r w:rsidR="00486570" w:rsidRPr="00E53FB9">
        <w:rPr>
          <w:szCs w:val="20"/>
        </w:rPr>
        <w:t xml:space="preserve">items </w:t>
      </w:r>
      <w:r w:rsidR="00E87EE9" w:rsidRPr="00E53FB9">
        <w:rPr>
          <w:szCs w:val="20"/>
        </w:rPr>
        <w:t xml:space="preserve">for </w:t>
      </w:r>
      <w:r w:rsidR="00485821" w:rsidRPr="00E53FB9">
        <w:rPr>
          <w:szCs w:val="20"/>
        </w:rPr>
        <w:t>private</w:t>
      </w:r>
      <w:r w:rsidR="00E87EE9" w:rsidRPr="00E53FB9">
        <w:rPr>
          <w:szCs w:val="20"/>
        </w:rPr>
        <w:t xml:space="preserve"> hospital use were</w:t>
      </w:r>
      <w:r w:rsidRPr="00E53FB9">
        <w:rPr>
          <w:szCs w:val="20"/>
        </w:rPr>
        <w:t xml:space="preserve"> changed from Authority Required to Authority </w:t>
      </w:r>
      <w:r w:rsidR="00296617" w:rsidRPr="00E53FB9">
        <w:rPr>
          <w:szCs w:val="20"/>
        </w:rPr>
        <w:t>R</w:t>
      </w:r>
      <w:r w:rsidRPr="00E53FB9">
        <w:rPr>
          <w:szCs w:val="20"/>
        </w:rPr>
        <w:t>equired (STREAMLINED)</w:t>
      </w:r>
      <w:r w:rsidR="00742FF7" w:rsidRPr="00E53FB9">
        <w:rPr>
          <w:szCs w:val="20"/>
        </w:rPr>
        <w:t>, making it consistent with the public hospital listings</w:t>
      </w:r>
      <w:r w:rsidRPr="00E53FB9">
        <w:rPr>
          <w:szCs w:val="20"/>
        </w:rPr>
        <w:t>.</w:t>
      </w:r>
    </w:p>
    <w:p w14:paraId="4945F15C" w14:textId="20A328C2" w:rsidR="00185FED" w:rsidRPr="00E53FB9" w:rsidRDefault="006B03D6" w:rsidP="00C92CE7">
      <w:pPr>
        <w:rPr>
          <w:szCs w:val="20"/>
        </w:rPr>
      </w:pPr>
      <w:r w:rsidRPr="00E53FB9">
        <w:rPr>
          <w:szCs w:val="20"/>
        </w:rPr>
        <w:t xml:space="preserve">On 1 March 2015 </w:t>
      </w:r>
      <w:r w:rsidR="006345AB" w:rsidRPr="00E53FB9">
        <w:rPr>
          <w:szCs w:val="20"/>
        </w:rPr>
        <w:t>the PBS restriction</w:t>
      </w:r>
      <w:r w:rsidR="00296617" w:rsidRPr="00E53FB9">
        <w:rPr>
          <w:szCs w:val="20"/>
        </w:rPr>
        <w:t xml:space="preserve"> was changed</w:t>
      </w:r>
      <w:r w:rsidR="006345AB" w:rsidRPr="00E53FB9">
        <w:rPr>
          <w:szCs w:val="20"/>
        </w:rPr>
        <w:t xml:space="preserve"> to specify that an initiating patient</w:t>
      </w:r>
      <w:r w:rsidR="00185FED" w:rsidRPr="00E53FB9">
        <w:rPr>
          <w:szCs w:val="20"/>
        </w:rPr>
        <w:t xml:space="preserve"> must be suboptimally debulked only if the patient presents with Stage IIIB or Stage IIIC disease.</w:t>
      </w:r>
    </w:p>
    <w:p w14:paraId="64C94A85" w14:textId="3957C04D" w:rsidR="00BF544D" w:rsidRPr="00E53FB9" w:rsidDel="00EE2BBB" w:rsidRDefault="00BF544D" w:rsidP="00C92CE7">
      <w:pPr>
        <w:rPr>
          <w:szCs w:val="20"/>
        </w:rPr>
      </w:pPr>
      <w:r w:rsidRPr="00E53FB9" w:rsidDel="00EE2BBB">
        <w:rPr>
          <w:szCs w:val="20"/>
        </w:rPr>
        <w:t>Current PBS listing details are available from the</w:t>
      </w:r>
      <w:r w:rsidR="003836AC" w:rsidRPr="00E53FB9">
        <w:rPr>
          <w:szCs w:val="20"/>
        </w:rPr>
        <w:t xml:space="preserve"> </w:t>
      </w:r>
      <w:hyperlink r:id="rId15" w:history="1">
        <w:r w:rsidR="003836AC" w:rsidRPr="00E53FB9">
          <w:rPr>
            <w:rStyle w:val="Hyperlink"/>
            <w:szCs w:val="20"/>
          </w:rPr>
          <w:t>PBS website</w:t>
        </w:r>
      </w:hyperlink>
      <w:r w:rsidR="003836AC" w:rsidRPr="00E53FB9">
        <w:rPr>
          <w:szCs w:val="20"/>
        </w:rPr>
        <w:t>.</w:t>
      </w:r>
    </w:p>
    <w:p w14:paraId="03121437" w14:textId="77777777" w:rsidR="0009619E" w:rsidRPr="00E53FB9" w:rsidRDefault="00394AEE" w:rsidP="00C92CE7">
      <w:pPr>
        <w:pStyle w:val="Heading2"/>
      </w:pPr>
      <w:r w:rsidRPr="00E53FB9">
        <w:t>Relevant aspects of</w:t>
      </w:r>
      <w:r w:rsidR="00736041" w:rsidRPr="00E53FB9">
        <w:t xml:space="preserve"> consideration</w:t>
      </w:r>
      <w:r w:rsidRPr="00E53FB9">
        <w:t xml:space="preserve"> by the Pharmaceutical Benefits Advisory Committee (PBAC)</w:t>
      </w:r>
    </w:p>
    <w:p w14:paraId="2A946781" w14:textId="5720FD18" w:rsidR="001C578D" w:rsidRPr="00E53FB9" w:rsidRDefault="001C578D" w:rsidP="00C92CE7">
      <w:pPr>
        <w:rPr>
          <w:szCs w:val="20"/>
        </w:rPr>
      </w:pPr>
      <w:r w:rsidRPr="00E53FB9">
        <w:rPr>
          <w:szCs w:val="20"/>
        </w:rPr>
        <w:t xml:space="preserve">The PBAC recommended bevacizumab for PBS listing at its November 2013 meeting. The submission requested a Section 100 (Efficient Funding of Chemotherapy) Authority Required listing for first line treatment of previously untreated advanced epithelial ovarian, fallopian tube or primary peritoneal cancer who is at risk of disease recurrence. </w:t>
      </w:r>
    </w:p>
    <w:p w14:paraId="0BE8FB2F" w14:textId="6E850B06" w:rsidR="005B202F" w:rsidRPr="00E53FB9" w:rsidRDefault="001C578D" w:rsidP="00C92CE7">
      <w:pPr>
        <w:rPr>
          <w:rFonts w:cstheme="minorHAnsi"/>
        </w:rPr>
      </w:pPr>
      <w:r w:rsidRPr="00E53FB9">
        <w:rPr>
          <w:szCs w:val="20"/>
        </w:rPr>
        <w:t xml:space="preserve">The submission nominated </w:t>
      </w:r>
      <w:r w:rsidR="005B202F" w:rsidRPr="00E53FB9">
        <w:rPr>
          <w:szCs w:val="20"/>
        </w:rPr>
        <w:t>carboplatin</w:t>
      </w:r>
      <w:r w:rsidR="00C92AB4" w:rsidRPr="00E53FB9">
        <w:rPr>
          <w:szCs w:val="20"/>
        </w:rPr>
        <w:t xml:space="preserve"> plus paclitaxel </w:t>
      </w:r>
      <w:r w:rsidRPr="00E53FB9">
        <w:rPr>
          <w:szCs w:val="20"/>
        </w:rPr>
        <w:t>as the main comparator</w:t>
      </w:r>
      <w:r w:rsidR="004B07E8" w:rsidRPr="00E53FB9">
        <w:rPr>
          <w:szCs w:val="20"/>
        </w:rPr>
        <w:t>, proposing that bevacizumab would be used in addition to carboplatin and paclitaxel.</w:t>
      </w:r>
    </w:p>
    <w:p w14:paraId="697EBA77" w14:textId="75792331" w:rsidR="004B07E8" w:rsidRPr="00E53FB9" w:rsidRDefault="004B07E8" w:rsidP="00C92CE7">
      <w:pPr>
        <w:rPr>
          <w:rFonts w:cstheme="minorHAnsi"/>
        </w:rPr>
      </w:pPr>
      <w:r w:rsidRPr="00E53FB9">
        <w:rPr>
          <w:rFonts w:cstheme="minorHAnsi"/>
        </w:rPr>
        <w:t>The PBAC agreed that doublet chemotherapy alone is the main comparator. The PBAC noted however that, while carboplatin plus paclitaxel is the most commonly used doublet chemotherapy regimen, in clinical practice docetaxel may be substituted for paclitaxel and cisplatin may be used instead of carboplatin.</w:t>
      </w:r>
      <w:r w:rsidR="00ED1949" w:rsidRPr="00E53FB9">
        <w:t xml:space="preserve"> The PBAC also noted that monotherapy with carboplatin was often used in elderly patients or individuals who were unable to tolerate taxanes. The PBAC considered that it would be inappropriate to mandate paclitaxel with carboplatin as the only chemotherapy regimen to be used with bevacizumab, and recommended that the initial restriction specify only that it should be used in combination with chemotherapy.</w:t>
      </w:r>
    </w:p>
    <w:p w14:paraId="79BE05A5" w14:textId="320077F6" w:rsidR="00ED1949" w:rsidRPr="00E53FB9" w:rsidRDefault="003C4CE6" w:rsidP="00C92CE7">
      <w:pPr>
        <w:rPr>
          <w:szCs w:val="20"/>
        </w:rPr>
      </w:pPr>
      <w:r w:rsidRPr="00E53FB9">
        <w:rPr>
          <w:szCs w:val="20"/>
        </w:rPr>
        <w:t xml:space="preserve">The PBAC noted that </w:t>
      </w:r>
      <w:r w:rsidR="00DC4ED5" w:rsidRPr="00E53FB9">
        <w:rPr>
          <w:szCs w:val="20"/>
        </w:rPr>
        <w:t xml:space="preserve">the </w:t>
      </w:r>
      <w:r w:rsidRPr="00E53FB9">
        <w:rPr>
          <w:szCs w:val="20"/>
        </w:rPr>
        <w:t>submission presented two trials</w:t>
      </w:r>
      <w:r w:rsidR="00DC4ED5" w:rsidRPr="00E53FB9">
        <w:rPr>
          <w:szCs w:val="20"/>
        </w:rPr>
        <w:t xml:space="preserve">, GOG-0218 </w:t>
      </w:r>
      <w:r w:rsidR="00DF5409" w:rsidRPr="00E53FB9">
        <w:rPr>
          <w:szCs w:val="20"/>
        </w:rPr>
        <w:t xml:space="preserve">(which was </w:t>
      </w:r>
      <w:r w:rsidR="0092055B" w:rsidRPr="00E53FB9">
        <w:rPr>
          <w:szCs w:val="20"/>
        </w:rPr>
        <w:t>considered as evidence in the Australian Public Assessment Report for Bevacizumab</w:t>
      </w:r>
      <w:r w:rsidR="0092055B" w:rsidRPr="00E53FB9">
        <w:rPr>
          <w:rStyle w:val="FootnoteReference"/>
          <w:szCs w:val="20"/>
        </w:rPr>
        <w:footnoteReference w:id="8"/>
      </w:r>
      <w:r w:rsidR="0092055B" w:rsidRPr="00E53FB9">
        <w:rPr>
          <w:szCs w:val="20"/>
        </w:rPr>
        <w:t xml:space="preserve">) </w:t>
      </w:r>
      <w:r w:rsidR="00DC4ED5" w:rsidRPr="00E53FB9">
        <w:rPr>
          <w:szCs w:val="20"/>
        </w:rPr>
        <w:t>and ICON-7, neither of which demonstrated an in</w:t>
      </w:r>
      <w:r w:rsidR="00ED1949" w:rsidRPr="00E53FB9">
        <w:rPr>
          <w:szCs w:val="20"/>
        </w:rPr>
        <w:t xml:space="preserve">cremental overall survival </w:t>
      </w:r>
      <w:r w:rsidR="00DC4ED5" w:rsidRPr="00E53FB9">
        <w:rPr>
          <w:szCs w:val="20"/>
        </w:rPr>
        <w:t xml:space="preserve">benefit in their intention to treat population. </w:t>
      </w:r>
      <w:r w:rsidR="00DF5409" w:rsidRPr="00E53FB9">
        <w:rPr>
          <w:szCs w:val="20"/>
        </w:rPr>
        <w:t xml:space="preserve">Bevacizumab 15mg/kg was delivered for up to 22 cycles in </w:t>
      </w:r>
      <w:r w:rsidR="00DF5409" w:rsidRPr="00E53FB9">
        <w:rPr>
          <w:szCs w:val="20"/>
        </w:rPr>
        <w:lastRenderedPageBreak/>
        <w:t xml:space="preserve">the GOG-0218 trial compared with 7.5mg/kg delivered for up to 18 cycles in the ICON-7 trial. </w:t>
      </w:r>
      <w:r w:rsidR="00ED1949" w:rsidRPr="00E53FB9">
        <w:rPr>
          <w:szCs w:val="20"/>
        </w:rPr>
        <w:t>The PBAC noted several issues in relation to GOG-0218, which reduced the Committee’s confidence in relying on its results.</w:t>
      </w:r>
    </w:p>
    <w:p w14:paraId="24EB458E" w14:textId="77777777" w:rsidR="00DF5409" w:rsidRPr="00E53FB9" w:rsidRDefault="00DF5409" w:rsidP="00C92CE7">
      <w:pPr>
        <w:rPr>
          <w:szCs w:val="20"/>
        </w:rPr>
      </w:pPr>
      <w:r w:rsidRPr="00E53FB9">
        <w:rPr>
          <w:szCs w:val="20"/>
        </w:rPr>
        <w:t xml:space="preserve">The PBAC considered that, as there was no convincing evidence of any additional clinical benefit from using a dose of 15 mg/kg for 22 cycles (a duration of about 15 months as in GOG-0218) compared with a dose of 7.5 mg/kg for 18 cycles (a duration of about 12 months as in ICON-7), the use of the higher dose and the longer duration, with the associated increased risk of adverse events, was not justified. </w:t>
      </w:r>
    </w:p>
    <w:p w14:paraId="364422D3" w14:textId="1185D6E8" w:rsidR="00ED1949" w:rsidRPr="00E53FB9" w:rsidRDefault="00DF5409" w:rsidP="00C92CE7">
      <w:r w:rsidRPr="00E53FB9">
        <w:t xml:space="preserve">The PBAC therefore recommended that PBS subsidy be limited to a dose of 7.5 mg/kg every three weeks for a maximum of 18 cycles. </w:t>
      </w:r>
      <w:r w:rsidR="00ED1949" w:rsidRPr="00E53FB9">
        <w:t>The PBAC considered this to be consistent with the evidence and with prudent prescribing in using the lowest effective dose for the shortest duration.</w:t>
      </w:r>
    </w:p>
    <w:p w14:paraId="426E0E3B" w14:textId="77777777" w:rsidR="00A065D1" w:rsidRPr="00E53FB9" w:rsidRDefault="00A065D1" w:rsidP="00C92CE7">
      <w:pPr>
        <w:rPr>
          <w:u w:val="single"/>
        </w:rPr>
      </w:pPr>
      <w:r w:rsidRPr="00E53FB9">
        <w:t xml:space="preserve">For further details refer to the </w:t>
      </w:r>
      <w:hyperlink r:id="rId16" w:history="1">
        <w:r w:rsidRPr="00E53FB9">
          <w:rPr>
            <w:rStyle w:val="Hyperlink"/>
          </w:rPr>
          <w:t>Public Summary Document</w:t>
        </w:r>
      </w:hyperlink>
      <w:r w:rsidRPr="00E53FB9">
        <w:t xml:space="preserve"> from the November 2013 PBAC meeting.</w:t>
      </w:r>
    </w:p>
    <w:p w14:paraId="76DC0D84" w14:textId="622C8DDB" w:rsidR="00A065D1" w:rsidRPr="00E53FB9" w:rsidRDefault="004B07E8" w:rsidP="00C92CE7">
      <w:r w:rsidRPr="00E53FB9">
        <w:t xml:space="preserve">A minor resubmission was submitted for the </w:t>
      </w:r>
      <w:r w:rsidR="002E4769" w:rsidRPr="00E53FB9">
        <w:t xml:space="preserve">March </w:t>
      </w:r>
      <w:r w:rsidRPr="00E53FB9">
        <w:t xml:space="preserve">2014 PBAC meeting </w:t>
      </w:r>
      <w:r w:rsidR="00A065D1" w:rsidRPr="00E53FB9">
        <w:t>with re-modelling proposed by the applicant. The PBAC rejected the ICERs generated by these modelling approaches, as unacceptably high. The PBAC therefore reiterated its November 2013 recommendation in relation to the appropriate base case of the economic model and the consequence for the pricing of bevacizumab for the proposed restriction.</w:t>
      </w:r>
    </w:p>
    <w:p w14:paraId="78629CB3" w14:textId="3781614D" w:rsidR="00917FB3" w:rsidRPr="00E53FB9" w:rsidRDefault="00917FB3" w:rsidP="00C92CE7">
      <w:pPr>
        <w:rPr>
          <w:u w:val="single"/>
        </w:rPr>
      </w:pPr>
      <w:r w:rsidRPr="00E53FB9">
        <w:t xml:space="preserve">For further details refer to the </w:t>
      </w:r>
      <w:hyperlink r:id="rId17" w:anchor="Shell-homehttp://www.pbs.gov.au/pbs/industry/listing/elements/pbac-meetings/psd/2014-03/Bevacizumab" w:history="1">
        <w:r w:rsidRPr="00E53FB9">
          <w:rPr>
            <w:rStyle w:val="Hyperlink"/>
          </w:rPr>
          <w:t>Public Summary Document</w:t>
        </w:r>
      </w:hyperlink>
      <w:r w:rsidRPr="00E53FB9">
        <w:t xml:space="preserve"> from the March 2014 PBAC meeting.</w:t>
      </w:r>
    </w:p>
    <w:p w14:paraId="72C2CA24" w14:textId="1081A1EB" w:rsidR="000F2F51" w:rsidRPr="00E53FB9" w:rsidRDefault="00ED633B" w:rsidP="00C92CE7">
      <w:pPr>
        <w:pStyle w:val="Heading2"/>
      </w:pPr>
      <w:r w:rsidRPr="00E53FB9">
        <w:t>A</w:t>
      </w:r>
      <w:r w:rsidR="000F2F51" w:rsidRPr="00E53FB9">
        <w:t xml:space="preserve">pproach </w:t>
      </w:r>
      <w:r w:rsidRPr="00E53FB9">
        <w:t xml:space="preserve">taken to </w:t>
      </w:r>
      <w:r w:rsidR="000F2F51" w:rsidRPr="00E53FB9">
        <w:t>estimat</w:t>
      </w:r>
      <w:r w:rsidRPr="00E53FB9">
        <w:t>e</w:t>
      </w:r>
      <w:r w:rsidR="000F2F51" w:rsidRPr="00E53FB9">
        <w:t xml:space="preserve"> utilisation</w:t>
      </w:r>
    </w:p>
    <w:p w14:paraId="31CA2F58" w14:textId="7FBEC4EC" w:rsidR="00AD75CC" w:rsidRPr="00E53FB9" w:rsidRDefault="00032BBE" w:rsidP="00C92CE7">
      <w:r w:rsidRPr="00E53FB9">
        <w:t xml:space="preserve">The submission used an epidemiological approach to estimate the number of epithelial ovarian, fallopian tube, or primary peritoneal cancer patients eligible for bevacizumab. The submission assumed </w:t>
      </w:r>
      <w:r w:rsidR="00AF7469" w:rsidRPr="00E53FB9">
        <w:t>that a proportion of patients would switch from doublet chemotherapy to a triplet regimen of bevacizumab plus doublet chemotherapy.</w:t>
      </w:r>
    </w:p>
    <w:p w14:paraId="1335420D" w14:textId="0FFA0713" w:rsidR="00332092" w:rsidRPr="00E53FB9" w:rsidRDefault="002869F7" w:rsidP="00C92CE7">
      <w:r w:rsidRPr="00E53FB9">
        <w:t xml:space="preserve">AIHW ovarian cancer incidence projections in Australia, 1982-2009, were used </w:t>
      </w:r>
      <w:r w:rsidR="00332092" w:rsidRPr="00E53FB9">
        <w:t xml:space="preserve">and extrapolated </w:t>
      </w:r>
      <w:r w:rsidRPr="00E53FB9">
        <w:t>to estimate the incidence rates of ovarian cancer over the f</w:t>
      </w:r>
      <w:r w:rsidR="00332092" w:rsidRPr="00E53FB9">
        <w:t>ollowing ten years (2010-2019).</w:t>
      </w:r>
      <w:r w:rsidR="00917FB3" w:rsidRPr="00E53FB9">
        <w:t xml:space="preserve"> </w:t>
      </w:r>
    </w:p>
    <w:p w14:paraId="289DE2C4" w14:textId="77777777" w:rsidR="002715E4" w:rsidRPr="00E53FB9" w:rsidRDefault="00332092" w:rsidP="00C92CE7">
      <w:r w:rsidRPr="00E53FB9">
        <w:t xml:space="preserve">The submission used a published population-based study and two surveys to estimate the staging of ovarian cancer. </w:t>
      </w:r>
      <w:r w:rsidR="00AD6E1D" w:rsidRPr="00E53FB9">
        <w:t>The Jordan</w:t>
      </w:r>
      <w:r w:rsidR="00D56073" w:rsidRPr="00E53FB9">
        <w:rPr>
          <w:rStyle w:val="FootnoteReference"/>
        </w:rPr>
        <w:footnoteReference w:id="9"/>
      </w:r>
      <w:r w:rsidR="00AD6E1D" w:rsidRPr="00E53FB9">
        <w:t xml:space="preserve">  study was used to estimate 56.8% of ovarian cancer patients as having Stage III disease</w:t>
      </w:r>
      <w:r w:rsidR="009604D3" w:rsidRPr="00E53FB9">
        <w:t>,</w:t>
      </w:r>
      <w:r w:rsidR="00AD6E1D" w:rsidRPr="00E53FB9">
        <w:t xml:space="preserve"> and 15% as having Stage </w:t>
      </w:r>
      <w:r w:rsidR="009604D3" w:rsidRPr="00E53FB9">
        <w:t xml:space="preserve">IV disease. A physician survey (2013) was used to estimate that 81.4% of patients with Stage III disease undergo surgical </w:t>
      </w:r>
      <w:r w:rsidR="009604D3" w:rsidRPr="00E53FB9">
        <w:lastRenderedPageBreak/>
        <w:t>staging and debulking. An additional survey, Brand</w:t>
      </w:r>
      <w:r w:rsidR="00D56073" w:rsidRPr="00E53FB9">
        <w:rPr>
          <w:rStyle w:val="FootnoteReference"/>
        </w:rPr>
        <w:footnoteReference w:id="10"/>
      </w:r>
      <w:r w:rsidR="009604D3" w:rsidRPr="00E53FB9">
        <w:t xml:space="preserve">, was used to </w:t>
      </w:r>
      <w:r w:rsidR="00A50916" w:rsidRPr="00E53FB9">
        <w:t>estimate 32% of patients that are suboptimally debulked.</w:t>
      </w:r>
      <w:r w:rsidR="00F859A1" w:rsidRPr="00E53FB9">
        <w:t xml:space="preserve"> </w:t>
      </w:r>
    </w:p>
    <w:p w14:paraId="2216F4BD" w14:textId="05F28B05" w:rsidR="002869F7" w:rsidRPr="00E53FB9" w:rsidRDefault="002715E4" w:rsidP="00C92CE7">
      <w:r w:rsidRPr="00E53FB9">
        <w:t xml:space="preserve">DUSC reviewed the November 2013 </w:t>
      </w:r>
      <w:r w:rsidR="00F859A1" w:rsidRPr="00E53FB9">
        <w:t xml:space="preserve">submission </w:t>
      </w:r>
      <w:r w:rsidRPr="00E53FB9">
        <w:t xml:space="preserve">and advised the eligible population was underestimated. The submission </w:t>
      </w:r>
      <w:r w:rsidR="00F859A1" w:rsidRPr="00E53FB9">
        <w:t xml:space="preserve">did not account for patients diagnosed with earlier stage disease who progress and become eligible to use bevacizumab, or existing prevalent patients diagnosed in previous years who meet </w:t>
      </w:r>
      <w:r w:rsidR="009C18FD" w:rsidRPr="00E53FB9">
        <w:t xml:space="preserve">the </w:t>
      </w:r>
      <w:r w:rsidR="00F859A1" w:rsidRPr="00E53FB9">
        <w:t xml:space="preserve">criteria. </w:t>
      </w:r>
      <w:r w:rsidRPr="00E53FB9">
        <w:t>The March 2014 resubmission addressed DUSC’s concern regarding the existing group of prevalent patients who would be eligible for bevacizumab. DUSC also advised bevacizumab may be used to treat patients outside of the PBS restriction, for example patients with stage IIIB or IIIC disease who are optimally debulked.</w:t>
      </w:r>
    </w:p>
    <w:p w14:paraId="0FAF3A25" w14:textId="13806964" w:rsidR="001B1B01" w:rsidRPr="00E53FB9" w:rsidRDefault="00A50916" w:rsidP="00C92CE7">
      <w:r w:rsidRPr="00E53FB9">
        <w:t xml:space="preserve">The submission assumed that there </w:t>
      </w:r>
      <w:r w:rsidR="00EB47BD" w:rsidRPr="00E53FB9">
        <w:t>would</w:t>
      </w:r>
      <w:r w:rsidRPr="00E53FB9">
        <w:t xml:space="preserve"> be a </w:t>
      </w:r>
      <w:r w:rsidR="002F0EDC" w:rsidRPr="002F0EDC">
        <w:rPr>
          <w:rFonts w:cstheme="minorHAnsi"/>
          <w:highlight w:val="black"/>
        </w:rPr>
        <w:t>‘’’’’’’’’</w:t>
      </w:r>
      <w:r w:rsidRPr="00E53FB9">
        <w:t xml:space="preserve"> uptake rate of bevacizumab for patients that have Stage II</w:t>
      </w:r>
      <w:r w:rsidR="00485821" w:rsidRPr="00E53FB9">
        <w:t>I</w:t>
      </w:r>
      <w:r w:rsidRPr="00E53FB9">
        <w:t>B and II</w:t>
      </w:r>
      <w:r w:rsidR="00485821" w:rsidRPr="00E53FB9">
        <w:t>I</w:t>
      </w:r>
      <w:r w:rsidRPr="00E53FB9">
        <w:t>C disease who are suboptimally debulked</w:t>
      </w:r>
      <w:r w:rsidR="00D13BEF" w:rsidRPr="00E53FB9">
        <w:t xml:space="preserve">, and </w:t>
      </w:r>
      <w:r w:rsidRPr="00E53FB9">
        <w:t xml:space="preserve">a </w:t>
      </w:r>
      <w:r w:rsidR="002F0EDC" w:rsidRPr="002F0EDC">
        <w:rPr>
          <w:rFonts w:cstheme="minorHAnsi"/>
          <w:highlight w:val="black"/>
        </w:rPr>
        <w:t>‘’’’’’’</w:t>
      </w:r>
      <w:r w:rsidRPr="00E53FB9">
        <w:t xml:space="preserve"> uptake rate of bevacizumab for patients with Stage IV disease. </w:t>
      </w:r>
    </w:p>
    <w:p w14:paraId="132ECFA8" w14:textId="0D6F7670" w:rsidR="00FD6886" w:rsidRPr="00E53FB9" w:rsidRDefault="00816A34" w:rsidP="00C92CE7">
      <w:r w:rsidRPr="00E53FB9">
        <w:t xml:space="preserve">The submission assumed treated patients would receive a dose per administration of 15 mg/kg every three weeks for 22 cycles. </w:t>
      </w:r>
      <w:r w:rsidR="00210435" w:rsidRPr="00E53FB9">
        <w:t xml:space="preserve">Following PBAC recommendation the financial estimates model </w:t>
      </w:r>
      <w:r w:rsidR="00D13BEF" w:rsidRPr="00E53FB9">
        <w:t xml:space="preserve">was revised </w:t>
      </w:r>
      <w:r w:rsidR="00210435" w:rsidRPr="00E53FB9">
        <w:t xml:space="preserve">to incorporate the recommended bevacizumab dose of 7.5 mg/kg </w:t>
      </w:r>
      <w:r w:rsidR="00F859A1" w:rsidRPr="00E53FB9">
        <w:t>every 3 weeks</w:t>
      </w:r>
      <w:r w:rsidR="00C527E7" w:rsidRPr="00E53FB9">
        <w:t>, and the number of cycles revised from 22 to 18.</w:t>
      </w:r>
      <w:r w:rsidR="00F859A1" w:rsidRPr="00E53FB9">
        <w:t xml:space="preserve"> </w:t>
      </w:r>
      <w:r w:rsidR="00FD6886" w:rsidRPr="00E53FB9">
        <w:t xml:space="preserve">The </w:t>
      </w:r>
      <w:r w:rsidR="00752924" w:rsidRPr="00E53FB9">
        <w:t xml:space="preserve">estimates </w:t>
      </w:r>
      <w:r w:rsidR="003E7C11" w:rsidRPr="00E53FB9">
        <w:t xml:space="preserve">model </w:t>
      </w:r>
      <w:r w:rsidR="00752924" w:rsidRPr="00E53FB9">
        <w:t xml:space="preserve">assumed all treated patients would receive the </w:t>
      </w:r>
      <w:r w:rsidR="00FD6886" w:rsidRPr="00E53FB9">
        <w:t xml:space="preserve">maximum number of 18 cycles </w:t>
      </w:r>
      <w:r w:rsidR="00752924" w:rsidRPr="00E53FB9">
        <w:t>of bevacizumab</w:t>
      </w:r>
      <w:r w:rsidR="00FD6886" w:rsidRPr="00E53FB9">
        <w:t xml:space="preserve">, however in the ICON-7 trial </w:t>
      </w:r>
      <w:r w:rsidR="00752924" w:rsidRPr="00E53FB9">
        <w:t>39</w:t>
      </w:r>
      <w:r w:rsidR="00FD6886" w:rsidRPr="00E53FB9">
        <w:t xml:space="preserve">% of patients who entered the </w:t>
      </w:r>
      <w:r w:rsidR="003E7C11" w:rsidRPr="00E53FB9">
        <w:t>bevacizumab arm of the trial</w:t>
      </w:r>
      <w:r w:rsidR="00FD6886" w:rsidRPr="00E53FB9">
        <w:t xml:space="preserve"> </w:t>
      </w:r>
      <w:r w:rsidR="00752924" w:rsidRPr="00E53FB9">
        <w:t>did not complete</w:t>
      </w:r>
      <w:r w:rsidR="00FD6886" w:rsidRPr="00E53FB9">
        <w:t xml:space="preserve"> all 18 treatments.</w:t>
      </w:r>
      <w:r w:rsidR="002A49C6" w:rsidRPr="00E53FB9">
        <w:rPr>
          <w:rStyle w:val="FootnoteReference"/>
        </w:rPr>
        <w:footnoteReference w:id="11"/>
      </w:r>
    </w:p>
    <w:p w14:paraId="0312FFEC" w14:textId="504F99D9" w:rsidR="00E677DD" w:rsidRPr="00E53FB9" w:rsidRDefault="00E677DD" w:rsidP="00C92CE7">
      <w:pPr>
        <w:pStyle w:val="Heading1"/>
      </w:pPr>
      <w:r w:rsidRPr="00E53FB9">
        <w:t>Method</w:t>
      </w:r>
      <w:r w:rsidR="001B5D37" w:rsidRPr="00E53FB9">
        <w:t>s</w:t>
      </w:r>
    </w:p>
    <w:p w14:paraId="5A1608DE" w14:textId="77777777" w:rsidR="00542DF3" w:rsidRPr="00E53FB9" w:rsidRDefault="00542DF3" w:rsidP="00C92CE7">
      <w:pPr>
        <w:pStyle w:val="Heading2"/>
      </w:pPr>
      <w:r w:rsidRPr="00E53FB9">
        <w:t>Prescriptions and patients</w:t>
      </w:r>
    </w:p>
    <w:p w14:paraId="1A5F0298" w14:textId="77777777" w:rsidR="00542DF3" w:rsidRPr="00E53FB9" w:rsidRDefault="00542DF3" w:rsidP="00C92CE7">
      <w:r w:rsidRPr="00E53FB9">
        <w:t xml:space="preserve">PBS prescription data were extracted for the PBS items listed for bevacizumab for epithelial ovarian, fallopian tube or primary peritoneal cancer from 1 August 2014 to 31 July 2018. </w:t>
      </w:r>
    </w:p>
    <w:p w14:paraId="49F341CF" w14:textId="77777777" w:rsidR="00542DF3" w:rsidRPr="00E53FB9" w:rsidRDefault="00542DF3" w:rsidP="00C92CE7">
      <w:r w:rsidRPr="00E53FB9">
        <w:t>The data extractions were based on the date of supply. The date of processing of PBS prescriptions may differ from the date of supply. As such, there may be differences in the data reported by date of supply or processing (such as that available publicly available from the DHS Medicare website).</w:t>
      </w:r>
    </w:p>
    <w:p w14:paraId="36A46FCE" w14:textId="35DC9985" w:rsidR="00846271" w:rsidRPr="00E53FB9" w:rsidRDefault="00542DF3" w:rsidP="00C92CE7">
      <w:r w:rsidRPr="00E53FB9">
        <w:t>These data were used to determine the number of infusions supplied, to count the number of unique incident and treated patients by month, and to analyse the gender of patients treated.</w:t>
      </w:r>
    </w:p>
    <w:p w14:paraId="20A0B980" w14:textId="77777777" w:rsidR="00542DF3" w:rsidRPr="00E53FB9" w:rsidRDefault="00542DF3" w:rsidP="00C92CE7">
      <w:pPr>
        <w:pStyle w:val="Heading2"/>
        <w:keepNext/>
      </w:pPr>
      <w:r w:rsidRPr="00E53FB9">
        <w:lastRenderedPageBreak/>
        <w:t>Length of treatment</w:t>
      </w:r>
    </w:p>
    <w:p w14:paraId="6AFA65FF" w14:textId="77777777" w:rsidR="00846271" w:rsidRPr="00E53FB9" w:rsidRDefault="00397650" w:rsidP="00C92CE7">
      <w:pPr>
        <w:keepNext/>
        <w:spacing w:after="0"/>
      </w:pPr>
      <w:r w:rsidRPr="00E53FB9">
        <w:t xml:space="preserve">The duration of treatment and the number of treatments were analysed for </w:t>
      </w:r>
      <w:r w:rsidR="00542DF3" w:rsidRPr="00E53FB9">
        <w:t>patients who</w:t>
      </w:r>
      <w:r w:rsidR="00846271" w:rsidRPr="00E53FB9">
        <w:t>:</w:t>
      </w:r>
    </w:p>
    <w:p w14:paraId="0D089D41" w14:textId="7AAF8EF3" w:rsidR="00846271" w:rsidRPr="00E53FB9" w:rsidRDefault="00542DF3" w:rsidP="00C92CE7">
      <w:pPr>
        <w:pStyle w:val="ListParagraph"/>
        <w:numPr>
          <w:ilvl w:val="0"/>
          <w:numId w:val="14"/>
        </w:numPr>
      </w:pPr>
      <w:r w:rsidRPr="00E53FB9">
        <w:t>received a supply of bevacizumab under a PBS item code for epithelial ovarian, fallopian tube or primary peritoneal cancer</w:t>
      </w:r>
      <w:r w:rsidR="00846271" w:rsidRPr="00E53FB9">
        <w:t>;</w:t>
      </w:r>
      <w:r w:rsidR="00FF55A6" w:rsidRPr="00E53FB9">
        <w:t xml:space="preserve"> and</w:t>
      </w:r>
    </w:p>
    <w:p w14:paraId="5A3EE2B2" w14:textId="470ADE37" w:rsidR="00846271" w:rsidRPr="00E53FB9" w:rsidRDefault="00846271" w:rsidP="00C92CE7">
      <w:pPr>
        <w:pStyle w:val="ListParagraph"/>
        <w:numPr>
          <w:ilvl w:val="0"/>
          <w:numId w:val="14"/>
        </w:numPr>
      </w:pPr>
      <w:r w:rsidRPr="00E53FB9">
        <w:t>were validated as being treated for epithelial ovarian, fallopian tube or primary peritoneal cancer using supplied chemotherapy medicines, mean bevacizumab dose and gender; and</w:t>
      </w:r>
    </w:p>
    <w:p w14:paraId="54C46799" w14:textId="3C0BF7A4" w:rsidR="00846271" w:rsidRPr="00E53FB9" w:rsidRDefault="00846271" w:rsidP="00C92CE7">
      <w:pPr>
        <w:pStyle w:val="ListParagraph"/>
        <w:numPr>
          <w:ilvl w:val="0"/>
          <w:numId w:val="14"/>
        </w:numPr>
      </w:pPr>
      <w:r w:rsidRPr="00E53FB9">
        <w:t>had sufficient follow up</w:t>
      </w:r>
      <w:r w:rsidR="00A90B0D" w:rsidRPr="00E53FB9">
        <w:t xml:space="preserve"> in the data</w:t>
      </w:r>
      <w:r w:rsidRPr="00E53FB9">
        <w:t xml:space="preserve"> (initiated prior to 2017 for the number of treatments analysis).</w:t>
      </w:r>
    </w:p>
    <w:p w14:paraId="5DEDF867" w14:textId="22891D2D" w:rsidR="00A90B0D" w:rsidRPr="00E53FB9" w:rsidRDefault="00A90B0D" w:rsidP="00C92CE7">
      <w:r w:rsidRPr="00E53FB9">
        <w:t>Refer to Appendix A for detail</w:t>
      </w:r>
      <w:r w:rsidR="00094ECD">
        <w:t>s</w:t>
      </w:r>
      <w:r w:rsidRPr="00E53FB9">
        <w:t xml:space="preserve"> on the method used to validate epithelial ovarian, fallopian tube or primary peritoneal cancer patients.</w:t>
      </w:r>
    </w:p>
    <w:p w14:paraId="05545472" w14:textId="0910A0A8" w:rsidR="00846271" w:rsidRPr="00E53FB9" w:rsidRDefault="00846271" w:rsidP="00C92CE7">
      <w:r w:rsidRPr="00E53FB9">
        <w:t xml:space="preserve">Date of death data </w:t>
      </w:r>
      <w:r w:rsidR="00B172CD" w:rsidRPr="00E53FB9">
        <w:t>were</w:t>
      </w:r>
      <w:r w:rsidRPr="00E53FB9">
        <w:t xml:space="preserve"> used to determine discontinuation due to death</w:t>
      </w:r>
      <w:r w:rsidR="00B172CD" w:rsidRPr="00E53FB9">
        <w:t xml:space="preserve"> for patients who initiated between August 2014 and May 2018.</w:t>
      </w:r>
    </w:p>
    <w:p w14:paraId="75EFB55A" w14:textId="02A33DEE" w:rsidR="00255745" w:rsidRPr="00E53FB9" w:rsidRDefault="00255745" w:rsidP="00C92CE7">
      <w:r w:rsidRPr="00E53FB9">
        <w:t xml:space="preserve">The length of treatment was </w:t>
      </w:r>
      <w:r w:rsidR="00752924" w:rsidRPr="00E53FB9">
        <w:t xml:space="preserve">estimated </w:t>
      </w:r>
      <w:r w:rsidR="00A90B0D" w:rsidRPr="00E53FB9">
        <w:t xml:space="preserve">using the Kaplan Meier method </w:t>
      </w:r>
      <w:r w:rsidRPr="00E53FB9">
        <w:t xml:space="preserve">with </w:t>
      </w:r>
      <w:r w:rsidR="00752924" w:rsidRPr="00E53FB9">
        <w:t>and with</w:t>
      </w:r>
      <w:r w:rsidR="00094ECD">
        <w:t>out</w:t>
      </w:r>
      <w:r w:rsidR="00752924" w:rsidRPr="00E53FB9">
        <w:t xml:space="preserve"> accounting for breaks. </w:t>
      </w:r>
      <w:r w:rsidR="00FF55A6" w:rsidRPr="00E53FB9">
        <w:t>The w</w:t>
      </w:r>
      <w:r w:rsidR="00752924" w:rsidRPr="00E53FB9">
        <w:t>ithout accounting for breaks</w:t>
      </w:r>
      <w:r w:rsidRPr="00E53FB9">
        <w:t xml:space="preserve"> </w:t>
      </w:r>
      <w:r w:rsidR="00FF55A6" w:rsidRPr="00E53FB9">
        <w:t xml:space="preserve">method </w:t>
      </w:r>
      <w:r w:rsidR="00752924" w:rsidRPr="00E53FB9">
        <w:t>used</w:t>
      </w:r>
      <w:r w:rsidRPr="00E53FB9">
        <w:t xml:space="preserve"> the time between each patient’s initiation, until the median time of refill (21 days) after their last prescription</w:t>
      </w:r>
      <w:r w:rsidR="00752924" w:rsidRPr="00E53FB9">
        <w:t xml:space="preserve"> as the patient’s length of treatment</w:t>
      </w:r>
      <w:r w:rsidRPr="00E53FB9">
        <w:t>. If a patient died less than 21 days after their last supply of bevacizumab, the date of their death was used as the end date.</w:t>
      </w:r>
    </w:p>
    <w:p w14:paraId="35D21658" w14:textId="77777777" w:rsidR="00FD6886" w:rsidRPr="00E53FB9" w:rsidRDefault="00255745" w:rsidP="00C92CE7">
      <w:r w:rsidRPr="00E53FB9">
        <w:t xml:space="preserve">To account for breaks, a period of three times the median time of refill (3 </w:t>
      </w:r>
      <w:r w:rsidRPr="00E53FB9">
        <w:rPr>
          <w:rFonts w:cstheme="minorHAnsi"/>
        </w:rPr>
        <w:t>×</w:t>
      </w:r>
      <w:r w:rsidRPr="00E53FB9">
        <w:t xml:space="preserve"> 21 = 63 days) between supplies of bevacizumab was determined to be a break. The length of the first episode was determined to be 21 days after the last supply of bevacizumab before the break. The total length of treatment was calculated as the sum of the length of episodes. </w:t>
      </w:r>
    </w:p>
    <w:p w14:paraId="38940944" w14:textId="336873EC" w:rsidR="00552140" w:rsidRPr="00E53FB9" w:rsidRDefault="00255745" w:rsidP="00C92CE7">
      <w:r w:rsidRPr="00E53FB9">
        <w:t xml:space="preserve">Patients were censored in Kaplan Meier analyses when the last supplied prescription was supplied less than 63 days prior to the end of extracted PBS data. </w:t>
      </w:r>
    </w:p>
    <w:p w14:paraId="4F91A98A" w14:textId="5D043163" w:rsidR="00C714D0" w:rsidRPr="00E53FB9" w:rsidRDefault="00C714D0" w:rsidP="00C92CE7">
      <w:pPr>
        <w:pStyle w:val="Heading1"/>
      </w:pPr>
      <w:r w:rsidRPr="00E53FB9">
        <w:t>Results</w:t>
      </w:r>
    </w:p>
    <w:p w14:paraId="2221FF19" w14:textId="336CE8B2" w:rsidR="00736041" w:rsidRPr="00E53FB9" w:rsidRDefault="001B5D37" w:rsidP="00C92CE7">
      <w:pPr>
        <w:pStyle w:val="Heading2"/>
      </w:pPr>
      <w:r w:rsidRPr="00E53FB9">
        <w:t xml:space="preserve">Analysis </w:t>
      </w:r>
      <w:r w:rsidR="00736041" w:rsidRPr="00E53FB9">
        <w:t xml:space="preserve">of </w:t>
      </w:r>
      <w:r w:rsidR="0063631C" w:rsidRPr="00E53FB9">
        <w:t>d</w:t>
      </w:r>
      <w:r w:rsidR="00E677DD" w:rsidRPr="00E53FB9">
        <w:t xml:space="preserve">rug </w:t>
      </w:r>
      <w:r w:rsidR="0063631C" w:rsidRPr="00E53FB9">
        <w:t>u</w:t>
      </w:r>
      <w:r w:rsidR="00E677DD" w:rsidRPr="00E53FB9">
        <w:t>tilisation</w:t>
      </w:r>
    </w:p>
    <w:p w14:paraId="48544B95" w14:textId="77777777" w:rsidR="00542DF3" w:rsidRPr="00E53FB9" w:rsidRDefault="00542DF3" w:rsidP="00C92CE7">
      <w:pPr>
        <w:pStyle w:val="Heading3"/>
      </w:pPr>
      <w:r w:rsidRPr="00E53FB9">
        <w:t>Overall utilisation</w:t>
      </w:r>
    </w:p>
    <w:p w14:paraId="64E47F8C" w14:textId="4E6296D7" w:rsidR="00542DF3" w:rsidRPr="00E53FB9" w:rsidRDefault="00542DF3" w:rsidP="00C92CE7">
      <w:r w:rsidRPr="00E53FB9">
        <w:t xml:space="preserve">Bevacizumab is PBS listed for epithelial ovarian, fallopian tube or primary peritoneal cancer under four Authority Required (STREAMLINED) PBS item codes. Two codes are indicated for initial treatment </w:t>
      </w:r>
      <w:r w:rsidR="00B55A83" w:rsidRPr="00E53FB9">
        <w:t xml:space="preserve">with five repeats </w:t>
      </w:r>
      <w:r w:rsidRPr="00E53FB9">
        <w:t xml:space="preserve">(one for public hospital use and </w:t>
      </w:r>
      <w:r w:rsidR="00D03683" w:rsidRPr="00E53FB9">
        <w:t xml:space="preserve">one for </w:t>
      </w:r>
      <w:r w:rsidRPr="00E53FB9">
        <w:t>private hospital use), and two are indicated for continuing treatment</w:t>
      </w:r>
      <w:r w:rsidR="00B55A83" w:rsidRPr="00E53FB9">
        <w:t xml:space="preserve"> (with eleven repeats)</w:t>
      </w:r>
      <w:r w:rsidRPr="00E53FB9">
        <w:t xml:space="preserve">. </w:t>
      </w:r>
    </w:p>
    <w:p w14:paraId="03A3CDEA" w14:textId="6B58B5AE" w:rsidR="00B80498" w:rsidRPr="00E53FB9" w:rsidRDefault="00B80498" w:rsidP="00C92CE7">
      <w:r w:rsidRPr="00E53FB9">
        <w:t>Figure 1 shows the number of patients initiating bevacizumab under any of the four item codes</w:t>
      </w:r>
      <w:r w:rsidR="00FF55A6" w:rsidRPr="00E53FB9">
        <w:t>,</w:t>
      </w:r>
      <w:r w:rsidRPr="00E53FB9">
        <w:t xml:space="preserve"> and treated with bevacizumab under any of the four items codes</w:t>
      </w:r>
      <w:r w:rsidR="00FF55A6" w:rsidRPr="00E53FB9">
        <w:t>,</w:t>
      </w:r>
      <w:r w:rsidRPr="00E53FB9">
        <w:t xml:space="preserve"> by month since listing.</w:t>
      </w:r>
      <w:r w:rsidR="00FF55A6" w:rsidRPr="00E53FB9">
        <w:t xml:space="preserve"> The total number of prescriptions dispensed is also shown in Figure 1.</w:t>
      </w:r>
    </w:p>
    <w:p w14:paraId="79DC3E5E" w14:textId="2E235566" w:rsidR="00B80498" w:rsidRPr="00E53FB9" w:rsidRDefault="00B80498" w:rsidP="00C92CE7">
      <w:pPr>
        <w:spacing w:before="60" w:after="60"/>
        <w:rPr>
          <w:b/>
          <w:noProof/>
        </w:rPr>
      </w:pPr>
    </w:p>
    <w:p w14:paraId="711F74D6" w14:textId="08C17924" w:rsidR="001A7793" w:rsidRPr="00E53FB9" w:rsidRDefault="001A7793" w:rsidP="00C92CE7">
      <w:pPr>
        <w:spacing w:before="60" w:after="60"/>
        <w:rPr>
          <w:b/>
          <w:noProof/>
        </w:rPr>
      </w:pPr>
      <w:r w:rsidRPr="00E53FB9">
        <w:rPr>
          <w:noProof/>
        </w:rPr>
        <w:lastRenderedPageBreak/>
        <w:drawing>
          <wp:inline distT="0" distB="0" distL="0" distR="0" wp14:anchorId="0150FF06" wp14:editId="5EF2338D">
            <wp:extent cx="5689600" cy="3614058"/>
            <wp:effectExtent l="0" t="0" r="6350" b="5715"/>
            <wp:docPr id="1" name="Chart 1" descr="Initiating and prevalent treated patients and prescriptions of bevacizumab for epithelial ovarian, fallopian tube, or primary peritoneal cancer, by month of supply" title="Initiating and prevalent treated patients and prescriptions of bevacizumab"/>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519EC0" w14:textId="7DE84685" w:rsidR="00B80498" w:rsidRPr="00E53FB9" w:rsidRDefault="00B80498" w:rsidP="00C92CE7">
      <w:pPr>
        <w:pStyle w:val="Figuretitle"/>
      </w:pPr>
      <w:r w:rsidRPr="00E53FB9">
        <w:t>Figure 1: Initiating and prevalent treat</w:t>
      </w:r>
      <w:r w:rsidR="00B172CD" w:rsidRPr="00E53FB9">
        <w:t xml:space="preserve">ed patients and prescriptions </w:t>
      </w:r>
      <w:r w:rsidRPr="00E53FB9">
        <w:t>of bevacizumab for epithelial ovarian, fallopian tube, or primary peritoneal cancer, by month of supply</w:t>
      </w:r>
    </w:p>
    <w:p w14:paraId="0343F64F" w14:textId="77777777" w:rsidR="00B80498" w:rsidRPr="00E53FB9" w:rsidRDefault="00B80498" w:rsidP="00C92CE7">
      <w:pPr>
        <w:spacing w:before="60" w:after="60"/>
        <w:rPr>
          <w:sz w:val="20"/>
          <w:szCs w:val="20"/>
        </w:rPr>
      </w:pPr>
      <w:r w:rsidRPr="00E53FB9">
        <w:rPr>
          <w:sz w:val="20"/>
          <w:szCs w:val="20"/>
        </w:rPr>
        <w:t>Source: DHS prescription database, extracted August 2018</w:t>
      </w:r>
    </w:p>
    <w:p w14:paraId="11D0CAAE" w14:textId="77777777" w:rsidR="00752924" w:rsidRPr="00E53FB9" w:rsidRDefault="00752924" w:rsidP="00C92CE7"/>
    <w:p w14:paraId="74BC60D8" w14:textId="5CDD5ACB" w:rsidR="00B80498" w:rsidRPr="00E53FB9" w:rsidRDefault="00B80498" w:rsidP="00C92CE7">
      <w:r w:rsidRPr="00E53FB9">
        <w:t>Figure 1 shows that the number of initiating patients remained steady since listing in</w:t>
      </w:r>
      <w:r w:rsidRPr="00E53FB9">
        <w:rPr>
          <w:noProof/>
        </w:rPr>
        <w:t xml:space="preserve"> August 2014. The total number of treated patients has been fairly stable since the beginning of 2016.</w:t>
      </w:r>
    </w:p>
    <w:p w14:paraId="2CFE17B2" w14:textId="5DEB2E37" w:rsidR="00542DF3" w:rsidRPr="00E53FB9" w:rsidRDefault="00FF55A6" w:rsidP="00C92CE7">
      <w:r w:rsidRPr="00E53FB9">
        <w:t>T</w:t>
      </w:r>
      <w:r w:rsidR="00B80498" w:rsidRPr="00E53FB9">
        <w:t xml:space="preserve">he number of </w:t>
      </w:r>
      <w:r w:rsidR="001718F7" w:rsidRPr="00E53FB9">
        <w:t xml:space="preserve">dispensed </w:t>
      </w:r>
      <w:r w:rsidR="00B80498" w:rsidRPr="00E53FB9">
        <w:t xml:space="preserve">prescriptions </w:t>
      </w:r>
      <w:r w:rsidR="00DD08A7" w:rsidRPr="00E53FB9">
        <w:t>grew fairly quickly during the first 12 months of listing, but has since become fairly stable.</w:t>
      </w:r>
      <w:r w:rsidR="00B172CD" w:rsidRPr="00E53FB9">
        <w:t xml:space="preserve"> The number of </w:t>
      </w:r>
      <w:r w:rsidR="00DD08A7" w:rsidRPr="00E53FB9">
        <w:t xml:space="preserve">prescriptions per month </w:t>
      </w:r>
      <w:r w:rsidR="004636C1">
        <w:t>wa</w:t>
      </w:r>
      <w:r w:rsidR="00DD08A7" w:rsidRPr="00E53FB9">
        <w:t>s higher than the number of treated patients</w:t>
      </w:r>
      <w:r w:rsidR="00037203" w:rsidRPr="00E53FB9">
        <w:t>.</w:t>
      </w:r>
      <w:r w:rsidR="00DD08A7" w:rsidRPr="00E53FB9">
        <w:t xml:space="preserve"> </w:t>
      </w:r>
      <w:r w:rsidR="00E71441" w:rsidRPr="00E53FB9">
        <w:t>Given the three weekly do</w:t>
      </w:r>
      <w:r w:rsidR="00037203" w:rsidRPr="00E53FB9">
        <w:t>s</w:t>
      </w:r>
      <w:r w:rsidR="00E71441" w:rsidRPr="00E53FB9">
        <w:t xml:space="preserve">ing regimen </w:t>
      </w:r>
      <w:r w:rsidR="00DD08A7" w:rsidRPr="00E53FB9">
        <w:t xml:space="preserve">it is reasonable that the number of prescriptions dispensed per month is higher than the number of patients treated per month, as </w:t>
      </w:r>
      <w:r w:rsidR="00E71441" w:rsidRPr="00E53FB9">
        <w:t xml:space="preserve">some patients will have more than one prescription supplied in a month. </w:t>
      </w:r>
      <w:r w:rsidR="00DD08A7" w:rsidRPr="00E53FB9">
        <w:t>In 2017, 5,053 prescriptions were dispensed.</w:t>
      </w:r>
    </w:p>
    <w:p w14:paraId="485FBFEB" w14:textId="77777777" w:rsidR="00542DF3" w:rsidRPr="00E53FB9" w:rsidRDefault="00542DF3" w:rsidP="00C92CE7">
      <w:pPr>
        <w:spacing w:before="60" w:after="60"/>
        <w:rPr>
          <w:noProof/>
        </w:rPr>
      </w:pPr>
    </w:p>
    <w:p w14:paraId="1C5276E9" w14:textId="326A3F4B" w:rsidR="00542DF3" w:rsidRPr="00E53FB9" w:rsidRDefault="007D5128" w:rsidP="00C92CE7">
      <w:pPr>
        <w:spacing w:before="60" w:after="60"/>
        <w:rPr>
          <w:b/>
        </w:rPr>
      </w:pPr>
      <w:r w:rsidRPr="00E53FB9">
        <w:rPr>
          <w:noProof/>
        </w:rPr>
        <w:lastRenderedPageBreak/>
        <w:drawing>
          <wp:inline distT="0" distB="0" distL="0" distR="0" wp14:anchorId="2708CC00" wp14:editId="1B839DD6">
            <wp:extent cx="5715000" cy="3629025"/>
            <wp:effectExtent l="0" t="0" r="0" b="9525"/>
            <wp:docPr id="3" name="Chart 3" descr="Gender of initiating patients by quarter of supply" title="Gender of initiating patients by quarte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42DF3" w:rsidRPr="00E53FB9">
        <w:rPr>
          <w:b/>
        </w:rPr>
        <w:t xml:space="preserve">Figure </w:t>
      </w:r>
      <w:r w:rsidR="00DD08A7" w:rsidRPr="00E53FB9">
        <w:rPr>
          <w:b/>
        </w:rPr>
        <w:t>2</w:t>
      </w:r>
      <w:r w:rsidR="00542DF3" w:rsidRPr="00E53FB9">
        <w:rPr>
          <w:b/>
        </w:rPr>
        <w:t>: Gender of initiating patients by quarter of supply</w:t>
      </w:r>
    </w:p>
    <w:p w14:paraId="22A888A3" w14:textId="452750FB" w:rsidR="00542DF3" w:rsidRPr="00E53FB9" w:rsidRDefault="00526B2B" w:rsidP="00C92CE7">
      <w:pPr>
        <w:spacing w:before="60" w:after="60"/>
        <w:rPr>
          <w:sz w:val="20"/>
          <w:szCs w:val="20"/>
        </w:rPr>
      </w:pPr>
      <w:r w:rsidRPr="00E53FB9">
        <w:rPr>
          <w:sz w:val="20"/>
          <w:szCs w:val="20"/>
        </w:rPr>
        <w:t>Note: Data from August 2014 to June 2018 inclusive</w:t>
      </w:r>
      <w:r w:rsidRPr="00E53FB9">
        <w:rPr>
          <w:sz w:val="20"/>
          <w:szCs w:val="20"/>
        </w:rPr>
        <w:br/>
      </w:r>
      <w:r w:rsidR="00542DF3" w:rsidRPr="00E53FB9">
        <w:rPr>
          <w:sz w:val="20"/>
          <w:szCs w:val="20"/>
        </w:rPr>
        <w:t>Source: DHS prescription database, extracted August 2018</w:t>
      </w:r>
    </w:p>
    <w:p w14:paraId="368E8D56" w14:textId="77777777" w:rsidR="00542DF3" w:rsidRPr="00E53FB9" w:rsidRDefault="00542DF3" w:rsidP="00C92CE7">
      <w:pPr>
        <w:spacing w:before="60" w:after="60"/>
      </w:pPr>
    </w:p>
    <w:p w14:paraId="15D0F7F5" w14:textId="5AF7A457" w:rsidR="00542DF3" w:rsidRPr="00E53FB9" w:rsidRDefault="00B8711F" w:rsidP="00C92CE7">
      <w:r w:rsidRPr="00E53FB9">
        <w:t xml:space="preserve">Since listing in August 2014, 86% of prescriptions were for females and 14% were for males. The number of males treated </w:t>
      </w:r>
      <w:r w:rsidR="00702876">
        <w:t>wa</w:t>
      </w:r>
      <w:r w:rsidRPr="00E53FB9">
        <w:t xml:space="preserve">s inconsistent with use for ovarian and fallopian tube cancer, and primary peritoneal cancer which occurs almost exclusively in women. </w:t>
      </w:r>
      <w:r w:rsidR="00542DF3" w:rsidRPr="00E53FB9">
        <w:t xml:space="preserve">Bevacizumab is also PBS listed for </w:t>
      </w:r>
      <w:r w:rsidR="00542DF3" w:rsidRPr="00E53FB9">
        <w:rPr>
          <w:rFonts w:ascii="Calibri" w:hAnsi="Calibri" w:cs="Calibri"/>
        </w:rPr>
        <w:t xml:space="preserve">metastatic colorectal cancer. </w:t>
      </w:r>
      <w:r w:rsidR="00542DF3" w:rsidRPr="00E53FB9">
        <w:t xml:space="preserve">It is </w:t>
      </w:r>
      <w:r w:rsidRPr="00E53FB9">
        <w:t xml:space="preserve">likely </w:t>
      </w:r>
      <w:r w:rsidR="00542DF3" w:rsidRPr="00E53FB9">
        <w:t>that a proportion of the prescriptions supplied to males are a result of prescriber</w:t>
      </w:r>
      <w:r w:rsidRPr="00E53FB9">
        <w:t xml:space="preserve"> or dispenser</w:t>
      </w:r>
      <w:r w:rsidR="00542DF3" w:rsidRPr="00E53FB9">
        <w:t xml:space="preserve"> coding error</w:t>
      </w:r>
      <w:r w:rsidR="00D27110" w:rsidRPr="00E53FB9">
        <w:t>.</w:t>
      </w:r>
      <w:r w:rsidRPr="00E53FB9">
        <w:t xml:space="preserve"> Noting this, the results presented in Figure 1 above, and the predicted versus actual analysis </w:t>
      </w:r>
      <w:r w:rsidR="006C1C2B" w:rsidRPr="00E53FB9">
        <w:t xml:space="preserve">in Table 2 </w:t>
      </w:r>
      <w:r w:rsidRPr="00E53FB9">
        <w:t>below</w:t>
      </w:r>
      <w:r w:rsidR="004137B2" w:rsidRPr="00E53FB9">
        <w:t>,</w:t>
      </w:r>
      <w:r w:rsidRPr="00E53FB9">
        <w:t xml:space="preserve"> should be interpreted with caution. Use of bevacizumab for non-subsidised indications could be another factor contributing to the unexpected gender distribution in Figure </w:t>
      </w:r>
      <w:r w:rsidR="00752924" w:rsidRPr="00E53FB9">
        <w:t>2</w:t>
      </w:r>
      <w:r w:rsidRPr="00E53FB9">
        <w:t>.</w:t>
      </w:r>
    </w:p>
    <w:p w14:paraId="598B158A" w14:textId="77777777" w:rsidR="00FD6886" w:rsidRPr="00E53FB9" w:rsidRDefault="00FD6886" w:rsidP="00C92CE7">
      <w:pPr>
        <w:spacing w:line="276" w:lineRule="auto"/>
        <w:rPr>
          <w:b/>
          <w:sz w:val="28"/>
        </w:rPr>
      </w:pPr>
      <w:r w:rsidRPr="00E53FB9">
        <w:br w:type="page"/>
      </w:r>
    </w:p>
    <w:p w14:paraId="0CC53212" w14:textId="1C8FF3DD" w:rsidR="00542DF3" w:rsidRPr="00E53FB9" w:rsidRDefault="00542DF3" w:rsidP="00C92CE7">
      <w:pPr>
        <w:pStyle w:val="Heading2"/>
      </w:pPr>
      <w:r w:rsidRPr="00E53FB9">
        <w:lastRenderedPageBreak/>
        <w:t>Analysis of actual versus predicted utilisation</w:t>
      </w:r>
    </w:p>
    <w:p w14:paraId="041E9BA2" w14:textId="51DF5AC6" w:rsidR="00542DF3" w:rsidRPr="00E53FB9" w:rsidRDefault="00542DF3" w:rsidP="00C92CE7">
      <w:pPr>
        <w:spacing w:before="200" w:after="20"/>
        <w:rPr>
          <w:rFonts w:cs="Arial"/>
          <w:b/>
        </w:rPr>
      </w:pPr>
      <w:r w:rsidRPr="00E53FB9">
        <w:rPr>
          <w:b/>
        </w:rPr>
        <w:t xml:space="preserve">Table </w:t>
      </w:r>
      <w:r w:rsidR="00DD08A7" w:rsidRPr="00E53FB9">
        <w:rPr>
          <w:b/>
        </w:rPr>
        <w:t>2</w:t>
      </w:r>
      <w:r w:rsidRPr="00E53FB9">
        <w:rPr>
          <w:b/>
        </w:rPr>
        <w:t xml:space="preserve">: Analysis of actual versus predicted utilisation of bevacizumab for </w:t>
      </w:r>
      <w:r w:rsidR="00E85241" w:rsidRPr="00E53FB9">
        <w:rPr>
          <w:rFonts w:cs="Arial"/>
          <w:b/>
        </w:rPr>
        <w:t>advanced (FIGO S</w:t>
      </w:r>
      <w:r w:rsidRPr="00E53FB9">
        <w:rPr>
          <w:rFonts w:cs="Arial"/>
          <w:b/>
        </w:rPr>
        <w:t>tages IIIB, IIIC or IV) epithelial ovarian, fallopian tube, or primary peritoneal cancer.</w:t>
      </w:r>
    </w:p>
    <w:tbl>
      <w:tblPr>
        <w:tblW w:w="9087" w:type="dxa"/>
        <w:tblInd w:w="93" w:type="dxa"/>
        <w:tblLayout w:type="fixed"/>
        <w:tblLook w:val="04A0" w:firstRow="1" w:lastRow="0" w:firstColumn="1" w:lastColumn="0" w:noHBand="0" w:noVBand="1"/>
      </w:tblPr>
      <w:tblGrid>
        <w:gridCol w:w="1433"/>
        <w:gridCol w:w="1276"/>
        <w:gridCol w:w="1594"/>
        <w:gridCol w:w="1595"/>
        <w:gridCol w:w="1594"/>
        <w:gridCol w:w="1595"/>
      </w:tblGrid>
      <w:tr w:rsidR="00E4195B" w:rsidRPr="00E53FB9" w14:paraId="54375674" w14:textId="77777777" w:rsidTr="00C95AEF">
        <w:trPr>
          <w:trHeight w:val="268"/>
        </w:trPr>
        <w:tc>
          <w:tcPr>
            <w:tcW w:w="1433" w:type="dxa"/>
            <w:shd w:val="clear" w:color="auto" w:fill="auto"/>
            <w:vAlign w:val="center"/>
            <w:hideMark/>
          </w:tcPr>
          <w:p w14:paraId="6FFE80AE" w14:textId="77777777" w:rsidR="00E4195B" w:rsidRPr="00E53FB9" w:rsidRDefault="00E4195B" w:rsidP="00C92CE7">
            <w:pPr>
              <w:spacing w:after="0"/>
              <w:rPr>
                <w:rFonts w:ascii="Calibri" w:eastAsia="Times New Roman" w:hAnsi="Calibri" w:cs="Calibri"/>
                <w:color w:val="000000"/>
              </w:rPr>
            </w:pPr>
            <w:r w:rsidRPr="00E53FB9">
              <w:rPr>
                <w:rFonts w:ascii="Calibri" w:eastAsia="Times New Roman" w:hAnsi="Calibri" w:cs="Calibri"/>
                <w:color w:val="000000"/>
              </w:rPr>
              <w:t> </w:t>
            </w:r>
          </w:p>
        </w:tc>
        <w:tc>
          <w:tcPr>
            <w:tcW w:w="1276" w:type="dxa"/>
            <w:tcBorders>
              <w:right w:val="single" w:sz="4" w:space="0" w:color="auto"/>
            </w:tcBorders>
            <w:shd w:val="clear" w:color="auto" w:fill="auto"/>
            <w:vAlign w:val="center"/>
            <w:hideMark/>
          </w:tcPr>
          <w:p w14:paraId="119B8627" w14:textId="77777777" w:rsidR="00E4195B" w:rsidRPr="00E53FB9" w:rsidRDefault="00E4195B" w:rsidP="00C92CE7">
            <w:pPr>
              <w:spacing w:after="0"/>
              <w:rPr>
                <w:rFonts w:ascii="Calibri" w:eastAsia="Times New Roman" w:hAnsi="Calibri" w:cs="Calibri"/>
                <w:color w:val="000000"/>
              </w:rPr>
            </w:pPr>
            <w:r w:rsidRPr="00E53FB9">
              <w:rPr>
                <w:rFonts w:ascii="Calibri" w:eastAsia="Times New Roman" w:hAnsi="Calibri" w:cs="Calibri"/>
                <w:color w:val="000000"/>
              </w:rPr>
              <w:t> </w:t>
            </w:r>
          </w:p>
        </w:tc>
        <w:tc>
          <w:tcPr>
            <w:tcW w:w="6378"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6765213" w14:textId="77777777" w:rsidR="00E4195B" w:rsidRPr="00E53FB9" w:rsidRDefault="00E4195B" w:rsidP="00C92CE7">
            <w:pPr>
              <w:spacing w:after="0"/>
              <w:jc w:val="center"/>
              <w:rPr>
                <w:rFonts w:ascii="Calibri" w:eastAsia="Times New Roman" w:hAnsi="Calibri" w:cs="Calibri"/>
                <w:b/>
                <w:bCs/>
                <w:color w:val="000000"/>
                <w:sz w:val="20"/>
                <w:szCs w:val="20"/>
              </w:rPr>
            </w:pPr>
            <w:r w:rsidRPr="00E53FB9">
              <w:rPr>
                <w:rFonts w:ascii="Calibri" w:eastAsia="Times New Roman" w:hAnsi="Calibri" w:cs="Calibri"/>
                <w:b/>
                <w:bCs/>
                <w:color w:val="000000"/>
                <w:sz w:val="20"/>
              </w:rPr>
              <w:t>Listing year</w:t>
            </w:r>
          </w:p>
        </w:tc>
      </w:tr>
      <w:tr w:rsidR="00A90B0D" w:rsidRPr="00E53FB9" w14:paraId="5AB1DF49" w14:textId="77777777" w:rsidTr="00C95AEF">
        <w:trPr>
          <w:trHeight w:val="315"/>
        </w:trPr>
        <w:tc>
          <w:tcPr>
            <w:tcW w:w="1433" w:type="dxa"/>
            <w:tcBorders>
              <w:top w:val="nil"/>
              <w:bottom w:val="single" w:sz="4" w:space="0" w:color="auto"/>
            </w:tcBorders>
            <w:shd w:val="clear" w:color="auto" w:fill="auto"/>
            <w:vAlign w:val="center"/>
            <w:hideMark/>
          </w:tcPr>
          <w:p w14:paraId="69FC78C7" w14:textId="77777777" w:rsidR="00E4195B" w:rsidRPr="00E53FB9" w:rsidRDefault="00E4195B" w:rsidP="00C92CE7">
            <w:pPr>
              <w:spacing w:after="0"/>
              <w:rPr>
                <w:rFonts w:ascii="Calibri" w:eastAsia="Times New Roman" w:hAnsi="Calibri" w:cs="Calibri"/>
                <w:color w:val="000000"/>
              </w:rPr>
            </w:pPr>
            <w:r w:rsidRPr="00E53FB9">
              <w:rPr>
                <w:rFonts w:ascii="Calibri" w:eastAsia="Times New Roman" w:hAnsi="Calibri" w:cs="Calibri"/>
                <w:color w:val="000000"/>
              </w:rPr>
              <w:t> </w:t>
            </w:r>
          </w:p>
        </w:tc>
        <w:tc>
          <w:tcPr>
            <w:tcW w:w="1276" w:type="dxa"/>
            <w:tcBorders>
              <w:top w:val="nil"/>
              <w:bottom w:val="single" w:sz="4" w:space="0" w:color="auto"/>
              <w:right w:val="single" w:sz="4" w:space="0" w:color="auto"/>
            </w:tcBorders>
            <w:shd w:val="clear" w:color="auto" w:fill="auto"/>
            <w:vAlign w:val="center"/>
            <w:hideMark/>
          </w:tcPr>
          <w:p w14:paraId="15B265ED" w14:textId="77777777" w:rsidR="00E4195B" w:rsidRPr="00E53FB9" w:rsidRDefault="00E4195B" w:rsidP="00C92CE7">
            <w:pPr>
              <w:spacing w:after="0"/>
              <w:rPr>
                <w:rFonts w:ascii="Calibri" w:eastAsia="Times New Roman" w:hAnsi="Calibri" w:cs="Calibri"/>
                <w:color w:val="000000"/>
              </w:rPr>
            </w:pPr>
            <w:r w:rsidRPr="00E53FB9">
              <w:rPr>
                <w:rFonts w:ascii="Calibri" w:eastAsia="Times New Roman" w:hAnsi="Calibri" w:cs="Calibri"/>
                <w:color w:val="000000"/>
              </w:rPr>
              <w:t> </w:t>
            </w:r>
          </w:p>
        </w:tc>
        <w:tc>
          <w:tcPr>
            <w:tcW w:w="159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933BF16" w14:textId="77777777" w:rsidR="00E4195B" w:rsidRPr="00E53FB9" w:rsidRDefault="00E4195B" w:rsidP="00C92CE7">
            <w:pPr>
              <w:spacing w:after="0"/>
              <w:jc w:val="center"/>
              <w:rPr>
                <w:rFonts w:ascii="Calibri" w:eastAsia="Times New Roman" w:hAnsi="Calibri" w:cs="Calibri"/>
                <w:b/>
                <w:bCs/>
                <w:color w:val="000000"/>
                <w:sz w:val="20"/>
              </w:rPr>
            </w:pPr>
            <w:r w:rsidRPr="00E53FB9">
              <w:rPr>
                <w:rFonts w:ascii="Calibri" w:eastAsia="Times New Roman" w:hAnsi="Calibri" w:cs="Calibri"/>
                <w:b/>
                <w:bCs/>
                <w:color w:val="000000"/>
                <w:sz w:val="20"/>
              </w:rPr>
              <w:t>Year 1</w:t>
            </w:r>
          </w:p>
          <w:p w14:paraId="77FD03B2" w14:textId="4BCA2DA3" w:rsidR="00A90B0D" w:rsidRPr="00E53FB9" w:rsidRDefault="00A90B0D" w:rsidP="00C92CE7">
            <w:pPr>
              <w:spacing w:after="0"/>
              <w:jc w:val="center"/>
              <w:rPr>
                <w:rFonts w:ascii="Calibri" w:eastAsia="Times New Roman" w:hAnsi="Calibri" w:cs="Calibri"/>
                <w:b/>
                <w:bCs/>
                <w:color w:val="000000"/>
                <w:sz w:val="20"/>
                <w:szCs w:val="20"/>
              </w:rPr>
            </w:pPr>
            <w:r w:rsidRPr="00E53FB9">
              <w:rPr>
                <w:rFonts w:ascii="Calibri" w:eastAsia="Times New Roman" w:hAnsi="Calibri" w:cs="Calibri"/>
                <w:b/>
                <w:bCs/>
                <w:color w:val="000000"/>
                <w:sz w:val="20"/>
              </w:rPr>
              <w:t>(Aug 14 – Jul 15)</w:t>
            </w:r>
          </w:p>
        </w:tc>
        <w:tc>
          <w:tcPr>
            <w:tcW w:w="1595" w:type="dxa"/>
            <w:tcBorders>
              <w:top w:val="single" w:sz="4" w:space="0" w:color="auto"/>
              <w:left w:val="nil"/>
              <w:bottom w:val="single" w:sz="4" w:space="0" w:color="auto"/>
              <w:right w:val="single" w:sz="4" w:space="0" w:color="auto"/>
            </w:tcBorders>
            <w:shd w:val="clear" w:color="000000" w:fill="BFBFBF"/>
            <w:vAlign w:val="center"/>
            <w:hideMark/>
          </w:tcPr>
          <w:p w14:paraId="29BCFA60" w14:textId="77777777" w:rsidR="00E4195B" w:rsidRPr="00E53FB9" w:rsidRDefault="00E4195B" w:rsidP="00C92CE7">
            <w:pPr>
              <w:spacing w:after="0"/>
              <w:jc w:val="center"/>
              <w:rPr>
                <w:rFonts w:ascii="Calibri" w:eastAsia="Times New Roman" w:hAnsi="Calibri" w:cs="Calibri"/>
                <w:b/>
                <w:bCs/>
                <w:color w:val="000000"/>
                <w:sz w:val="20"/>
              </w:rPr>
            </w:pPr>
            <w:r w:rsidRPr="00E53FB9">
              <w:rPr>
                <w:rFonts w:ascii="Calibri" w:eastAsia="Times New Roman" w:hAnsi="Calibri" w:cs="Calibri"/>
                <w:b/>
                <w:bCs/>
                <w:color w:val="000000"/>
                <w:sz w:val="20"/>
              </w:rPr>
              <w:t>Year 2</w:t>
            </w:r>
          </w:p>
          <w:p w14:paraId="4083B242" w14:textId="36C947A3" w:rsidR="00A90B0D" w:rsidRPr="00E53FB9" w:rsidRDefault="00A90B0D" w:rsidP="00C92CE7">
            <w:pPr>
              <w:spacing w:after="0"/>
              <w:jc w:val="center"/>
              <w:rPr>
                <w:rFonts w:ascii="Calibri" w:eastAsia="Times New Roman" w:hAnsi="Calibri" w:cs="Calibri"/>
                <w:b/>
                <w:bCs/>
                <w:color w:val="000000"/>
                <w:sz w:val="20"/>
                <w:szCs w:val="20"/>
              </w:rPr>
            </w:pPr>
            <w:r w:rsidRPr="00E53FB9">
              <w:rPr>
                <w:rFonts w:ascii="Calibri" w:eastAsia="Times New Roman" w:hAnsi="Calibri" w:cs="Calibri"/>
                <w:b/>
                <w:bCs/>
                <w:color w:val="000000"/>
                <w:sz w:val="20"/>
              </w:rPr>
              <w:t>(Aug 15 – Jul 16)</w:t>
            </w:r>
          </w:p>
        </w:tc>
        <w:tc>
          <w:tcPr>
            <w:tcW w:w="1594" w:type="dxa"/>
            <w:tcBorders>
              <w:top w:val="single" w:sz="4" w:space="0" w:color="auto"/>
              <w:left w:val="nil"/>
              <w:bottom w:val="single" w:sz="4" w:space="0" w:color="auto"/>
              <w:right w:val="single" w:sz="4" w:space="0" w:color="auto"/>
            </w:tcBorders>
            <w:shd w:val="clear" w:color="000000" w:fill="BFBFBF"/>
            <w:vAlign w:val="center"/>
            <w:hideMark/>
          </w:tcPr>
          <w:p w14:paraId="13175399" w14:textId="77777777" w:rsidR="00E4195B" w:rsidRPr="00E53FB9" w:rsidRDefault="00E4195B" w:rsidP="00C92CE7">
            <w:pPr>
              <w:spacing w:after="0"/>
              <w:jc w:val="center"/>
              <w:rPr>
                <w:rFonts w:ascii="Calibri" w:eastAsia="Times New Roman" w:hAnsi="Calibri" w:cs="Calibri"/>
                <w:b/>
                <w:bCs/>
                <w:color w:val="000000"/>
                <w:sz w:val="20"/>
              </w:rPr>
            </w:pPr>
            <w:r w:rsidRPr="00E53FB9">
              <w:rPr>
                <w:rFonts w:ascii="Calibri" w:eastAsia="Times New Roman" w:hAnsi="Calibri" w:cs="Calibri"/>
                <w:b/>
                <w:bCs/>
                <w:color w:val="000000"/>
                <w:sz w:val="20"/>
              </w:rPr>
              <w:t>Year 3</w:t>
            </w:r>
          </w:p>
          <w:p w14:paraId="175A6BB7" w14:textId="1CFA4B71" w:rsidR="00A90B0D" w:rsidRPr="00E53FB9" w:rsidRDefault="00A90B0D" w:rsidP="00C92CE7">
            <w:pPr>
              <w:spacing w:after="0"/>
              <w:jc w:val="center"/>
              <w:rPr>
                <w:rFonts w:ascii="Calibri" w:eastAsia="Times New Roman" w:hAnsi="Calibri" w:cs="Calibri"/>
                <w:b/>
                <w:bCs/>
                <w:color w:val="000000"/>
                <w:sz w:val="20"/>
                <w:szCs w:val="20"/>
              </w:rPr>
            </w:pPr>
            <w:r w:rsidRPr="00E53FB9">
              <w:rPr>
                <w:rFonts w:ascii="Calibri" w:eastAsia="Times New Roman" w:hAnsi="Calibri" w:cs="Calibri"/>
                <w:b/>
                <w:bCs/>
                <w:color w:val="000000"/>
                <w:sz w:val="20"/>
              </w:rPr>
              <w:t>(Aug 16 – Jul 17)</w:t>
            </w:r>
          </w:p>
        </w:tc>
        <w:tc>
          <w:tcPr>
            <w:tcW w:w="1595" w:type="dxa"/>
            <w:tcBorders>
              <w:top w:val="single" w:sz="4" w:space="0" w:color="auto"/>
              <w:left w:val="nil"/>
              <w:bottom w:val="single" w:sz="4" w:space="0" w:color="auto"/>
              <w:right w:val="single" w:sz="4" w:space="0" w:color="auto"/>
            </w:tcBorders>
            <w:shd w:val="clear" w:color="000000" w:fill="BFBFBF"/>
            <w:vAlign w:val="center"/>
            <w:hideMark/>
          </w:tcPr>
          <w:p w14:paraId="41281B0F" w14:textId="77777777" w:rsidR="00E4195B" w:rsidRPr="00E53FB9" w:rsidRDefault="00E4195B" w:rsidP="00C92CE7">
            <w:pPr>
              <w:spacing w:after="0"/>
              <w:jc w:val="center"/>
              <w:rPr>
                <w:rFonts w:ascii="Calibri" w:eastAsia="Times New Roman" w:hAnsi="Calibri" w:cs="Calibri"/>
                <w:b/>
                <w:bCs/>
                <w:color w:val="000000"/>
                <w:sz w:val="20"/>
              </w:rPr>
            </w:pPr>
            <w:r w:rsidRPr="00E53FB9">
              <w:rPr>
                <w:rFonts w:ascii="Calibri" w:eastAsia="Times New Roman" w:hAnsi="Calibri" w:cs="Calibri"/>
                <w:b/>
                <w:bCs/>
                <w:color w:val="000000"/>
                <w:sz w:val="20"/>
              </w:rPr>
              <w:t>Year 4</w:t>
            </w:r>
          </w:p>
          <w:p w14:paraId="02E307E0" w14:textId="58F8B43B" w:rsidR="00A90B0D" w:rsidRPr="00E53FB9" w:rsidRDefault="00A90B0D" w:rsidP="00C92CE7">
            <w:pPr>
              <w:spacing w:after="0"/>
              <w:jc w:val="center"/>
              <w:rPr>
                <w:rFonts w:ascii="Calibri" w:eastAsia="Times New Roman" w:hAnsi="Calibri" w:cs="Calibri"/>
                <w:b/>
                <w:bCs/>
                <w:color w:val="000000"/>
                <w:sz w:val="20"/>
                <w:szCs w:val="20"/>
              </w:rPr>
            </w:pPr>
            <w:r w:rsidRPr="00E53FB9">
              <w:rPr>
                <w:rFonts w:ascii="Calibri" w:eastAsia="Times New Roman" w:hAnsi="Calibri" w:cs="Calibri"/>
                <w:b/>
                <w:bCs/>
                <w:color w:val="000000"/>
                <w:sz w:val="20"/>
              </w:rPr>
              <w:t>(Aug 17 – Jul 18)</w:t>
            </w:r>
          </w:p>
        </w:tc>
      </w:tr>
      <w:tr w:rsidR="00E4195B" w:rsidRPr="00E53FB9" w14:paraId="39E9E2BA" w14:textId="77777777" w:rsidTr="00C95AEF">
        <w:trPr>
          <w:trHeight w:val="30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FD53A" w14:textId="77777777" w:rsidR="00E4195B" w:rsidRPr="00E53FB9" w:rsidRDefault="00E4195B" w:rsidP="00C92CE7">
            <w:pPr>
              <w:spacing w:after="0"/>
              <w:rPr>
                <w:rFonts w:ascii="Calibri" w:eastAsia="Times New Roman" w:hAnsi="Calibri" w:cs="Calibri"/>
                <w:b/>
                <w:bCs/>
                <w:color w:val="000000"/>
                <w:sz w:val="20"/>
                <w:szCs w:val="20"/>
              </w:rPr>
            </w:pPr>
            <w:r w:rsidRPr="00E53FB9">
              <w:rPr>
                <w:rFonts w:ascii="Calibri" w:eastAsia="Times New Roman" w:hAnsi="Calibri" w:cs="Calibri"/>
                <w:b/>
                <w:bCs/>
                <w:color w:val="000000"/>
                <w:sz w:val="20"/>
                <w:szCs w:val="20"/>
              </w:rPr>
              <w:t>Patients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33FD84" w14:textId="77777777" w:rsidR="00E4195B" w:rsidRPr="00E53FB9" w:rsidRDefault="00E4195B"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Predicted</w:t>
            </w:r>
          </w:p>
        </w:tc>
        <w:tc>
          <w:tcPr>
            <w:tcW w:w="1594" w:type="dxa"/>
            <w:tcBorders>
              <w:top w:val="nil"/>
              <w:left w:val="nil"/>
              <w:bottom w:val="single" w:sz="4" w:space="0" w:color="auto"/>
              <w:right w:val="single" w:sz="4" w:space="0" w:color="auto"/>
            </w:tcBorders>
            <w:shd w:val="clear" w:color="auto" w:fill="auto"/>
            <w:vAlign w:val="center"/>
            <w:hideMark/>
          </w:tcPr>
          <w:p w14:paraId="39919CED" w14:textId="41445C92" w:rsidR="00E4195B" w:rsidRPr="00E53FB9" w:rsidRDefault="002F0EDC" w:rsidP="00C92CE7">
            <w:pPr>
              <w:spacing w:after="0"/>
              <w:jc w:val="right"/>
              <w:rPr>
                <w:rFonts w:ascii="Calibri" w:eastAsia="Times New Roman" w:hAnsi="Calibri" w:cs="Calibri"/>
                <w:color w:val="000000"/>
                <w:sz w:val="20"/>
                <w:szCs w:val="20"/>
              </w:rPr>
            </w:pPr>
            <w:r w:rsidRPr="005F74F4">
              <w:rPr>
                <w:rFonts w:cstheme="minorHAnsi"/>
                <w:sz w:val="20"/>
                <w:szCs w:val="20"/>
                <w:highlight w:val="black"/>
              </w:rPr>
              <w:t>‘’’’’’</w:t>
            </w:r>
          </w:p>
        </w:tc>
        <w:tc>
          <w:tcPr>
            <w:tcW w:w="1595" w:type="dxa"/>
            <w:tcBorders>
              <w:top w:val="nil"/>
              <w:left w:val="nil"/>
              <w:bottom w:val="single" w:sz="4" w:space="0" w:color="auto"/>
              <w:right w:val="single" w:sz="4" w:space="0" w:color="auto"/>
            </w:tcBorders>
            <w:shd w:val="clear" w:color="auto" w:fill="auto"/>
            <w:vAlign w:val="center"/>
            <w:hideMark/>
          </w:tcPr>
          <w:p w14:paraId="223E0020" w14:textId="1156BB71" w:rsidR="00E4195B" w:rsidRPr="00E53FB9" w:rsidRDefault="002F0EDC" w:rsidP="00C92CE7">
            <w:pPr>
              <w:spacing w:after="0"/>
              <w:jc w:val="right"/>
              <w:rPr>
                <w:rFonts w:ascii="Calibri" w:eastAsia="Times New Roman" w:hAnsi="Calibri" w:cs="Calibri"/>
                <w:color w:val="000000"/>
                <w:sz w:val="20"/>
                <w:szCs w:val="20"/>
              </w:rPr>
            </w:pPr>
            <w:r w:rsidRPr="005F74F4">
              <w:rPr>
                <w:rFonts w:cstheme="minorHAnsi"/>
                <w:sz w:val="20"/>
                <w:szCs w:val="20"/>
                <w:highlight w:val="black"/>
              </w:rPr>
              <w:t>‘’’’’’</w:t>
            </w:r>
          </w:p>
        </w:tc>
        <w:tc>
          <w:tcPr>
            <w:tcW w:w="1594" w:type="dxa"/>
            <w:tcBorders>
              <w:top w:val="nil"/>
              <w:left w:val="nil"/>
              <w:bottom w:val="single" w:sz="4" w:space="0" w:color="auto"/>
              <w:right w:val="single" w:sz="4" w:space="0" w:color="auto"/>
            </w:tcBorders>
            <w:shd w:val="clear" w:color="auto" w:fill="auto"/>
            <w:vAlign w:val="center"/>
            <w:hideMark/>
          </w:tcPr>
          <w:p w14:paraId="3F977ECD" w14:textId="6BDDB891" w:rsidR="00E4195B" w:rsidRPr="00E53FB9" w:rsidRDefault="002F0EDC" w:rsidP="00C92CE7">
            <w:pPr>
              <w:spacing w:after="0"/>
              <w:jc w:val="right"/>
              <w:rPr>
                <w:rFonts w:ascii="Calibri" w:eastAsia="Times New Roman" w:hAnsi="Calibri" w:cs="Calibri"/>
                <w:color w:val="000000"/>
                <w:sz w:val="20"/>
                <w:szCs w:val="20"/>
              </w:rPr>
            </w:pPr>
            <w:r w:rsidRPr="005F74F4">
              <w:rPr>
                <w:rFonts w:cstheme="minorHAnsi"/>
                <w:sz w:val="20"/>
                <w:szCs w:val="20"/>
                <w:highlight w:val="black"/>
              </w:rPr>
              <w:t>‘’’’’’</w:t>
            </w:r>
          </w:p>
        </w:tc>
        <w:tc>
          <w:tcPr>
            <w:tcW w:w="1595" w:type="dxa"/>
            <w:tcBorders>
              <w:top w:val="nil"/>
              <w:left w:val="nil"/>
              <w:bottom w:val="single" w:sz="4" w:space="0" w:color="auto"/>
              <w:right w:val="single" w:sz="4" w:space="0" w:color="auto"/>
            </w:tcBorders>
            <w:shd w:val="clear" w:color="auto" w:fill="auto"/>
            <w:vAlign w:val="center"/>
            <w:hideMark/>
          </w:tcPr>
          <w:p w14:paraId="31E85AA3" w14:textId="34730107" w:rsidR="00E4195B" w:rsidRPr="00E53FB9" w:rsidRDefault="002F0EDC" w:rsidP="00C92CE7">
            <w:pPr>
              <w:spacing w:after="0"/>
              <w:jc w:val="right"/>
              <w:rPr>
                <w:rFonts w:ascii="Calibri" w:eastAsia="Times New Roman" w:hAnsi="Calibri" w:cs="Calibri"/>
                <w:color w:val="000000"/>
                <w:sz w:val="20"/>
                <w:szCs w:val="20"/>
              </w:rPr>
            </w:pPr>
            <w:r w:rsidRPr="005F74F4">
              <w:rPr>
                <w:rFonts w:cstheme="minorHAnsi"/>
                <w:sz w:val="20"/>
                <w:szCs w:val="20"/>
                <w:highlight w:val="black"/>
              </w:rPr>
              <w:t>‘’’’’’</w:t>
            </w:r>
          </w:p>
        </w:tc>
      </w:tr>
      <w:tr w:rsidR="0099655F" w:rsidRPr="00E53FB9" w14:paraId="32BDA278" w14:textId="77777777" w:rsidTr="0099655F">
        <w:trPr>
          <w:trHeight w:val="300"/>
        </w:trPr>
        <w:tc>
          <w:tcPr>
            <w:tcW w:w="1433" w:type="dxa"/>
            <w:vMerge/>
            <w:tcBorders>
              <w:top w:val="nil"/>
              <w:left w:val="single" w:sz="4" w:space="0" w:color="auto"/>
              <w:bottom w:val="single" w:sz="4" w:space="0" w:color="auto"/>
              <w:right w:val="single" w:sz="4" w:space="0" w:color="auto"/>
            </w:tcBorders>
            <w:vAlign w:val="center"/>
            <w:hideMark/>
          </w:tcPr>
          <w:p w14:paraId="5CABC64C" w14:textId="77777777" w:rsidR="0099655F" w:rsidRPr="00E53FB9" w:rsidRDefault="0099655F" w:rsidP="00C92CE7">
            <w:pPr>
              <w:spacing w:after="0"/>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4E32B73" w14:textId="77777777" w:rsidR="0099655F" w:rsidRPr="00E53FB9" w:rsidRDefault="0099655F"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Actual</w:t>
            </w:r>
          </w:p>
        </w:tc>
        <w:tc>
          <w:tcPr>
            <w:tcW w:w="1594" w:type="dxa"/>
            <w:tcBorders>
              <w:top w:val="nil"/>
              <w:left w:val="nil"/>
              <w:bottom w:val="single" w:sz="4" w:space="0" w:color="auto"/>
              <w:right w:val="single" w:sz="4" w:space="0" w:color="auto"/>
            </w:tcBorders>
            <w:shd w:val="clear" w:color="auto" w:fill="auto"/>
            <w:noWrap/>
            <w:vAlign w:val="bottom"/>
            <w:hideMark/>
          </w:tcPr>
          <w:p w14:paraId="5A06AC73" w14:textId="77777777" w:rsidR="0099655F" w:rsidRPr="00E53FB9" w:rsidRDefault="0099655F"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456</w:t>
            </w:r>
          </w:p>
        </w:tc>
        <w:tc>
          <w:tcPr>
            <w:tcW w:w="1595" w:type="dxa"/>
            <w:tcBorders>
              <w:top w:val="nil"/>
              <w:left w:val="nil"/>
              <w:bottom w:val="single" w:sz="4" w:space="0" w:color="auto"/>
              <w:right w:val="single" w:sz="4" w:space="0" w:color="auto"/>
            </w:tcBorders>
            <w:shd w:val="clear" w:color="auto" w:fill="auto"/>
            <w:noWrap/>
            <w:vAlign w:val="center"/>
            <w:hideMark/>
          </w:tcPr>
          <w:p w14:paraId="4D12912B" w14:textId="78E1E994" w:rsidR="0099655F" w:rsidRPr="00E53FB9" w:rsidRDefault="0099655F" w:rsidP="00C92CE7">
            <w:pPr>
              <w:spacing w:after="0"/>
              <w:jc w:val="right"/>
              <w:rPr>
                <w:rFonts w:ascii="Calibri" w:eastAsia="Times New Roman" w:hAnsi="Calibri" w:cs="Calibri"/>
                <w:color w:val="000000"/>
                <w:sz w:val="20"/>
                <w:szCs w:val="20"/>
              </w:rPr>
            </w:pPr>
            <w:r>
              <w:rPr>
                <w:color w:val="000000"/>
                <w:sz w:val="20"/>
                <w:szCs w:val="20"/>
              </w:rPr>
              <w:t>414</w:t>
            </w:r>
          </w:p>
        </w:tc>
        <w:tc>
          <w:tcPr>
            <w:tcW w:w="1594" w:type="dxa"/>
            <w:tcBorders>
              <w:top w:val="nil"/>
              <w:left w:val="nil"/>
              <w:bottom w:val="single" w:sz="4" w:space="0" w:color="auto"/>
              <w:right w:val="single" w:sz="4" w:space="0" w:color="auto"/>
            </w:tcBorders>
            <w:shd w:val="clear" w:color="auto" w:fill="auto"/>
            <w:noWrap/>
            <w:vAlign w:val="center"/>
            <w:hideMark/>
          </w:tcPr>
          <w:p w14:paraId="5C57ECD8" w14:textId="06DBED26" w:rsidR="0099655F" w:rsidRPr="00E53FB9" w:rsidRDefault="0099655F" w:rsidP="00C92CE7">
            <w:pPr>
              <w:spacing w:after="0"/>
              <w:jc w:val="right"/>
              <w:rPr>
                <w:rFonts w:ascii="Calibri" w:eastAsia="Times New Roman" w:hAnsi="Calibri" w:cs="Calibri"/>
                <w:color w:val="000000"/>
                <w:sz w:val="20"/>
                <w:szCs w:val="20"/>
              </w:rPr>
            </w:pPr>
            <w:r>
              <w:rPr>
                <w:color w:val="000000"/>
                <w:sz w:val="20"/>
                <w:szCs w:val="20"/>
              </w:rPr>
              <w:t>465</w:t>
            </w:r>
          </w:p>
        </w:tc>
        <w:tc>
          <w:tcPr>
            <w:tcW w:w="1595" w:type="dxa"/>
            <w:tcBorders>
              <w:top w:val="nil"/>
              <w:left w:val="nil"/>
              <w:bottom w:val="single" w:sz="4" w:space="0" w:color="auto"/>
              <w:right w:val="single" w:sz="4" w:space="0" w:color="auto"/>
            </w:tcBorders>
            <w:shd w:val="clear" w:color="auto" w:fill="auto"/>
            <w:noWrap/>
            <w:vAlign w:val="center"/>
            <w:hideMark/>
          </w:tcPr>
          <w:p w14:paraId="34260C96" w14:textId="488A90A5" w:rsidR="0099655F" w:rsidRPr="00E53FB9" w:rsidRDefault="0099655F" w:rsidP="00C92CE7">
            <w:pPr>
              <w:spacing w:after="0"/>
              <w:jc w:val="right"/>
              <w:rPr>
                <w:rFonts w:ascii="Calibri" w:eastAsia="Times New Roman" w:hAnsi="Calibri" w:cs="Calibri"/>
                <w:color w:val="000000"/>
                <w:sz w:val="20"/>
                <w:szCs w:val="20"/>
              </w:rPr>
            </w:pPr>
            <w:r>
              <w:rPr>
                <w:color w:val="000000"/>
                <w:sz w:val="20"/>
                <w:szCs w:val="20"/>
              </w:rPr>
              <w:t>430</w:t>
            </w:r>
          </w:p>
        </w:tc>
      </w:tr>
      <w:tr w:rsidR="0099655F" w:rsidRPr="00E53FB9" w14:paraId="1615E89B" w14:textId="77777777" w:rsidTr="007D2D13">
        <w:trPr>
          <w:trHeight w:val="426"/>
        </w:trPr>
        <w:tc>
          <w:tcPr>
            <w:tcW w:w="1433" w:type="dxa"/>
            <w:vMerge/>
            <w:tcBorders>
              <w:top w:val="nil"/>
              <w:left w:val="single" w:sz="4" w:space="0" w:color="auto"/>
              <w:bottom w:val="single" w:sz="4" w:space="0" w:color="auto"/>
              <w:right w:val="single" w:sz="4" w:space="0" w:color="auto"/>
            </w:tcBorders>
            <w:vAlign w:val="center"/>
            <w:hideMark/>
          </w:tcPr>
          <w:p w14:paraId="300EB67A" w14:textId="77777777" w:rsidR="0099655F" w:rsidRPr="00E53FB9" w:rsidRDefault="0099655F" w:rsidP="00C92CE7">
            <w:pPr>
              <w:spacing w:after="0"/>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3F7B3AD7" w14:textId="77777777" w:rsidR="0099655F" w:rsidRPr="00E53FB9" w:rsidRDefault="0099655F"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 Difference (A-P)/P</w:t>
            </w:r>
          </w:p>
        </w:tc>
        <w:tc>
          <w:tcPr>
            <w:tcW w:w="1594" w:type="dxa"/>
            <w:tcBorders>
              <w:top w:val="nil"/>
              <w:left w:val="nil"/>
              <w:bottom w:val="single" w:sz="4" w:space="0" w:color="auto"/>
              <w:right w:val="single" w:sz="4" w:space="0" w:color="auto"/>
            </w:tcBorders>
            <w:shd w:val="clear" w:color="auto" w:fill="auto"/>
            <w:vAlign w:val="center"/>
            <w:hideMark/>
          </w:tcPr>
          <w:p w14:paraId="758D1FBF" w14:textId="5516A497" w:rsidR="002F0EDC" w:rsidRPr="002F0EDC" w:rsidRDefault="002F0EDC" w:rsidP="00C92CE7">
            <w:pPr>
              <w:spacing w:after="0"/>
              <w:jc w:val="right"/>
              <w:rPr>
                <w:rFonts w:ascii="Calibri" w:eastAsia="Times New Roman" w:hAnsi="Calibri" w:cs="Calibri"/>
                <w:color w:val="000000"/>
                <w:sz w:val="20"/>
                <w:szCs w:val="20"/>
                <w:highlight w:val="black"/>
              </w:rPr>
            </w:pPr>
            <w:r w:rsidRPr="002F0EDC">
              <w:rPr>
                <w:rFonts w:ascii="Calibri" w:eastAsia="Times New Roman" w:hAnsi="Calibri" w:cs="Calibri"/>
                <w:color w:val="000000"/>
                <w:sz w:val="20"/>
                <w:szCs w:val="20"/>
                <w:highlight w:val="black"/>
              </w:rPr>
              <w:t>‘’’’’’’’</w:t>
            </w:r>
          </w:p>
        </w:tc>
        <w:tc>
          <w:tcPr>
            <w:tcW w:w="1595" w:type="dxa"/>
            <w:tcBorders>
              <w:top w:val="nil"/>
              <w:left w:val="nil"/>
              <w:bottom w:val="single" w:sz="4" w:space="0" w:color="auto"/>
              <w:right w:val="single" w:sz="4" w:space="0" w:color="auto"/>
            </w:tcBorders>
            <w:shd w:val="clear" w:color="auto" w:fill="auto"/>
            <w:vAlign w:val="center"/>
            <w:hideMark/>
          </w:tcPr>
          <w:p w14:paraId="4207D3D4" w14:textId="16942887" w:rsidR="0099655F" w:rsidRPr="002F0EDC" w:rsidRDefault="002F0EDC" w:rsidP="00C92CE7">
            <w:pPr>
              <w:spacing w:after="0"/>
              <w:jc w:val="right"/>
              <w:rPr>
                <w:rFonts w:ascii="Calibri" w:eastAsia="Times New Roman" w:hAnsi="Calibri" w:cs="Calibri"/>
                <w:color w:val="000000"/>
                <w:sz w:val="20"/>
                <w:szCs w:val="20"/>
                <w:highlight w:val="black"/>
              </w:rPr>
            </w:pPr>
            <w:r w:rsidRPr="002F0EDC">
              <w:rPr>
                <w:rFonts w:ascii="Calibri" w:eastAsia="Times New Roman" w:hAnsi="Calibri" w:cs="Calibri"/>
                <w:color w:val="000000"/>
                <w:sz w:val="20"/>
                <w:szCs w:val="20"/>
                <w:highlight w:val="black"/>
              </w:rPr>
              <w:t>‘’’’’’</w:t>
            </w:r>
          </w:p>
        </w:tc>
        <w:tc>
          <w:tcPr>
            <w:tcW w:w="1594" w:type="dxa"/>
            <w:tcBorders>
              <w:top w:val="nil"/>
              <w:left w:val="nil"/>
              <w:bottom w:val="single" w:sz="4" w:space="0" w:color="auto"/>
              <w:right w:val="single" w:sz="4" w:space="0" w:color="auto"/>
            </w:tcBorders>
            <w:shd w:val="clear" w:color="auto" w:fill="auto"/>
            <w:vAlign w:val="center"/>
            <w:hideMark/>
          </w:tcPr>
          <w:p w14:paraId="41564601" w14:textId="43B22BFF" w:rsidR="0099655F" w:rsidRPr="002F0EDC" w:rsidRDefault="002F0EDC" w:rsidP="00C92CE7">
            <w:pPr>
              <w:spacing w:after="0"/>
              <w:jc w:val="right"/>
              <w:rPr>
                <w:rFonts w:ascii="Calibri" w:eastAsia="Times New Roman" w:hAnsi="Calibri" w:cs="Calibri"/>
                <w:color w:val="000000"/>
                <w:sz w:val="20"/>
                <w:szCs w:val="20"/>
                <w:highlight w:val="black"/>
              </w:rPr>
            </w:pPr>
            <w:r w:rsidRPr="002F0EDC">
              <w:rPr>
                <w:rFonts w:ascii="Calibri" w:eastAsia="Times New Roman" w:hAnsi="Calibri" w:cs="Calibri"/>
                <w:color w:val="000000"/>
                <w:sz w:val="20"/>
                <w:szCs w:val="20"/>
                <w:highlight w:val="black"/>
              </w:rPr>
              <w:t>‘’’’’’’</w:t>
            </w:r>
          </w:p>
        </w:tc>
        <w:tc>
          <w:tcPr>
            <w:tcW w:w="1595" w:type="dxa"/>
            <w:tcBorders>
              <w:top w:val="nil"/>
              <w:left w:val="nil"/>
              <w:bottom w:val="single" w:sz="4" w:space="0" w:color="auto"/>
              <w:right w:val="single" w:sz="4" w:space="0" w:color="auto"/>
            </w:tcBorders>
            <w:shd w:val="clear" w:color="auto" w:fill="auto"/>
            <w:vAlign w:val="center"/>
            <w:hideMark/>
          </w:tcPr>
          <w:p w14:paraId="25C873F9" w14:textId="76A26CAD" w:rsidR="0099655F" w:rsidRPr="002F0EDC" w:rsidRDefault="002F0EDC" w:rsidP="00C92CE7">
            <w:pPr>
              <w:spacing w:after="0"/>
              <w:jc w:val="right"/>
              <w:rPr>
                <w:rFonts w:ascii="Calibri" w:eastAsia="Times New Roman" w:hAnsi="Calibri" w:cs="Calibri"/>
                <w:color w:val="000000"/>
                <w:sz w:val="20"/>
                <w:szCs w:val="20"/>
                <w:highlight w:val="black"/>
              </w:rPr>
            </w:pPr>
            <w:r w:rsidRPr="002F0EDC">
              <w:rPr>
                <w:rFonts w:ascii="Calibri" w:eastAsia="Times New Roman" w:hAnsi="Calibri" w:cs="Calibri"/>
                <w:color w:val="000000"/>
                <w:sz w:val="20"/>
                <w:szCs w:val="20"/>
                <w:highlight w:val="black"/>
              </w:rPr>
              <w:t>‘’’’’’</w:t>
            </w:r>
          </w:p>
        </w:tc>
      </w:tr>
      <w:tr w:rsidR="002F0EDC" w:rsidRPr="00E53FB9" w14:paraId="3E1911A3" w14:textId="77777777" w:rsidTr="007D2D13">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14:paraId="61895148" w14:textId="77777777" w:rsidR="002F0EDC" w:rsidRPr="00E53FB9" w:rsidRDefault="002F0EDC" w:rsidP="00C92CE7">
            <w:pPr>
              <w:spacing w:after="0"/>
              <w:rPr>
                <w:rFonts w:ascii="Calibri" w:eastAsia="Times New Roman" w:hAnsi="Calibri" w:cs="Calibri"/>
                <w:b/>
                <w:bCs/>
                <w:color w:val="000000"/>
                <w:sz w:val="20"/>
                <w:szCs w:val="20"/>
              </w:rPr>
            </w:pPr>
            <w:r w:rsidRPr="00E53FB9">
              <w:rPr>
                <w:rFonts w:ascii="Calibri" w:eastAsia="Times New Roman" w:hAnsi="Calibri" w:cs="Calibri"/>
                <w:b/>
                <w:bCs/>
                <w:color w:val="000000"/>
                <w:sz w:val="20"/>
                <w:szCs w:val="20"/>
              </w:rPr>
              <w:t>Prescriptions</w:t>
            </w:r>
          </w:p>
        </w:tc>
        <w:tc>
          <w:tcPr>
            <w:tcW w:w="1276" w:type="dxa"/>
            <w:tcBorders>
              <w:top w:val="nil"/>
              <w:left w:val="nil"/>
              <w:bottom w:val="single" w:sz="4" w:space="0" w:color="auto"/>
              <w:right w:val="single" w:sz="4" w:space="0" w:color="auto"/>
            </w:tcBorders>
            <w:shd w:val="clear" w:color="auto" w:fill="auto"/>
            <w:vAlign w:val="center"/>
            <w:hideMark/>
          </w:tcPr>
          <w:p w14:paraId="6C00223A" w14:textId="77777777" w:rsidR="002F0EDC" w:rsidRPr="00E53FB9" w:rsidRDefault="002F0EDC"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Predicted</w:t>
            </w:r>
          </w:p>
        </w:tc>
        <w:tc>
          <w:tcPr>
            <w:tcW w:w="1594" w:type="dxa"/>
            <w:tcBorders>
              <w:top w:val="nil"/>
              <w:left w:val="nil"/>
              <w:bottom w:val="single" w:sz="4" w:space="0" w:color="auto"/>
              <w:right w:val="single" w:sz="4" w:space="0" w:color="auto"/>
            </w:tcBorders>
            <w:shd w:val="clear" w:color="auto" w:fill="auto"/>
            <w:vAlign w:val="center"/>
            <w:hideMark/>
          </w:tcPr>
          <w:p w14:paraId="5C2DFA90" w14:textId="7BDA8B9E" w:rsidR="002F0EDC" w:rsidRPr="00E53FB9" w:rsidRDefault="002F0EDC" w:rsidP="00C92CE7">
            <w:pPr>
              <w:spacing w:after="0"/>
              <w:jc w:val="right"/>
              <w:rPr>
                <w:rFonts w:ascii="Calibri" w:eastAsia="Times New Roman" w:hAnsi="Calibri" w:cs="Calibri"/>
                <w:color w:val="000000"/>
                <w:sz w:val="20"/>
                <w:szCs w:val="20"/>
              </w:rPr>
            </w:pPr>
            <w:r w:rsidRPr="005F74F4">
              <w:rPr>
                <w:rFonts w:cstheme="minorHAnsi"/>
                <w:sz w:val="20"/>
                <w:szCs w:val="20"/>
                <w:highlight w:val="black"/>
              </w:rPr>
              <w:t>‘’’’’’’’’</w:t>
            </w:r>
          </w:p>
        </w:tc>
        <w:tc>
          <w:tcPr>
            <w:tcW w:w="1595" w:type="dxa"/>
            <w:tcBorders>
              <w:top w:val="nil"/>
              <w:left w:val="nil"/>
              <w:bottom w:val="single" w:sz="4" w:space="0" w:color="auto"/>
              <w:right w:val="single" w:sz="4" w:space="0" w:color="auto"/>
            </w:tcBorders>
            <w:shd w:val="clear" w:color="auto" w:fill="auto"/>
            <w:vAlign w:val="center"/>
            <w:hideMark/>
          </w:tcPr>
          <w:p w14:paraId="6AF24AF0" w14:textId="64F88CB1" w:rsidR="002F0EDC" w:rsidRPr="00E53FB9" w:rsidRDefault="002F0EDC" w:rsidP="00C92CE7">
            <w:pPr>
              <w:spacing w:after="0"/>
              <w:jc w:val="right"/>
              <w:rPr>
                <w:rFonts w:ascii="Calibri" w:eastAsia="Times New Roman" w:hAnsi="Calibri" w:cs="Calibri"/>
                <w:color w:val="000000"/>
                <w:sz w:val="20"/>
                <w:szCs w:val="20"/>
              </w:rPr>
            </w:pPr>
            <w:r w:rsidRPr="005F74F4">
              <w:rPr>
                <w:rFonts w:cstheme="minorHAnsi"/>
                <w:sz w:val="20"/>
                <w:szCs w:val="20"/>
                <w:highlight w:val="black"/>
              </w:rPr>
              <w:t>‘’’’’’’’’</w:t>
            </w:r>
          </w:p>
        </w:tc>
        <w:tc>
          <w:tcPr>
            <w:tcW w:w="1594" w:type="dxa"/>
            <w:tcBorders>
              <w:top w:val="nil"/>
              <w:left w:val="nil"/>
              <w:bottom w:val="single" w:sz="4" w:space="0" w:color="auto"/>
              <w:right w:val="single" w:sz="4" w:space="0" w:color="auto"/>
            </w:tcBorders>
            <w:shd w:val="clear" w:color="auto" w:fill="auto"/>
            <w:vAlign w:val="center"/>
            <w:hideMark/>
          </w:tcPr>
          <w:p w14:paraId="6C31D737" w14:textId="6BE49640" w:rsidR="002F0EDC" w:rsidRPr="00E53FB9" w:rsidRDefault="002F0EDC" w:rsidP="00C92CE7">
            <w:pPr>
              <w:spacing w:after="0"/>
              <w:jc w:val="right"/>
              <w:rPr>
                <w:rFonts w:ascii="Calibri" w:eastAsia="Times New Roman" w:hAnsi="Calibri" w:cs="Calibri"/>
                <w:color w:val="000000"/>
                <w:sz w:val="20"/>
                <w:szCs w:val="20"/>
              </w:rPr>
            </w:pPr>
            <w:r w:rsidRPr="005F74F4">
              <w:rPr>
                <w:rFonts w:cstheme="minorHAnsi"/>
                <w:sz w:val="20"/>
                <w:szCs w:val="20"/>
                <w:highlight w:val="black"/>
              </w:rPr>
              <w:t>‘’’’’’’’’</w:t>
            </w:r>
          </w:p>
        </w:tc>
        <w:tc>
          <w:tcPr>
            <w:tcW w:w="1595" w:type="dxa"/>
            <w:tcBorders>
              <w:top w:val="nil"/>
              <w:left w:val="nil"/>
              <w:bottom w:val="single" w:sz="4" w:space="0" w:color="auto"/>
              <w:right w:val="single" w:sz="4" w:space="0" w:color="auto"/>
            </w:tcBorders>
            <w:shd w:val="clear" w:color="auto" w:fill="auto"/>
            <w:vAlign w:val="center"/>
            <w:hideMark/>
          </w:tcPr>
          <w:p w14:paraId="4F1A46C0" w14:textId="4A00102A" w:rsidR="002F0EDC" w:rsidRPr="00E53FB9" w:rsidRDefault="002F0EDC" w:rsidP="00C92CE7">
            <w:pPr>
              <w:spacing w:after="0"/>
              <w:jc w:val="right"/>
              <w:rPr>
                <w:rFonts w:ascii="Calibri" w:eastAsia="Times New Roman" w:hAnsi="Calibri" w:cs="Calibri"/>
                <w:color w:val="000000"/>
                <w:sz w:val="20"/>
                <w:szCs w:val="20"/>
              </w:rPr>
            </w:pPr>
            <w:r w:rsidRPr="005F74F4">
              <w:rPr>
                <w:rFonts w:cstheme="minorHAnsi"/>
                <w:sz w:val="20"/>
                <w:szCs w:val="20"/>
                <w:highlight w:val="black"/>
              </w:rPr>
              <w:t>‘’’’’’’’’</w:t>
            </w:r>
          </w:p>
        </w:tc>
      </w:tr>
      <w:tr w:rsidR="002F0EDC" w:rsidRPr="00E53FB9" w14:paraId="7CFE5DA3" w14:textId="77777777" w:rsidTr="007D2D13">
        <w:trPr>
          <w:trHeight w:val="300"/>
        </w:trPr>
        <w:tc>
          <w:tcPr>
            <w:tcW w:w="1433" w:type="dxa"/>
            <w:vMerge/>
            <w:tcBorders>
              <w:top w:val="nil"/>
              <w:left w:val="single" w:sz="4" w:space="0" w:color="auto"/>
              <w:bottom w:val="single" w:sz="4" w:space="0" w:color="auto"/>
              <w:right w:val="single" w:sz="4" w:space="0" w:color="auto"/>
            </w:tcBorders>
            <w:vAlign w:val="center"/>
            <w:hideMark/>
          </w:tcPr>
          <w:p w14:paraId="62C6648B" w14:textId="77777777" w:rsidR="002F0EDC" w:rsidRPr="00E53FB9" w:rsidRDefault="002F0EDC" w:rsidP="00C92CE7">
            <w:pPr>
              <w:spacing w:after="0"/>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00C0987" w14:textId="77777777" w:rsidR="002F0EDC" w:rsidRPr="00E53FB9" w:rsidRDefault="002F0EDC"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Actual</w:t>
            </w:r>
          </w:p>
        </w:tc>
        <w:tc>
          <w:tcPr>
            <w:tcW w:w="1594" w:type="dxa"/>
            <w:tcBorders>
              <w:top w:val="nil"/>
              <w:left w:val="nil"/>
              <w:bottom w:val="single" w:sz="4" w:space="0" w:color="auto"/>
              <w:right w:val="single" w:sz="4" w:space="0" w:color="auto"/>
            </w:tcBorders>
            <w:shd w:val="clear" w:color="auto" w:fill="auto"/>
            <w:noWrap/>
            <w:vAlign w:val="bottom"/>
            <w:hideMark/>
          </w:tcPr>
          <w:p w14:paraId="18D66280" w14:textId="29C0D46A" w:rsidR="002F0EDC" w:rsidRPr="00E53FB9" w:rsidRDefault="002F0EDC"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2,872</w:t>
            </w:r>
          </w:p>
        </w:tc>
        <w:tc>
          <w:tcPr>
            <w:tcW w:w="1595" w:type="dxa"/>
            <w:tcBorders>
              <w:top w:val="nil"/>
              <w:left w:val="nil"/>
              <w:bottom w:val="single" w:sz="4" w:space="0" w:color="auto"/>
              <w:right w:val="single" w:sz="4" w:space="0" w:color="auto"/>
            </w:tcBorders>
            <w:shd w:val="clear" w:color="auto" w:fill="auto"/>
            <w:noWrap/>
            <w:vAlign w:val="bottom"/>
            <w:hideMark/>
          </w:tcPr>
          <w:p w14:paraId="738D95E6" w14:textId="65A1B3FB" w:rsidR="002F0EDC" w:rsidRPr="00E53FB9" w:rsidRDefault="002F0EDC"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4,690</w:t>
            </w:r>
          </w:p>
        </w:tc>
        <w:tc>
          <w:tcPr>
            <w:tcW w:w="1594" w:type="dxa"/>
            <w:tcBorders>
              <w:top w:val="nil"/>
              <w:left w:val="nil"/>
              <w:bottom w:val="single" w:sz="4" w:space="0" w:color="auto"/>
              <w:right w:val="single" w:sz="4" w:space="0" w:color="auto"/>
            </w:tcBorders>
            <w:shd w:val="clear" w:color="auto" w:fill="auto"/>
            <w:noWrap/>
            <w:vAlign w:val="bottom"/>
            <w:hideMark/>
          </w:tcPr>
          <w:p w14:paraId="19BC8AC0" w14:textId="07829D59" w:rsidR="002F0EDC" w:rsidRPr="00E53FB9" w:rsidRDefault="002F0EDC"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5,091</w:t>
            </w:r>
          </w:p>
        </w:tc>
        <w:tc>
          <w:tcPr>
            <w:tcW w:w="1595" w:type="dxa"/>
            <w:tcBorders>
              <w:top w:val="nil"/>
              <w:left w:val="nil"/>
              <w:bottom w:val="single" w:sz="4" w:space="0" w:color="auto"/>
              <w:right w:val="single" w:sz="4" w:space="0" w:color="auto"/>
            </w:tcBorders>
            <w:shd w:val="clear" w:color="auto" w:fill="auto"/>
            <w:noWrap/>
            <w:vAlign w:val="bottom"/>
            <w:hideMark/>
          </w:tcPr>
          <w:p w14:paraId="71239454" w14:textId="38DB07CB" w:rsidR="002F0EDC" w:rsidRPr="00E53FB9" w:rsidRDefault="002F0EDC"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4,897</w:t>
            </w:r>
          </w:p>
        </w:tc>
      </w:tr>
      <w:tr w:rsidR="002F0EDC" w:rsidRPr="00E53FB9" w14:paraId="24960169" w14:textId="77777777" w:rsidTr="007D2D13">
        <w:trPr>
          <w:trHeight w:val="516"/>
        </w:trPr>
        <w:tc>
          <w:tcPr>
            <w:tcW w:w="1433" w:type="dxa"/>
            <w:vMerge/>
            <w:tcBorders>
              <w:top w:val="nil"/>
              <w:left w:val="single" w:sz="4" w:space="0" w:color="auto"/>
              <w:bottom w:val="single" w:sz="4" w:space="0" w:color="auto"/>
              <w:right w:val="single" w:sz="4" w:space="0" w:color="auto"/>
            </w:tcBorders>
            <w:vAlign w:val="center"/>
            <w:hideMark/>
          </w:tcPr>
          <w:p w14:paraId="455B3179" w14:textId="77777777" w:rsidR="002F0EDC" w:rsidRPr="00E53FB9" w:rsidRDefault="002F0EDC" w:rsidP="00C92CE7">
            <w:pPr>
              <w:spacing w:after="0"/>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85C127" w14:textId="77777777" w:rsidR="002F0EDC" w:rsidRPr="00E53FB9" w:rsidRDefault="002F0EDC"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 Difference (A-P)/P</w:t>
            </w:r>
          </w:p>
        </w:tc>
        <w:tc>
          <w:tcPr>
            <w:tcW w:w="1594" w:type="dxa"/>
            <w:tcBorders>
              <w:top w:val="nil"/>
              <w:left w:val="nil"/>
              <w:bottom w:val="single" w:sz="4" w:space="0" w:color="auto"/>
              <w:right w:val="single" w:sz="4" w:space="0" w:color="auto"/>
            </w:tcBorders>
            <w:shd w:val="clear" w:color="auto" w:fill="auto"/>
            <w:vAlign w:val="center"/>
            <w:hideMark/>
          </w:tcPr>
          <w:p w14:paraId="644FD8F8" w14:textId="44BE414D" w:rsidR="002F0EDC" w:rsidRPr="00E53FB9" w:rsidRDefault="002F0EDC" w:rsidP="00C92CE7">
            <w:pPr>
              <w:spacing w:after="0"/>
              <w:jc w:val="right"/>
              <w:rPr>
                <w:rFonts w:ascii="Calibri" w:eastAsia="Times New Roman" w:hAnsi="Calibri" w:cs="Calibri"/>
                <w:color w:val="000000"/>
                <w:sz w:val="20"/>
                <w:szCs w:val="20"/>
              </w:rPr>
            </w:pPr>
            <w:r w:rsidRPr="002F0EDC">
              <w:rPr>
                <w:rFonts w:ascii="Calibri" w:eastAsia="Times New Roman" w:hAnsi="Calibri" w:cs="Calibri"/>
                <w:color w:val="000000"/>
                <w:sz w:val="20"/>
                <w:szCs w:val="20"/>
                <w:highlight w:val="black"/>
              </w:rPr>
              <w:t>‘’’’’’’’</w:t>
            </w:r>
          </w:p>
        </w:tc>
        <w:tc>
          <w:tcPr>
            <w:tcW w:w="1595" w:type="dxa"/>
            <w:tcBorders>
              <w:top w:val="nil"/>
              <w:left w:val="nil"/>
              <w:bottom w:val="single" w:sz="4" w:space="0" w:color="auto"/>
              <w:right w:val="single" w:sz="4" w:space="0" w:color="auto"/>
            </w:tcBorders>
            <w:shd w:val="clear" w:color="auto" w:fill="auto"/>
            <w:vAlign w:val="center"/>
            <w:hideMark/>
          </w:tcPr>
          <w:p w14:paraId="6643A032" w14:textId="2247AC23" w:rsidR="002F0EDC" w:rsidRPr="002F0EDC" w:rsidRDefault="002F0EDC" w:rsidP="00C92CE7">
            <w:pPr>
              <w:spacing w:after="0"/>
              <w:jc w:val="right"/>
              <w:rPr>
                <w:rFonts w:ascii="Calibri" w:eastAsia="Times New Roman" w:hAnsi="Calibri" w:cs="Calibri"/>
                <w:color w:val="000000"/>
                <w:sz w:val="20"/>
                <w:szCs w:val="20"/>
                <w:highlight w:val="black"/>
              </w:rPr>
            </w:pPr>
            <w:r w:rsidRPr="002F0EDC">
              <w:rPr>
                <w:rFonts w:ascii="Calibri" w:eastAsia="Times New Roman" w:hAnsi="Calibri" w:cs="Calibri"/>
                <w:color w:val="000000"/>
                <w:sz w:val="20"/>
                <w:szCs w:val="20"/>
                <w:highlight w:val="black"/>
              </w:rPr>
              <w:t>‘’’’’’’’</w:t>
            </w:r>
          </w:p>
        </w:tc>
        <w:tc>
          <w:tcPr>
            <w:tcW w:w="1594" w:type="dxa"/>
            <w:tcBorders>
              <w:top w:val="nil"/>
              <w:left w:val="nil"/>
              <w:bottom w:val="single" w:sz="4" w:space="0" w:color="auto"/>
              <w:right w:val="single" w:sz="4" w:space="0" w:color="auto"/>
            </w:tcBorders>
            <w:shd w:val="clear" w:color="auto" w:fill="auto"/>
            <w:vAlign w:val="center"/>
            <w:hideMark/>
          </w:tcPr>
          <w:p w14:paraId="4B6592E7" w14:textId="7EB7AB26" w:rsidR="002F0EDC" w:rsidRPr="002F0EDC" w:rsidRDefault="002F0EDC" w:rsidP="00C92CE7">
            <w:pPr>
              <w:spacing w:after="0"/>
              <w:jc w:val="right"/>
              <w:rPr>
                <w:rFonts w:ascii="Calibri" w:eastAsia="Times New Roman" w:hAnsi="Calibri" w:cs="Calibri"/>
                <w:color w:val="000000"/>
                <w:sz w:val="20"/>
                <w:szCs w:val="20"/>
                <w:highlight w:val="black"/>
              </w:rPr>
            </w:pPr>
            <w:r w:rsidRPr="002F0EDC">
              <w:rPr>
                <w:rFonts w:ascii="Calibri" w:eastAsia="Times New Roman" w:hAnsi="Calibri" w:cs="Calibri"/>
                <w:color w:val="000000"/>
                <w:sz w:val="20"/>
                <w:szCs w:val="20"/>
                <w:highlight w:val="black"/>
              </w:rPr>
              <w:t>‘’’’’’’’</w:t>
            </w:r>
          </w:p>
        </w:tc>
        <w:tc>
          <w:tcPr>
            <w:tcW w:w="1595" w:type="dxa"/>
            <w:tcBorders>
              <w:top w:val="nil"/>
              <w:left w:val="nil"/>
              <w:bottom w:val="single" w:sz="4" w:space="0" w:color="auto"/>
              <w:right w:val="single" w:sz="4" w:space="0" w:color="auto"/>
            </w:tcBorders>
            <w:shd w:val="clear" w:color="auto" w:fill="auto"/>
            <w:vAlign w:val="center"/>
            <w:hideMark/>
          </w:tcPr>
          <w:p w14:paraId="12C1819C" w14:textId="69CC6D34" w:rsidR="002F0EDC" w:rsidRPr="002F0EDC" w:rsidRDefault="002F0EDC" w:rsidP="00C92CE7">
            <w:pPr>
              <w:spacing w:after="0"/>
              <w:jc w:val="right"/>
              <w:rPr>
                <w:rFonts w:ascii="Calibri" w:eastAsia="Times New Roman" w:hAnsi="Calibri" w:cs="Calibri"/>
                <w:color w:val="000000"/>
                <w:sz w:val="20"/>
                <w:szCs w:val="20"/>
                <w:highlight w:val="black"/>
              </w:rPr>
            </w:pPr>
            <w:r w:rsidRPr="002F0EDC">
              <w:rPr>
                <w:rFonts w:ascii="Calibri" w:eastAsia="Times New Roman" w:hAnsi="Calibri" w:cs="Calibri"/>
                <w:color w:val="000000"/>
                <w:sz w:val="20"/>
                <w:szCs w:val="20"/>
                <w:highlight w:val="black"/>
              </w:rPr>
              <w:t>‘’’’’’’’</w:t>
            </w:r>
          </w:p>
        </w:tc>
      </w:tr>
    </w:tbl>
    <w:p w14:paraId="10B66EA8" w14:textId="259545F9" w:rsidR="00542DF3" w:rsidRPr="00E53FB9" w:rsidRDefault="00542DF3" w:rsidP="00C92CE7">
      <w:pPr>
        <w:rPr>
          <w:sz w:val="20"/>
          <w:szCs w:val="20"/>
        </w:rPr>
      </w:pPr>
      <w:r w:rsidRPr="00E53FB9">
        <w:rPr>
          <w:sz w:val="20"/>
          <w:szCs w:val="20"/>
        </w:rPr>
        <w:t xml:space="preserve">Source: Predicted: </w:t>
      </w:r>
      <w:r w:rsidR="005E58A3" w:rsidRPr="00E53FB9">
        <w:rPr>
          <w:sz w:val="20"/>
          <w:szCs w:val="20"/>
        </w:rPr>
        <w:t xml:space="preserve">Final agreed estimates, </w:t>
      </w:r>
      <w:r w:rsidR="00DD08A7" w:rsidRPr="00E53FB9">
        <w:rPr>
          <w:sz w:val="20"/>
          <w:szCs w:val="20"/>
        </w:rPr>
        <w:t xml:space="preserve">(Listing years estimated from </w:t>
      </w:r>
      <w:r w:rsidR="00892C32" w:rsidRPr="00E53FB9">
        <w:rPr>
          <w:sz w:val="20"/>
          <w:szCs w:val="20"/>
        </w:rPr>
        <w:t xml:space="preserve">July to </w:t>
      </w:r>
      <w:r w:rsidR="00DD08A7" w:rsidRPr="00E53FB9">
        <w:rPr>
          <w:sz w:val="20"/>
          <w:szCs w:val="20"/>
        </w:rPr>
        <w:t>J</w:t>
      </w:r>
      <w:r w:rsidR="00892C32" w:rsidRPr="00E53FB9">
        <w:rPr>
          <w:sz w:val="20"/>
          <w:szCs w:val="20"/>
        </w:rPr>
        <w:t>une</w:t>
      </w:r>
      <w:r w:rsidR="00BA3B3B" w:rsidRPr="00E53FB9">
        <w:rPr>
          <w:sz w:val="20"/>
          <w:szCs w:val="20"/>
        </w:rPr>
        <w:t xml:space="preserve">, </w:t>
      </w:r>
      <w:r w:rsidR="00DD08A7" w:rsidRPr="00E53FB9">
        <w:rPr>
          <w:sz w:val="20"/>
          <w:szCs w:val="20"/>
        </w:rPr>
        <w:t>with</w:t>
      </w:r>
      <w:r w:rsidR="00BA3B3B" w:rsidRPr="00E53FB9">
        <w:rPr>
          <w:sz w:val="20"/>
          <w:szCs w:val="20"/>
        </w:rPr>
        <w:t>out recalculation based on the</w:t>
      </w:r>
      <w:r w:rsidR="00DD08A7" w:rsidRPr="00E53FB9">
        <w:rPr>
          <w:sz w:val="20"/>
          <w:szCs w:val="20"/>
        </w:rPr>
        <w:t xml:space="preserve"> PBS</w:t>
      </w:r>
      <w:r w:rsidR="00892C32" w:rsidRPr="00E53FB9">
        <w:rPr>
          <w:sz w:val="20"/>
          <w:szCs w:val="20"/>
        </w:rPr>
        <w:t xml:space="preserve"> listing effective from 1 </w:t>
      </w:r>
      <w:r w:rsidR="00DD08A7" w:rsidRPr="00E53FB9">
        <w:rPr>
          <w:sz w:val="20"/>
          <w:szCs w:val="20"/>
        </w:rPr>
        <w:t>August 2014)</w:t>
      </w:r>
      <w:r w:rsidRPr="00E53FB9">
        <w:rPr>
          <w:sz w:val="20"/>
          <w:szCs w:val="20"/>
        </w:rPr>
        <w:br/>
        <w:t>Actual: DHS prescriptions database, extracted August 2018</w:t>
      </w:r>
      <w:r w:rsidR="00230B38" w:rsidRPr="00E53FB9">
        <w:rPr>
          <w:sz w:val="20"/>
          <w:szCs w:val="20"/>
        </w:rPr>
        <w:t xml:space="preserve"> for PBS item codes 10120P, 10114H, 10115J, 10121Q.</w:t>
      </w:r>
    </w:p>
    <w:p w14:paraId="1E6ED60B" w14:textId="2BD33D70" w:rsidR="00D73E86" w:rsidRPr="00E53FB9" w:rsidRDefault="00542DF3" w:rsidP="00C92CE7">
      <w:r w:rsidRPr="00E53FB9">
        <w:t xml:space="preserve">The comparison of predicted and actual number of patients and prescriptions is shown for </w:t>
      </w:r>
      <w:r w:rsidR="004649BC" w:rsidRPr="00E53FB9">
        <w:t xml:space="preserve">listing </w:t>
      </w:r>
      <w:r w:rsidR="00A90B0D" w:rsidRPr="00E53FB9">
        <w:t>years</w:t>
      </w:r>
      <w:r w:rsidRPr="00E53FB9">
        <w:t xml:space="preserve">. </w:t>
      </w:r>
      <w:r w:rsidR="004137B2" w:rsidRPr="00E53FB9">
        <w:t>I</w:t>
      </w:r>
      <w:r w:rsidRPr="00E53FB9">
        <w:t xml:space="preserve">n </w:t>
      </w:r>
      <w:r w:rsidR="004649BC" w:rsidRPr="00E53FB9">
        <w:t xml:space="preserve">the first year of listing </w:t>
      </w:r>
      <w:r w:rsidRPr="00E53FB9">
        <w:t>the number of patients treated was lower than predicted</w:t>
      </w:r>
      <w:r w:rsidR="00A90B0D" w:rsidRPr="00E53FB9">
        <w:t xml:space="preserve">, likely </w:t>
      </w:r>
      <w:r w:rsidR="004137B2" w:rsidRPr="00E53FB9">
        <w:t>indicating that the inclusion of</w:t>
      </w:r>
      <w:r w:rsidR="004649BC" w:rsidRPr="00E53FB9">
        <w:t xml:space="preserve"> prevalent pool of patients</w:t>
      </w:r>
      <w:r w:rsidR="00A90B0D" w:rsidRPr="00E53FB9">
        <w:t xml:space="preserve"> in the year 1 estimates</w:t>
      </w:r>
      <w:r w:rsidR="001A7793" w:rsidRPr="00E53FB9">
        <w:t xml:space="preserve"> as </w:t>
      </w:r>
      <w:r w:rsidR="00A90B0D" w:rsidRPr="00E53FB9">
        <w:t>suggested</w:t>
      </w:r>
      <w:r w:rsidR="001A7793" w:rsidRPr="00E53FB9">
        <w:t xml:space="preserve"> by DUSC</w:t>
      </w:r>
      <w:r w:rsidR="004137B2" w:rsidRPr="00E53FB9">
        <w:t xml:space="preserve"> was overestimated</w:t>
      </w:r>
      <w:r w:rsidRPr="00E53FB9">
        <w:t xml:space="preserve">. Since </w:t>
      </w:r>
      <w:r w:rsidR="001A7793" w:rsidRPr="00E53FB9">
        <w:t>the second year of listing</w:t>
      </w:r>
      <w:r w:rsidRPr="00E53FB9">
        <w:t xml:space="preserve">, the number of treated patients per calendar year </w:t>
      </w:r>
      <w:r w:rsidR="00C95AEF" w:rsidRPr="00E53FB9">
        <w:t xml:space="preserve">was </w:t>
      </w:r>
      <w:r w:rsidR="00C95AEF">
        <w:t>close to the number predicted</w:t>
      </w:r>
      <w:r w:rsidRPr="00E53FB9">
        <w:t xml:space="preserve">. </w:t>
      </w:r>
    </w:p>
    <w:p w14:paraId="603CDAD0" w14:textId="62F8F690" w:rsidR="00D73E86" w:rsidRPr="00E53FB9" w:rsidRDefault="00542DF3" w:rsidP="00C92CE7">
      <w:r w:rsidRPr="00E53FB9">
        <w:t xml:space="preserve">The number of prescriptions supplied for ovarian cancer </w:t>
      </w:r>
      <w:r w:rsidR="000D6153">
        <w:t>was</w:t>
      </w:r>
      <w:r w:rsidRPr="00E53FB9">
        <w:t xml:space="preserve"> lower than predicted. This may be because patients are not being treated as often or for as long as predicted.</w:t>
      </w:r>
      <w:r w:rsidR="00E4195B" w:rsidRPr="00E53FB9">
        <w:t xml:space="preserve"> </w:t>
      </w:r>
      <w:r w:rsidR="00D73E86" w:rsidRPr="00E53FB9">
        <w:t xml:space="preserve">This is investigated in the ‘Analysis of Duration’ section below. </w:t>
      </w:r>
    </w:p>
    <w:p w14:paraId="77403EB6" w14:textId="5D86EA38" w:rsidR="00542DF3" w:rsidRPr="00E53FB9" w:rsidRDefault="00D73E86" w:rsidP="00C92CE7">
      <w:r w:rsidRPr="00E53FB9">
        <w:t>T</w:t>
      </w:r>
      <w:r w:rsidR="001A7793" w:rsidRPr="00E53FB9">
        <w:t>he</w:t>
      </w:r>
      <w:r w:rsidR="00E4195B" w:rsidRPr="00E53FB9">
        <w:t xml:space="preserve"> results in Table 2 should be interpreted with caution due to potential misattribution of </w:t>
      </w:r>
      <w:r w:rsidR="001A7793" w:rsidRPr="00E53FB9">
        <w:t xml:space="preserve">PBS item codes </w:t>
      </w:r>
      <w:r w:rsidR="004137B2" w:rsidRPr="00E53FB9">
        <w:t>between the various subsidised indications for bevacizumab</w:t>
      </w:r>
      <w:r w:rsidR="00E4195B" w:rsidRPr="00E53FB9">
        <w:t>.</w:t>
      </w:r>
    </w:p>
    <w:p w14:paraId="76B2BF34" w14:textId="1BD45C95" w:rsidR="00542DF3" w:rsidRPr="00E53FB9" w:rsidRDefault="00E4195B" w:rsidP="00C92CE7">
      <w:pPr>
        <w:pStyle w:val="Heading2"/>
      </w:pPr>
      <w:r w:rsidRPr="00E53FB9">
        <w:t>Analysis of duration</w:t>
      </w:r>
    </w:p>
    <w:p w14:paraId="53D81797" w14:textId="13EE76FF" w:rsidR="00E4195B" w:rsidRPr="00E53FB9" w:rsidRDefault="00E4195B" w:rsidP="00C92CE7">
      <w:r w:rsidRPr="00E53FB9">
        <w:t xml:space="preserve">Following are analyses of the number of treatments and length of treatment for the cohort of 1,249 patients ascertained to be using bevacizumab for ovarian, fallopian or primary peritoneal cancer, as described in the methods </w:t>
      </w:r>
      <w:r w:rsidR="00D73E86" w:rsidRPr="00E53FB9">
        <w:t xml:space="preserve">section </w:t>
      </w:r>
      <w:r w:rsidRPr="00E53FB9">
        <w:t xml:space="preserve">and Appendix A. </w:t>
      </w:r>
    </w:p>
    <w:p w14:paraId="0D08C253" w14:textId="77777777" w:rsidR="00BF4089" w:rsidRPr="00E53FB9" w:rsidRDefault="00BF4089" w:rsidP="00C92CE7">
      <w:pPr>
        <w:spacing w:line="276" w:lineRule="auto"/>
        <w:rPr>
          <w:b/>
          <w:i/>
          <w:szCs w:val="28"/>
        </w:rPr>
      </w:pPr>
      <w:r w:rsidRPr="00E53FB9">
        <w:br w:type="page"/>
      </w:r>
    </w:p>
    <w:p w14:paraId="7434DD9D" w14:textId="1CD40677" w:rsidR="00E4195B" w:rsidRPr="00E53FB9" w:rsidRDefault="00E4195B" w:rsidP="00C92CE7">
      <w:pPr>
        <w:pStyle w:val="Heading3"/>
      </w:pPr>
      <w:r w:rsidRPr="00E53FB9">
        <w:lastRenderedPageBreak/>
        <w:t>Number of treatments</w:t>
      </w:r>
    </w:p>
    <w:p w14:paraId="2B26BA83" w14:textId="58027AF3" w:rsidR="00E4195B" w:rsidRPr="00E53FB9" w:rsidRDefault="00E4195B" w:rsidP="00C92CE7">
      <w:r w:rsidRPr="00E53FB9">
        <w:t>Table 3 shows the mean and median number of treatments supplied to patients who initiated in 2014, 2015, or 2016 (867 patients). Although the most common number of treatments patients receive</w:t>
      </w:r>
      <w:r w:rsidR="004007D6">
        <w:t>d</w:t>
      </w:r>
      <w:r w:rsidRPr="00E53FB9">
        <w:t xml:space="preserve"> </w:t>
      </w:r>
      <w:r w:rsidR="004007D6">
        <w:t>wa</w:t>
      </w:r>
      <w:r w:rsidRPr="00E53FB9">
        <w:t xml:space="preserve">s 18 in all groups, the mean and median </w:t>
      </w:r>
      <w:r w:rsidR="004007D6">
        <w:t>were</w:t>
      </w:r>
      <w:r w:rsidR="004007D6" w:rsidRPr="00E53FB9">
        <w:t xml:space="preserve"> </w:t>
      </w:r>
      <w:r w:rsidRPr="00E53FB9">
        <w:t>both lower for patients who are deceased. This may be because</w:t>
      </w:r>
      <w:r w:rsidR="00BA3B3B" w:rsidRPr="00E53FB9">
        <w:t xml:space="preserve"> a higher number of patients in</w:t>
      </w:r>
      <w:r w:rsidRPr="00E53FB9">
        <w:t xml:space="preserve"> this group experienced disease progression and were unable to complete 18 treatments of bevacizumab.</w:t>
      </w:r>
    </w:p>
    <w:p w14:paraId="07CDEB6A" w14:textId="64294451" w:rsidR="00E4195B" w:rsidRPr="00E53FB9" w:rsidRDefault="00E4195B" w:rsidP="00C92CE7">
      <w:pPr>
        <w:pStyle w:val="Tabletitle"/>
      </w:pPr>
      <w:r w:rsidRPr="00E53FB9">
        <w:t>Table 3: Number of treatments</w:t>
      </w:r>
    </w:p>
    <w:tbl>
      <w:tblPr>
        <w:tblW w:w="6400" w:type="dxa"/>
        <w:tblInd w:w="93" w:type="dxa"/>
        <w:tblLook w:val="04A0" w:firstRow="1" w:lastRow="0" w:firstColumn="1" w:lastColumn="0" w:noHBand="0" w:noVBand="1"/>
      </w:tblPr>
      <w:tblGrid>
        <w:gridCol w:w="1280"/>
        <w:gridCol w:w="1280"/>
        <w:gridCol w:w="1280"/>
        <w:gridCol w:w="1280"/>
        <w:gridCol w:w="1280"/>
      </w:tblGrid>
      <w:tr w:rsidR="00E4195B" w:rsidRPr="00E53FB9" w14:paraId="73A5EE4C" w14:textId="77777777" w:rsidTr="002A49C6">
        <w:trPr>
          <w:trHeight w:val="300"/>
        </w:trPr>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CD015A" w14:textId="77777777" w:rsidR="00E4195B" w:rsidRPr="00E53FB9" w:rsidRDefault="00E4195B" w:rsidP="00C92CE7">
            <w:pPr>
              <w:spacing w:after="0"/>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Number of treatments</w:t>
            </w:r>
          </w:p>
        </w:tc>
        <w:tc>
          <w:tcPr>
            <w:tcW w:w="1280" w:type="dxa"/>
            <w:tcBorders>
              <w:top w:val="single" w:sz="4" w:space="0" w:color="auto"/>
              <w:left w:val="nil"/>
              <w:bottom w:val="single" w:sz="4" w:space="0" w:color="auto"/>
              <w:right w:val="single" w:sz="4" w:space="0" w:color="auto"/>
            </w:tcBorders>
            <w:shd w:val="clear" w:color="000000" w:fill="BFBFBF"/>
            <w:noWrap/>
            <w:vAlign w:val="center"/>
            <w:hideMark/>
          </w:tcPr>
          <w:p w14:paraId="30B983E2" w14:textId="77777777" w:rsidR="00E4195B" w:rsidRPr="00E53FB9" w:rsidRDefault="00E4195B"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Number</w:t>
            </w:r>
          </w:p>
        </w:tc>
        <w:tc>
          <w:tcPr>
            <w:tcW w:w="1280" w:type="dxa"/>
            <w:tcBorders>
              <w:top w:val="single" w:sz="4" w:space="0" w:color="auto"/>
              <w:left w:val="nil"/>
              <w:bottom w:val="single" w:sz="4" w:space="0" w:color="auto"/>
              <w:right w:val="single" w:sz="4" w:space="0" w:color="auto"/>
            </w:tcBorders>
            <w:shd w:val="clear" w:color="000000" w:fill="BFBFBF"/>
            <w:noWrap/>
            <w:vAlign w:val="center"/>
            <w:hideMark/>
          </w:tcPr>
          <w:p w14:paraId="580532B2" w14:textId="77777777" w:rsidR="00E4195B" w:rsidRPr="00E53FB9" w:rsidRDefault="00E4195B"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Mean</w:t>
            </w:r>
          </w:p>
        </w:tc>
        <w:tc>
          <w:tcPr>
            <w:tcW w:w="1280" w:type="dxa"/>
            <w:tcBorders>
              <w:top w:val="single" w:sz="4" w:space="0" w:color="auto"/>
              <w:left w:val="nil"/>
              <w:bottom w:val="single" w:sz="4" w:space="0" w:color="auto"/>
              <w:right w:val="single" w:sz="4" w:space="0" w:color="auto"/>
            </w:tcBorders>
            <w:shd w:val="clear" w:color="000000" w:fill="BFBFBF"/>
            <w:noWrap/>
            <w:vAlign w:val="center"/>
            <w:hideMark/>
          </w:tcPr>
          <w:p w14:paraId="5A76ACFB" w14:textId="77777777" w:rsidR="00E4195B" w:rsidRPr="00E53FB9" w:rsidRDefault="00E4195B"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Median</w:t>
            </w:r>
          </w:p>
        </w:tc>
        <w:tc>
          <w:tcPr>
            <w:tcW w:w="1280" w:type="dxa"/>
            <w:tcBorders>
              <w:top w:val="single" w:sz="4" w:space="0" w:color="auto"/>
              <w:left w:val="nil"/>
              <w:bottom w:val="single" w:sz="4" w:space="0" w:color="auto"/>
              <w:right w:val="single" w:sz="4" w:space="0" w:color="auto"/>
            </w:tcBorders>
            <w:shd w:val="clear" w:color="000000" w:fill="BFBFBF"/>
            <w:noWrap/>
            <w:vAlign w:val="center"/>
            <w:hideMark/>
          </w:tcPr>
          <w:p w14:paraId="15D6FC9E" w14:textId="77777777" w:rsidR="00E4195B" w:rsidRPr="00E53FB9" w:rsidRDefault="00E4195B"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Mode</w:t>
            </w:r>
          </w:p>
        </w:tc>
      </w:tr>
      <w:tr w:rsidR="00E4195B" w:rsidRPr="00E53FB9" w14:paraId="0108446E" w14:textId="77777777" w:rsidTr="002A49C6">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B3BC97" w14:textId="77777777" w:rsidR="00E4195B" w:rsidRPr="00E53FB9" w:rsidRDefault="00E4195B"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Alive</w:t>
            </w:r>
          </w:p>
        </w:tc>
        <w:tc>
          <w:tcPr>
            <w:tcW w:w="1280" w:type="dxa"/>
            <w:tcBorders>
              <w:top w:val="nil"/>
              <w:left w:val="nil"/>
              <w:bottom w:val="single" w:sz="4" w:space="0" w:color="auto"/>
              <w:right w:val="single" w:sz="4" w:space="0" w:color="auto"/>
            </w:tcBorders>
            <w:shd w:val="clear" w:color="auto" w:fill="auto"/>
            <w:noWrap/>
            <w:vAlign w:val="bottom"/>
            <w:hideMark/>
          </w:tcPr>
          <w:p w14:paraId="6D56C4BE"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497</w:t>
            </w:r>
          </w:p>
        </w:tc>
        <w:tc>
          <w:tcPr>
            <w:tcW w:w="1280" w:type="dxa"/>
            <w:tcBorders>
              <w:top w:val="nil"/>
              <w:left w:val="nil"/>
              <w:bottom w:val="single" w:sz="4" w:space="0" w:color="auto"/>
              <w:right w:val="single" w:sz="4" w:space="0" w:color="auto"/>
            </w:tcBorders>
            <w:shd w:val="clear" w:color="auto" w:fill="auto"/>
            <w:noWrap/>
            <w:vAlign w:val="bottom"/>
            <w:hideMark/>
          </w:tcPr>
          <w:p w14:paraId="34C6AFB3"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14.55</w:t>
            </w:r>
          </w:p>
        </w:tc>
        <w:tc>
          <w:tcPr>
            <w:tcW w:w="1280" w:type="dxa"/>
            <w:tcBorders>
              <w:top w:val="nil"/>
              <w:left w:val="nil"/>
              <w:bottom w:val="single" w:sz="4" w:space="0" w:color="auto"/>
              <w:right w:val="single" w:sz="4" w:space="0" w:color="auto"/>
            </w:tcBorders>
            <w:shd w:val="clear" w:color="auto" w:fill="auto"/>
            <w:noWrap/>
            <w:vAlign w:val="bottom"/>
            <w:hideMark/>
          </w:tcPr>
          <w:p w14:paraId="454F3779"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17</w:t>
            </w:r>
          </w:p>
        </w:tc>
        <w:tc>
          <w:tcPr>
            <w:tcW w:w="1280" w:type="dxa"/>
            <w:tcBorders>
              <w:top w:val="nil"/>
              <w:left w:val="nil"/>
              <w:bottom w:val="single" w:sz="4" w:space="0" w:color="auto"/>
              <w:right w:val="single" w:sz="4" w:space="0" w:color="auto"/>
            </w:tcBorders>
            <w:shd w:val="clear" w:color="auto" w:fill="auto"/>
            <w:noWrap/>
            <w:vAlign w:val="bottom"/>
            <w:hideMark/>
          </w:tcPr>
          <w:p w14:paraId="0B1007CF"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18</w:t>
            </w:r>
          </w:p>
        </w:tc>
      </w:tr>
      <w:tr w:rsidR="00E4195B" w:rsidRPr="00E53FB9" w14:paraId="41B401C1" w14:textId="77777777" w:rsidTr="002A49C6">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35D43A" w14:textId="77777777" w:rsidR="00E4195B" w:rsidRPr="00E53FB9" w:rsidRDefault="00E4195B"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Deceased</w:t>
            </w:r>
          </w:p>
        </w:tc>
        <w:tc>
          <w:tcPr>
            <w:tcW w:w="1280" w:type="dxa"/>
            <w:tcBorders>
              <w:top w:val="nil"/>
              <w:left w:val="nil"/>
              <w:bottom w:val="single" w:sz="4" w:space="0" w:color="auto"/>
              <w:right w:val="single" w:sz="4" w:space="0" w:color="auto"/>
            </w:tcBorders>
            <w:shd w:val="clear" w:color="auto" w:fill="auto"/>
            <w:noWrap/>
            <w:vAlign w:val="bottom"/>
            <w:hideMark/>
          </w:tcPr>
          <w:p w14:paraId="6D1B8B9C"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379</w:t>
            </w:r>
          </w:p>
        </w:tc>
        <w:tc>
          <w:tcPr>
            <w:tcW w:w="1280" w:type="dxa"/>
            <w:tcBorders>
              <w:top w:val="nil"/>
              <w:left w:val="nil"/>
              <w:bottom w:val="single" w:sz="4" w:space="0" w:color="auto"/>
              <w:right w:val="single" w:sz="4" w:space="0" w:color="auto"/>
            </w:tcBorders>
            <w:shd w:val="clear" w:color="auto" w:fill="auto"/>
            <w:noWrap/>
            <w:vAlign w:val="bottom"/>
            <w:hideMark/>
          </w:tcPr>
          <w:p w14:paraId="54C7E382"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10.80</w:t>
            </w:r>
          </w:p>
        </w:tc>
        <w:tc>
          <w:tcPr>
            <w:tcW w:w="1280" w:type="dxa"/>
            <w:tcBorders>
              <w:top w:val="nil"/>
              <w:left w:val="nil"/>
              <w:bottom w:val="single" w:sz="4" w:space="0" w:color="auto"/>
              <w:right w:val="single" w:sz="4" w:space="0" w:color="auto"/>
            </w:tcBorders>
            <w:shd w:val="clear" w:color="auto" w:fill="auto"/>
            <w:noWrap/>
            <w:vAlign w:val="bottom"/>
            <w:hideMark/>
          </w:tcPr>
          <w:p w14:paraId="136FCFD1"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10</w:t>
            </w:r>
          </w:p>
        </w:tc>
        <w:tc>
          <w:tcPr>
            <w:tcW w:w="1280" w:type="dxa"/>
            <w:tcBorders>
              <w:top w:val="nil"/>
              <w:left w:val="nil"/>
              <w:bottom w:val="single" w:sz="4" w:space="0" w:color="auto"/>
              <w:right w:val="single" w:sz="4" w:space="0" w:color="auto"/>
            </w:tcBorders>
            <w:shd w:val="clear" w:color="auto" w:fill="auto"/>
            <w:noWrap/>
            <w:vAlign w:val="bottom"/>
            <w:hideMark/>
          </w:tcPr>
          <w:p w14:paraId="43843362"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18</w:t>
            </w:r>
          </w:p>
        </w:tc>
      </w:tr>
      <w:tr w:rsidR="00E4195B" w:rsidRPr="00E53FB9" w14:paraId="3E965503" w14:textId="77777777" w:rsidTr="002A49C6">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B42A12" w14:textId="77777777" w:rsidR="00E4195B" w:rsidRPr="00E53FB9" w:rsidRDefault="00E4195B"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Overall</w:t>
            </w:r>
          </w:p>
        </w:tc>
        <w:tc>
          <w:tcPr>
            <w:tcW w:w="1280" w:type="dxa"/>
            <w:tcBorders>
              <w:top w:val="nil"/>
              <w:left w:val="nil"/>
              <w:bottom w:val="single" w:sz="4" w:space="0" w:color="auto"/>
              <w:right w:val="single" w:sz="4" w:space="0" w:color="auto"/>
            </w:tcBorders>
            <w:shd w:val="clear" w:color="auto" w:fill="auto"/>
            <w:noWrap/>
            <w:vAlign w:val="bottom"/>
            <w:hideMark/>
          </w:tcPr>
          <w:p w14:paraId="67BED006"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876</w:t>
            </w:r>
          </w:p>
        </w:tc>
        <w:tc>
          <w:tcPr>
            <w:tcW w:w="1280" w:type="dxa"/>
            <w:tcBorders>
              <w:top w:val="nil"/>
              <w:left w:val="nil"/>
              <w:bottom w:val="single" w:sz="4" w:space="0" w:color="auto"/>
              <w:right w:val="single" w:sz="4" w:space="0" w:color="auto"/>
            </w:tcBorders>
            <w:shd w:val="clear" w:color="auto" w:fill="auto"/>
            <w:noWrap/>
            <w:vAlign w:val="bottom"/>
            <w:hideMark/>
          </w:tcPr>
          <w:p w14:paraId="1E3F6E11"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12.93</w:t>
            </w:r>
          </w:p>
        </w:tc>
        <w:tc>
          <w:tcPr>
            <w:tcW w:w="1280" w:type="dxa"/>
            <w:tcBorders>
              <w:top w:val="nil"/>
              <w:left w:val="nil"/>
              <w:bottom w:val="single" w:sz="4" w:space="0" w:color="auto"/>
              <w:right w:val="single" w:sz="4" w:space="0" w:color="auto"/>
            </w:tcBorders>
            <w:shd w:val="clear" w:color="auto" w:fill="auto"/>
            <w:noWrap/>
            <w:vAlign w:val="bottom"/>
            <w:hideMark/>
          </w:tcPr>
          <w:p w14:paraId="026E4DA2"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15</w:t>
            </w:r>
          </w:p>
        </w:tc>
        <w:tc>
          <w:tcPr>
            <w:tcW w:w="1280" w:type="dxa"/>
            <w:tcBorders>
              <w:top w:val="nil"/>
              <w:left w:val="nil"/>
              <w:bottom w:val="single" w:sz="4" w:space="0" w:color="auto"/>
              <w:right w:val="single" w:sz="4" w:space="0" w:color="auto"/>
            </w:tcBorders>
            <w:shd w:val="clear" w:color="auto" w:fill="auto"/>
            <w:noWrap/>
            <w:vAlign w:val="bottom"/>
            <w:hideMark/>
          </w:tcPr>
          <w:p w14:paraId="5CA4EFF4" w14:textId="77777777" w:rsidR="00E4195B" w:rsidRPr="00E53FB9" w:rsidRDefault="00E4195B"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18</w:t>
            </w:r>
          </w:p>
        </w:tc>
      </w:tr>
    </w:tbl>
    <w:p w14:paraId="284817C0" w14:textId="77777777" w:rsidR="00E4195B" w:rsidRPr="00E53FB9" w:rsidRDefault="00E4195B" w:rsidP="00C92CE7">
      <w:pPr>
        <w:rPr>
          <w:b/>
        </w:rPr>
      </w:pPr>
    </w:p>
    <w:p w14:paraId="70C3FB69" w14:textId="2DAE8504" w:rsidR="00E4195B" w:rsidRPr="00E53FB9" w:rsidRDefault="00E4195B" w:rsidP="00C92CE7">
      <w:r w:rsidRPr="00E53FB9">
        <w:t>Figure 3 shows the distribution of the number of treatments supplied to patients who initiated in 2014, 2015, or 2016 (867 patients). Patients most often receiv</w:t>
      </w:r>
      <w:r w:rsidR="00D346CC">
        <w:t>ed</w:t>
      </w:r>
      <w:r w:rsidRPr="00E53FB9">
        <w:t xml:space="preserve"> 18 treatments of bevacizumab. The number of patients receiving less than 18 treatments </w:t>
      </w:r>
      <w:r w:rsidR="00D346CC">
        <w:t>wa</w:t>
      </w:r>
      <w:r w:rsidRPr="00E53FB9">
        <w:t xml:space="preserve">s lower in alive patients than deceased patients. </w:t>
      </w:r>
    </w:p>
    <w:p w14:paraId="2990E31B" w14:textId="77777777" w:rsidR="00E4195B" w:rsidRPr="00E53FB9" w:rsidRDefault="00E4195B" w:rsidP="00C92CE7">
      <w:r w:rsidRPr="00E53FB9">
        <w:rPr>
          <w:noProof/>
        </w:rPr>
        <w:drawing>
          <wp:inline distT="0" distB="0" distL="0" distR="0" wp14:anchorId="07B64FEE" wp14:editId="75D44FE2">
            <wp:extent cx="5687695" cy="3732854"/>
            <wp:effectExtent l="0" t="0" r="8255" b="1270"/>
            <wp:docPr id="8" name="Chart 8" descr="Number of treatments of bevacizumab for patients who initiated prior to 2017 peaks at 18 treatments" title="Number of treatments of bevacizumab for patients who initiated prior to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65554E" w14:textId="05F08EB7" w:rsidR="00E4195B" w:rsidRPr="00E53FB9" w:rsidRDefault="00E4195B" w:rsidP="00C92CE7">
      <w:pPr>
        <w:pStyle w:val="Figuretitle"/>
      </w:pPr>
      <w:r w:rsidRPr="00E53FB9">
        <w:t>Figure 3: Number of treatments of bevacizumab for patients who initiated prior to 2017</w:t>
      </w:r>
    </w:p>
    <w:p w14:paraId="2D226D9E" w14:textId="24139B62" w:rsidR="00BF4089" w:rsidRPr="00E53FB9" w:rsidRDefault="00E4195B" w:rsidP="00C92CE7">
      <w:pPr>
        <w:pStyle w:val="Notes"/>
        <w:rPr>
          <w:b/>
          <w:i/>
          <w:szCs w:val="28"/>
        </w:rPr>
      </w:pPr>
      <w:r w:rsidRPr="00E53FB9">
        <w:t>Note: The number of patients is not shown disaggregated by group for more than 19 treatments due to small numbers in separate groups</w:t>
      </w:r>
      <w:r w:rsidR="00BF4089" w:rsidRPr="00E53FB9">
        <w:br w:type="page"/>
      </w:r>
    </w:p>
    <w:p w14:paraId="1E06E202" w14:textId="6B761C23" w:rsidR="00E4195B" w:rsidRPr="00E53FB9" w:rsidRDefault="00E4195B" w:rsidP="00C92CE7">
      <w:pPr>
        <w:pStyle w:val="Heading3"/>
      </w:pPr>
      <w:r w:rsidRPr="00E53FB9">
        <w:lastRenderedPageBreak/>
        <w:t>Length of treatment</w:t>
      </w:r>
    </w:p>
    <w:p w14:paraId="1467E88E" w14:textId="789FC098" w:rsidR="00215F82" w:rsidRPr="00E53FB9" w:rsidRDefault="00215F82" w:rsidP="00C92CE7">
      <w:r w:rsidRPr="00E53FB9">
        <w:t xml:space="preserve">Table </w:t>
      </w:r>
      <w:r w:rsidR="00E4195B" w:rsidRPr="00E53FB9">
        <w:t>4</w:t>
      </w:r>
      <w:r w:rsidRPr="00E53FB9">
        <w:t xml:space="preserve"> summarises the number of episodes as a percentage of </w:t>
      </w:r>
      <w:r w:rsidR="001A24B3" w:rsidRPr="00E53FB9">
        <w:t xml:space="preserve">the 1,249 </w:t>
      </w:r>
      <w:r w:rsidRPr="00E53FB9">
        <w:t xml:space="preserve">patients. It shows 82% of patients in the cohort did not have any treatment breaks. </w:t>
      </w:r>
    </w:p>
    <w:p w14:paraId="7151562A" w14:textId="23AC7750" w:rsidR="00215F82" w:rsidRPr="00E53FB9" w:rsidRDefault="00215F82" w:rsidP="00C92CE7">
      <w:pPr>
        <w:pStyle w:val="Tabletitle"/>
      </w:pPr>
      <w:r w:rsidRPr="00E53FB9">
        <w:t xml:space="preserve">Table </w:t>
      </w:r>
      <w:r w:rsidR="00E4195B" w:rsidRPr="00E53FB9">
        <w:t>4</w:t>
      </w:r>
      <w:r w:rsidRPr="00E53FB9">
        <w:t xml:space="preserve">: Number of episodes as percentage of patients </w:t>
      </w:r>
    </w:p>
    <w:tbl>
      <w:tblPr>
        <w:tblW w:w="29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418"/>
      </w:tblGrid>
      <w:tr w:rsidR="00CB3AA2" w:rsidRPr="00E53FB9" w14:paraId="38DFC02A" w14:textId="77777777" w:rsidTr="00C95AEF">
        <w:trPr>
          <w:trHeight w:val="300"/>
        </w:trPr>
        <w:tc>
          <w:tcPr>
            <w:tcW w:w="1575" w:type="dxa"/>
            <w:shd w:val="clear" w:color="auto" w:fill="BFBFBF" w:themeFill="background1" w:themeFillShade="BF"/>
            <w:noWrap/>
            <w:vAlign w:val="center"/>
            <w:hideMark/>
          </w:tcPr>
          <w:p w14:paraId="58638D81" w14:textId="77777777" w:rsidR="00CB3AA2" w:rsidRPr="00E53FB9" w:rsidRDefault="00CB3AA2" w:rsidP="00C92CE7">
            <w:pPr>
              <w:spacing w:after="0"/>
              <w:jc w:val="center"/>
              <w:rPr>
                <w:rFonts w:ascii="Calibri" w:eastAsia="Times New Roman" w:hAnsi="Calibri" w:cs="Calibri"/>
                <w:b/>
                <w:bCs/>
                <w:color w:val="000000"/>
                <w:sz w:val="20"/>
                <w:szCs w:val="20"/>
              </w:rPr>
            </w:pPr>
            <w:r w:rsidRPr="00E53FB9">
              <w:rPr>
                <w:rFonts w:ascii="Calibri" w:eastAsia="Times New Roman" w:hAnsi="Calibri" w:cs="Calibri"/>
                <w:b/>
                <w:bCs/>
                <w:color w:val="000000"/>
                <w:sz w:val="20"/>
                <w:szCs w:val="20"/>
              </w:rPr>
              <w:t>Episodes</w:t>
            </w:r>
          </w:p>
        </w:tc>
        <w:tc>
          <w:tcPr>
            <w:tcW w:w="1418" w:type="dxa"/>
            <w:shd w:val="clear" w:color="auto" w:fill="BFBFBF" w:themeFill="background1" w:themeFillShade="BF"/>
            <w:vAlign w:val="center"/>
          </w:tcPr>
          <w:p w14:paraId="28576652" w14:textId="50D28C82" w:rsidR="00CB3AA2" w:rsidRPr="00E53FB9" w:rsidDel="0099655F" w:rsidRDefault="00CB3AA2" w:rsidP="00C92CE7">
            <w:pPr>
              <w:spacing w:after="0"/>
              <w:jc w:val="center"/>
              <w:rPr>
                <w:rFonts w:ascii="Calibri" w:eastAsia="Times New Roman" w:hAnsi="Calibri" w:cs="Calibri"/>
                <w:b/>
                <w:bCs/>
                <w:color w:val="000000"/>
                <w:sz w:val="20"/>
                <w:szCs w:val="20"/>
              </w:rPr>
            </w:pPr>
            <w:r w:rsidRPr="00E53FB9">
              <w:rPr>
                <w:rFonts w:ascii="Calibri" w:eastAsia="Times New Roman" w:hAnsi="Calibri" w:cs="Calibri"/>
                <w:b/>
                <w:bCs/>
                <w:color w:val="000000"/>
                <w:sz w:val="20"/>
                <w:szCs w:val="20"/>
              </w:rPr>
              <w:t>Overall</w:t>
            </w:r>
          </w:p>
        </w:tc>
      </w:tr>
      <w:tr w:rsidR="00CB3AA2" w:rsidRPr="00E53FB9" w14:paraId="5FA28AC3" w14:textId="77777777" w:rsidTr="00C95AEF">
        <w:trPr>
          <w:trHeight w:val="300"/>
        </w:trPr>
        <w:tc>
          <w:tcPr>
            <w:tcW w:w="1575" w:type="dxa"/>
            <w:shd w:val="clear" w:color="auto" w:fill="auto"/>
            <w:noWrap/>
            <w:vAlign w:val="center"/>
            <w:hideMark/>
          </w:tcPr>
          <w:p w14:paraId="7ADBD38F" w14:textId="77777777" w:rsidR="00CB3AA2" w:rsidRPr="00E53FB9" w:rsidRDefault="00CB3AA2"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1</w:t>
            </w:r>
          </w:p>
        </w:tc>
        <w:tc>
          <w:tcPr>
            <w:tcW w:w="1418" w:type="dxa"/>
            <w:shd w:val="clear" w:color="auto" w:fill="auto"/>
            <w:vAlign w:val="center"/>
          </w:tcPr>
          <w:p w14:paraId="76DF5347" w14:textId="33BED91A" w:rsidR="00CB3AA2" w:rsidRPr="00E53FB9" w:rsidDel="0099655F" w:rsidRDefault="00CB3AA2" w:rsidP="00C92CE7">
            <w:pPr>
              <w:spacing w:after="0"/>
              <w:jc w:val="center"/>
              <w:rPr>
                <w:rFonts w:ascii="Calibri" w:eastAsia="Times New Roman" w:hAnsi="Calibri" w:cs="Calibri"/>
                <w:color w:val="000000"/>
                <w:sz w:val="20"/>
                <w:szCs w:val="20"/>
              </w:rPr>
            </w:pPr>
            <w:r w:rsidRPr="00E53FB9">
              <w:rPr>
                <w:rFonts w:ascii="Calibri" w:eastAsia="Times New Roman" w:hAnsi="Calibri" w:cs="Calibri"/>
                <w:color w:val="000000"/>
                <w:sz w:val="20"/>
                <w:szCs w:val="20"/>
              </w:rPr>
              <w:t>82%</w:t>
            </w:r>
          </w:p>
        </w:tc>
      </w:tr>
      <w:tr w:rsidR="00CB3AA2" w:rsidRPr="00E53FB9" w14:paraId="24F250E3" w14:textId="77777777" w:rsidTr="00C95AEF">
        <w:trPr>
          <w:trHeight w:val="300"/>
        </w:trPr>
        <w:tc>
          <w:tcPr>
            <w:tcW w:w="1575" w:type="dxa"/>
            <w:shd w:val="clear" w:color="auto" w:fill="auto"/>
            <w:noWrap/>
            <w:vAlign w:val="center"/>
            <w:hideMark/>
          </w:tcPr>
          <w:p w14:paraId="79B2410B" w14:textId="77777777" w:rsidR="00CB3AA2" w:rsidRPr="00E53FB9" w:rsidRDefault="00CB3AA2"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2</w:t>
            </w:r>
          </w:p>
        </w:tc>
        <w:tc>
          <w:tcPr>
            <w:tcW w:w="1418" w:type="dxa"/>
            <w:shd w:val="clear" w:color="auto" w:fill="auto"/>
            <w:vAlign w:val="center"/>
          </w:tcPr>
          <w:p w14:paraId="1375BA2F" w14:textId="47803591" w:rsidR="00CB3AA2" w:rsidRPr="00E53FB9" w:rsidDel="0099655F" w:rsidRDefault="00CB3AA2" w:rsidP="00C92CE7">
            <w:pPr>
              <w:spacing w:after="0"/>
              <w:jc w:val="center"/>
              <w:rPr>
                <w:rFonts w:ascii="Calibri" w:eastAsia="Times New Roman" w:hAnsi="Calibri" w:cs="Calibri"/>
                <w:color w:val="000000"/>
                <w:sz w:val="20"/>
                <w:szCs w:val="20"/>
              </w:rPr>
            </w:pPr>
            <w:r w:rsidRPr="00E53FB9">
              <w:rPr>
                <w:rFonts w:ascii="Calibri" w:eastAsia="Times New Roman" w:hAnsi="Calibri" w:cs="Calibri"/>
                <w:color w:val="000000"/>
                <w:sz w:val="20"/>
                <w:szCs w:val="20"/>
              </w:rPr>
              <w:t>17%</w:t>
            </w:r>
          </w:p>
        </w:tc>
      </w:tr>
      <w:tr w:rsidR="00CB3AA2" w:rsidRPr="00E53FB9" w14:paraId="03CD157D" w14:textId="77777777" w:rsidTr="00C95AEF">
        <w:trPr>
          <w:trHeight w:val="300"/>
        </w:trPr>
        <w:tc>
          <w:tcPr>
            <w:tcW w:w="1575" w:type="dxa"/>
            <w:shd w:val="clear" w:color="auto" w:fill="auto"/>
            <w:noWrap/>
            <w:vAlign w:val="center"/>
            <w:hideMark/>
          </w:tcPr>
          <w:p w14:paraId="7F15E7EE" w14:textId="77777777" w:rsidR="00CB3AA2" w:rsidRPr="00E53FB9" w:rsidRDefault="00CB3AA2" w:rsidP="00C92CE7">
            <w:pPr>
              <w:spacing w:after="0"/>
              <w:rPr>
                <w:rFonts w:ascii="Calibri" w:eastAsia="Times New Roman" w:hAnsi="Calibri" w:cs="Calibri"/>
                <w:color w:val="000000"/>
                <w:sz w:val="20"/>
                <w:szCs w:val="20"/>
              </w:rPr>
            </w:pPr>
            <w:r w:rsidRPr="00E53FB9">
              <w:rPr>
                <w:rFonts w:ascii="Calibri" w:eastAsia="Times New Roman" w:hAnsi="Calibri" w:cs="Calibri"/>
                <w:color w:val="000000"/>
                <w:sz w:val="20"/>
                <w:szCs w:val="20"/>
              </w:rPr>
              <w:t>3-4</w:t>
            </w:r>
          </w:p>
        </w:tc>
        <w:tc>
          <w:tcPr>
            <w:tcW w:w="1418" w:type="dxa"/>
            <w:vAlign w:val="center"/>
          </w:tcPr>
          <w:p w14:paraId="57378369" w14:textId="7D8C4C29" w:rsidR="00CB3AA2" w:rsidRPr="00E53FB9" w:rsidRDefault="00CB3AA2" w:rsidP="00C92CE7">
            <w:pPr>
              <w:spacing w:after="0"/>
              <w:jc w:val="center"/>
              <w:rPr>
                <w:rFonts w:ascii="Calibri" w:eastAsia="Times New Roman" w:hAnsi="Calibri" w:cs="Calibri"/>
                <w:color w:val="000000"/>
                <w:sz w:val="20"/>
                <w:szCs w:val="20"/>
              </w:rPr>
            </w:pPr>
            <w:r w:rsidRPr="00E53FB9">
              <w:rPr>
                <w:rFonts w:ascii="Calibri" w:eastAsia="Times New Roman" w:hAnsi="Calibri" w:cs="Calibri"/>
                <w:color w:val="000000"/>
                <w:sz w:val="20"/>
                <w:szCs w:val="20"/>
              </w:rPr>
              <w:t>1%</w:t>
            </w:r>
          </w:p>
        </w:tc>
      </w:tr>
    </w:tbl>
    <w:p w14:paraId="6DBE11C2" w14:textId="77777777" w:rsidR="00215F82" w:rsidRPr="00E53FB9" w:rsidRDefault="00215F82" w:rsidP="00C92CE7">
      <w:pPr>
        <w:pStyle w:val="Notes"/>
      </w:pPr>
      <w:r w:rsidRPr="00E53FB9">
        <w:t>Note: of the cohort of 1,249 patients used to examine length of treatment</w:t>
      </w:r>
    </w:p>
    <w:p w14:paraId="411DFA40" w14:textId="58A5061F" w:rsidR="00263B6A" w:rsidRPr="00E53FB9" w:rsidRDefault="00263B6A" w:rsidP="00C92CE7">
      <w:r w:rsidRPr="00E53FB9">
        <w:t xml:space="preserve">The mean and median length of treatment is shown in Table </w:t>
      </w:r>
      <w:r w:rsidR="00255745" w:rsidRPr="00E53FB9">
        <w:t>5</w:t>
      </w:r>
      <w:r w:rsidRPr="00E53FB9">
        <w:t xml:space="preserve">, with and without regard for breaks. The median time between treatments was 21 days. </w:t>
      </w:r>
    </w:p>
    <w:p w14:paraId="606C015E" w14:textId="40B6AE2E" w:rsidR="00201E9E" w:rsidRPr="00E53FB9" w:rsidRDefault="00201E9E" w:rsidP="00C92CE7">
      <w:pPr>
        <w:pStyle w:val="Tabletitle"/>
      </w:pPr>
      <w:r w:rsidRPr="00E53FB9">
        <w:t xml:space="preserve">Table </w:t>
      </w:r>
      <w:r w:rsidR="00255745" w:rsidRPr="00E53FB9">
        <w:t>5</w:t>
      </w:r>
      <w:r w:rsidRPr="00E53FB9">
        <w:t>: Length of treatment</w:t>
      </w:r>
      <w:r w:rsidR="00643548" w:rsidRPr="00E53FB9">
        <w:t xml:space="preserve"> estimated from Kaplan Meier</w:t>
      </w:r>
    </w:p>
    <w:tbl>
      <w:tblPr>
        <w:tblW w:w="7240" w:type="dxa"/>
        <w:tblInd w:w="93" w:type="dxa"/>
        <w:tblLook w:val="04A0" w:firstRow="1" w:lastRow="0" w:firstColumn="1" w:lastColumn="0" w:noHBand="0" w:noVBand="1"/>
      </w:tblPr>
      <w:tblGrid>
        <w:gridCol w:w="1100"/>
        <w:gridCol w:w="1100"/>
        <w:gridCol w:w="1194"/>
        <w:gridCol w:w="1326"/>
        <w:gridCol w:w="1294"/>
        <w:gridCol w:w="1226"/>
      </w:tblGrid>
      <w:tr w:rsidR="005A70ED" w:rsidRPr="00E53FB9" w14:paraId="44C482C9" w14:textId="77777777" w:rsidTr="00C95AEF">
        <w:trPr>
          <w:trHeight w:val="300"/>
        </w:trPr>
        <w:tc>
          <w:tcPr>
            <w:tcW w:w="1100" w:type="dxa"/>
            <w:tcBorders>
              <w:bottom w:val="single" w:sz="4" w:space="0" w:color="auto"/>
            </w:tcBorders>
            <w:shd w:val="clear" w:color="auto" w:fill="auto"/>
            <w:noWrap/>
            <w:vAlign w:val="center"/>
            <w:hideMark/>
          </w:tcPr>
          <w:p w14:paraId="4E28BFC5" w14:textId="66803FF3" w:rsidR="005A70ED" w:rsidRPr="00E53FB9" w:rsidRDefault="005A70ED" w:rsidP="00C92CE7">
            <w:pPr>
              <w:spacing w:after="0"/>
              <w:jc w:val="center"/>
              <w:rPr>
                <w:rFonts w:ascii="Calibri" w:eastAsia="Times New Roman" w:hAnsi="Calibri" w:cs="Calibri"/>
                <w:b/>
                <w:color w:val="000000"/>
                <w:sz w:val="20"/>
                <w:szCs w:val="20"/>
              </w:rPr>
            </w:pPr>
          </w:p>
        </w:tc>
        <w:tc>
          <w:tcPr>
            <w:tcW w:w="1100" w:type="dxa"/>
            <w:tcBorders>
              <w:bottom w:val="single" w:sz="4" w:space="0" w:color="auto"/>
              <w:right w:val="single" w:sz="4" w:space="0" w:color="auto"/>
            </w:tcBorders>
            <w:shd w:val="clear" w:color="auto" w:fill="auto"/>
            <w:noWrap/>
            <w:vAlign w:val="center"/>
            <w:hideMark/>
          </w:tcPr>
          <w:p w14:paraId="0C51C688" w14:textId="61222FE2" w:rsidR="005A70ED" w:rsidRPr="00E53FB9" w:rsidRDefault="005A70ED" w:rsidP="00C92CE7">
            <w:pPr>
              <w:spacing w:after="0"/>
              <w:jc w:val="center"/>
              <w:rPr>
                <w:rFonts w:ascii="Calibri" w:eastAsia="Times New Roman" w:hAnsi="Calibri" w:cs="Calibri"/>
                <w:b/>
                <w:color w:val="000000"/>
                <w:sz w:val="20"/>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839FA57" w14:textId="77777777" w:rsidR="005A70ED" w:rsidRPr="00E53FB9" w:rsidRDefault="005A70ED"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Without breaks</w:t>
            </w:r>
          </w:p>
        </w:tc>
        <w:tc>
          <w:tcPr>
            <w:tcW w:w="252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45B885" w14:textId="77777777" w:rsidR="005A70ED" w:rsidRPr="00E53FB9" w:rsidRDefault="005A70ED"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With breaks</w:t>
            </w:r>
          </w:p>
        </w:tc>
      </w:tr>
      <w:tr w:rsidR="005A70ED" w:rsidRPr="00E53FB9" w14:paraId="4C7D5CD5" w14:textId="77777777" w:rsidTr="00C95AEF">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879AF23" w14:textId="77777777" w:rsidR="005A70ED" w:rsidRPr="00E53FB9" w:rsidRDefault="005A70ED"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Number</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40CCE6" w14:textId="77777777" w:rsidR="005A70ED" w:rsidRPr="00E53FB9" w:rsidRDefault="005A70ED"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Censored</w:t>
            </w:r>
          </w:p>
        </w:tc>
        <w:tc>
          <w:tcPr>
            <w:tcW w:w="1194" w:type="dxa"/>
            <w:tcBorders>
              <w:top w:val="nil"/>
              <w:left w:val="nil"/>
              <w:bottom w:val="single" w:sz="4" w:space="0" w:color="auto"/>
              <w:right w:val="single" w:sz="4" w:space="0" w:color="auto"/>
            </w:tcBorders>
            <w:shd w:val="clear" w:color="auto" w:fill="BFBFBF" w:themeFill="background1" w:themeFillShade="BF"/>
            <w:noWrap/>
            <w:vAlign w:val="center"/>
            <w:hideMark/>
          </w:tcPr>
          <w:p w14:paraId="14015EB6" w14:textId="77777777" w:rsidR="005A70ED" w:rsidRPr="00E53FB9" w:rsidRDefault="005A70ED"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Mean</w:t>
            </w:r>
          </w:p>
        </w:tc>
        <w:tc>
          <w:tcPr>
            <w:tcW w:w="1326" w:type="dxa"/>
            <w:tcBorders>
              <w:top w:val="nil"/>
              <w:left w:val="nil"/>
              <w:bottom w:val="single" w:sz="4" w:space="0" w:color="auto"/>
              <w:right w:val="single" w:sz="4" w:space="0" w:color="auto"/>
            </w:tcBorders>
            <w:shd w:val="clear" w:color="auto" w:fill="BFBFBF" w:themeFill="background1" w:themeFillShade="BF"/>
            <w:noWrap/>
            <w:vAlign w:val="center"/>
            <w:hideMark/>
          </w:tcPr>
          <w:p w14:paraId="139B26B7" w14:textId="77777777" w:rsidR="005A70ED" w:rsidRPr="00E53FB9" w:rsidRDefault="005A70ED"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Median</w:t>
            </w:r>
          </w:p>
        </w:tc>
        <w:tc>
          <w:tcPr>
            <w:tcW w:w="1294" w:type="dxa"/>
            <w:tcBorders>
              <w:top w:val="nil"/>
              <w:left w:val="nil"/>
              <w:bottom w:val="single" w:sz="4" w:space="0" w:color="auto"/>
              <w:right w:val="single" w:sz="4" w:space="0" w:color="auto"/>
            </w:tcBorders>
            <w:shd w:val="clear" w:color="auto" w:fill="BFBFBF" w:themeFill="background1" w:themeFillShade="BF"/>
            <w:noWrap/>
            <w:vAlign w:val="center"/>
            <w:hideMark/>
          </w:tcPr>
          <w:p w14:paraId="4228EF9B" w14:textId="77777777" w:rsidR="005A70ED" w:rsidRPr="00E53FB9" w:rsidRDefault="005A70ED"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Mean</w:t>
            </w:r>
          </w:p>
        </w:tc>
        <w:tc>
          <w:tcPr>
            <w:tcW w:w="1226" w:type="dxa"/>
            <w:tcBorders>
              <w:top w:val="nil"/>
              <w:left w:val="nil"/>
              <w:bottom w:val="single" w:sz="4" w:space="0" w:color="auto"/>
              <w:right w:val="single" w:sz="4" w:space="0" w:color="auto"/>
            </w:tcBorders>
            <w:shd w:val="clear" w:color="auto" w:fill="BFBFBF" w:themeFill="background1" w:themeFillShade="BF"/>
            <w:noWrap/>
            <w:vAlign w:val="center"/>
            <w:hideMark/>
          </w:tcPr>
          <w:p w14:paraId="377CDED5" w14:textId="77777777" w:rsidR="005A70ED" w:rsidRPr="00E53FB9" w:rsidRDefault="005A70ED" w:rsidP="00C92CE7">
            <w:pPr>
              <w:spacing w:after="0"/>
              <w:jc w:val="center"/>
              <w:rPr>
                <w:rFonts w:ascii="Calibri" w:eastAsia="Times New Roman" w:hAnsi="Calibri" w:cs="Calibri"/>
                <w:b/>
                <w:color w:val="000000"/>
                <w:sz w:val="20"/>
                <w:szCs w:val="20"/>
              </w:rPr>
            </w:pPr>
            <w:r w:rsidRPr="00E53FB9">
              <w:rPr>
                <w:rFonts w:ascii="Calibri" w:eastAsia="Times New Roman" w:hAnsi="Calibri" w:cs="Calibri"/>
                <w:b/>
                <w:color w:val="000000"/>
                <w:sz w:val="20"/>
                <w:szCs w:val="20"/>
              </w:rPr>
              <w:t>Median</w:t>
            </w:r>
          </w:p>
        </w:tc>
      </w:tr>
      <w:tr w:rsidR="005A70ED" w:rsidRPr="00E53FB9" w14:paraId="5DA58704" w14:textId="77777777" w:rsidTr="00C95AEF">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0BE68" w14:textId="77777777" w:rsidR="005A70ED" w:rsidRPr="00E53FB9" w:rsidRDefault="005A70ED"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1249</w:t>
            </w:r>
          </w:p>
        </w:tc>
        <w:tc>
          <w:tcPr>
            <w:tcW w:w="1100" w:type="dxa"/>
            <w:tcBorders>
              <w:top w:val="nil"/>
              <w:left w:val="nil"/>
              <w:bottom w:val="single" w:sz="4" w:space="0" w:color="auto"/>
              <w:right w:val="single" w:sz="4" w:space="0" w:color="auto"/>
            </w:tcBorders>
            <w:shd w:val="clear" w:color="auto" w:fill="auto"/>
            <w:noWrap/>
            <w:vAlign w:val="bottom"/>
            <w:hideMark/>
          </w:tcPr>
          <w:p w14:paraId="0FA5533B" w14:textId="77777777" w:rsidR="005A70ED" w:rsidRPr="00E53FB9" w:rsidRDefault="005A70ED"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241</w:t>
            </w:r>
          </w:p>
        </w:tc>
        <w:tc>
          <w:tcPr>
            <w:tcW w:w="1194" w:type="dxa"/>
            <w:tcBorders>
              <w:top w:val="nil"/>
              <w:left w:val="nil"/>
              <w:bottom w:val="single" w:sz="4" w:space="0" w:color="auto"/>
              <w:right w:val="single" w:sz="4" w:space="0" w:color="auto"/>
            </w:tcBorders>
            <w:shd w:val="clear" w:color="auto" w:fill="auto"/>
            <w:noWrap/>
            <w:vAlign w:val="bottom"/>
            <w:hideMark/>
          </w:tcPr>
          <w:p w14:paraId="5476C1CB" w14:textId="77777777" w:rsidR="005A70ED" w:rsidRPr="00E53FB9" w:rsidRDefault="005A70ED"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296.79</w:t>
            </w:r>
          </w:p>
        </w:tc>
        <w:tc>
          <w:tcPr>
            <w:tcW w:w="1326" w:type="dxa"/>
            <w:tcBorders>
              <w:top w:val="nil"/>
              <w:left w:val="nil"/>
              <w:bottom w:val="single" w:sz="4" w:space="0" w:color="auto"/>
              <w:right w:val="single" w:sz="4" w:space="0" w:color="auto"/>
            </w:tcBorders>
            <w:shd w:val="clear" w:color="auto" w:fill="auto"/>
            <w:noWrap/>
            <w:vAlign w:val="bottom"/>
            <w:hideMark/>
          </w:tcPr>
          <w:p w14:paraId="6AF56DE6" w14:textId="77777777" w:rsidR="005A70ED" w:rsidRPr="00E53FB9" w:rsidRDefault="005A70ED" w:rsidP="00C92CE7">
            <w:pPr>
              <w:spacing w:after="0"/>
              <w:jc w:val="right"/>
              <w:rPr>
                <w:rFonts w:ascii="Calibri" w:eastAsia="Times New Roman" w:hAnsi="Calibri" w:cs="Calibri"/>
                <w:color w:val="000000"/>
                <w:sz w:val="20"/>
                <w:szCs w:val="20"/>
              </w:rPr>
            </w:pPr>
            <w:r w:rsidRPr="00E53FB9">
              <w:rPr>
                <w:rFonts w:ascii="Calibri" w:eastAsia="Times New Roman" w:hAnsi="Calibri" w:cs="Calibri"/>
                <w:color w:val="000000"/>
                <w:sz w:val="20"/>
                <w:szCs w:val="20"/>
              </w:rPr>
              <w:t>329</w:t>
            </w:r>
          </w:p>
        </w:tc>
        <w:tc>
          <w:tcPr>
            <w:tcW w:w="1294" w:type="dxa"/>
            <w:tcBorders>
              <w:top w:val="nil"/>
              <w:left w:val="nil"/>
              <w:bottom w:val="single" w:sz="4" w:space="0" w:color="auto"/>
              <w:right w:val="single" w:sz="4" w:space="0" w:color="auto"/>
            </w:tcBorders>
            <w:shd w:val="clear" w:color="auto" w:fill="auto"/>
            <w:noWrap/>
            <w:vAlign w:val="bottom"/>
            <w:hideMark/>
          </w:tcPr>
          <w:p w14:paraId="6485F2A2" w14:textId="2A9F2063" w:rsidR="005A70ED" w:rsidRPr="00E53FB9" w:rsidRDefault="005A70ED" w:rsidP="00C92CE7">
            <w:pPr>
              <w:spacing w:after="0"/>
              <w:jc w:val="right"/>
              <w:rPr>
                <w:rFonts w:ascii="Calibri" w:eastAsia="Times New Roman" w:hAnsi="Calibri" w:cs="Calibri"/>
                <w:color w:val="000000"/>
                <w:sz w:val="20"/>
                <w:szCs w:val="20"/>
              </w:rPr>
            </w:pPr>
            <w:r w:rsidRPr="00E53FB9">
              <w:rPr>
                <w:rFonts w:ascii="Calibri" w:hAnsi="Calibri" w:cs="Calibri"/>
                <w:color w:val="000000"/>
                <w:sz w:val="20"/>
                <w:szCs w:val="20"/>
              </w:rPr>
              <w:t>273.18</w:t>
            </w:r>
          </w:p>
        </w:tc>
        <w:tc>
          <w:tcPr>
            <w:tcW w:w="1226" w:type="dxa"/>
            <w:tcBorders>
              <w:top w:val="nil"/>
              <w:left w:val="nil"/>
              <w:bottom w:val="single" w:sz="4" w:space="0" w:color="auto"/>
              <w:right w:val="single" w:sz="4" w:space="0" w:color="auto"/>
            </w:tcBorders>
            <w:shd w:val="clear" w:color="auto" w:fill="auto"/>
            <w:noWrap/>
            <w:vAlign w:val="bottom"/>
            <w:hideMark/>
          </w:tcPr>
          <w:p w14:paraId="01BA2837" w14:textId="5CD67C48" w:rsidR="005A70ED" w:rsidRPr="00E53FB9" w:rsidRDefault="005A70ED" w:rsidP="00C92CE7">
            <w:pPr>
              <w:spacing w:after="0"/>
              <w:jc w:val="right"/>
              <w:rPr>
                <w:rFonts w:ascii="Calibri" w:eastAsia="Times New Roman" w:hAnsi="Calibri" w:cs="Calibri"/>
                <w:color w:val="000000"/>
                <w:sz w:val="20"/>
                <w:szCs w:val="20"/>
              </w:rPr>
            </w:pPr>
            <w:r w:rsidRPr="00E53FB9">
              <w:rPr>
                <w:rFonts w:ascii="Calibri" w:hAnsi="Calibri" w:cs="Calibri"/>
                <w:color w:val="000000"/>
                <w:sz w:val="20"/>
                <w:szCs w:val="20"/>
              </w:rPr>
              <w:t>305</w:t>
            </w:r>
          </w:p>
        </w:tc>
      </w:tr>
    </w:tbl>
    <w:p w14:paraId="4761119E" w14:textId="77777777" w:rsidR="007852F8" w:rsidRPr="00E53FB9" w:rsidRDefault="007852F8" w:rsidP="00C92CE7"/>
    <w:p w14:paraId="2F350827" w14:textId="26DD29A4" w:rsidR="001D52B4" w:rsidRPr="00E53FB9" w:rsidRDefault="001D52B4" w:rsidP="00C92CE7">
      <w:r w:rsidRPr="00E53FB9">
        <w:t>The length of treatment analysis shows that the median length of treatment is approximately</w:t>
      </w:r>
      <w:r w:rsidR="0099655F">
        <w:t xml:space="preserve"> 10 months without accounting for breaks, and approximately nine months </w:t>
      </w:r>
      <w:r w:rsidR="000239F4">
        <w:t>accounting for breaks.</w:t>
      </w:r>
      <w:r w:rsidRPr="00E53FB9">
        <w:t xml:space="preserve"> </w:t>
      </w:r>
    </w:p>
    <w:p w14:paraId="16694F49" w14:textId="0998E973" w:rsidR="00BE779C" w:rsidRPr="00E53FB9" w:rsidRDefault="00BE779C" w:rsidP="00C92CE7">
      <w:r w:rsidRPr="00E53FB9">
        <w:t xml:space="preserve">Figures </w:t>
      </w:r>
      <w:r w:rsidR="00A57894" w:rsidRPr="00E53FB9">
        <w:t>4</w:t>
      </w:r>
      <w:r w:rsidRPr="00E53FB9">
        <w:t xml:space="preserve"> and </w:t>
      </w:r>
      <w:r w:rsidR="00A57894" w:rsidRPr="00E53FB9">
        <w:t>5</w:t>
      </w:r>
      <w:r w:rsidRPr="00E53FB9">
        <w:t xml:space="preserve"> below show the Kaplan Meier curves of the length of treatment without accounting for breaks and with accounting for breaks.</w:t>
      </w:r>
      <w:r w:rsidR="00215F82" w:rsidRPr="00E53FB9">
        <w:t xml:space="preserve"> </w:t>
      </w:r>
    </w:p>
    <w:p w14:paraId="36163DEB" w14:textId="77777777" w:rsidR="00263B6A" w:rsidRPr="00E53FB9" w:rsidRDefault="00263B6A" w:rsidP="00C92CE7"/>
    <w:p w14:paraId="401AAB0C" w14:textId="605DCD46" w:rsidR="00472415" w:rsidRPr="00E53FB9" w:rsidRDefault="00BF5C24" w:rsidP="00C92CE7">
      <w:r>
        <w:rPr>
          <w:noProof/>
        </w:rPr>
        <w:lastRenderedPageBreak/>
        <w:drawing>
          <wp:inline distT="0" distB="0" distL="0" distR="0" wp14:anchorId="61C9CF89" wp14:editId="4A169BA4">
            <wp:extent cx="5687695" cy="4265771"/>
            <wp:effectExtent l="0" t="0" r="8255" b="1905"/>
            <wp:docPr id="2" name="SASImage_59360151" descr="Product-Limit Survival Cur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ASImage_59360151" descr="Product-Limit Survival Curve"/>
                    <pic:cNvPicPr>
                      <a:picLocks/>
                    </pic:cNvPicPr>
                  </pic:nvPicPr>
                  <pic:blipFill>
                    <a:blip r:embed="rId21">
                      <a:extLst>
                        <a:ext uri="{28A0092B-C50C-407E-A947-70E740481C1C}">
                          <a14:useLocalDpi xmlns:a14="http://schemas.microsoft.com/office/drawing/2010/main" val="0"/>
                        </a:ext>
                      </a:extLst>
                    </a:blip>
                    <a:stretch>
                      <a:fillRect/>
                    </a:stretch>
                  </pic:blipFill>
                  <pic:spPr>
                    <a:xfrm>
                      <a:off x="0" y="0"/>
                      <a:ext cx="5687695" cy="4265771"/>
                    </a:xfrm>
                    <a:prstGeom prst="rect">
                      <a:avLst/>
                    </a:prstGeom>
                  </pic:spPr>
                </pic:pic>
              </a:graphicData>
            </a:graphic>
          </wp:inline>
        </w:drawing>
      </w:r>
    </w:p>
    <w:p w14:paraId="089BE5C9" w14:textId="3C5F66F7" w:rsidR="00472415" w:rsidRPr="00E53FB9" w:rsidRDefault="00BE779C" w:rsidP="00C92CE7">
      <w:pPr>
        <w:pStyle w:val="Figuretitle"/>
      </w:pPr>
      <w:r w:rsidRPr="00E53FB9">
        <w:t xml:space="preserve">Figure </w:t>
      </w:r>
      <w:r w:rsidR="00A57894" w:rsidRPr="00E53FB9">
        <w:t>4</w:t>
      </w:r>
      <w:r w:rsidRPr="00E53FB9">
        <w:t xml:space="preserve">: Kaplan Meier </w:t>
      </w:r>
      <w:r w:rsidR="00BA3B3B" w:rsidRPr="00E53FB9">
        <w:t>estimate</w:t>
      </w:r>
      <w:r w:rsidRPr="00E53FB9">
        <w:t xml:space="preserve"> of length of treatment without accounting for breaks</w:t>
      </w:r>
    </w:p>
    <w:p w14:paraId="688A8C98" w14:textId="1177A866" w:rsidR="00472415" w:rsidRPr="00E53FB9" w:rsidRDefault="00306F49" w:rsidP="00C92CE7">
      <w:r>
        <w:rPr>
          <w:noProof/>
        </w:rPr>
        <w:lastRenderedPageBreak/>
        <w:drawing>
          <wp:inline distT="0" distB="0" distL="0" distR="0" wp14:anchorId="36840787" wp14:editId="38C4F377">
            <wp:extent cx="5687695" cy="4265771"/>
            <wp:effectExtent l="0" t="0" r="8255" b="1905"/>
            <wp:docPr id="4" name="SASImage_846643705" descr="Product-Limit Survival Cur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ASImage_846643705" descr="Product-Limit Survival Curve"/>
                    <pic:cNvPicPr>
                      <a:picLocks/>
                    </pic:cNvPicPr>
                  </pic:nvPicPr>
                  <pic:blipFill>
                    <a:blip r:embed="rId22">
                      <a:extLst>
                        <a:ext uri="{28A0092B-C50C-407E-A947-70E740481C1C}">
                          <a14:useLocalDpi xmlns:a14="http://schemas.microsoft.com/office/drawing/2010/main" val="0"/>
                        </a:ext>
                      </a:extLst>
                    </a:blip>
                    <a:stretch>
                      <a:fillRect/>
                    </a:stretch>
                  </pic:blipFill>
                  <pic:spPr>
                    <a:xfrm>
                      <a:off x="0" y="0"/>
                      <a:ext cx="5687695" cy="4265771"/>
                    </a:xfrm>
                    <a:prstGeom prst="rect">
                      <a:avLst/>
                    </a:prstGeom>
                  </pic:spPr>
                </pic:pic>
              </a:graphicData>
            </a:graphic>
          </wp:inline>
        </w:drawing>
      </w:r>
    </w:p>
    <w:p w14:paraId="3176B95B" w14:textId="44E06280" w:rsidR="00BE779C" w:rsidRPr="00E53FB9" w:rsidRDefault="00BE779C" w:rsidP="00C92CE7">
      <w:pPr>
        <w:pStyle w:val="Figuretitle"/>
      </w:pPr>
      <w:r w:rsidRPr="00E53FB9">
        <w:t xml:space="preserve">Figure </w:t>
      </w:r>
      <w:r w:rsidR="00A57894" w:rsidRPr="00E53FB9">
        <w:t>5</w:t>
      </w:r>
      <w:r w:rsidRPr="00E53FB9">
        <w:t xml:space="preserve">: Kaplan Meier </w:t>
      </w:r>
      <w:r w:rsidR="00BA3B3B" w:rsidRPr="00E53FB9">
        <w:t>estimate</w:t>
      </w:r>
      <w:r w:rsidRPr="00E53FB9">
        <w:t xml:space="preserve"> of length of treatment, accounting for breaks</w:t>
      </w:r>
    </w:p>
    <w:p w14:paraId="0B65E466" w14:textId="77777777" w:rsidR="00472415" w:rsidRPr="00E53FB9" w:rsidRDefault="00472415" w:rsidP="00C92CE7"/>
    <w:p w14:paraId="7879C490" w14:textId="77777777" w:rsidR="00BF4089" w:rsidRPr="00E53FB9" w:rsidRDefault="00BF4089" w:rsidP="00C92CE7">
      <w:pPr>
        <w:spacing w:line="276" w:lineRule="auto"/>
        <w:rPr>
          <w:rFonts w:eastAsiaTheme="majorEastAsia" w:cstheme="majorBidi"/>
          <w:b/>
          <w:bCs/>
          <w:sz w:val="32"/>
          <w:szCs w:val="32"/>
        </w:rPr>
      </w:pPr>
      <w:r w:rsidRPr="00E53FB9">
        <w:br w:type="page"/>
      </w:r>
    </w:p>
    <w:p w14:paraId="3555DFBA" w14:textId="1F3CBF0B" w:rsidR="00591512" w:rsidRPr="00E53FB9" w:rsidRDefault="00AB3733" w:rsidP="00C92CE7">
      <w:pPr>
        <w:pStyle w:val="Heading1"/>
      </w:pPr>
      <w:r w:rsidRPr="00E53FB9">
        <w:lastRenderedPageBreak/>
        <w:t>D</w:t>
      </w:r>
      <w:r w:rsidR="007346C7" w:rsidRPr="00E53FB9">
        <w:t>iscussion</w:t>
      </w:r>
    </w:p>
    <w:p w14:paraId="65B09252" w14:textId="2890987C" w:rsidR="0009622C" w:rsidRPr="00E53FB9" w:rsidRDefault="00A96DAC" w:rsidP="00C92CE7">
      <w:r w:rsidRPr="00E53FB9">
        <w:t xml:space="preserve">There </w:t>
      </w:r>
      <w:r w:rsidR="00671198">
        <w:t>wa</w:t>
      </w:r>
      <w:r w:rsidRPr="00E53FB9">
        <w:t xml:space="preserve">s likely some </w:t>
      </w:r>
      <w:r w:rsidR="0083774D" w:rsidRPr="00E53FB9">
        <w:t xml:space="preserve">misattribution </w:t>
      </w:r>
      <w:r w:rsidRPr="00E53FB9">
        <w:t xml:space="preserve">of PBS item codes, </w:t>
      </w:r>
      <w:r w:rsidR="00672533" w:rsidRPr="00E53FB9">
        <w:t xml:space="preserve">which is </w:t>
      </w:r>
      <w:r w:rsidRPr="00E53FB9">
        <w:t>apparent from the proportion of males appearing in the data for ovarian cancer and the mixture of chemotherapy medicines supplied to these patients.</w:t>
      </w:r>
    </w:p>
    <w:p w14:paraId="3E996C91" w14:textId="32CACD0C" w:rsidR="00771B72" w:rsidRPr="00E53FB9" w:rsidRDefault="00381009" w:rsidP="00C92CE7">
      <w:r w:rsidRPr="00E53FB9">
        <w:t>The PBS restriction for bevacizumab state</w:t>
      </w:r>
      <w:r w:rsidR="00671198">
        <w:t>d</w:t>
      </w:r>
      <w:r w:rsidRPr="00E53FB9">
        <w:t xml:space="preserve"> that treatment must not exceed a lifetime total of 18 cycles of bevacizumab for epithelial ovarian, fallopian tube or primary peritoneal cancer. Although the most common number of treatments patients receive</w:t>
      </w:r>
      <w:r w:rsidR="00671198">
        <w:t>d</w:t>
      </w:r>
      <w:r w:rsidRPr="00E53FB9">
        <w:t xml:space="preserve"> </w:t>
      </w:r>
      <w:r w:rsidR="00671198">
        <w:t>wa</w:t>
      </w:r>
      <w:r w:rsidRPr="00E53FB9">
        <w:t>s 18, t</w:t>
      </w:r>
      <w:r w:rsidR="00771B72" w:rsidRPr="00E53FB9">
        <w:t xml:space="preserve">he mean and median number of treatments supplied </w:t>
      </w:r>
      <w:r w:rsidR="00671198">
        <w:t>wa</w:t>
      </w:r>
      <w:r w:rsidR="00771B72" w:rsidRPr="00E53FB9">
        <w:t>s less than 18</w:t>
      </w:r>
      <w:r w:rsidR="0002173F" w:rsidRPr="00E53FB9">
        <w:t xml:space="preserve">. This </w:t>
      </w:r>
      <w:r w:rsidR="002953B9" w:rsidRPr="00E53FB9">
        <w:t xml:space="preserve">may </w:t>
      </w:r>
      <w:r w:rsidR="00671198">
        <w:t xml:space="preserve">have </w:t>
      </w:r>
      <w:r w:rsidR="002953B9" w:rsidRPr="00E53FB9">
        <w:t>be</w:t>
      </w:r>
      <w:r w:rsidR="00671198">
        <w:t>en</w:t>
      </w:r>
      <w:r w:rsidR="002953B9" w:rsidRPr="00E53FB9">
        <w:t xml:space="preserve"> due to progressive disease preventing</w:t>
      </w:r>
      <w:r w:rsidR="006856D9" w:rsidRPr="00E53FB9">
        <w:t xml:space="preserve"> some patients </w:t>
      </w:r>
      <w:r w:rsidR="002953B9" w:rsidRPr="00E53FB9">
        <w:t>from completing 18 treatments</w:t>
      </w:r>
      <w:r w:rsidR="006856D9" w:rsidRPr="00E53FB9">
        <w:t xml:space="preserve">. </w:t>
      </w:r>
      <w:r w:rsidR="00771B72" w:rsidRPr="00E53FB9">
        <w:t>Th</w:t>
      </w:r>
      <w:r w:rsidR="00C53CAE" w:rsidRPr="00E53FB9">
        <w:t>e</w:t>
      </w:r>
      <w:r w:rsidR="00771B72" w:rsidRPr="00E53FB9">
        <w:t xml:space="preserve"> analysis also shows that only a few patients </w:t>
      </w:r>
      <w:r w:rsidR="00671198">
        <w:t>we</w:t>
      </w:r>
      <w:r w:rsidR="00771B72" w:rsidRPr="00E53FB9">
        <w:t xml:space="preserve">re receiving more than the recommended 18 treatments of bevacizumab. The limit of the number of treatments patients may receive </w:t>
      </w:r>
      <w:r w:rsidR="00671198">
        <w:t>wa</w:t>
      </w:r>
      <w:r w:rsidR="00771B72" w:rsidRPr="00E53FB9">
        <w:t xml:space="preserve">s likely contributing to the number of prevalent treated patients appearing to have stabilised. </w:t>
      </w:r>
    </w:p>
    <w:p w14:paraId="67D87D7C" w14:textId="547490FA" w:rsidR="00381009" w:rsidRPr="00E53FB9" w:rsidRDefault="00381009" w:rsidP="00C92CE7">
      <w:r w:rsidRPr="00E53FB9">
        <w:t xml:space="preserve">Although the number of patients treated was </w:t>
      </w:r>
      <w:r w:rsidR="0099655F">
        <w:t>close to the number predicted</w:t>
      </w:r>
      <w:r w:rsidRPr="00E53FB9">
        <w:t xml:space="preserve">, the number of prescriptions dispensed was overestimated. The final agreed estimates incorporated the recommendation of the PBAC, and assumed each treated patient would receive 18 cycles of bevacizumab, over approximately one year. The estimates did not account for the 39% of patients who entered the bevacizumab arm of the ICON-7 trial who did not complete the maximum number of 18 treatments. </w:t>
      </w:r>
      <w:r w:rsidR="006856D9" w:rsidRPr="00E53FB9">
        <w:t xml:space="preserve">The discordance between estimated patients and estimated prescriptions may be explained by </w:t>
      </w:r>
      <w:r w:rsidR="002953B9" w:rsidRPr="00E53FB9">
        <w:t xml:space="preserve">the mean and median number of treatments being less than 18, likely due to </w:t>
      </w:r>
      <w:r w:rsidR="0002173F" w:rsidRPr="00E53FB9">
        <w:t>discontinuation of pati</w:t>
      </w:r>
      <w:r w:rsidR="002953B9" w:rsidRPr="00E53FB9">
        <w:t>ents prior to 18 treatments</w:t>
      </w:r>
      <w:r w:rsidR="006856D9" w:rsidRPr="00E53FB9">
        <w:t xml:space="preserve">. </w:t>
      </w:r>
    </w:p>
    <w:p w14:paraId="63A72D69" w14:textId="77777777" w:rsidR="00917C19" w:rsidRDefault="00917C19" w:rsidP="00C92CE7">
      <w:pPr>
        <w:pStyle w:val="Heading1"/>
      </w:pPr>
      <w:r>
        <w:t>DUSC consideration</w:t>
      </w:r>
    </w:p>
    <w:p w14:paraId="4165DBCF" w14:textId="016E3F0E" w:rsidR="006E442F" w:rsidRPr="006E442F" w:rsidRDefault="006E442F" w:rsidP="00C92CE7">
      <w:pPr>
        <w:tabs>
          <w:tab w:val="left" w:pos="993"/>
        </w:tabs>
        <w:autoSpaceDE w:val="0"/>
        <w:autoSpaceDN w:val="0"/>
        <w:adjustRightInd w:val="0"/>
        <w:rPr>
          <w:rFonts w:cstheme="minorHAnsi"/>
          <w:bCs/>
        </w:rPr>
      </w:pPr>
      <w:r>
        <w:rPr>
          <w:rFonts w:cstheme="minorHAnsi"/>
          <w:bCs/>
        </w:rPr>
        <w:t xml:space="preserve">DUSC noted the number of initiating patients </w:t>
      </w:r>
      <w:r w:rsidR="00671198">
        <w:rPr>
          <w:rFonts w:cstheme="minorHAnsi"/>
          <w:bCs/>
        </w:rPr>
        <w:t>wa</w:t>
      </w:r>
      <w:r>
        <w:rPr>
          <w:rFonts w:cstheme="minorHAnsi"/>
          <w:bCs/>
        </w:rPr>
        <w:t xml:space="preserve">s steady, and commented the number of </w:t>
      </w:r>
      <w:r w:rsidRPr="006E442F">
        <w:rPr>
          <w:rFonts w:cstheme="minorHAnsi"/>
          <w:bCs/>
        </w:rPr>
        <w:t>dispensed prescriptions appeared to have stabilised after the first 12 months of listing.</w:t>
      </w:r>
    </w:p>
    <w:p w14:paraId="6CBD92F1" w14:textId="77777777" w:rsidR="006E442F" w:rsidRPr="006E442F" w:rsidRDefault="006E442F" w:rsidP="00C92CE7">
      <w:pPr>
        <w:tabs>
          <w:tab w:val="left" w:pos="993"/>
        </w:tabs>
        <w:autoSpaceDE w:val="0"/>
        <w:autoSpaceDN w:val="0"/>
        <w:adjustRightInd w:val="0"/>
        <w:rPr>
          <w:rFonts w:cstheme="minorHAnsi"/>
          <w:bCs/>
        </w:rPr>
      </w:pPr>
      <w:r w:rsidRPr="006E442F">
        <w:rPr>
          <w:rFonts w:cstheme="minorHAnsi"/>
          <w:bCs/>
        </w:rPr>
        <w:t>DUSC noted the report found 14% of patients who initiated to bevacizumab under the item codes for ovarian cancer were identified as male. DUSC noted the predicted versus actual analysis was based on all patients supplied bevacizumab under ovarian cancer item codes, including male patients.</w:t>
      </w:r>
    </w:p>
    <w:p w14:paraId="07F6FFA0" w14:textId="7C9A47A5" w:rsidR="006E442F" w:rsidRPr="006E442F" w:rsidRDefault="006E442F" w:rsidP="00C92CE7">
      <w:pPr>
        <w:tabs>
          <w:tab w:val="left" w:pos="993"/>
        </w:tabs>
        <w:autoSpaceDE w:val="0"/>
        <w:autoSpaceDN w:val="0"/>
        <w:adjustRightInd w:val="0"/>
        <w:rPr>
          <w:rFonts w:cstheme="minorHAnsi"/>
          <w:bCs/>
        </w:rPr>
      </w:pPr>
      <w:r w:rsidRPr="006E442F">
        <w:rPr>
          <w:rFonts w:cstheme="minorHAnsi"/>
          <w:bCs/>
        </w:rPr>
        <w:t>DUSC noted the predicted versus actual table was updated in the errors document. DUSC commented that the number of patients was overestimated in year 1, but was close to the predicted number in other years. DUSC considered this suggest</w:t>
      </w:r>
      <w:r w:rsidR="00671198">
        <w:rPr>
          <w:rFonts w:cstheme="minorHAnsi"/>
          <w:bCs/>
        </w:rPr>
        <w:t>ed</w:t>
      </w:r>
      <w:r w:rsidRPr="006E442F">
        <w:rPr>
          <w:rFonts w:cstheme="minorHAnsi"/>
          <w:bCs/>
        </w:rPr>
        <w:t xml:space="preserve"> all or most women who were eligible for treatment were able to access bevacizumab. DUSC noted the submission estimates were for listing years. As such, the overestimate in year 1 was because a half cycle correction had not been applied to account for the listing occurring part way through the initial year. DUSC noted the prescriptions were grossly overestimated in year 1, and overestimated in all out years.</w:t>
      </w:r>
    </w:p>
    <w:p w14:paraId="45C61093" w14:textId="77777777" w:rsidR="006E442F" w:rsidRPr="006E442F" w:rsidRDefault="006E442F" w:rsidP="00C92CE7">
      <w:pPr>
        <w:tabs>
          <w:tab w:val="left" w:pos="993"/>
        </w:tabs>
        <w:autoSpaceDE w:val="0"/>
        <w:autoSpaceDN w:val="0"/>
        <w:adjustRightInd w:val="0"/>
        <w:rPr>
          <w:rFonts w:cstheme="minorHAnsi"/>
          <w:bCs/>
        </w:rPr>
      </w:pPr>
      <w:r w:rsidRPr="006E442F">
        <w:rPr>
          <w:rFonts w:cstheme="minorHAnsi"/>
          <w:bCs/>
        </w:rPr>
        <w:t xml:space="preserve">DUSC noted prior and concurrent chemotherapy medicines were used to determine which patients were likely treated for ovarian cancer. DUSC noted there may have been ovarian </w:t>
      </w:r>
      <w:r w:rsidRPr="006E442F">
        <w:rPr>
          <w:rFonts w:cstheme="minorHAnsi"/>
          <w:bCs/>
        </w:rPr>
        <w:lastRenderedPageBreak/>
        <w:t xml:space="preserve">cancer patients treated under metastatic colorectal cancer item codes which would not have been included in this analysis. </w:t>
      </w:r>
    </w:p>
    <w:p w14:paraId="15525685" w14:textId="721416E6" w:rsidR="006E442F" w:rsidRPr="006E442F" w:rsidRDefault="006E442F" w:rsidP="00C92CE7">
      <w:pPr>
        <w:rPr>
          <w:rFonts w:cstheme="minorHAnsi"/>
        </w:rPr>
      </w:pPr>
      <w:r w:rsidRPr="006E442F">
        <w:rPr>
          <w:rFonts w:cstheme="minorHAnsi"/>
        </w:rPr>
        <w:t xml:space="preserve">DUSC noted the report presented a Kaplan Meier analysis to estimate duration in treatment, with and without breaks. DUSC commented that the vast majority (82%) of </w:t>
      </w:r>
      <w:r w:rsidR="00671198">
        <w:rPr>
          <w:rFonts w:cstheme="minorHAnsi"/>
        </w:rPr>
        <w:t>patients</w:t>
      </w:r>
      <w:r w:rsidR="00671198" w:rsidRPr="006E442F">
        <w:rPr>
          <w:rFonts w:cstheme="minorHAnsi"/>
        </w:rPr>
        <w:t xml:space="preserve"> </w:t>
      </w:r>
      <w:r w:rsidRPr="006E442F">
        <w:rPr>
          <w:rFonts w:cstheme="minorHAnsi"/>
        </w:rPr>
        <w:t xml:space="preserve">received one treatment episode. </w:t>
      </w:r>
    </w:p>
    <w:p w14:paraId="7F5CDCEC" w14:textId="3A5CCD7D" w:rsidR="006E442F" w:rsidRPr="006E442F" w:rsidRDefault="006E442F" w:rsidP="00C92CE7">
      <w:pPr>
        <w:tabs>
          <w:tab w:val="left" w:pos="993"/>
        </w:tabs>
        <w:autoSpaceDE w:val="0"/>
        <w:autoSpaceDN w:val="0"/>
        <w:adjustRightInd w:val="0"/>
        <w:rPr>
          <w:rFonts w:cstheme="minorHAnsi"/>
          <w:bCs/>
        </w:rPr>
      </w:pPr>
      <w:r w:rsidRPr="006E442F">
        <w:rPr>
          <w:rFonts w:cstheme="minorHAnsi"/>
          <w:bCs/>
        </w:rPr>
        <w:t xml:space="preserve">DUSC noted the analysis of the number of treatments </w:t>
      </w:r>
      <w:r w:rsidR="00671198">
        <w:rPr>
          <w:rFonts w:cstheme="minorHAnsi"/>
          <w:bCs/>
        </w:rPr>
        <w:t xml:space="preserve">that </w:t>
      </w:r>
      <w:r w:rsidRPr="006E442F">
        <w:rPr>
          <w:rFonts w:cstheme="minorHAnsi"/>
          <w:bCs/>
        </w:rPr>
        <w:t>patients received. DUSC noted that half of the patients in the analysis had 15 treatments or less, which suggest</w:t>
      </w:r>
      <w:r w:rsidR="00671198">
        <w:rPr>
          <w:rFonts w:cstheme="minorHAnsi"/>
          <w:bCs/>
        </w:rPr>
        <w:t>ed</w:t>
      </w:r>
      <w:r w:rsidRPr="006E442F">
        <w:rPr>
          <w:rFonts w:cstheme="minorHAnsi"/>
          <w:bCs/>
        </w:rPr>
        <w:t xml:space="preserve"> some patients </w:t>
      </w:r>
      <w:r w:rsidR="00671198">
        <w:rPr>
          <w:rFonts w:cstheme="minorHAnsi"/>
          <w:bCs/>
        </w:rPr>
        <w:t>we</w:t>
      </w:r>
      <w:r w:rsidRPr="006E442F">
        <w:rPr>
          <w:rFonts w:cstheme="minorHAnsi"/>
          <w:bCs/>
        </w:rPr>
        <w:t>re not completing the full course of bevacizumab. DUSC noted this align</w:t>
      </w:r>
      <w:r w:rsidR="00671198">
        <w:rPr>
          <w:rFonts w:cstheme="minorHAnsi"/>
          <w:bCs/>
        </w:rPr>
        <w:t>ed</w:t>
      </w:r>
      <w:r w:rsidRPr="006E442F">
        <w:rPr>
          <w:rFonts w:cstheme="minorHAnsi"/>
          <w:bCs/>
        </w:rPr>
        <w:t xml:space="preserve"> with the overestimate of prescriptions seen in the predicted versus actual analysis. DUSC noted that 10% of patients received more than 18 treatments. DUSC considered the number receiving more than 18 treatments may increase in the future. </w:t>
      </w:r>
    </w:p>
    <w:p w14:paraId="5C66A80A" w14:textId="310A031E" w:rsidR="006E442F" w:rsidRPr="006E442F" w:rsidRDefault="006E442F" w:rsidP="00C92CE7">
      <w:pPr>
        <w:tabs>
          <w:tab w:val="left" w:pos="993"/>
        </w:tabs>
        <w:autoSpaceDE w:val="0"/>
        <w:autoSpaceDN w:val="0"/>
        <w:adjustRightInd w:val="0"/>
        <w:rPr>
          <w:rFonts w:cstheme="minorHAnsi"/>
        </w:rPr>
      </w:pPr>
      <w:r w:rsidRPr="006E442F">
        <w:rPr>
          <w:rFonts w:cstheme="minorHAnsi"/>
          <w:bCs/>
        </w:rPr>
        <w:t xml:space="preserve">DUSC noted the comments regarding the report from the consumer organisation Ovarian Cancer Australia. </w:t>
      </w:r>
    </w:p>
    <w:p w14:paraId="03F53D3E" w14:textId="77777777" w:rsidR="00917C19" w:rsidRDefault="00917C19" w:rsidP="00C92CE7">
      <w:pPr>
        <w:pStyle w:val="Heading1"/>
      </w:pPr>
      <w:r>
        <w:t>DUSC actions</w:t>
      </w:r>
    </w:p>
    <w:p w14:paraId="4A018E16" w14:textId="77777777" w:rsidR="0099655F" w:rsidRPr="009A7115" w:rsidRDefault="0099655F" w:rsidP="00C92CE7">
      <w:pPr>
        <w:numPr>
          <w:ilvl w:val="0"/>
          <w:numId w:val="15"/>
        </w:numPr>
        <w:spacing w:after="0"/>
        <w:ind w:left="709"/>
        <w:contextualSpacing/>
        <w:rPr>
          <w:b/>
        </w:rPr>
      </w:pPr>
      <w:r w:rsidRPr="00D648D5">
        <w:rPr>
          <w:rFonts w:cs="Times New Roman"/>
        </w:rPr>
        <w:t>DUSC requested that the report be provided to the PBAC.</w:t>
      </w:r>
    </w:p>
    <w:p w14:paraId="74B08358" w14:textId="77777777" w:rsidR="00917C19" w:rsidRDefault="00917C19" w:rsidP="00C92CE7">
      <w:pPr>
        <w:pStyle w:val="Heading1"/>
      </w:pPr>
      <w:r w:rsidRPr="0092516A">
        <w:t>Context for analysis</w:t>
      </w:r>
    </w:p>
    <w:p w14:paraId="32ABAC7F" w14:textId="77777777" w:rsidR="00917C19" w:rsidRDefault="00917C19" w:rsidP="00C92CE7">
      <w:r>
        <w:t>The DUSC is a Sub Committee of the Pharmaceutical Benefits Advisory Committee (PBAC). The DUSC assesses estimates on projected usage and financial cost of medicines.</w:t>
      </w:r>
    </w:p>
    <w:p w14:paraId="7F0562C5" w14:textId="77777777" w:rsidR="00917C19" w:rsidRDefault="00917C19" w:rsidP="00C92CE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CAB0938" w14:textId="77777777" w:rsidR="00917C19" w:rsidRDefault="00917C19" w:rsidP="00C92CE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88D612B" w14:textId="77777777" w:rsidR="00917C19" w:rsidRDefault="00917C19" w:rsidP="00C92CE7">
      <w:r>
        <w:t>The utilisation analysis report was provided to the pharmaceutical sponsors of each drug and comments on the report were provided to DUSC prior to its consideration of the analysis.</w:t>
      </w:r>
    </w:p>
    <w:p w14:paraId="02D56E77" w14:textId="77777777" w:rsidR="00917C19" w:rsidRDefault="00917C19" w:rsidP="00C92CE7">
      <w:pPr>
        <w:pStyle w:val="Heading1"/>
      </w:pPr>
      <w:r>
        <w:t>Sponsor</w:t>
      </w:r>
      <w:r w:rsidRPr="0092516A">
        <w:t>s</w:t>
      </w:r>
      <w:r>
        <w:t>’</w:t>
      </w:r>
      <w:r w:rsidRPr="0092516A">
        <w:t xml:space="preserve"> comments</w:t>
      </w:r>
    </w:p>
    <w:p w14:paraId="6DC6A145" w14:textId="5AA25310" w:rsidR="000239F4" w:rsidRDefault="000239F4" w:rsidP="00C92CE7">
      <w:r w:rsidRPr="000239F4">
        <w:t>Roche Products Pty Limited:</w:t>
      </w:r>
      <w:r w:rsidR="00C92CE7">
        <w:t xml:space="preserve"> The sponsor has</w:t>
      </w:r>
      <w:bookmarkStart w:id="5" w:name="_GoBack"/>
      <w:bookmarkEnd w:id="5"/>
      <w:r w:rsidR="00365809">
        <w:t xml:space="preserve"> no comment.</w:t>
      </w:r>
    </w:p>
    <w:p w14:paraId="59D44777" w14:textId="7825B2FF" w:rsidR="00917C19" w:rsidRDefault="00917C19" w:rsidP="00C92CE7">
      <w:pPr>
        <w:pStyle w:val="Heading1"/>
      </w:pPr>
      <w:r w:rsidRPr="00A4020E">
        <w:lastRenderedPageBreak/>
        <w:t>Disclaimer</w:t>
      </w:r>
    </w:p>
    <w:p w14:paraId="3FC6768C" w14:textId="77777777" w:rsidR="00917C19" w:rsidRDefault="00917C19" w:rsidP="00C92CE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3BBEBC4A" w14:textId="77777777" w:rsidR="00917C19" w:rsidRDefault="00917C19" w:rsidP="00C92CE7">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F4A3E26" w14:textId="77777777" w:rsidR="00917C19" w:rsidRDefault="00917C19" w:rsidP="00C92CE7">
      <w:r>
        <w:t xml:space="preserve">To the extent provided by law, DoH makes no warranties or representations as to accuracy or completeness of information contained in this report. </w:t>
      </w:r>
    </w:p>
    <w:p w14:paraId="7E3EF46B" w14:textId="77777777" w:rsidR="00917C19" w:rsidRDefault="00917C19" w:rsidP="00C92CE7">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46C0FCD6" w14:textId="77777777" w:rsidR="00917C19" w:rsidRPr="00E53FB9" w:rsidRDefault="00917C19" w:rsidP="00C92CE7"/>
    <w:p w14:paraId="503C8C23" w14:textId="225610D1" w:rsidR="00AF0CF9" w:rsidRPr="00E53FB9" w:rsidRDefault="00AF0CF9" w:rsidP="00C92CE7">
      <w:r w:rsidRPr="00E53FB9">
        <w:br w:type="page"/>
      </w:r>
    </w:p>
    <w:p w14:paraId="7C4E4AB9" w14:textId="2F54005E" w:rsidR="002C6E0C" w:rsidRPr="00E53FB9" w:rsidRDefault="00AF0CF9" w:rsidP="00C92CE7">
      <w:pPr>
        <w:pStyle w:val="Heading1"/>
      </w:pPr>
      <w:r w:rsidRPr="00E53FB9">
        <w:lastRenderedPageBreak/>
        <w:t>Appendix A</w:t>
      </w:r>
    </w:p>
    <w:p w14:paraId="4FD54746" w14:textId="70D23894" w:rsidR="00DF4F7D" w:rsidRPr="00E53FB9" w:rsidRDefault="00DF4F7D" w:rsidP="00C92CE7">
      <w:pPr>
        <w:pStyle w:val="Notes"/>
        <w:rPr>
          <w:rFonts w:cstheme="minorHAnsi"/>
          <w:sz w:val="24"/>
          <w:szCs w:val="24"/>
        </w:rPr>
      </w:pPr>
      <w:r w:rsidRPr="00E53FB9">
        <w:rPr>
          <w:rFonts w:cstheme="minorHAnsi"/>
          <w:sz w:val="24"/>
          <w:szCs w:val="24"/>
        </w:rPr>
        <w:t xml:space="preserve">The analysis of bevacizumab use by item code and gender indicates that there may </w:t>
      </w:r>
      <w:r w:rsidR="00D2084C">
        <w:rPr>
          <w:rFonts w:cstheme="minorHAnsi"/>
          <w:sz w:val="24"/>
          <w:szCs w:val="24"/>
        </w:rPr>
        <w:t xml:space="preserve">have </w:t>
      </w:r>
      <w:r w:rsidRPr="00E53FB9">
        <w:rPr>
          <w:rFonts w:cstheme="minorHAnsi"/>
          <w:sz w:val="24"/>
          <w:szCs w:val="24"/>
        </w:rPr>
        <w:t>be</w:t>
      </w:r>
      <w:r w:rsidR="00D2084C">
        <w:rPr>
          <w:rFonts w:cstheme="minorHAnsi"/>
          <w:sz w:val="24"/>
          <w:szCs w:val="24"/>
        </w:rPr>
        <w:t>en</w:t>
      </w:r>
      <w:r w:rsidRPr="00E53FB9">
        <w:rPr>
          <w:rFonts w:cstheme="minorHAnsi"/>
          <w:sz w:val="24"/>
          <w:szCs w:val="24"/>
        </w:rPr>
        <w:t xml:space="preserve"> incorrect PBS item code selection. To assess the number and duration of bevacizumab treatment</w:t>
      </w:r>
      <w:r w:rsidR="00B3785B" w:rsidRPr="00E53FB9">
        <w:rPr>
          <w:rFonts w:cstheme="minorHAnsi"/>
          <w:sz w:val="24"/>
          <w:szCs w:val="24"/>
        </w:rPr>
        <w:t>s without confounding from this miscoding</w:t>
      </w:r>
      <w:r w:rsidR="00D2084C">
        <w:rPr>
          <w:rFonts w:cstheme="minorHAnsi"/>
          <w:sz w:val="24"/>
          <w:szCs w:val="24"/>
        </w:rPr>
        <w:t>,</w:t>
      </w:r>
      <w:r w:rsidR="00B3785B" w:rsidRPr="00E53FB9">
        <w:rPr>
          <w:rFonts w:cstheme="minorHAnsi"/>
          <w:sz w:val="24"/>
          <w:szCs w:val="24"/>
        </w:rPr>
        <w:t xml:space="preserve"> a cohort of patients was identified where the indication for use was validated. This included patients who had received a supply of bevacizumab under a PBS item code for epithelial ovarian, fallopian tube or primary peritoneal cancer; and were supplied chemotherapy used to treat epithelial ovarian, fallopian tube or primary peritoneal cancer; </w:t>
      </w:r>
      <w:r w:rsidR="00CF72F1" w:rsidRPr="00E53FB9">
        <w:rPr>
          <w:rFonts w:cstheme="minorHAnsi"/>
          <w:sz w:val="24"/>
          <w:szCs w:val="24"/>
        </w:rPr>
        <w:t>and</w:t>
      </w:r>
      <w:r w:rsidR="00B3785B" w:rsidRPr="00E53FB9">
        <w:rPr>
          <w:rFonts w:cstheme="minorHAnsi"/>
          <w:sz w:val="24"/>
          <w:szCs w:val="24"/>
        </w:rPr>
        <w:t xml:space="preserve"> were supplied a mean bevacizumab dose consistent with use for these indications.</w:t>
      </w:r>
      <w:r w:rsidR="00CF72F1" w:rsidRPr="00E53FB9">
        <w:rPr>
          <w:rFonts w:cstheme="minorHAnsi"/>
          <w:sz w:val="24"/>
          <w:szCs w:val="24"/>
        </w:rPr>
        <w:t xml:space="preserve"> </w:t>
      </w:r>
      <w:r w:rsidR="00742FF7" w:rsidRPr="00E53FB9">
        <w:rPr>
          <w:rFonts w:cstheme="minorHAnsi"/>
          <w:sz w:val="24"/>
          <w:szCs w:val="24"/>
        </w:rPr>
        <w:t xml:space="preserve">All </w:t>
      </w:r>
      <w:r w:rsidR="00DE147B" w:rsidRPr="00E53FB9">
        <w:rPr>
          <w:rFonts w:cstheme="minorHAnsi"/>
          <w:sz w:val="24"/>
          <w:szCs w:val="24"/>
        </w:rPr>
        <w:t xml:space="preserve">patients in the resulting cohort </w:t>
      </w:r>
      <w:r w:rsidR="00742FF7" w:rsidRPr="00E53FB9">
        <w:rPr>
          <w:rFonts w:cstheme="minorHAnsi"/>
          <w:sz w:val="24"/>
          <w:szCs w:val="24"/>
        </w:rPr>
        <w:t>had gender recorded as female.</w:t>
      </w:r>
    </w:p>
    <w:p w14:paraId="5C33E43C" w14:textId="39C6286C" w:rsidR="00B3785B" w:rsidRPr="00E53FB9" w:rsidRDefault="00B3785B" w:rsidP="00C92CE7">
      <w:pPr>
        <w:pStyle w:val="Notes"/>
        <w:rPr>
          <w:rFonts w:cstheme="minorHAnsi"/>
          <w:sz w:val="24"/>
          <w:szCs w:val="24"/>
        </w:rPr>
      </w:pPr>
      <w:r w:rsidRPr="00E53FB9">
        <w:rPr>
          <w:rFonts w:cstheme="minorHAnsi"/>
          <w:sz w:val="24"/>
          <w:szCs w:val="24"/>
        </w:rPr>
        <w:t>Chemotherapy</w:t>
      </w:r>
      <w:r w:rsidR="00387749" w:rsidRPr="00E53FB9">
        <w:rPr>
          <w:rFonts w:cstheme="minorHAnsi"/>
          <w:sz w:val="24"/>
          <w:szCs w:val="24"/>
        </w:rPr>
        <w:t xml:space="preserve"> medicines commonly </w:t>
      </w:r>
      <w:r w:rsidR="00586BF3" w:rsidRPr="00E53FB9">
        <w:rPr>
          <w:rFonts w:cstheme="minorHAnsi"/>
          <w:sz w:val="24"/>
          <w:szCs w:val="24"/>
        </w:rPr>
        <w:t>prescribed</w:t>
      </w:r>
      <w:r w:rsidRPr="00E53FB9">
        <w:rPr>
          <w:rFonts w:cstheme="minorHAnsi"/>
          <w:sz w:val="24"/>
          <w:szCs w:val="24"/>
        </w:rPr>
        <w:t xml:space="preserve"> for colorectal cancer, cervical cancer and ovarian, fallopian tube or primary peritoneal cancer were identified through clinical guidelines</w:t>
      </w:r>
      <w:r w:rsidR="00387749" w:rsidRPr="00E53FB9">
        <w:rPr>
          <w:rFonts w:cstheme="minorHAnsi"/>
          <w:sz w:val="24"/>
          <w:szCs w:val="24"/>
        </w:rPr>
        <w:t xml:space="preserve"> and PBAC consideration</w:t>
      </w:r>
      <w:r w:rsidRPr="00E53FB9">
        <w:rPr>
          <w:rFonts w:cstheme="minorHAnsi"/>
          <w:sz w:val="24"/>
          <w:szCs w:val="24"/>
        </w:rPr>
        <w:t xml:space="preserve"> </w:t>
      </w:r>
      <w:r w:rsidR="00387749" w:rsidRPr="00E53FB9">
        <w:rPr>
          <w:rFonts w:cstheme="minorHAnsi"/>
          <w:sz w:val="24"/>
          <w:szCs w:val="24"/>
        </w:rPr>
        <w:t>of chemotherapy used in clinical practice</w:t>
      </w:r>
      <w:r w:rsidRPr="00E53FB9">
        <w:rPr>
          <w:rFonts w:cstheme="minorHAnsi"/>
          <w:sz w:val="24"/>
          <w:szCs w:val="24"/>
        </w:rPr>
        <w:t>.</w:t>
      </w:r>
    </w:p>
    <w:p w14:paraId="58B80A27" w14:textId="20C26725" w:rsidR="00387749" w:rsidRPr="00E53FB9" w:rsidRDefault="00387749" w:rsidP="00C92CE7">
      <w:pPr>
        <w:pStyle w:val="Notes"/>
        <w:rPr>
          <w:rFonts w:cstheme="minorHAnsi"/>
          <w:sz w:val="24"/>
          <w:szCs w:val="24"/>
        </w:rPr>
      </w:pPr>
      <w:r w:rsidRPr="00E53FB9">
        <w:rPr>
          <w:rFonts w:cstheme="minorHAnsi"/>
          <w:sz w:val="24"/>
          <w:szCs w:val="24"/>
        </w:rPr>
        <w:t xml:space="preserve">For ovarian, fallopian tube and primary peritoneal cancer the PBAC had noted that while carboplatin plus paclitaxel is the most commonly used doublet chemotherapy regimen, in clinical practice docetaxel may be substituted for paclitaxel and cisplatin may be used instead of carboplatin. The PBAC also noted that monotherapy with carboplatin was often used in elderly patients or individuals who were unable to tolerate taxanes. </w:t>
      </w:r>
    </w:p>
    <w:p w14:paraId="1A1AF7F8" w14:textId="09E6D0C4" w:rsidR="00E87EE9" w:rsidRPr="00E53FB9" w:rsidRDefault="00E87EE9" w:rsidP="00C92CE7">
      <w:pPr>
        <w:pStyle w:val="Notes"/>
        <w:rPr>
          <w:rFonts w:ascii="Calibri" w:hAnsi="Calibri" w:cs="Calibri"/>
          <w:sz w:val="24"/>
          <w:szCs w:val="24"/>
        </w:rPr>
      </w:pPr>
      <w:r w:rsidRPr="00E53FB9">
        <w:rPr>
          <w:rFonts w:cstheme="minorHAnsi"/>
          <w:sz w:val="24"/>
          <w:szCs w:val="24"/>
        </w:rPr>
        <w:t>The treatment</w:t>
      </w:r>
      <w:r w:rsidRPr="00E53FB9">
        <w:rPr>
          <w:rFonts w:ascii="Calibri" w:hAnsi="Calibri" w:cs="Calibri"/>
          <w:sz w:val="24"/>
          <w:szCs w:val="24"/>
        </w:rPr>
        <w:t xml:space="preserve"> regimens listed on eviQ for </w:t>
      </w:r>
      <w:r w:rsidRPr="00E53FB9">
        <w:rPr>
          <w:rStyle w:val="Hyperlink"/>
          <w:color w:val="auto"/>
          <w:sz w:val="24"/>
          <w:szCs w:val="24"/>
          <w:u w:val="none"/>
        </w:rPr>
        <w:t xml:space="preserve">metastatic colorectal cancer and </w:t>
      </w:r>
      <w:r w:rsidRPr="00E53FB9">
        <w:rPr>
          <w:rFonts w:ascii="Calibri" w:hAnsi="Calibri" w:cs="Calibri"/>
          <w:sz w:val="24"/>
          <w:szCs w:val="24"/>
        </w:rPr>
        <w:t>advanced carcinoma of cervix that include bevacizumab are summarised below.</w:t>
      </w:r>
      <w:r w:rsidRPr="00E53FB9">
        <w:rPr>
          <w:rFonts w:cstheme="minorHAnsi"/>
          <w:sz w:val="24"/>
          <w:szCs w:val="24"/>
          <w:vertAlign w:val="superscript"/>
        </w:rPr>
        <w:fldChar w:fldCharType="begin"/>
      </w:r>
      <w:r w:rsidRPr="00E53FB9">
        <w:rPr>
          <w:rFonts w:cstheme="minorHAnsi"/>
          <w:sz w:val="24"/>
          <w:szCs w:val="24"/>
          <w:vertAlign w:val="superscript"/>
        </w:rPr>
        <w:instrText xml:space="preserve"> NOTEREF _Ref522894841 \h  \* MERGEFORMAT </w:instrText>
      </w:r>
      <w:r w:rsidRPr="00E53FB9">
        <w:rPr>
          <w:rFonts w:cstheme="minorHAnsi"/>
          <w:sz w:val="24"/>
          <w:szCs w:val="24"/>
          <w:vertAlign w:val="superscript"/>
        </w:rPr>
      </w:r>
      <w:r w:rsidRPr="00E53FB9">
        <w:rPr>
          <w:rFonts w:cstheme="minorHAnsi"/>
          <w:sz w:val="24"/>
          <w:szCs w:val="24"/>
          <w:vertAlign w:val="superscript"/>
        </w:rPr>
        <w:fldChar w:fldCharType="separate"/>
      </w:r>
      <w:r w:rsidR="00F06D9A">
        <w:rPr>
          <w:rFonts w:cstheme="minorHAnsi"/>
          <w:sz w:val="24"/>
          <w:szCs w:val="24"/>
          <w:vertAlign w:val="superscript"/>
        </w:rPr>
        <w:t>6</w:t>
      </w:r>
      <w:r w:rsidRPr="00E53FB9">
        <w:rPr>
          <w:rFonts w:cstheme="minorHAnsi"/>
          <w:sz w:val="24"/>
          <w:szCs w:val="24"/>
          <w:vertAlign w:val="superscript"/>
        </w:rPr>
        <w:fldChar w:fldCharType="end"/>
      </w:r>
    </w:p>
    <w:p w14:paraId="17A7A6CF" w14:textId="77777777" w:rsidR="00E87EE9" w:rsidRPr="00E53FB9" w:rsidRDefault="00E87EE9" w:rsidP="00C92CE7">
      <w:pPr>
        <w:pStyle w:val="Notes"/>
        <w:spacing w:after="0"/>
        <w:rPr>
          <w:rStyle w:val="Hyperlink"/>
          <w:color w:val="auto"/>
          <w:sz w:val="24"/>
          <w:szCs w:val="24"/>
          <w:u w:val="none"/>
        </w:rPr>
      </w:pPr>
      <w:r w:rsidRPr="00E53FB9">
        <w:rPr>
          <w:rStyle w:val="Hyperlink"/>
          <w:color w:val="auto"/>
          <w:sz w:val="24"/>
          <w:szCs w:val="24"/>
          <w:u w:val="none"/>
        </w:rPr>
        <w:t xml:space="preserve">In advanced carcinoma of the cervix bevacizumab (15 mg per kg) is used: </w:t>
      </w:r>
    </w:p>
    <w:p w14:paraId="15B71224" w14:textId="77777777" w:rsidR="00E87EE9" w:rsidRPr="00E53FB9" w:rsidRDefault="00E87EE9" w:rsidP="00C92CE7">
      <w:pPr>
        <w:pStyle w:val="Notes"/>
        <w:numPr>
          <w:ilvl w:val="0"/>
          <w:numId w:val="10"/>
        </w:numPr>
        <w:spacing w:after="0"/>
        <w:ind w:left="714" w:hanging="357"/>
        <w:rPr>
          <w:rStyle w:val="Hyperlink"/>
          <w:color w:val="auto"/>
          <w:sz w:val="24"/>
          <w:szCs w:val="24"/>
          <w:u w:val="none"/>
        </w:rPr>
      </w:pPr>
      <w:r w:rsidRPr="00E53FB9">
        <w:rPr>
          <w:rStyle w:val="Hyperlink"/>
          <w:color w:val="auto"/>
          <w:sz w:val="24"/>
          <w:szCs w:val="24"/>
          <w:u w:val="none"/>
        </w:rPr>
        <w:t>in combination with paclitaxel and carboplatin, and</w:t>
      </w:r>
    </w:p>
    <w:p w14:paraId="2B3FB8BC" w14:textId="77777777" w:rsidR="00E87EE9" w:rsidRPr="00E53FB9" w:rsidRDefault="00E87EE9" w:rsidP="00C92CE7">
      <w:pPr>
        <w:pStyle w:val="Notes"/>
        <w:numPr>
          <w:ilvl w:val="0"/>
          <w:numId w:val="10"/>
        </w:numPr>
        <w:ind w:left="714" w:hanging="357"/>
        <w:rPr>
          <w:rStyle w:val="Hyperlink"/>
          <w:color w:val="auto"/>
          <w:sz w:val="24"/>
          <w:szCs w:val="24"/>
          <w:u w:val="none"/>
        </w:rPr>
      </w:pPr>
      <w:r w:rsidRPr="00E53FB9">
        <w:rPr>
          <w:rStyle w:val="Hyperlink"/>
          <w:color w:val="auto"/>
          <w:sz w:val="24"/>
          <w:szCs w:val="24"/>
          <w:u w:val="none"/>
        </w:rPr>
        <w:t>in combination with paclitaxel and cisplatin.</w:t>
      </w:r>
    </w:p>
    <w:p w14:paraId="469ECCFA" w14:textId="77777777" w:rsidR="00E87EE9" w:rsidRPr="00E53FB9" w:rsidRDefault="00E87EE9" w:rsidP="00C92CE7">
      <w:pPr>
        <w:pStyle w:val="Notes"/>
        <w:spacing w:before="200" w:after="0"/>
        <w:rPr>
          <w:rStyle w:val="Hyperlink"/>
          <w:color w:val="auto"/>
          <w:sz w:val="24"/>
          <w:szCs w:val="24"/>
          <w:u w:val="none"/>
        </w:rPr>
      </w:pPr>
      <w:r w:rsidRPr="00E53FB9">
        <w:rPr>
          <w:rStyle w:val="Hyperlink"/>
          <w:color w:val="auto"/>
          <w:sz w:val="24"/>
          <w:szCs w:val="24"/>
          <w:u w:val="none"/>
        </w:rPr>
        <w:t xml:space="preserve">In metastatic colorectal cancer bevacizumab (5 mg per kg or 7.5 mg per kg) is used: </w:t>
      </w:r>
    </w:p>
    <w:p w14:paraId="552A7400" w14:textId="77777777" w:rsidR="00E87EE9" w:rsidRPr="00E53FB9" w:rsidRDefault="00E87EE9" w:rsidP="00C92CE7">
      <w:pPr>
        <w:pStyle w:val="Notes"/>
        <w:numPr>
          <w:ilvl w:val="0"/>
          <w:numId w:val="12"/>
        </w:numPr>
        <w:spacing w:after="0"/>
        <w:ind w:left="714" w:hanging="357"/>
        <w:rPr>
          <w:rStyle w:val="Hyperlink"/>
          <w:color w:val="auto"/>
          <w:sz w:val="24"/>
          <w:szCs w:val="24"/>
          <w:u w:val="none"/>
        </w:rPr>
      </w:pPr>
      <w:r w:rsidRPr="00E53FB9">
        <w:rPr>
          <w:rStyle w:val="Hyperlink"/>
          <w:color w:val="auto"/>
          <w:sz w:val="24"/>
          <w:szCs w:val="24"/>
          <w:u w:val="none"/>
        </w:rPr>
        <w:t>in combination with capecitabine;</w:t>
      </w:r>
    </w:p>
    <w:p w14:paraId="58B11464" w14:textId="77777777" w:rsidR="00E87EE9" w:rsidRPr="00E53FB9" w:rsidRDefault="00E87EE9" w:rsidP="00C92CE7">
      <w:pPr>
        <w:pStyle w:val="Notes"/>
        <w:numPr>
          <w:ilvl w:val="0"/>
          <w:numId w:val="12"/>
        </w:numPr>
        <w:spacing w:after="0"/>
        <w:ind w:left="714" w:hanging="357"/>
        <w:rPr>
          <w:rStyle w:val="Hyperlink"/>
          <w:color w:val="auto"/>
          <w:sz w:val="24"/>
          <w:szCs w:val="24"/>
          <w:u w:val="none"/>
        </w:rPr>
      </w:pPr>
      <w:r w:rsidRPr="00E53FB9">
        <w:rPr>
          <w:rStyle w:val="Hyperlink"/>
          <w:color w:val="auto"/>
          <w:sz w:val="24"/>
          <w:szCs w:val="24"/>
          <w:u w:val="none"/>
        </w:rPr>
        <w:t>in combination with irinotecan and capecitabine;</w:t>
      </w:r>
    </w:p>
    <w:p w14:paraId="1C682BDA" w14:textId="77777777" w:rsidR="00E87EE9" w:rsidRPr="00E53FB9" w:rsidRDefault="00E87EE9" w:rsidP="00C92CE7">
      <w:pPr>
        <w:pStyle w:val="Notes"/>
        <w:numPr>
          <w:ilvl w:val="0"/>
          <w:numId w:val="12"/>
        </w:numPr>
        <w:spacing w:after="0"/>
        <w:ind w:left="714" w:hanging="357"/>
        <w:rPr>
          <w:rStyle w:val="Hyperlink"/>
          <w:color w:val="auto"/>
          <w:sz w:val="24"/>
          <w:szCs w:val="24"/>
          <w:u w:val="none"/>
        </w:rPr>
      </w:pPr>
      <w:r w:rsidRPr="00E53FB9">
        <w:rPr>
          <w:rStyle w:val="Hyperlink"/>
          <w:color w:val="auto"/>
          <w:sz w:val="24"/>
          <w:szCs w:val="24"/>
          <w:u w:val="none"/>
        </w:rPr>
        <w:t>in combination with oxaliplatin and capecitabine;</w:t>
      </w:r>
    </w:p>
    <w:p w14:paraId="636716C5" w14:textId="77777777" w:rsidR="00E87EE9" w:rsidRPr="00E53FB9" w:rsidRDefault="00E87EE9" w:rsidP="00C92CE7">
      <w:pPr>
        <w:pStyle w:val="Notes"/>
        <w:numPr>
          <w:ilvl w:val="0"/>
          <w:numId w:val="11"/>
        </w:numPr>
        <w:spacing w:after="0"/>
        <w:ind w:left="714" w:hanging="357"/>
        <w:rPr>
          <w:rStyle w:val="Hyperlink"/>
          <w:color w:val="auto"/>
          <w:sz w:val="24"/>
          <w:szCs w:val="24"/>
          <w:u w:val="none"/>
        </w:rPr>
      </w:pPr>
      <w:r w:rsidRPr="00E53FB9">
        <w:rPr>
          <w:rStyle w:val="Hyperlink"/>
          <w:color w:val="auto"/>
          <w:sz w:val="24"/>
          <w:szCs w:val="24"/>
          <w:u w:val="none"/>
        </w:rPr>
        <w:t>in combination with irinotecan, calcium folinate (leucovorin), and fluorouracil;</w:t>
      </w:r>
    </w:p>
    <w:p w14:paraId="04E175D6" w14:textId="77777777" w:rsidR="00E87EE9" w:rsidRPr="00E53FB9" w:rsidRDefault="00E87EE9" w:rsidP="00C92CE7">
      <w:pPr>
        <w:pStyle w:val="Notes"/>
        <w:numPr>
          <w:ilvl w:val="0"/>
          <w:numId w:val="11"/>
        </w:numPr>
        <w:spacing w:after="0"/>
        <w:ind w:left="714" w:hanging="357"/>
        <w:rPr>
          <w:rStyle w:val="Hyperlink"/>
          <w:color w:val="auto"/>
          <w:sz w:val="24"/>
          <w:szCs w:val="24"/>
          <w:u w:val="none"/>
        </w:rPr>
      </w:pPr>
      <w:r w:rsidRPr="00E53FB9">
        <w:rPr>
          <w:rStyle w:val="Hyperlink"/>
          <w:color w:val="auto"/>
          <w:sz w:val="24"/>
          <w:szCs w:val="24"/>
          <w:u w:val="none"/>
        </w:rPr>
        <w:t xml:space="preserve">in combination with oxaliplatin, calcium folinate (leucovorin), and fluorouracil; </w:t>
      </w:r>
    </w:p>
    <w:p w14:paraId="5872464B" w14:textId="77777777" w:rsidR="00E87EE9" w:rsidRPr="00E53FB9" w:rsidRDefault="00E87EE9" w:rsidP="00C92CE7">
      <w:pPr>
        <w:pStyle w:val="Notes"/>
        <w:numPr>
          <w:ilvl w:val="0"/>
          <w:numId w:val="11"/>
        </w:numPr>
        <w:spacing w:after="0"/>
        <w:ind w:left="714" w:hanging="357"/>
        <w:rPr>
          <w:rStyle w:val="Hyperlink"/>
          <w:color w:val="auto"/>
          <w:sz w:val="24"/>
          <w:szCs w:val="24"/>
          <w:u w:val="none"/>
        </w:rPr>
      </w:pPr>
      <w:r w:rsidRPr="00E53FB9">
        <w:rPr>
          <w:rStyle w:val="Hyperlink"/>
          <w:color w:val="auto"/>
          <w:sz w:val="24"/>
          <w:szCs w:val="24"/>
          <w:u w:val="none"/>
        </w:rPr>
        <w:t>in combination with irinotecan, oxaliplatin, calcium folinate (leucovorin), and fluorouracil; and</w:t>
      </w:r>
    </w:p>
    <w:p w14:paraId="32FF83E3" w14:textId="77777777" w:rsidR="00E87EE9" w:rsidRPr="00E53FB9" w:rsidRDefault="00E87EE9" w:rsidP="00C92CE7">
      <w:pPr>
        <w:pStyle w:val="Notes"/>
        <w:numPr>
          <w:ilvl w:val="0"/>
          <w:numId w:val="11"/>
        </w:numPr>
        <w:ind w:left="714" w:hanging="357"/>
        <w:rPr>
          <w:rStyle w:val="Hyperlink"/>
          <w:color w:val="auto"/>
          <w:sz w:val="24"/>
          <w:szCs w:val="24"/>
          <w:u w:val="none"/>
        </w:rPr>
      </w:pPr>
      <w:r w:rsidRPr="00E53FB9">
        <w:rPr>
          <w:rStyle w:val="Hyperlink"/>
          <w:color w:val="auto"/>
          <w:sz w:val="24"/>
          <w:szCs w:val="24"/>
          <w:u w:val="none"/>
        </w:rPr>
        <w:t>in combination with calcium folinate (leucovorin), and fluorouracil.</w:t>
      </w:r>
    </w:p>
    <w:p w14:paraId="0F7370BD" w14:textId="77777777" w:rsidR="00E87EE9" w:rsidRPr="00E53FB9" w:rsidRDefault="00E87EE9" w:rsidP="00C92CE7">
      <w:pPr>
        <w:pStyle w:val="Notes"/>
        <w:rPr>
          <w:rStyle w:val="Hyperlink"/>
          <w:color w:val="auto"/>
          <w:sz w:val="24"/>
          <w:szCs w:val="24"/>
          <w:u w:val="none"/>
        </w:rPr>
      </w:pPr>
      <w:r w:rsidRPr="00E53FB9">
        <w:rPr>
          <w:rStyle w:val="Hyperlink"/>
          <w:color w:val="auto"/>
          <w:sz w:val="24"/>
          <w:szCs w:val="24"/>
          <w:u w:val="none"/>
        </w:rPr>
        <w:t xml:space="preserve">For details on eviQ recommended treatment regimens refer to </w:t>
      </w:r>
      <w:hyperlink r:id="rId23" w:history="1">
        <w:r w:rsidRPr="00E53FB9">
          <w:rPr>
            <w:rStyle w:val="Hyperlink"/>
            <w:sz w:val="24"/>
            <w:szCs w:val="24"/>
          </w:rPr>
          <w:t>eviQ</w:t>
        </w:r>
      </w:hyperlink>
      <w:r w:rsidRPr="00E53FB9">
        <w:rPr>
          <w:rStyle w:val="Hyperlink"/>
          <w:color w:val="auto"/>
          <w:sz w:val="24"/>
          <w:szCs w:val="24"/>
          <w:u w:val="none"/>
        </w:rPr>
        <w:t>.</w:t>
      </w:r>
    </w:p>
    <w:p w14:paraId="562841D9" w14:textId="2E4BADBA" w:rsidR="00B172CD" w:rsidRPr="00E53FB9" w:rsidRDefault="00B172CD" w:rsidP="00C92CE7">
      <w:r w:rsidRPr="00E53FB9">
        <w:t>Based on</w:t>
      </w:r>
      <w:r w:rsidR="00255745" w:rsidRPr="00E53FB9">
        <w:t xml:space="preserve"> the </w:t>
      </w:r>
      <w:r w:rsidRPr="00E53FB9">
        <w:t xml:space="preserve"> common chemotherapy drug regimens </w:t>
      </w:r>
      <w:r w:rsidR="00255745" w:rsidRPr="00E53FB9">
        <w:t>above</w:t>
      </w:r>
      <w:r w:rsidRPr="00E53FB9">
        <w:t xml:space="preserve">, PBS prescription data were extracted for carboplatin, paclitaxel, cisplatin, docetaxel, irinotecan, capecitabine, oxaliplatin, fluorouracil and folinic acid from 1 August 2014 to 31 July 2018. The number of supplies of each chemotherapy medicine was counted for these patients, and the mean dose of bevacizumab was calculated for each patient. Then, each patient was assigned a likely indication based on the rules in Table </w:t>
      </w:r>
      <w:r w:rsidR="00255745" w:rsidRPr="00E53FB9">
        <w:t>A.1</w:t>
      </w:r>
      <w:r w:rsidRPr="00E53FB9">
        <w:t xml:space="preserve">. For more information see </w:t>
      </w:r>
      <w:r w:rsidR="00255745" w:rsidRPr="00E53FB9">
        <w:t xml:space="preserve">Figure </w:t>
      </w:r>
      <w:r w:rsidRPr="00E53FB9">
        <w:t>A</w:t>
      </w:r>
      <w:r w:rsidR="00255745" w:rsidRPr="00E53FB9">
        <w:t>.1</w:t>
      </w:r>
      <w:r w:rsidRPr="00E53FB9">
        <w:t xml:space="preserve">. </w:t>
      </w:r>
    </w:p>
    <w:p w14:paraId="65AA4ADC" w14:textId="77777777" w:rsidR="00EB5044" w:rsidRPr="00E53FB9" w:rsidRDefault="00EB5044" w:rsidP="00C92CE7">
      <w:r w:rsidRPr="00E53FB9">
        <w:lastRenderedPageBreak/>
        <w:t>The length of treatment and the number of treatments patients were supplied were analysed for the 1,249 patients likely to have ovarian cancer.</w:t>
      </w:r>
    </w:p>
    <w:p w14:paraId="45D3B3EC" w14:textId="77777777" w:rsidR="00EB5044" w:rsidRPr="00E53FB9" w:rsidRDefault="00EB5044" w:rsidP="00C92CE7"/>
    <w:p w14:paraId="6BFB413E" w14:textId="6E9392A2" w:rsidR="00846271" w:rsidRPr="00E53FB9" w:rsidRDefault="00846271" w:rsidP="00C92CE7">
      <w:pPr>
        <w:pStyle w:val="Tabletitle"/>
      </w:pPr>
      <w:r w:rsidRPr="00E53FB9">
        <w:t xml:space="preserve">Table </w:t>
      </w:r>
      <w:r w:rsidR="00B172CD" w:rsidRPr="00E53FB9">
        <w:t>A.1</w:t>
      </w:r>
      <w:r w:rsidRPr="00E53FB9">
        <w:t>: Validation of disease using chemotherapy prescriptions</w:t>
      </w:r>
    </w:p>
    <w:tbl>
      <w:tblPr>
        <w:tblStyle w:val="TableGrid"/>
        <w:tblW w:w="9173" w:type="dxa"/>
        <w:tblLook w:val="04A0" w:firstRow="1" w:lastRow="0" w:firstColumn="1" w:lastColumn="0" w:noHBand="0" w:noVBand="1"/>
        <w:tblCaption w:val="Validation of disease using chemotherapy prescriptions"/>
        <w:tblDescription w:val="Validation of disease using chemotherapy prescriptions"/>
      </w:tblPr>
      <w:tblGrid>
        <w:gridCol w:w="1577"/>
        <w:gridCol w:w="1648"/>
        <w:gridCol w:w="1767"/>
        <w:gridCol w:w="2284"/>
        <w:gridCol w:w="1897"/>
      </w:tblGrid>
      <w:tr w:rsidR="00846271" w:rsidRPr="00E53FB9" w14:paraId="4DE5E5DF" w14:textId="77777777" w:rsidTr="00976808">
        <w:trPr>
          <w:tblHeader/>
        </w:trPr>
        <w:tc>
          <w:tcPr>
            <w:tcW w:w="1577" w:type="dxa"/>
            <w:shd w:val="clear" w:color="auto" w:fill="BFBFBF" w:themeFill="background1" w:themeFillShade="BF"/>
            <w:vAlign w:val="center"/>
          </w:tcPr>
          <w:p w14:paraId="2102E448" w14:textId="77777777" w:rsidR="00846271" w:rsidRPr="00E53FB9" w:rsidRDefault="00846271" w:rsidP="00C92CE7">
            <w:pPr>
              <w:jc w:val="center"/>
              <w:rPr>
                <w:b/>
              </w:rPr>
            </w:pPr>
            <w:r w:rsidRPr="00E53FB9">
              <w:rPr>
                <w:b/>
                <w:sz w:val="20"/>
                <w:szCs w:val="20"/>
              </w:rPr>
              <w:t>Number of supplies of carboplatin, paclitaxel, cisplatin and docetaxel</w:t>
            </w:r>
          </w:p>
        </w:tc>
        <w:tc>
          <w:tcPr>
            <w:tcW w:w="1648" w:type="dxa"/>
            <w:shd w:val="clear" w:color="auto" w:fill="BFBFBF" w:themeFill="background1" w:themeFillShade="BF"/>
            <w:vAlign w:val="center"/>
          </w:tcPr>
          <w:p w14:paraId="06FC6245" w14:textId="77777777" w:rsidR="00846271" w:rsidRPr="00E53FB9" w:rsidRDefault="00846271" w:rsidP="00C92CE7">
            <w:pPr>
              <w:jc w:val="center"/>
              <w:rPr>
                <w:b/>
                <w:sz w:val="20"/>
                <w:szCs w:val="20"/>
              </w:rPr>
            </w:pPr>
            <w:r w:rsidRPr="00E53FB9">
              <w:rPr>
                <w:b/>
                <w:sz w:val="20"/>
                <w:szCs w:val="20"/>
              </w:rPr>
              <w:t>Number of supplies of irinotecan, capecitabine, oxaliplatin, fluorouracil and folinic acid</w:t>
            </w:r>
          </w:p>
        </w:tc>
        <w:tc>
          <w:tcPr>
            <w:tcW w:w="1767" w:type="dxa"/>
            <w:shd w:val="clear" w:color="auto" w:fill="BFBFBF" w:themeFill="background1" w:themeFillShade="BF"/>
            <w:vAlign w:val="center"/>
          </w:tcPr>
          <w:p w14:paraId="1B52A8D1" w14:textId="77777777" w:rsidR="00846271" w:rsidRPr="00E53FB9" w:rsidRDefault="00846271" w:rsidP="00C92CE7">
            <w:pPr>
              <w:jc w:val="center"/>
              <w:rPr>
                <w:b/>
                <w:sz w:val="20"/>
                <w:szCs w:val="20"/>
              </w:rPr>
            </w:pPr>
            <w:r w:rsidRPr="00E53FB9">
              <w:rPr>
                <w:b/>
                <w:sz w:val="20"/>
                <w:szCs w:val="20"/>
              </w:rPr>
              <w:t>Mean dose of bevacizumab</w:t>
            </w:r>
          </w:p>
        </w:tc>
        <w:tc>
          <w:tcPr>
            <w:tcW w:w="2284" w:type="dxa"/>
            <w:shd w:val="clear" w:color="auto" w:fill="BFBFBF" w:themeFill="background1" w:themeFillShade="BF"/>
            <w:vAlign w:val="center"/>
          </w:tcPr>
          <w:p w14:paraId="4D2312CC" w14:textId="77777777" w:rsidR="00846271" w:rsidRPr="00E53FB9" w:rsidRDefault="00846271" w:rsidP="00C92CE7">
            <w:pPr>
              <w:jc w:val="center"/>
              <w:rPr>
                <w:b/>
              </w:rPr>
            </w:pPr>
            <w:r w:rsidRPr="00E53FB9">
              <w:rPr>
                <w:b/>
                <w:sz w:val="20"/>
                <w:szCs w:val="20"/>
              </w:rPr>
              <w:t>Assigned indication</w:t>
            </w:r>
          </w:p>
        </w:tc>
        <w:tc>
          <w:tcPr>
            <w:tcW w:w="1897" w:type="dxa"/>
            <w:shd w:val="clear" w:color="auto" w:fill="BFBFBF" w:themeFill="background1" w:themeFillShade="BF"/>
            <w:vAlign w:val="center"/>
          </w:tcPr>
          <w:p w14:paraId="5594F0C7" w14:textId="77777777" w:rsidR="00846271" w:rsidRPr="00E53FB9" w:rsidRDefault="00846271" w:rsidP="00C92CE7">
            <w:pPr>
              <w:jc w:val="center"/>
              <w:rPr>
                <w:b/>
                <w:sz w:val="20"/>
                <w:szCs w:val="20"/>
              </w:rPr>
            </w:pPr>
            <w:r w:rsidRPr="00E53FB9">
              <w:rPr>
                <w:b/>
                <w:sz w:val="20"/>
                <w:szCs w:val="20"/>
              </w:rPr>
              <w:t>Number of patients</w:t>
            </w:r>
          </w:p>
        </w:tc>
      </w:tr>
      <w:tr w:rsidR="00846271" w:rsidRPr="00E53FB9" w14:paraId="0054BBA6" w14:textId="77777777" w:rsidTr="002A49C6">
        <w:tc>
          <w:tcPr>
            <w:tcW w:w="1577" w:type="dxa"/>
            <w:vMerge w:val="restart"/>
            <w:vAlign w:val="center"/>
          </w:tcPr>
          <w:p w14:paraId="07B08537" w14:textId="77777777" w:rsidR="00846271" w:rsidRPr="00E53FB9" w:rsidRDefault="00846271" w:rsidP="00C92CE7">
            <w:pPr>
              <w:jc w:val="center"/>
              <w:rPr>
                <w:sz w:val="20"/>
                <w:szCs w:val="20"/>
              </w:rPr>
            </w:pPr>
            <w:r w:rsidRPr="00E53FB9">
              <w:rPr>
                <w:sz w:val="20"/>
                <w:szCs w:val="20"/>
              </w:rPr>
              <w:t>≥ 1</w:t>
            </w:r>
          </w:p>
        </w:tc>
        <w:tc>
          <w:tcPr>
            <w:tcW w:w="1648" w:type="dxa"/>
            <w:vMerge w:val="restart"/>
            <w:vAlign w:val="center"/>
          </w:tcPr>
          <w:p w14:paraId="19F3435C" w14:textId="77777777" w:rsidR="00846271" w:rsidRPr="00E53FB9" w:rsidRDefault="00846271" w:rsidP="00C92CE7">
            <w:pPr>
              <w:jc w:val="center"/>
              <w:rPr>
                <w:sz w:val="20"/>
                <w:szCs w:val="20"/>
              </w:rPr>
            </w:pPr>
            <w:r w:rsidRPr="00E53FB9">
              <w:rPr>
                <w:sz w:val="20"/>
                <w:szCs w:val="20"/>
              </w:rPr>
              <w:t>0</w:t>
            </w:r>
          </w:p>
        </w:tc>
        <w:tc>
          <w:tcPr>
            <w:tcW w:w="1767" w:type="dxa"/>
            <w:vAlign w:val="center"/>
          </w:tcPr>
          <w:p w14:paraId="246BD2A0" w14:textId="77777777" w:rsidR="00846271" w:rsidRPr="00E53FB9" w:rsidRDefault="00846271" w:rsidP="00C92CE7">
            <w:pPr>
              <w:jc w:val="center"/>
              <w:rPr>
                <w:sz w:val="20"/>
                <w:szCs w:val="20"/>
              </w:rPr>
            </w:pPr>
            <w:r w:rsidRPr="00E53FB9">
              <w:rPr>
                <w:rFonts w:cstheme="minorHAnsi"/>
                <w:sz w:val="20"/>
                <w:szCs w:val="20"/>
              </w:rPr>
              <w:t>≤ 900 mg</w:t>
            </w:r>
          </w:p>
        </w:tc>
        <w:tc>
          <w:tcPr>
            <w:tcW w:w="2284" w:type="dxa"/>
            <w:vAlign w:val="center"/>
          </w:tcPr>
          <w:p w14:paraId="577C126D" w14:textId="77777777" w:rsidR="00846271" w:rsidRPr="00E53FB9" w:rsidRDefault="00846271" w:rsidP="00C92CE7">
            <w:pPr>
              <w:jc w:val="center"/>
              <w:rPr>
                <w:sz w:val="20"/>
                <w:szCs w:val="20"/>
              </w:rPr>
            </w:pPr>
            <w:r w:rsidRPr="00E53FB9">
              <w:rPr>
                <w:sz w:val="20"/>
                <w:szCs w:val="20"/>
              </w:rPr>
              <w:t>Ovarian cancer</w:t>
            </w:r>
          </w:p>
        </w:tc>
        <w:tc>
          <w:tcPr>
            <w:tcW w:w="1897" w:type="dxa"/>
          </w:tcPr>
          <w:p w14:paraId="4DDBB251" w14:textId="77777777" w:rsidR="00846271" w:rsidRPr="00E53FB9" w:rsidRDefault="00846271" w:rsidP="00C92CE7">
            <w:pPr>
              <w:jc w:val="center"/>
              <w:rPr>
                <w:sz w:val="20"/>
                <w:szCs w:val="20"/>
              </w:rPr>
            </w:pPr>
            <w:r w:rsidRPr="00E53FB9">
              <w:rPr>
                <w:sz w:val="20"/>
                <w:szCs w:val="20"/>
              </w:rPr>
              <w:t>1,249</w:t>
            </w:r>
          </w:p>
        </w:tc>
      </w:tr>
      <w:tr w:rsidR="00846271" w:rsidRPr="00E53FB9" w14:paraId="519AEED4" w14:textId="77777777" w:rsidTr="002A49C6">
        <w:tc>
          <w:tcPr>
            <w:tcW w:w="1577" w:type="dxa"/>
            <w:vMerge/>
            <w:vAlign w:val="center"/>
          </w:tcPr>
          <w:p w14:paraId="4DAF8A33" w14:textId="77777777" w:rsidR="00846271" w:rsidRPr="00E53FB9" w:rsidRDefault="00846271" w:rsidP="00C92CE7">
            <w:pPr>
              <w:jc w:val="center"/>
            </w:pPr>
          </w:p>
        </w:tc>
        <w:tc>
          <w:tcPr>
            <w:tcW w:w="1648" w:type="dxa"/>
            <w:vMerge/>
            <w:vAlign w:val="center"/>
          </w:tcPr>
          <w:p w14:paraId="62559786" w14:textId="77777777" w:rsidR="00846271" w:rsidRPr="00E53FB9" w:rsidRDefault="00846271" w:rsidP="00C92CE7">
            <w:pPr>
              <w:jc w:val="center"/>
            </w:pPr>
          </w:p>
        </w:tc>
        <w:tc>
          <w:tcPr>
            <w:tcW w:w="1767" w:type="dxa"/>
            <w:vAlign w:val="center"/>
          </w:tcPr>
          <w:p w14:paraId="08A2E578" w14:textId="77777777" w:rsidR="00846271" w:rsidRPr="00E53FB9" w:rsidRDefault="00846271" w:rsidP="00C92CE7">
            <w:pPr>
              <w:jc w:val="center"/>
              <w:rPr>
                <w:sz w:val="20"/>
                <w:szCs w:val="20"/>
              </w:rPr>
            </w:pPr>
            <w:r w:rsidRPr="00E53FB9">
              <w:rPr>
                <w:sz w:val="20"/>
                <w:szCs w:val="20"/>
              </w:rPr>
              <w:t>&gt; 900 mg</w:t>
            </w:r>
          </w:p>
        </w:tc>
        <w:tc>
          <w:tcPr>
            <w:tcW w:w="2284" w:type="dxa"/>
            <w:vAlign w:val="center"/>
          </w:tcPr>
          <w:p w14:paraId="6C49F4BF" w14:textId="77777777" w:rsidR="00846271" w:rsidRPr="00E53FB9" w:rsidRDefault="00846271" w:rsidP="00C92CE7">
            <w:pPr>
              <w:jc w:val="center"/>
            </w:pPr>
            <w:r w:rsidRPr="00E53FB9">
              <w:rPr>
                <w:sz w:val="20"/>
                <w:szCs w:val="20"/>
              </w:rPr>
              <w:t>Cervical cancer</w:t>
            </w:r>
          </w:p>
        </w:tc>
        <w:tc>
          <w:tcPr>
            <w:tcW w:w="1897" w:type="dxa"/>
          </w:tcPr>
          <w:p w14:paraId="6C3F4084" w14:textId="77777777" w:rsidR="00846271" w:rsidRPr="00E53FB9" w:rsidRDefault="00846271" w:rsidP="00C92CE7">
            <w:pPr>
              <w:jc w:val="center"/>
              <w:rPr>
                <w:sz w:val="20"/>
                <w:szCs w:val="20"/>
              </w:rPr>
            </w:pPr>
            <w:r w:rsidRPr="00E53FB9">
              <w:rPr>
                <w:sz w:val="20"/>
                <w:szCs w:val="20"/>
              </w:rPr>
              <w:t>18</w:t>
            </w:r>
          </w:p>
        </w:tc>
      </w:tr>
      <w:tr w:rsidR="00846271" w:rsidRPr="00E53FB9" w14:paraId="7E5FE2D9" w14:textId="77777777" w:rsidTr="002A49C6">
        <w:tc>
          <w:tcPr>
            <w:tcW w:w="1577" w:type="dxa"/>
            <w:vAlign w:val="center"/>
          </w:tcPr>
          <w:p w14:paraId="3FC923FE" w14:textId="77777777" w:rsidR="00846271" w:rsidRPr="00E53FB9" w:rsidRDefault="00846271" w:rsidP="00C92CE7">
            <w:pPr>
              <w:jc w:val="center"/>
            </w:pPr>
            <w:r w:rsidRPr="00E53FB9">
              <w:rPr>
                <w:sz w:val="20"/>
                <w:szCs w:val="20"/>
              </w:rPr>
              <w:t>0</w:t>
            </w:r>
          </w:p>
        </w:tc>
        <w:tc>
          <w:tcPr>
            <w:tcW w:w="1648" w:type="dxa"/>
            <w:vAlign w:val="center"/>
          </w:tcPr>
          <w:p w14:paraId="22768D1C" w14:textId="77777777" w:rsidR="00846271" w:rsidRPr="00E53FB9" w:rsidRDefault="00846271" w:rsidP="00C92CE7">
            <w:pPr>
              <w:jc w:val="center"/>
            </w:pPr>
            <w:r w:rsidRPr="00E53FB9">
              <w:rPr>
                <w:sz w:val="20"/>
                <w:szCs w:val="20"/>
              </w:rPr>
              <w:t>≥ 1</w:t>
            </w:r>
          </w:p>
        </w:tc>
        <w:tc>
          <w:tcPr>
            <w:tcW w:w="1767" w:type="dxa"/>
            <w:vAlign w:val="center"/>
          </w:tcPr>
          <w:p w14:paraId="391029BD" w14:textId="77777777" w:rsidR="00846271" w:rsidRPr="00E53FB9" w:rsidRDefault="00846271" w:rsidP="00C92CE7">
            <w:pPr>
              <w:jc w:val="center"/>
              <w:rPr>
                <w:sz w:val="20"/>
                <w:szCs w:val="20"/>
              </w:rPr>
            </w:pPr>
          </w:p>
        </w:tc>
        <w:tc>
          <w:tcPr>
            <w:tcW w:w="2284" w:type="dxa"/>
            <w:vAlign w:val="center"/>
          </w:tcPr>
          <w:p w14:paraId="3C1E04D6" w14:textId="77777777" w:rsidR="00846271" w:rsidRPr="00E53FB9" w:rsidRDefault="00846271" w:rsidP="00C92CE7">
            <w:pPr>
              <w:jc w:val="center"/>
            </w:pPr>
            <w:r w:rsidRPr="00E53FB9">
              <w:rPr>
                <w:sz w:val="20"/>
                <w:szCs w:val="20"/>
              </w:rPr>
              <w:t>Metastatic colorectal cancer</w:t>
            </w:r>
          </w:p>
        </w:tc>
        <w:tc>
          <w:tcPr>
            <w:tcW w:w="1897" w:type="dxa"/>
          </w:tcPr>
          <w:p w14:paraId="66AC6307" w14:textId="77777777" w:rsidR="00846271" w:rsidRPr="00E53FB9" w:rsidRDefault="00846271" w:rsidP="00C92CE7">
            <w:pPr>
              <w:jc w:val="center"/>
              <w:rPr>
                <w:sz w:val="20"/>
                <w:szCs w:val="20"/>
              </w:rPr>
            </w:pPr>
            <w:r w:rsidRPr="00E53FB9">
              <w:rPr>
                <w:sz w:val="20"/>
                <w:szCs w:val="20"/>
              </w:rPr>
              <w:t>358</w:t>
            </w:r>
          </w:p>
        </w:tc>
      </w:tr>
      <w:tr w:rsidR="00846271" w:rsidRPr="00E53FB9" w14:paraId="2284E976" w14:textId="77777777" w:rsidTr="002A49C6">
        <w:tc>
          <w:tcPr>
            <w:tcW w:w="1577" w:type="dxa"/>
            <w:vAlign w:val="center"/>
          </w:tcPr>
          <w:p w14:paraId="3F8EA0D5" w14:textId="77777777" w:rsidR="00846271" w:rsidRPr="00E53FB9" w:rsidRDefault="00846271" w:rsidP="00C92CE7">
            <w:pPr>
              <w:jc w:val="center"/>
            </w:pPr>
            <w:r w:rsidRPr="00E53FB9">
              <w:rPr>
                <w:sz w:val="20"/>
                <w:szCs w:val="20"/>
              </w:rPr>
              <w:t>0</w:t>
            </w:r>
          </w:p>
        </w:tc>
        <w:tc>
          <w:tcPr>
            <w:tcW w:w="1648" w:type="dxa"/>
            <w:vAlign w:val="center"/>
          </w:tcPr>
          <w:p w14:paraId="5DBCEAE9" w14:textId="77777777" w:rsidR="00846271" w:rsidRPr="00E53FB9" w:rsidRDefault="00846271" w:rsidP="00C92CE7">
            <w:pPr>
              <w:jc w:val="center"/>
            </w:pPr>
            <w:r w:rsidRPr="00E53FB9">
              <w:rPr>
                <w:sz w:val="20"/>
                <w:szCs w:val="20"/>
              </w:rPr>
              <w:t>0</w:t>
            </w:r>
          </w:p>
        </w:tc>
        <w:tc>
          <w:tcPr>
            <w:tcW w:w="1767" w:type="dxa"/>
            <w:vAlign w:val="center"/>
          </w:tcPr>
          <w:p w14:paraId="338CDD30" w14:textId="77777777" w:rsidR="00846271" w:rsidRPr="00E53FB9" w:rsidRDefault="00846271" w:rsidP="00C92CE7">
            <w:pPr>
              <w:jc w:val="center"/>
              <w:rPr>
                <w:sz w:val="20"/>
                <w:szCs w:val="20"/>
              </w:rPr>
            </w:pPr>
          </w:p>
        </w:tc>
        <w:tc>
          <w:tcPr>
            <w:tcW w:w="2284" w:type="dxa"/>
            <w:vAlign w:val="center"/>
          </w:tcPr>
          <w:p w14:paraId="3E0E4D89" w14:textId="77777777" w:rsidR="00846271" w:rsidRPr="00E53FB9" w:rsidRDefault="00846271" w:rsidP="00C92CE7">
            <w:pPr>
              <w:jc w:val="center"/>
            </w:pPr>
            <w:r w:rsidRPr="00E53FB9">
              <w:rPr>
                <w:sz w:val="20"/>
                <w:szCs w:val="20"/>
              </w:rPr>
              <w:t>Nil determined</w:t>
            </w:r>
          </w:p>
        </w:tc>
        <w:tc>
          <w:tcPr>
            <w:tcW w:w="1897" w:type="dxa"/>
          </w:tcPr>
          <w:p w14:paraId="45C1451B" w14:textId="77777777" w:rsidR="00846271" w:rsidRPr="00E53FB9" w:rsidRDefault="00846271" w:rsidP="00C92CE7">
            <w:pPr>
              <w:jc w:val="center"/>
              <w:rPr>
                <w:sz w:val="20"/>
                <w:szCs w:val="20"/>
              </w:rPr>
            </w:pPr>
            <w:r w:rsidRPr="00E53FB9">
              <w:rPr>
                <w:sz w:val="20"/>
                <w:szCs w:val="20"/>
              </w:rPr>
              <w:t>25</w:t>
            </w:r>
          </w:p>
        </w:tc>
      </w:tr>
      <w:tr w:rsidR="00846271" w:rsidRPr="00E53FB9" w14:paraId="612FE345" w14:textId="77777777" w:rsidTr="002A49C6">
        <w:tc>
          <w:tcPr>
            <w:tcW w:w="1577" w:type="dxa"/>
            <w:vAlign w:val="center"/>
          </w:tcPr>
          <w:p w14:paraId="5FFD26BC" w14:textId="77777777" w:rsidR="00846271" w:rsidRPr="00E53FB9" w:rsidRDefault="00846271" w:rsidP="00C92CE7">
            <w:pPr>
              <w:jc w:val="center"/>
            </w:pPr>
            <w:r w:rsidRPr="00E53FB9">
              <w:rPr>
                <w:sz w:val="20"/>
                <w:szCs w:val="20"/>
              </w:rPr>
              <w:t>≥ 1</w:t>
            </w:r>
          </w:p>
        </w:tc>
        <w:tc>
          <w:tcPr>
            <w:tcW w:w="1648" w:type="dxa"/>
            <w:vAlign w:val="center"/>
          </w:tcPr>
          <w:p w14:paraId="0DC3F675" w14:textId="77777777" w:rsidR="00846271" w:rsidRPr="00E53FB9" w:rsidRDefault="00846271" w:rsidP="00C92CE7">
            <w:pPr>
              <w:jc w:val="center"/>
            </w:pPr>
            <w:r w:rsidRPr="00E53FB9">
              <w:rPr>
                <w:sz w:val="20"/>
                <w:szCs w:val="20"/>
              </w:rPr>
              <w:t>≥ 1</w:t>
            </w:r>
          </w:p>
        </w:tc>
        <w:tc>
          <w:tcPr>
            <w:tcW w:w="1767" w:type="dxa"/>
            <w:vAlign w:val="center"/>
          </w:tcPr>
          <w:p w14:paraId="31D29928" w14:textId="77777777" w:rsidR="00846271" w:rsidRPr="00E53FB9" w:rsidRDefault="00846271" w:rsidP="00C92CE7">
            <w:pPr>
              <w:jc w:val="center"/>
              <w:rPr>
                <w:sz w:val="20"/>
                <w:szCs w:val="20"/>
              </w:rPr>
            </w:pPr>
          </w:p>
        </w:tc>
        <w:tc>
          <w:tcPr>
            <w:tcW w:w="2284" w:type="dxa"/>
            <w:vAlign w:val="center"/>
          </w:tcPr>
          <w:p w14:paraId="774A6546" w14:textId="77777777" w:rsidR="00846271" w:rsidRPr="00E53FB9" w:rsidRDefault="00846271" w:rsidP="00C92CE7">
            <w:pPr>
              <w:jc w:val="center"/>
            </w:pPr>
            <w:r w:rsidRPr="00E53FB9">
              <w:rPr>
                <w:sz w:val="20"/>
                <w:szCs w:val="20"/>
              </w:rPr>
              <w:t>Split results</w:t>
            </w:r>
          </w:p>
        </w:tc>
        <w:tc>
          <w:tcPr>
            <w:tcW w:w="1897" w:type="dxa"/>
          </w:tcPr>
          <w:p w14:paraId="7C1C3526" w14:textId="77777777" w:rsidR="00846271" w:rsidRPr="00E53FB9" w:rsidRDefault="00846271" w:rsidP="00C92CE7">
            <w:pPr>
              <w:jc w:val="center"/>
              <w:rPr>
                <w:sz w:val="20"/>
                <w:szCs w:val="20"/>
              </w:rPr>
            </w:pPr>
            <w:r w:rsidRPr="00E53FB9">
              <w:rPr>
                <w:sz w:val="20"/>
                <w:szCs w:val="20"/>
              </w:rPr>
              <w:t>23</w:t>
            </w:r>
          </w:p>
        </w:tc>
      </w:tr>
      <w:tr w:rsidR="00846271" w:rsidRPr="00E53FB9" w14:paraId="4E4929F3" w14:textId="77777777" w:rsidTr="002A49C6">
        <w:tc>
          <w:tcPr>
            <w:tcW w:w="7276" w:type="dxa"/>
            <w:gridSpan w:val="4"/>
            <w:vAlign w:val="center"/>
          </w:tcPr>
          <w:p w14:paraId="052EC0A3" w14:textId="77777777" w:rsidR="00846271" w:rsidRPr="00E53FB9" w:rsidRDefault="00846271" w:rsidP="00C92CE7">
            <w:pPr>
              <w:rPr>
                <w:sz w:val="20"/>
                <w:szCs w:val="20"/>
              </w:rPr>
            </w:pPr>
            <w:r w:rsidRPr="00E53FB9">
              <w:rPr>
                <w:sz w:val="20"/>
                <w:szCs w:val="20"/>
              </w:rPr>
              <w:t>Total</w:t>
            </w:r>
          </w:p>
        </w:tc>
        <w:tc>
          <w:tcPr>
            <w:tcW w:w="1897" w:type="dxa"/>
          </w:tcPr>
          <w:p w14:paraId="6DA0D646" w14:textId="77777777" w:rsidR="00846271" w:rsidRPr="00E53FB9" w:rsidRDefault="00846271" w:rsidP="00C92CE7">
            <w:pPr>
              <w:jc w:val="center"/>
              <w:rPr>
                <w:sz w:val="20"/>
                <w:szCs w:val="20"/>
              </w:rPr>
            </w:pPr>
            <w:r w:rsidRPr="00E53FB9">
              <w:rPr>
                <w:sz w:val="20"/>
                <w:szCs w:val="20"/>
              </w:rPr>
              <w:t>1,673</w:t>
            </w:r>
          </w:p>
        </w:tc>
      </w:tr>
    </w:tbl>
    <w:p w14:paraId="67DB261E" w14:textId="77777777" w:rsidR="00846271" w:rsidRPr="00E53FB9" w:rsidRDefault="00846271" w:rsidP="00C92CE7"/>
    <w:p w14:paraId="63EC6A12" w14:textId="77777777" w:rsidR="00E87EE9" w:rsidRPr="00E53FB9" w:rsidRDefault="00E87EE9" w:rsidP="00C92CE7"/>
    <w:p w14:paraId="027A77D6" w14:textId="741FD92E" w:rsidR="00AF0CF9" w:rsidRPr="00E53FB9" w:rsidRDefault="00E87EE9" w:rsidP="00C92CE7">
      <w:r w:rsidRPr="00E53FB9">
        <w:rPr>
          <w:noProof/>
        </w:rPr>
        <w:lastRenderedPageBreak/>
        <w:drawing>
          <wp:inline distT="0" distB="0" distL="0" distR="0" wp14:anchorId="04DBB1FA" wp14:editId="0458F780">
            <wp:extent cx="5687695" cy="7511282"/>
            <wp:effectExtent l="0" t="0" r="8255" b="0"/>
            <wp:docPr id="6" name="Picture 6" descr="Flowchart describing the validation of patients with epithelial ovarian, fallopian tube or primary peritoneal cancer" title="Flowchart describing the validation of patients with epithelial ovarian, fallopian tube or primary peritoneal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87695" cy="7511282"/>
                    </a:xfrm>
                    <a:prstGeom prst="rect">
                      <a:avLst/>
                    </a:prstGeom>
                  </pic:spPr>
                </pic:pic>
              </a:graphicData>
            </a:graphic>
          </wp:inline>
        </w:drawing>
      </w:r>
    </w:p>
    <w:p w14:paraId="6DDA918A" w14:textId="460B045D" w:rsidR="00255745" w:rsidRPr="00AF0CF9" w:rsidRDefault="00255745" w:rsidP="00C92CE7">
      <w:pPr>
        <w:pStyle w:val="Figuretitle"/>
      </w:pPr>
      <w:r w:rsidRPr="00E53FB9">
        <w:t xml:space="preserve">Figure A.1: Flowchart describing the </w:t>
      </w:r>
      <w:r w:rsidR="004649BC" w:rsidRPr="00E53FB9">
        <w:t>validation of patients with epithelial ovarian, fallopian tube or primary peritoneal cancer</w:t>
      </w:r>
    </w:p>
    <w:sectPr w:rsidR="00255745" w:rsidRPr="00AF0CF9" w:rsidSect="00DD188C">
      <w:headerReference w:type="even" r:id="rId25"/>
      <w:headerReference w:type="default" r:id="rId26"/>
      <w:footerReference w:type="even" r:id="rId27"/>
      <w:footerReference w:type="default" r:id="rId28"/>
      <w:headerReference w:type="first" r:id="rId29"/>
      <w:footerReference w:type="first" r:id="rId3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C95AEF" w:rsidRDefault="00C95AEF" w:rsidP="00A35800">
      <w:r>
        <w:separator/>
      </w:r>
    </w:p>
  </w:endnote>
  <w:endnote w:type="continuationSeparator" w:id="0">
    <w:p w14:paraId="45A4A8C8" w14:textId="77777777" w:rsidR="00C95AEF" w:rsidRDefault="00C95AEF"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C95AEF" w:rsidRDefault="00C95AE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C95AEF" w:rsidRDefault="00C95AEF"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220733839"/>
      <w:docPartObj>
        <w:docPartGallery w:val="Page Numbers (Bottom of Page)"/>
        <w:docPartUnique/>
      </w:docPartObj>
    </w:sdtPr>
    <w:sdtEndPr>
      <w:rPr>
        <w:i w:val="0"/>
        <w:sz w:val="24"/>
        <w:szCs w:val="24"/>
      </w:rPr>
    </w:sdtEndPr>
    <w:sdtContent>
      <w:sdt>
        <w:sdtPr>
          <w:rPr>
            <w:i/>
            <w:sz w:val="20"/>
            <w:szCs w:val="20"/>
          </w:rPr>
          <w:id w:val="-1669238322"/>
          <w:docPartObj>
            <w:docPartGallery w:val="Page Numbers (Top of Page)"/>
            <w:docPartUnique/>
          </w:docPartObj>
        </w:sdtPr>
        <w:sdtEndPr>
          <w:rPr>
            <w:i w:val="0"/>
            <w:sz w:val="24"/>
            <w:szCs w:val="24"/>
          </w:rPr>
        </w:sdtEndPr>
        <w:sdtContent>
          <w:p w14:paraId="30682B98" w14:textId="680766FF" w:rsidR="00C95AEF" w:rsidRPr="00917C19" w:rsidRDefault="00C95AEF" w:rsidP="000E72C6">
            <w:pPr>
              <w:pStyle w:val="Footer"/>
              <w:jc w:val="center"/>
              <w:rPr>
                <w:i/>
                <w:sz w:val="20"/>
                <w:szCs w:val="20"/>
              </w:rPr>
            </w:pPr>
            <w:r w:rsidRPr="00917C19">
              <w:rPr>
                <w:i/>
                <w:sz w:val="20"/>
                <w:szCs w:val="20"/>
              </w:rPr>
              <w:t xml:space="preserve">Public Release Document, </w:t>
            </w:r>
            <w:r>
              <w:rPr>
                <w:i/>
                <w:sz w:val="20"/>
                <w:szCs w:val="20"/>
              </w:rPr>
              <w:t>September 2018</w:t>
            </w:r>
            <w:r w:rsidRPr="00917C19">
              <w:rPr>
                <w:i/>
                <w:sz w:val="20"/>
                <w:szCs w:val="20"/>
              </w:rPr>
              <w:t xml:space="preserve"> DUSC Meeting</w:t>
            </w:r>
          </w:p>
          <w:p w14:paraId="10292A9A" w14:textId="16936C9F" w:rsidR="00C95AEF" w:rsidRDefault="00C95AEF"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C92CE7">
              <w:rPr>
                <w:bCs/>
                <w:i/>
                <w:noProof/>
                <w:sz w:val="20"/>
              </w:rPr>
              <w:t>21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C92CE7">
              <w:rPr>
                <w:bCs/>
                <w:i/>
                <w:noProof/>
                <w:sz w:val="20"/>
              </w:rPr>
              <w:t>22</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C95AEF" w:rsidRDefault="00C95AEF" w:rsidP="007A5733">
    <w:pPr>
      <w:pStyle w:val="Footer"/>
      <w:jc w:val="center"/>
      <w:rPr>
        <w:rStyle w:val="PageNumber"/>
      </w:rPr>
    </w:pPr>
    <w:r>
      <w:rPr>
        <w:rStyle w:val="PageNumber"/>
      </w:rPr>
      <w:t>Committee-in-Confidence</w:t>
    </w:r>
  </w:p>
  <w:p w14:paraId="3CE6880B" w14:textId="77777777" w:rsidR="00C95AEF" w:rsidRDefault="00C95AEF"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C95AEF" w:rsidRDefault="00C95AEF" w:rsidP="00A35800">
      <w:r>
        <w:separator/>
      </w:r>
    </w:p>
  </w:footnote>
  <w:footnote w:type="continuationSeparator" w:id="0">
    <w:p w14:paraId="7E2CA1E4" w14:textId="77777777" w:rsidR="00C95AEF" w:rsidRDefault="00C95AEF" w:rsidP="00A35800">
      <w:r>
        <w:continuationSeparator/>
      </w:r>
    </w:p>
  </w:footnote>
  <w:footnote w:id="1">
    <w:p w14:paraId="34F12534" w14:textId="28F2E854" w:rsidR="00C95AEF" w:rsidRPr="00E53FB9" w:rsidRDefault="00C95AEF">
      <w:pPr>
        <w:pStyle w:val="FootnoteText"/>
      </w:pPr>
      <w:r w:rsidRPr="00E53FB9">
        <w:rPr>
          <w:rStyle w:val="FootnoteReference"/>
        </w:rPr>
        <w:footnoteRef/>
      </w:r>
      <w:r w:rsidRPr="00E53FB9">
        <w:t xml:space="preserve"> Cancer Council Australia. Understanding Ovarian Cancer. April 2018. Available  from &lt;</w:t>
      </w:r>
      <w:hyperlink r:id="rId1" w:history="1">
        <w:r w:rsidRPr="00E53FB9">
          <w:rPr>
            <w:rStyle w:val="Hyperlink"/>
          </w:rPr>
          <w:t>http://www.cancervic.org.au/</w:t>
        </w:r>
      </w:hyperlink>
      <w:r w:rsidRPr="00E53FB9">
        <w:t xml:space="preserve">&gt;. Accessed 06 August 2018 </w:t>
      </w:r>
    </w:p>
  </w:footnote>
  <w:footnote w:id="2">
    <w:p w14:paraId="39C083DB" w14:textId="59279C6C" w:rsidR="00C95AEF" w:rsidRPr="00E53FB9" w:rsidRDefault="00C95AEF">
      <w:pPr>
        <w:pStyle w:val="FootnoteText"/>
      </w:pPr>
      <w:r w:rsidRPr="00E53FB9">
        <w:rPr>
          <w:rStyle w:val="FootnoteReference"/>
        </w:rPr>
        <w:footnoteRef/>
      </w:r>
      <w:r w:rsidRPr="00E53FB9">
        <w:t xml:space="preserve"> National Breast and Ovarian Cancer Centre. Epithelial Ovarian Cancer. June 2008. </w:t>
      </w:r>
      <w:r w:rsidRPr="00E53FB9">
        <w:rPr>
          <w:rFonts w:cstheme="minorHAnsi"/>
          <w:szCs w:val="18"/>
          <w:lang w:val="en"/>
        </w:rPr>
        <w:t xml:space="preserve">Available from </w:t>
      </w:r>
      <w:r w:rsidRPr="00E53FB9">
        <w:rPr>
          <w:rFonts w:cstheme="minorHAnsi"/>
          <w:lang w:val="en"/>
        </w:rPr>
        <w:t>&lt;</w:t>
      </w:r>
      <w:hyperlink r:id="rId2" w:history="1">
        <w:r w:rsidRPr="00E53FB9">
          <w:rPr>
            <w:rStyle w:val="Hyperlink"/>
            <w:rFonts w:cstheme="minorHAnsi"/>
            <w:lang w:val="en"/>
          </w:rPr>
          <w:t>https://canceraustralia.gov.au/</w:t>
        </w:r>
      </w:hyperlink>
      <w:r w:rsidRPr="00E53FB9">
        <w:rPr>
          <w:rFonts w:cstheme="minorHAnsi"/>
          <w:lang w:val="en"/>
        </w:rPr>
        <w:t xml:space="preserve"> &gt;. Accessed 06 August 2018</w:t>
      </w:r>
    </w:p>
  </w:footnote>
  <w:footnote w:id="3">
    <w:p w14:paraId="780EA4A9" w14:textId="11427171" w:rsidR="00C95AEF" w:rsidRPr="00E53FB9" w:rsidRDefault="00C95AEF">
      <w:pPr>
        <w:pStyle w:val="FootnoteText"/>
      </w:pPr>
      <w:r w:rsidRPr="00E53FB9">
        <w:rPr>
          <w:rStyle w:val="FootnoteReference"/>
        </w:rPr>
        <w:footnoteRef/>
      </w:r>
      <w:r w:rsidRPr="00E53FB9">
        <w:t xml:space="preserve"> National Cancer Institute. National Institutes of Health. Available from &lt;</w:t>
      </w:r>
      <w:hyperlink r:id="rId3" w:history="1">
        <w:r w:rsidRPr="00E53FB9">
          <w:rPr>
            <w:rStyle w:val="Hyperlink"/>
          </w:rPr>
          <w:t>https://www.cancer.gov/</w:t>
        </w:r>
      </w:hyperlink>
      <w:r w:rsidRPr="00E53FB9">
        <w:t xml:space="preserve">&gt;. Accessed 15 August 2018 </w:t>
      </w:r>
    </w:p>
  </w:footnote>
  <w:footnote w:id="4">
    <w:p w14:paraId="0D63817D" w14:textId="7DCE0485" w:rsidR="00C95AEF" w:rsidRPr="00E53FB9" w:rsidRDefault="00C95AEF">
      <w:pPr>
        <w:pStyle w:val="FootnoteText"/>
      </w:pPr>
      <w:r w:rsidRPr="00E53FB9">
        <w:rPr>
          <w:rStyle w:val="FootnoteReference"/>
        </w:rPr>
        <w:footnoteRef/>
      </w:r>
      <w:r w:rsidRPr="00E53FB9">
        <w:t xml:space="preserve"> Xu J, Weisman P, Loeffler A. Primary peritoneal low-grade serous carcinoma in a man: A case report and review of literature. Human Pathology: Case Reports. 2017;9:1-4. DOI: </w:t>
      </w:r>
      <w:hyperlink r:id="rId4" w:tgtFrame="_blank" w:tooltip="Persistent link using digital object identifier" w:history="1">
        <w:r w:rsidRPr="00E53FB9">
          <w:rPr>
            <w:rStyle w:val="Hyperlink"/>
            <w:rFonts w:ascii="Calibri" w:hAnsi="Calibri" w:cs="Calibri"/>
            <w:lang w:val="en"/>
          </w:rPr>
          <w:t>https://doi.org/10.1016/j.ehpc.2016.12.003</w:t>
        </w:r>
      </w:hyperlink>
    </w:p>
  </w:footnote>
  <w:footnote w:id="5">
    <w:p w14:paraId="527E9F6D" w14:textId="6E82F8EA" w:rsidR="00C95AEF" w:rsidRPr="00F04343" w:rsidRDefault="00C95AEF">
      <w:pPr>
        <w:pStyle w:val="FootnoteText"/>
        <w:rPr>
          <w:sz w:val="20"/>
        </w:rPr>
      </w:pPr>
      <w:r w:rsidRPr="00E53FB9">
        <w:rPr>
          <w:rStyle w:val="FootnoteReference"/>
        </w:rPr>
        <w:footnoteRef/>
      </w:r>
      <w:r w:rsidRPr="00E53FB9">
        <w:t xml:space="preserve"> </w:t>
      </w:r>
      <w:r w:rsidRPr="00E53FB9">
        <w:rPr>
          <w:rFonts w:cs="Arial"/>
        </w:rPr>
        <w:t>Avastin</w:t>
      </w:r>
      <w:r w:rsidRPr="00E53FB9">
        <w:rPr>
          <w:rFonts w:cs="Arial"/>
          <w:vertAlign w:val="superscript"/>
        </w:rPr>
        <w:t>®</w:t>
      </w:r>
      <w:r w:rsidRPr="00E53FB9">
        <w:rPr>
          <w:rFonts w:cs="Arial"/>
        </w:rPr>
        <w:t>, (</w:t>
      </w:r>
      <w:r w:rsidRPr="00E53FB9">
        <w:t>Bevacizumab), Product Information, 24 November 2017. Available from &lt;</w:t>
      </w:r>
      <w:hyperlink r:id="rId5" w:history="1">
        <w:r w:rsidRPr="00E53FB9">
          <w:rPr>
            <w:rStyle w:val="Hyperlink"/>
          </w:rPr>
          <w:t>https://www.tga.gov.au/</w:t>
        </w:r>
      </w:hyperlink>
      <w:r w:rsidRPr="00E53FB9">
        <w:rPr>
          <w:rStyle w:val="Hyperlink"/>
          <w:u w:val="none"/>
        </w:rPr>
        <w:t xml:space="preserve">&gt;. </w:t>
      </w:r>
      <w:r w:rsidRPr="00E53FB9">
        <w:rPr>
          <w:rStyle w:val="Hyperlink"/>
          <w:color w:val="auto"/>
          <w:u w:val="none"/>
        </w:rPr>
        <w:t>Accessed 25 June 2018</w:t>
      </w:r>
    </w:p>
  </w:footnote>
  <w:footnote w:id="6">
    <w:p w14:paraId="2734373A" w14:textId="77777777" w:rsidR="00C95AEF" w:rsidRPr="00E53FB9" w:rsidRDefault="00C95AEF" w:rsidP="00DF7BE0">
      <w:pPr>
        <w:pStyle w:val="FootnoteText"/>
      </w:pPr>
      <w:r w:rsidRPr="00E53FB9">
        <w:rPr>
          <w:rStyle w:val="FootnoteReference"/>
        </w:rPr>
        <w:footnoteRef/>
      </w:r>
      <w:r w:rsidRPr="00E53FB9">
        <w:t xml:space="preserve"> eviQ. Ovarian advanced carboplatin, paclitaxel and bevacizumab. 3 November 2017. Available from &lt;</w:t>
      </w:r>
      <w:hyperlink r:id="rId6" w:history="1">
        <w:r w:rsidRPr="00E53FB9">
          <w:rPr>
            <w:rStyle w:val="Hyperlink"/>
          </w:rPr>
          <w:t>https://www.eviq.org.au/</w:t>
        </w:r>
      </w:hyperlink>
      <w:r w:rsidRPr="00E53FB9">
        <w:t>&gt;. Accessed 20 August 2018</w:t>
      </w:r>
    </w:p>
  </w:footnote>
  <w:footnote w:id="7">
    <w:p w14:paraId="1392C2D6" w14:textId="6FCA7097" w:rsidR="00C95AEF" w:rsidRDefault="00C95AEF">
      <w:pPr>
        <w:pStyle w:val="FootnoteText"/>
      </w:pPr>
      <w:r w:rsidRPr="00E53FB9">
        <w:rPr>
          <w:rStyle w:val="FootnoteReference"/>
        </w:rPr>
        <w:footnoteRef/>
      </w:r>
      <w:r w:rsidRPr="00E53FB9">
        <w:t xml:space="preserve"> The Pharmaceutical Benefits Scheme, (Bevacizumab), Department of Health. Available from &lt;</w:t>
      </w:r>
      <w:hyperlink r:id="rId7" w:history="1">
        <w:r w:rsidRPr="00E53FB9">
          <w:rPr>
            <w:rStyle w:val="Hyperlink"/>
          </w:rPr>
          <w:t>http://www.pbs.gov.au/</w:t>
        </w:r>
      </w:hyperlink>
      <w:r w:rsidRPr="00E53FB9">
        <w:t>&gt;. Accessed 20 August 2018</w:t>
      </w:r>
    </w:p>
  </w:footnote>
  <w:footnote w:id="8">
    <w:p w14:paraId="5706E4DE" w14:textId="0D8803F1" w:rsidR="00C95AEF" w:rsidRDefault="00C95AEF" w:rsidP="0092055B">
      <w:pPr>
        <w:pStyle w:val="FootnoteText"/>
        <w:tabs>
          <w:tab w:val="left" w:pos="4515"/>
        </w:tabs>
      </w:pPr>
      <w:r w:rsidRPr="00E53FB9">
        <w:rPr>
          <w:rStyle w:val="FootnoteReference"/>
        </w:rPr>
        <w:footnoteRef/>
      </w:r>
      <w:r w:rsidRPr="00E53FB9">
        <w:t xml:space="preserve"> Australian Public Assessment Report for Bevacizumab, Published 6 August 2012, Accessed 27 August 2018 </w:t>
      </w:r>
      <w:r w:rsidRPr="00E53FB9">
        <w:br/>
      </w:r>
      <w:hyperlink r:id="rId8" w:history="1">
        <w:r w:rsidRPr="00E53FB9">
          <w:rPr>
            <w:rStyle w:val="Hyperlink"/>
          </w:rPr>
          <w:t>https://www.tga.gov.au/sites/default/files/auspar-bevacizumab-120806.pdf</w:t>
        </w:r>
      </w:hyperlink>
      <w:r w:rsidRPr="00E53FB9">
        <w:t xml:space="preserve">  </w:t>
      </w:r>
    </w:p>
  </w:footnote>
  <w:footnote w:id="9">
    <w:p w14:paraId="61B07B46" w14:textId="12E59A3B" w:rsidR="00C95AEF" w:rsidRDefault="00C95AEF">
      <w:pPr>
        <w:pStyle w:val="FootnoteText"/>
      </w:pPr>
      <w:r w:rsidRPr="00E53FB9">
        <w:rPr>
          <w:rStyle w:val="FootnoteReference"/>
        </w:rPr>
        <w:footnoteRef/>
      </w:r>
      <w:r w:rsidRPr="00E53FB9">
        <w:t xml:space="preserve"> Jordan S, Steer C, DeFazio A, Quinn M, Obermair A, Friedlander M et al. Patterns of chemotherapy treatment for women </w:t>
      </w:r>
      <w:r w:rsidRPr="00E53FB9">
        <w:rPr>
          <w:szCs w:val="18"/>
        </w:rPr>
        <w:t xml:space="preserve">with invasive epithelial ovarian cancer—a population-based study. 2013; 129(2):310-7. DOI: </w:t>
      </w:r>
      <w:r w:rsidRPr="00E53FB9">
        <w:rPr>
          <w:rFonts w:cs="Arial"/>
          <w:szCs w:val="18"/>
          <w:lang w:val="en"/>
        </w:rPr>
        <w:t>10.1016/j.ygyno.2013.02.007</w:t>
      </w:r>
    </w:p>
  </w:footnote>
  <w:footnote w:id="10">
    <w:p w14:paraId="57886DF8" w14:textId="370AF1DF" w:rsidR="00C95AEF" w:rsidRPr="00E53FB9" w:rsidRDefault="00C95AEF">
      <w:pPr>
        <w:pStyle w:val="FootnoteText"/>
      </w:pPr>
      <w:r w:rsidRPr="00E53FB9">
        <w:rPr>
          <w:rStyle w:val="FootnoteReference"/>
        </w:rPr>
        <w:footnoteRef/>
      </w:r>
      <w:r w:rsidRPr="00E53FB9">
        <w:t xml:space="preserve"> Brand A. Ovarian Cancer Debulking Surgery: A survey of Practice in Australia and New Zealand. 2011 – Volume 21 – Issue 2 – p 230-235. </w:t>
      </w:r>
      <w:r w:rsidRPr="00E53FB9">
        <w:rPr>
          <w:szCs w:val="18"/>
        </w:rPr>
        <w:t xml:space="preserve">DOI: </w:t>
      </w:r>
      <w:r w:rsidRPr="00E53FB9">
        <w:rPr>
          <w:rFonts w:cs="Arial"/>
          <w:color w:val="333333"/>
          <w:szCs w:val="18"/>
          <w:lang w:val="en-US"/>
        </w:rPr>
        <w:t>10.1097/IGC.0b013e318205fb4f</w:t>
      </w:r>
    </w:p>
  </w:footnote>
  <w:footnote w:id="11">
    <w:p w14:paraId="00C52BFF" w14:textId="36BB5ED7" w:rsidR="00C95AEF" w:rsidRDefault="00C95AEF">
      <w:pPr>
        <w:pStyle w:val="FootnoteText"/>
      </w:pPr>
      <w:r w:rsidRPr="00E53FB9">
        <w:rPr>
          <w:rStyle w:val="FootnoteReference"/>
        </w:rPr>
        <w:footnoteRef/>
      </w:r>
      <w:r w:rsidRPr="00E53FB9">
        <w:t xml:space="preserve"> ICON-7 Clinical Study Report</w:t>
      </w:r>
      <w:r>
        <w:t xml:space="preserve"> </w:t>
      </w:r>
      <w:r w:rsidRPr="00E53FB9">
        <w:t>p79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A30E" w14:textId="77777777" w:rsidR="00C95AEF" w:rsidRDefault="00C95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F15D" w14:textId="77777777" w:rsidR="00C95AEF" w:rsidRDefault="00C95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C9E3" w14:textId="77777777" w:rsidR="00C95AEF" w:rsidRDefault="00C95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118"/>
    <w:multiLevelType w:val="hybridMultilevel"/>
    <w:tmpl w:val="EA44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576B9"/>
    <w:multiLevelType w:val="hybridMultilevel"/>
    <w:tmpl w:val="0484A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D7F02"/>
    <w:multiLevelType w:val="hybridMultilevel"/>
    <w:tmpl w:val="FC5AA2A4"/>
    <w:lvl w:ilvl="0" w:tplc="DC16D78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FB02E5"/>
    <w:multiLevelType w:val="hybridMultilevel"/>
    <w:tmpl w:val="80908C98"/>
    <w:lvl w:ilvl="0" w:tplc="487295F6">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6C4B92"/>
    <w:multiLevelType w:val="hybridMultilevel"/>
    <w:tmpl w:val="2968E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7A32FC"/>
    <w:multiLevelType w:val="hybridMultilevel"/>
    <w:tmpl w:val="72B037C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4D602FCE"/>
    <w:multiLevelType w:val="hybridMultilevel"/>
    <w:tmpl w:val="21925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A61CED"/>
    <w:multiLevelType w:val="hybridMultilevel"/>
    <w:tmpl w:val="AE64A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6BE4ACF"/>
    <w:multiLevelType w:val="hybridMultilevel"/>
    <w:tmpl w:val="69AA3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880EB7"/>
    <w:multiLevelType w:val="hybridMultilevel"/>
    <w:tmpl w:val="F4E6D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40D649D"/>
    <w:multiLevelType w:val="hybridMultilevel"/>
    <w:tmpl w:val="5AE2F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11112E"/>
    <w:multiLevelType w:val="hybridMultilevel"/>
    <w:tmpl w:val="A5AE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F0759D"/>
    <w:multiLevelType w:val="hybridMultilevel"/>
    <w:tmpl w:val="95FC7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0"/>
  </w:num>
  <w:num w:numId="5">
    <w:abstractNumId w:val="13"/>
  </w:num>
  <w:num w:numId="6">
    <w:abstractNumId w:val="1"/>
  </w:num>
  <w:num w:numId="7">
    <w:abstractNumId w:val="14"/>
  </w:num>
  <w:num w:numId="8">
    <w:abstractNumId w:val="12"/>
  </w:num>
  <w:num w:numId="9">
    <w:abstractNumId w:val="2"/>
  </w:num>
  <w:num w:numId="10">
    <w:abstractNumId w:val="5"/>
  </w:num>
  <w:num w:numId="11">
    <w:abstractNumId w:val="7"/>
  </w:num>
  <w:num w:numId="12">
    <w:abstractNumId w:val="0"/>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7E85"/>
    <w:rsid w:val="00012842"/>
    <w:rsid w:val="00013465"/>
    <w:rsid w:val="000144FA"/>
    <w:rsid w:val="00017BDC"/>
    <w:rsid w:val="00017ED5"/>
    <w:rsid w:val="0002173F"/>
    <w:rsid w:val="000226B3"/>
    <w:rsid w:val="000239F4"/>
    <w:rsid w:val="00024285"/>
    <w:rsid w:val="00024549"/>
    <w:rsid w:val="00027BA8"/>
    <w:rsid w:val="00032BBE"/>
    <w:rsid w:val="00033C2C"/>
    <w:rsid w:val="00037203"/>
    <w:rsid w:val="0004226A"/>
    <w:rsid w:val="000470DA"/>
    <w:rsid w:val="000544B6"/>
    <w:rsid w:val="00057FF5"/>
    <w:rsid w:val="000604AF"/>
    <w:rsid w:val="00062F02"/>
    <w:rsid w:val="00086C11"/>
    <w:rsid w:val="00092029"/>
    <w:rsid w:val="000935DB"/>
    <w:rsid w:val="00094DCF"/>
    <w:rsid w:val="00094ECD"/>
    <w:rsid w:val="0009619E"/>
    <w:rsid w:val="0009622C"/>
    <w:rsid w:val="000A6CFD"/>
    <w:rsid w:val="000B0982"/>
    <w:rsid w:val="000B2046"/>
    <w:rsid w:val="000B796C"/>
    <w:rsid w:val="000C1FA2"/>
    <w:rsid w:val="000C46BB"/>
    <w:rsid w:val="000C4D9D"/>
    <w:rsid w:val="000C7C4B"/>
    <w:rsid w:val="000C7D8B"/>
    <w:rsid w:val="000D6153"/>
    <w:rsid w:val="000E485D"/>
    <w:rsid w:val="000E6067"/>
    <w:rsid w:val="000E72C6"/>
    <w:rsid w:val="000F0ADD"/>
    <w:rsid w:val="000F1893"/>
    <w:rsid w:val="000F262B"/>
    <w:rsid w:val="000F2F51"/>
    <w:rsid w:val="000F3C6D"/>
    <w:rsid w:val="001009A6"/>
    <w:rsid w:val="001009B2"/>
    <w:rsid w:val="001061A1"/>
    <w:rsid w:val="001100E9"/>
    <w:rsid w:val="00113CF8"/>
    <w:rsid w:val="00113D74"/>
    <w:rsid w:val="00117C5C"/>
    <w:rsid w:val="001208C3"/>
    <w:rsid w:val="00122264"/>
    <w:rsid w:val="001258ED"/>
    <w:rsid w:val="001310AE"/>
    <w:rsid w:val="001420B3"/>
    <w:rsid w:val="00143F16"/>
    <w:rsid w:val="001460C4"/>
    <w:rsid w:val="0014616E"/>
    <w:rsid w:val="00153138"/>
    <w:rsid w:val="0015691C"/>
    <w:rsid w:val="00161DA7"/>
    <w:rsid w:val="001621F7"/>
    <w:rsid w:val="001624D7"/>
    <w:rsid w:val="00162642"/>
    <w:rsid w:val="00163FA4"/>
    <w:rsid w:val="00165824"/>
    <w:rsid w:val="00170E33"/>
    <w:rsid w:val="001718F7"/>
    <w:rsid w:val="00172432"/>
    <w:rsid w:val="0017431E"/>
    <w:rsid w:val="00176924"/>
    <w:rsid w:val="00177B86"/>
    <w:rsid w:val="00182585"/>
    <w:rsid w:val="00185FED"/>
    <w:rsid w:val="00187DB6"/>
    <w:rsid w:val="00190AF5"/>
    <w:rsid w:val="00191182"/>
    <w:rsid w:val="00195A0D"/>
    <w:rsid w:val="0019664D"/>
    <w:rsid w:val="001A1A23"/>
    <w:rsid w:val="001A24B3"/>
    <w:rsid w:val="001A452C"/>
    <w:rsid w:val="001A6103"/>
    <w:rsid w:val="001A7793"/>
    <w:rsid w:val="001B1B01"/>
    <w:rsid w:val="001B5D37"/>
    <w:rsid w:val="001C1CAB"/>
    <w:rsid w:val="001C2940"/>
    <w:rsid w:val="001C4016"/>
    <w:rsid w:val="001C548D"/>
    <w:rsid w:val="001C578D"/>
    <w:rsid w:val="001C6A5D"/>
    <w:rsid w:val="001D2820"/>
    <w:rsid w:val="001D52B4"/>
    <w:rsid w:val="001D7A43"/>
    <w:rsid w:val="001E31A6"/>
    <w:rsid w:val="001E42C7"/>
    <w:rsid w:val="001E4CAB"/>
    <w:rsid w:val="001F0A4E"/>
    <w:rsid w:val="001F2F3E"/>
    <w:rsid w:val="001F3E09"/>
    <w:rsid w:val="001F3FBF"/>
    <w:rsid w:val="001F4906"/>
    <w:rsid w:val="001F7C4A"/>
    <w:rsid w:val="002009B0"/>
    <w:rsid w:val="0020141B"/>
    <w:rsid w:val="00201AEF"/>
    <w:rsid w:val="00201E9E"/>
    <w:rsid w:val="002030B5"/>
    <w:rsid w:val="00204761"/>
    <w:rsid w:val="0020578A"/>
    <w:rsid w:val="00207631"/>
    <w:rsid w:val="002102C1"/>
    <w:rsid w:val="00210435"/>
    <w:rsid w:val="00214013"/>
    <w:rsid w:val="00215F82"/>
    <w:rsid w:val="002208D5"/>
    <w:rsid w:val="00220FC1"/>
    <w:rsid w:val="00221F4A"/>
    <w:rsid w:val="0022281C"/>
    <w:rsid w:val="00222B99"/>
    <w:rsid w:val="00222E9A"/>
    <w:rsid w:val="00230B38"/>
    <w:rsid w:val="0023179D"/>
    <w:rsid w:val="002372C8"/>
    <w:rsid w:val="002429FA"/>
    <w:rsid w:val="00242DA9"/>
    <w:rsid w:val="00252352"/>
    <w:rsid w:val="0025389D"/>
    <w:rsid w:val="00253BD0"/>
    <w:rsid w:val="00254E02"/>
    <w:rsid w:val="00255745"/>
    <w:rsid w:val="00255A1F"/>
    <w:rsid w:val="00261153"/>
    <w:rsid w:val="0026265F"/>
    <w:rsid w:val="002627D5"/>
    <w:rsid w:val="00263B6A"/>
    <w:rsid w:val="002715E4"/>
    <w:rsid w:val="002755BF"/>
    <w:rsid w:val="00277A95"/>
    <w:rsid w:val="002801CD"/>
    <w:rsid w:val="002869F7"/>
    <w:rsid w:val="00286C3A"/>
    <w:rsid w:val="002908F1"/>
    <w:rsid w:val="002930F5"/>
    <w:rsid w:val="0029448B"/>
    <w:rsid w:val="002953B9"/>
    <w:rsid w:val="00296617"/>
    <w:rsid w:val="002A06B7"/>
    <w:rsid w:val="002A49C6"/>
    <w:rsid w:val="002B2806"/>
    <w:rsid w:val="002B595A"/>
    <w:rsid w:val="002C18AB"/>
    <w:rsid w:val="002C6E0C"/>
    <w:rsid w:val="002D144A"/>
    <w:rsid w:val="002D6220"/>
    <w:rsid w:val="002D6936"/>
    <w:rsid w:val="002E19A3"/>
    <w:rsid w:val="002E212B"/>
    <w:rsid w:val="002E3337"/>
    <w:rsid w:val="002E4769"/>
    <w:rsid w:val="002E6D03"/>
    <w:rsid w:val="002E7E6A"/>
    <w:rsid w:val="002F0EDC"/>
    <w:rsid w:val="002F49A8"/>
    <w:rsid w:val="002F5E66"/>
    <w:rsid w:val="002F61CA"/>
    <w:rsid w:val="002F6474"/>
    <w:rsid w:val="0030010D"/>
    <w:rsid w:val="00306F49"/>
    <w:rsid w:val="00311270"/>
    <w:rsid w:val="00315FFD"/>
    <w:rsid w:val="00322BB1"/>
    <w:rsid w:val="00332092"/>
    <w:rsid w:val="00333249"/>
    <w:rsid w:val="0033466D"/>
    <w:rsid w:val="0033504C"/>
    <w:rsid w:val="00336816"/>
    <w:rsid w:val="003370D0"/>
    <w:rsid w:val="00337355"/>
    <w:rsid w:val="003402E4"/>
    <w:rsid w:val="00340F95"/>
    <w:rsid w:val="003436B7"/>
    <w:rsid w:val="003531ED"/>
    <w:rsid w:val="00353DB1"/>
    <w:rsid w:val="0035480F"/>
    <w:rsid w:val="00360B9A"/>
    <w:rsid w:val="00365809"/>
    <w:rsid w:val="0037545C"/>
    <w:rsid w:val="00381009"/>
    <w:rsid w:val="003836AC"/>
    <w:rsid w:val="00386C2A"/>
    <w:rsid w:val="00387749"/>
    <w:rsid w:val="0039017F"/>
    <w:rsid w:val="00394AEE"/>
    <w:rsid w:val="00394F7F"/>
    <w:rsid w:val="00395422"/>
    <w:rsid w:val="0039556A"/>
    <w:rsid w:val="00395A5F"/>
    <w:rsid w:val="00397650"/>
    <w:rsid w:val="003A2037"/>
    <w:rsid w:val="003B0CEE"/>
    <w:rsid w:val="003B2C2A"/>
    <w:rsid w:val="003C11AF"/>
    <w:rsid w:val="003C2D98"/>
    <w:rsid w:val="003C36B9"/>
    <w:rsid w:val="003C3A9E"/>
    <w:rsid w:val="003C3E0F"/>
    <w:rsid w:val="003C4CE6"/>
    <w:rsid w:val="003C5B2B"/>
    <w:rsid w:val="003D1351"/>
    <w:rsid w:val="003D3A96"/>
    <w:rsid w:val="003D3B9C"/>
    <w:rsid w:val="003D56DB"/>
    <w:rsid w:val="003D7E6B"/>
    <w:rsid w:val="003E3661"/>
    <w:rsid w:val="003E6B8B"/>
    <w:rsid w:val="003E7C11"/>
    <w:rsid w:val="003F15A6"/>
    <w:rsid w:val="004007D6"/>
    <w:rsid w:val="00404F03"/>
    <w:rsid w:val="00412051"/>
    <w:rsid w:val="004137B2"/>
    <w:rsid w:val="00422308"/>
    <w:rsid w:val="0042362C"/>
    <w:rsid w:val="00423B94"/>
    <w:rsid w:val="00430D27"/>
    <w:rsid w:val="004363AE"/>
    <w:rsid w:val="00436823"/>
    <w:rsid w:val="00440EE0"/>
    <w:rsid w:val="00443CB6"/>
    <w:rsid w:val="00446B5F"/>
    <w:rsid w:val="004520FD"/>
    <w:rsid w:val="004546BF"/>
    <w:rsid w:val="00457463"/>
    <w:rsid w:val="004576EB"/>
    <w:rsid w:val="00461E53"/>
    <w:rsid w:val="004636C1"/>
    <w:rsid w:val="00463731"/>
    <w:rsid w:val="0046400A"/>
    <w:rsid w:val="004649BC"/>
    <w:rsid w:val="00467B25"/>
    <w:rsid w:val="00472415"/>
    <w:rsid w:val="00473C5E"/>
    <w:rsid w:val="00481108"/>
    <w:rsid w:val="00482B78"/>
    <w:rsid w:val="004840AA"/>
    <w:rsid w:val="00484DFB"/>
    <w:rsid w:val="00485821"/>
    <w:rsid w:val="00486370"/>
    <w:rsid w:val="00486570"/>
    <w:rsid w:val="0049042B"/>
    <w:rsid w:val="00495473"/>
    <w:rsid w:val="00497DA6"/>
    <w:rsid w:val="00497F5F"/>
    <w:rsid w:val="004A337B"/>
    <w:rsid w:val="004A3492"/>
    <w:rsid w:val="004A458E"/>
    <w:rsid w:val="004A5CCA"/>
    <w:rsid w:val="004A5DE4"/>
    <w:rsid w:val="004B07E8"/>
    <w:rsid w:val="004B23E7"/>
    <w:rsid w:val="004B306F"/>
    <w:rsid w:val="004B3771"/>
    <w:rsid w:val="004B3B0E"/>
    <w:rsid w:val="004C3186"/>
    <w:rsid w:val="004C382F"/>
    <w:rsid w:val="004C5042"/>
    <w:rsid w:val="004D0161"/>
    <w:rsid w:val="004D1A99"/>
    <w:rsid w:val="004D6596"/>
    <w:rsid w:val="004E4422"/>
    <w:rsid w:val="004F23ED"/>
    <w:rsid w:val="004F3D88"/>
    <w:rsid w:val="004F6542"/>
    <w:rsid w:val="00500C4F"/>
    <w:rsid w:val="00503998"/>
    <w:rsid w:val="0050623B"/>
    <w:rsid w:val="0050725D"/>
    <w:rsid w:val="0051505A"/>
    <w:rsid w:val="0052218D"/>
    <w:rsid w:val="00523181"/>
    <w:rsid w:val="00524D13"/>
    <w:rsid w:val="00526B2B"/>
    <w:rsid w:val="005334AA"/>
    <w:rsid w:val="005339F6"/>
    <w:rsid w:val="00541848"/>
    <w:rsid w:val="00542DF3"/>
    <w:rsid w:val="00543FFE"/>
    <w:rsid w:val="00552140"/>
    <w:rsid w:val="00553E94"/>
    <w:rsid w:val="00572D77"/>
    <w:rsid w:val="00572F8A"/>
    <w:rsid w:val="0057323B"/>
    <w:rsid w:val="00575DB6"/>
    <w:rsid w:val="00576B18"/>
    <w:rsid w:val="00586BF3"/>
    <w:rsid w:val="00587724"/>
    <w:rsid w:val="00591512"/>
    <w:rsid w:val="005A0E14"/>
    <w:rsid w:val="005A6D5A"/>
    <w:rsid w:val="005A70ED"/>
    <w:rsid w:val="005B202F"/>
    <w:rsid w:val="005B2D91"/>
    <w:rsid w:val="005B48B4"/>
    <w:rsid w:val="005B538C"/>
    <w:rsid w:val="005C1597"/>
    <w:rsid w:val="005C18AC"/>
    <w:rsid w:val="005C2AA3"/>
    <w:rsid w:val="005C6661"/>
    <w:rsid w:val="005C6E3B"/>
    <w:rsid w:val="005D1B7B"/>
    <w:rsid w:val="005D474B"/>
    <w:rsid w:val="005E085C"/>
    <w:rsid w:val="005E147D"/>
    <w:rsid w:val="005E22C2"/>
    <w:rsid w:val="005E22FB"/>
    <w:rsid w:val="005E57BB"/>
    <w:rsid w:val="005E58A3"/>
    <w:rsid w:val="005F0017"/>
    <w:rsid w:val="005F1B3D"/>
    <w:rsid w:val="005F2092"/>
    <w:rsid w:val="005F3034"/>
    <w:rsid w:val="005F3875"/>
    <w:rsid w:val="005F625E"/>
    <w:rsid w:val="006014F1"/>
    <w:rsid w:val="00606BEF"/>
    <w:rsid w:val="00606DFC"/>
    <w:rsid w:val="0061357B"/>
    <w:rsid w:val="00614A7D"/>
    <w:rsid w:val="00630AD9"/>
    <w:rsid w:val="00631379"/>
    <w:rsid w:val="006345AB"/>
    <w:rsid w:val="0063631C"/>
    <w:rsid w:val="0063757B"/>
    <w:rsid w:val="006377CE"/>
    <w:rsid w:val="00641788"/>
    <w:rsid w:val="00643548"/>
    <w:rsid w:val="006457B8"/>
    <w:rsid w:val="006537D9"/>
    <w:rsid w:val="00654F80"/>
    <w:rsid w:val="00655598"/>
    <w:rsid w:val="006619E7"/>
    <w:rsid w:val="00663D89"/>
    <w:rsid w:val="00664A48"/>
    <w:rsid w:val="00665DEF"/>
    <w:rsid w:val="00671198"/>
    <w:rsid w:val="00672533"/>
    <w:rsid w:val="00672A5A"/>
    <w:rsid w:val="006734CA"/>
    <w:rsid w:val="00674D86"/>
    <w:rsid w:val="00675BB1"/>
    <w:rsid w:val="006775F1"/>
    <w:rsid w:val="006856D9"/>
    <w:rsid w:val="006868C0"/>
    <w:rsid w:val="006906CD"/>
    <w:rsid w:val="00692AA7"/>
    <w:rsid w:val="00694171"/>
    <w:rsid w:val="00697FEC"/>
    <w:rsid w:val="006A175F"/>
    <w:rsid w:val="006A44F5"/>
    <w:rsid w:val="006A5F43"/>
    <w:rsid w:val="006B03D6"/>
    <w:rsid w:val="006B4537"/>
    <w:rsid w:val="006B5F85"/>
    <w:rsid w:val="006B6929"/>
    <w:rsid w:val="006B709B"/>
    <w:rsid w:val="006C1C2B"/>
    <w:rsid w:val="006C531E"/>
    <w:rsid w:val="006C54AF"/>
    <w:rsid w:val="006D0EF2"/>
    <w:rsid w:val="006E0181"/>
    <w:rsid w:val="006E1797"/>
    <w:rsid w:val="006E4267"/>
    <w:rsid w:val="006E442F"/>
    <w:rsid w:val="006E5B57"/>
    <w:rsid w:val="006E693B"/>
    <w:rsid w:val="006F2A94"/>
    <w:rsid w:val="00700C0E"/>
    <w:rsid w:val="00702876"/>
    <w:rsid w:val="00703D59"/>
    <w:rsid w:val="00705DAD"/>
    <w:rsid w:val="0072324C"/>
    <w:rsid w:val="00724711"/>
    <w:rsid w:val="007247B9"/>
    <w:rsid w:val="00727A90"/>
    <w:rsid w:val="00727D85"/>
    <w:rsid w:val="0073020C"/>
    <w:rsid w:val="007346C7"/>
    <w:rsid w:val="00736041"/>
    <w:rsid w:val="0073695F"/>
    <w:rsid w:val="007408C7"/>
    <w:rsid w:val="00742FF7"/>
    <w:rsid w:val="007465DA"/>
    <w:rsid w:val="00752924"/>
    <w:rsid w:val="00752C7F"/>
    <w:rsid w:val="00762910"/>
    <w:rsid w:val="00763459"/>
    <w:rsid w:val="007641E2"/>
    <w:rsid w:val="00770F90"/>
    <w:rsid w:val="00771B72"/>
    <w:rsid w:val="00776598"/>
    <w:rsid w:val="00777747"/>
    <w:rsid w:val="00780AB3"/>
    <w:rsid w:val="00784A54"/>
    <w:rsid w:val="007852F8"/>
    <w:rsid w:val="00786E8C"/>
    <w:rsid w:val="00792948"/>
    <w:rsid w:val="00793ADF"/>
    <w:rsid w:val="00796E84"/>
    <w:rsid w:val="007A3ADE"/>
    <w:rsid w:val="007A5733"/>
    <w:rsid w:val="007A5774"/>
    <w:rsid w:val="007C5FCC"/>
    <w:rsid w:val="007C704B"/>
    <w:rsid w:val="007D2D13"/>
    <w:rsid w:val="007D5128"/>
    <w:rsid w:val="007E57D1"/>
    <w:rsid w:val="007E673A"/>
    <w:rsid w:val="007F2C66"/>
    <w:rsid w:val="008010DA"/>
    <w:rsid w:val="00801E74"/>
    <w:rsid w:val="00802B23"/>
    <w:rsid w:val="00802FA9"/>
    <w:rsid w:val="00803A4C"/>
    <w:rsid w:val="0080485E"/>
    <w:rsid w:val="0080545F"/>
    <w:rsid w:val="00806BEA"/>
    <w:rsid w:val="0081133C"/>
    <w:rsid w:val="008142B4"/>
    <w:rsid w:val="00816A34"/>
    <w:rsid w:val="008175A3"/>
    <w:rsid w:val="00832324"/>
    <w:rsid w:val="00835337"/>
    <w:rsid w:val="0083774D"/>
    <w:rsid w:val="00846271"/>
    <w:rsid w:val="00846DCD"/>
    <w:rsid w:val="00851D85"/>
    <w:rsid w:val="00856E28"/>
    <w:rsid w:val="00860112"/>
    <w:rsid w:val="00860CCB"/>
    <w:rsid w:val="008663D0"/>
    <w:rsid w:val="008740A3"/>
    <w:rsid w:val="00874D9D"/>
    <w:rsid w:val="008820E8"/>
    <w:rsid w:val="00885BDB"/>
    <w:rsid w:val="00887426"/>
    <w:rsid w:val="0089297B"/>
    <w:rsid w:val="00892C32"/>
    <w:rsid w:val="008A5176"/>
    <w:rsid w:val="008A7AF7"/>
    <w:rsid w:val="008B4418"/>
    <w:rsid w:val="008B4948"/>
    <w:rsid w:val="008B4FEB"/>
    <w:rsid w:val="008B5D04"/>
    <w:rsid w:val="008B6008"/>
    <w:rsid w:val="008C36CA"/>
    <w:rsid w:val="008D0130"/>
    <w:rsid w:val="008D4FFB"/>
    <w:rsid w:val="008E0A40"/>
    <w:rsid w:val="008E3F8C"/>
    <w:rsid w:val="008E5AC6"/>
    <w:rsid w:val="008E6238"/>
    <w:rsid w:val="008F58FB"/>
    <w:rsid w:val="00902FD0"/>
    <w:rsid w:val="009053D3"/>
    <w:rsid w:val="0090691F"/>
    <w:rsid w:val="009070B0"/>
    <w:rsid w:val="00912F56"/>
    <w:rsid w:val="00917C19"/>
    <w:rsid w:val="00917FB3"/>
    <w:rsid w:val="009202B4"/>
    <w:rsid w:val="0092055B"/>
    <w:rsid w:val="009261A9"/>
    <w:rsid w:val="00926B77"/>
    <w:rsid w:val="0093111F"/>
    <w:rsid w:val="00935689"/>
    <w:rsid w:val="00944921"/>
    <w:rsid w:val="0095269B"/>
    <w:rsid w:val="0095303B"/>
    <w:rsid w:val="009536E6"/>
    <w:rsid w:val="009604D3"/>
    <w:rsid w:val="00963A1F"/>
    <w:rsid w:val="009663B6"/>
    <w:rsid w:val="009713F5"/>
    <w:rsid w:val="009727A7"/>
    <w:rsid w:val="00974A47"/>
    <w:rsid w:val="00976808"/>
    <w:rsid w:val="00980286"/>
    <w:rsid w:val="00990852"/>
    <w:rsid w:val="00990DCF"/>
    <w:rsid w:val="0099655F"/>
    <w:rsid w:val="009A28B4"/>
    <w:rsid w:val="009A4CD6"/>
    <w:rsid w:val="009A537C"/>
    <w:rsid w:val="009A7115"/>
    <w:rsid w:val="009A7A30"/>
    <w:rsid w:val="009B4815"/>
    <w:rsid w:val="009C0886"/>
    <w:rsid w:val="009C18FD"/>
    <w:rsid w:val="009C19EE"/>
    <w:rsid w:val="009C28D0"/>
    <w:rsid w:val="009C2D82"/>
    <w:rsid w:val="009C35F2"/>
    <w:rsid w:val="009C7782"/>
    <w:rsid w:val="009D01A8"/>
    <w:rsid w:val="009D1ED5"/>
    <w:rsid w:val="009D23AA"/>
    <w:rsid w:val="009D4C13"/>
    <w:rsid w:val="009E21A7"/>
    <w:rsid w:val="009E4B09"/>
    <w:rsid w:val="009E5914"/>
    <w:rsid w:val="009E78C4"/>
    <w:rsid w:val="009F06E4"/>
    <w:rsid w:val="009F3A2D"/>
    <w:rsid w:val="00A065D1"/>
    <w:rsid w:val="00A103ED"/>
    <w:rsid w:val="00A1103B"/>
    <w:rsid w:val="00A12FFC"/>
    <w:rsid w:val="00A13C60"/>
    <w:rsid w:val="00A15134"/>
    <w:rsid w:val="00A167A1"/>
    <w:rsid w:val="00A167A8"/>
    <w:rsid w:val="00A22FE4"/>
    <w:rsid w:val="00A23DFA"/>
    <w:rsid w:val="00A341A3"/>
    <w:rsid w:val="00A34B20"/>
    <w:rsid w:val="00A3574F"/>
    <w:rsid w:val="00A357E4"/>
    <w:rsid w:val="00A35800"/>
    <w:rsid w:val="00A36E45"/>
    <w:rsid w:val="00A50916"/>
    <w:rsid w:val="00A5104F"/>
    <w:rsid w:val="00A5158B"/>
    <w:rsid w:val="00A51B6F"/>
    <w:rsid w:val="00A52918"/>
    <w:rsid w:val="00A547B3"/>
    <w:rsid w:val="00A55287"/>
    <w:rsid w:val="00A571E6"/>
    <w:rsid w:val="00A576D8"/>
    <w:rsid w:val="00A57894"/>
    <w:rsid w:val="00A70E82"/>
    <w:rsid w:val="00A70EC4"/>
    <w:rsid w:val="00A739A5"/>
    <w:rsid w:val="00A74079"/>
    <w:rsid w:val="00A743F8"/>
    <w:rsid w:val="00A8344E"/>
    <w:rsid w:val="00A84CAD"/>
    <w:rsid w:val="00A90B0D"/>
    <w:rsid w:val="00A90E50"/>
    <w:rsid w:val="00A94509"/>
    <w:rsid w:val="00A95FA5"/>
    <w:rsid w:val="00A96D92"/>
    <w:rsid w:val="00A96DAC"/>
    <w:rsid w:val="00AA0931"/>
    <w:rsid w:val="00AA1612"/>
    <w:rsid w:val="00AB199C"/>
    <w:rsid w:val="00AB3514"/>
    <w:rsid w:val="00AB3733"/>
    <w:rsid w:val="00AB588C"/>
    <w:rsid w:val="00AB7897"/>
    <w:rsid w:val="00AC3B64"/>
    <w:rsid w:val="00AC5054"/>
    <w:rsid w:val="00AD48B0"/>
    <w:rsid w:val="00AD6E1D"/>
    <w:rsid w:val="00AD75CC"/>
    <w:rsid w:val="00AE2B05"/>
    <w:rsid w:val="00AE46AE"/>
    <w:rsid w:val="00AE4BAC"/>
    <w:rsid w:val="00AE5B2C"/>
    <w:rsid w:val="00AF0CF9"/>
    <w:rsid w:val="00AF2E92"/>
    <w:rsid w:val="00AF7469"/>
    <w:rsid w:val="00B034FC"/>
    <w:rsid w:val="00B04676"/>
    <w:rsid w:val="00B047EE"/>
    <w:rsid w:val="00B05310"/>
    <w:rsid w:val="00B065A7"/>
    <w:rsid w:val="00B072AB"/>
    <w:rsid w:val="00B10A0B"/>
    <w:rsid w:val="00B11221"/>
    <w:rsid w:val="00B172CD"/>
    <w:rsid w:val="00B24329"/>
    <w:rsid w:val="00B27972"/>
    <w:rsid w:val="00B30010"/>
    <w:rsid w:val="00B30D85"/>
    <w:rsid w:val="00B32147"/>
    <w:rsid w:val="00B33D91"/>
    <w:rsid w:val="00B34C51"/>
    <w:rsid w:val="00B35A4A"/>
    <w:rsid w:val="00B35B83"/>
    <w:rsid w:val="00B3785B"/>
    <w:rsid w:val="00B453CF"/>
    <w:rsid w:val="00B549E4"/>
    <w:rsid w:val="00B55A83"/>
    <w:rsid w:val="00B569C6"/>
    <w:rsid w:val="00B61EF5"/>
    <w:rsid w:val="00B63FD7"/>
    <w:rsid w:val="00B64D5B"/>
    <w:rsid w:val="00B70267"/>
    <w:rsid w:val="00B72512"/>
    <w:rsid w:val="00B728EF"/>
    <w:rsid w:val="00B80498"/>
    <w:rsid w:val="00B80871"/>
    <w:rsid w:val="00B816D9"/>
    <w:rsid w:val="00B81ACE"/>
    <w:rsid w:val="00B8711F"/>
    <w:rsid w:val="00B9120F"/>
    <w:rsid w:val="00B9216C"/>
    <w:rsid w:val="00B924A4"/>
    <w:rsid w:val="00B940F5"/>
    <w:rsid w:val="00BA3B3B"/>
    <w:rsid w:val="00BA3FA0"/>
    <w:rsid w:val="00BB0D1A"/>
    <w:rsid w:val="00BB1D3B"/>
    <w:rsid w:val="00BC35ED"/>
    <w:rsid w:val="00BC4042"/>
    <w:rsid w:val="00BD06E6"/>
    <w:rsid w:val="00BE205A"/>
    <w:rsid w:val="00BE3802"/>
    <w:rsid w:val="00BE653F"/>
    <w:rsid w:val="00BE779C"/>
    <w:rsid w:val="00BF238E"/>
    <w:rsid w:val="00BF2F4A"/>
    <w:rsid w:val="00BF4089"/>
    <w:rsid w:val="00BF544D"/>
    <w:rsid w:val="00BF5C24"/>
    <w:rsid w:val="00C0076F"/>
    <w:rsid w:val="00C0301C"/>
    <w:rsid w:val="00C050B6"/>
    <w:rsid w:val="00C10497"/>
    <w:rsid w:val="00C10F12"/>
    <w:rsid w:val="00C124E3"/>
    <w:rsid w:val="00C126DA"/>
    <w:rsid w:val="00C15529"/>
    <w:rsid w:val="00C245EA"/>
    <w:rsid w:val="00C24B6E"/>
    <w:rsid w:val="00C256F6"/>
    <w:rsid w:val="00C262EC"/>
    <w:rsid w:val="00C3097E"/>
    <w:rsid w:val="00C35ECC"/>
    <w:rsid w:val="00C361A8"/>
    <w:rsid w:val="00C41246"/>
    <w:rsid w:val="00C427B9"/>
    <w:rsid w:val="00C42B8B"/>
    <w:rsid w:val="00C45E5F"/>
    <w:rsid w:val="00C46291"/>
    <w:rsid w:val="00C50972"/>
    <w:rsid w:val="00C527E7"/>
    <w:rsid w:val="00C53CAE"/>
    <w:rsid w:val="00C55B42"/>
    <w:rsid w:val="00C619F1"/>
    <w:rsid w:val="00C61DA4"/>
    <w:rsid w:val="00C63412"/>
    <w:rsid w:val="00C676DD"/>
    <w:rsid w:val="00C714D0"/>
    <w:rsid w:val="00C74F92"/>
    <w:rsid w:val="00C80972"/>
    <w:rsid w:val="00C82DC8"/>
    <w:rsid w:val="00C857BD"/>
    <w:rsid w:val="00C90CAE"/>
    <w:rsid w:val="00C90EF4"/>
    <w:rsid w:val="00C92AB4"/>
    <w:rsid w:val="00C92CE7"/>
    <w:rsid w:val="00C95AEF"/>
    <w:rsid w:val="00CA015A"/>
    <w:rsid w:val="00CA23D5"/>
    <w:rsid w:val="00CB2106"/>
    <w:rsid w:val="00CB3AA2"/>
    <w:rsid w:val="00CB515E"/>
    <w:rsid w:val="00CC1AA3"/>
    <w:rsid w:val="00CD3D09"/>
    <w:rsid w:val="00CD4486"/>
    <w:rsid w:val="00CD6F38"/>
    <w:rsid w:val="00CE18B6"/>
    <w:rsid w:val="00CE5220"/>
    <w:rsid w:val="00CE7E41"/>
    <w:rsid w:val="00CF59E7"/>
    <w:rsid w:val="00CF5E22"/>
    <w:rsid w:val="00CF72F1"/>
    <w:rsid w:val="00D03683"/>
    <w:rsid w:val="00D06A44"/>
    <w:rsid w:val="00D12538"/>
    <w:rsid w:val="00D13BEF"/>
    <w:rsid w:val="00D151EB"/>
    <w:rsid w:val="00D15396"/>
    <w:rsid w:val="00D2084C"/>
    <w:rsid w:val="00D20AFA"/>
    <w:rsid w:val="00D27110"/>
    <w:rsid w:val="00D300E0"/>
    <w:rsid w:val="00D31207"/>
    <w:rsid w:val="00D345DF"/>
    <w:rsid w:val="00D346CC"/>
    <w:rsid w:val="00D374CD"/>
    <w:rsid w:val="00D46602"/>
    <w:rsid w:val="00D50B16"/>
    <w:rsid w:val="00D52F33"/>
    <w:rsid w:val="00D56073"/>
    <w:rsid w:val="00D60FDC"/>
    <w:rsid w:val="00D623F6"/>
    <w:rsid w:val="00D648D5"/>
    <w:rsid w:val="00D650CE"/>
    <w:rsid w:val="00D71719"/>
    <w:rsid w:val="00D7231A"/>
    <w:rsid w:val="00D73E86"/>
    <w:rsid w:val="00D776DA"/>
    <w:rsid w:val="00D80F2A"/>
    <w:rsid w:val="00D829EA"/>
    <w:rsid w:val="00D84607"/>
    <w:rsid w:val="00D86902"/>
    <w:rsid w:val="00D8758B"/>
    <w:rsid w:val="00D900FC"/>
    <w:rsid w:val="00D91F56"/>
    <w:rsid w:val="00D942B3"/>
    <w:rsid w:val="00D94863"/>
    <w:rsid w:val="00DA4599"/>
    <w:rsid w:val="00DA49F2"/>
    <w:rsid w:val="00DA7D09"/>
    <w:rsid w:val="00DB4A6A"/>
    <w:rsid w:val="00DB7C5A"/>
    <w:rsid w:val="00DC0337"/>
    <w:rsid w:val="00DC2630"/>
    <w:rsid w:val="00DC3A6B"/>
    <w:rsid w:val="00DC49E9"/>
    <w:rsid w:val="00DC4ED5"/>
    <w:rsid w:val="00DC55E4"/>
    <w:rsid w:val="00DC7D71"/>
    <w:rsid w:val="00DD08A7"/>
    <w:rsid w:val="00DD188C"/>
    <w:rsid w:val="00DD29A3"/>
    <w:rsid w:val="00DD48EE"/>
    <w:rsid w:val="00DE0AFB"/>
    <w:rsid w:val="00DE0B96"/>
    <w:rsid w:val="00DE10B9"/>
    <w:rsid w:val="00DE147B"/>
    <w:rsid w:val="00DE4B51"/>
    <w:rsid w:val="00DF0B13"/>
    <w:rsid w:val="00DF2EB8"/>
    <w:rsid w:val="00DF4A94"/>
    <w:rsid w:val="00DF4F7D"/>
    <w:rsid w:val="00DF5409"/>
    <w:rsid w:val="00DF5CA3"/>
    <w:rsid w:val="00DF6003"/>
    <w:rsid w:val="00DF7BE0"/>
    <w:rsid w:val="00E00095"/>
    <w:rsid w:val="00E066C3"/>
    <w:rsid w:val="00E07A16"/>
    <w:rsid w:val="00E10D8C"/>
    <w:rsid w:val="00E1353A"/>
    <w:rsid w:val="00E1564B"/>
    <w:rsid w:val="00E17B6D"/>
    <w:rsid w:val="00E208A0"/>
    <w:rsid w:val="00E23C62"/>
    <w:rsid w:val="00E25026"/>
    <w:rsid w:val="00E25B49"/>
    <w:rsid w:val="00E371EA"/>
    <w:rsid w:val="00E4195B"/>
    <w:rsid w:val="00E45C44"/>
    <w:rsid w:val="00E47ACC"/>
    <w:rsid w:val="00E53FB9"/>
    <w:rsid w:val="00E600FD"/>
    <w:rsid w:val="00E64429"/>
    <w:rsid w:val="00E66F0B"/>
    <w:rsid w:val="00E67721"/>
    <w:rsid w:val="00E677DD"/>
    <w:rsid w:val="00E71441"/>
    <w:rsid w:val="00E7594B"/>
    <w:rsid w:val="00E75A1C"/>
    <w:rsid w:val="00E800F6"/>
    <w:rsid w:val="00E809C7"/>
    <w:rsid w:val="00E81C1F"/>
    <w:rsid w:val="00E82ABC"/>
    <w:rsid w:val="00E84166"/>
    <w:rsid w:val="00E85241"/>
    <w:rsid w:val="00E86799"/>
    <w:rsid w:val="00E875F8"/>
    <w:rsid w:val="00E87EE9"/>
    <w:rsid w:val="00E938F5"/>
    <w:rsid w:val="00EA0D0A"/>
    <w:rsid w:val="00EA628D"/>
    <w:rsid w:val="00EB4688"/>
    <w:rsid w:val="00EB47BD"/>
    <w:rsid w:val="00EB5044"/>
    <w:rsid w:val="00EB6C07"/>
    <w:rsid w:val="00EB6F89"/>
    <w:rsid w:val="00EC028D"/>
    <w:rsid w:val="00EC0EA2"/>
    <w:rsid w:val="00EC32E1"/>
    <w:rsid w:val="00ED03E5"/>
    <w:rsid w:val="00ED1949"/>
    <w:rsid w:val="00ED4458"/>
    <w:rsid w:val="00ED5369"/>
    <w:rsid w:val="00ED633B"/>
    <w:rsid w:val="00EE2BBB"/>
    <w:rsid w:val="00EE3318"/>
    <w:rsid w:val="00EE478C"/>
    <w:rsid w:val="00EE6520"/>
    <w:rsid w:val="00EF28CF"/>
    <w:rsid w:val="00EF5221"/>
    <w:rsid w:val="00EF705B"/>
    <w:rsid w:val="00F015D3"/>
    <w:rsid w:val="00F04343"/>
    <w:rsid w:val="00F06D9A"/>
    <w:rsid w:val="00F106AA"/>
    <w:rsid w:val="00F1132C"/>
    <w:rsid w:val="00F15DD5"/>
    <w:rsid w:val="00F161D9"/>
    <w:rsid w:val="00F17D4B"/>
    <w:rsid w:val="00F20F42"/>
    <w:rsid w:val="00F23139"/>
    <w:rsid w:val="00F353DF"/>
    <w:rsid w:val="00F400AD"/>
    <w:rsid w:val="00F579D1"/>
    <w:rsid w:val="00F60FA9"/>
    <w:rsid w:val="00F63F18"/>
    <w:rsid w:val="00F65CB8"/>
    <w:rsid w:val="00F66CD5"/>
    <w:rsid w:val="00F67A9A"/>
    <w:rsid w:val="00F70A62"/>
    <w:rsid w:val="00F70F4E"/>
    <w:rsid w:val="00F71B44"/>
    <w:rsid w:val="00F73113"/>
    <w:rsid w:val="00F75FC4"/>
    <w:rsid w:val="00F85981"/>
    <w:rsid w:val="00F859A1"/>
    <w:rsid w:val="00F87263"/>
    <w:rsid w:val="00F93725"/>
    <w:rsid w:val="00FA0005"/>
    <w:rsid w:val="00FA4757"/>
    <w:rsid w:val="00FA4890"/>
    <w:rsid w:val="00FB4867"/>
    <w:rsid w:val="00FB6F5D"/>
    <w:rsid w:val="00FB77FA"/>
    <w:rsid w:val="00FC3C70"/>
    <w:rsid w:val="00FC4A52"/>
    <w:rsid w:val="00FC4A73"/>
    <w:rsid w:val="00FC559C"/>
    <w:rsid w:val="00FC7F0D"/>
    <w:rsid w:val="00FD6886"/>
    <w:rsid w:val="00FE645A"/>
    <w:rsid w:val="00FF55A6"/>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09"/>
    <o:shapelayout v:ext="edit">
      <o:idmap v:ext="edit" data="1"/>
    </o:shapelayout>
  </w:shapeDefaults>
  <w:decimalSymbol w:val="."/>
  <w:listSeparator w:val=","/>
  <w14:docId w14:val="3FC01F9B"/>
  <w15:docId w15:val="{BD4660A4-A4A6-4340-B41F-15FCD880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semiHidden/>
    <w:unhideWhenUsed/>
    <w:rsid w:val="00E938F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E4B09"/>
    <w:rPr>
      <w:color w:val="800080" w:themeColor="followedHyperlink"/>
      <w:u w:val="single"/>
    </w:rPr>
  </w:style>
  <w:style w:type="character" w:customStyle="1" w:styleId="item-code2">
    <w:name w:val="item-code2"/>
    <w:basedOn w:val="DefaultParagraphFont"/>
    <w:rsid w:val="009D23AA"/>
    <w:rPr>
      <w:vanish w:val="0"/>
      <w:webHidden w:val="0"/>
      <w:specVanish w:val="0"/>
    </w:rPr>
  </w:style>
  <w:style w:type="character" w:customStyle="1" w:styleId="bkciteavail">
    <w:name w:val="bk_cite_avail"/>
    <w:basedOn w:val="DefaultParagraphFont"/>
    <w:rsid w:val="0042362C"/>
  </w:style>
  <w:style w:type="paragraph" w:styleId="Revision">
    <w:name w:val="Revision"/>
    <w:hidden/>
    <w:uiPriority w:val="99"/>
    <w:semiHidden/>
    <w:rsid w:val="00D46602"/>
    <w:pPr>
      <w:spacing w:after="0" w:line="240" w:lineRule="auto"/>
    </w:pPr>
    <w:rPr>
      <w:sz w:val="24"/>
      <w:szCs w:val="24"/>
    </w:rPr>
  </w:style>
  <w:style w:type="character" w:styleId="PlaceholderText">
    <w:name w:val="Placeholder Text"/>
    <w:basedOn w:val="DefaultParagraphFont"/>
    <w:uiPriority w:val="99"/>
    <w:semiHidden/>
    <w:rsid w:val="000C1FA2"/>
    <w:rPr>
      <w:color w:val="808080"/>
    </w:rPr>
  </w:style>
  <w:style w:type="character" w:customStyle="1" w:styleId="ListParagraphChar">
    <w:name w:val="List Paragraph Char"/>
    <w:link w:val="ListParagraph"/>
    <w:uiPriority w:val="34"/>
    <w:rsid w:val="00A06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9385">
      <w:bodyDiv w:val="1"/>
      <w:marLeft w:val="0"/>
      <w:marRight w:val="0"/>
      <w:marTop w:val="0"/>
      <w:marBottom w:val="0"/>
      <w:divBdr>
        <w:top w:val="none" w:sz="0" w:space="0" w:color="auto"/>
        <w:left w:val="none" w:sz="0" w:space="0" w:color="auto"/>
        <w:bottom w:val="none" w:sz="0" w:space="0" w:color="auto"/>
        <w:right w:val="none" w:sz="0" w:space="0" w:color="auto"/>
      </w:divBdr>
    </w:div>
    <w:div w:id="41290103">
      <w:bodyDiv w:val="1"/>
      <w:marLeft w:val="0"/>
      <w:marRight w:val="0"/>
      <w:marTop w:val="0"/>
      <w:marBottom w:val="0"/>
      <w:divBdr>
        <w:top w:val="none" w:sz="0" w:space="0" w:color="auto"/>
        <w:left w:val="none" w:sz="0" w:space="0" w:color="auto"/>
        <w:bottom w:val="none" w:sz="0" w:space="0" w:color="auto"/>
        <w:right w:val="none" w:sz="0" w:space="0" w:color="auto"/>
      </w:divBdr>
    </w:div>
    <w:div w:id="213664815">
      <w:bodyDiv w:val="1"/>
      <w:marLeft w:val="0"/>
      <w:marRight w:val="0"/>
      <w:marTop w:val="0"/>
      <w:marBottom w:val="0"/>
      <w:divBdr>
        <w:top w:val="none" w:sz="0" w:space="0" w:color="auto"/>
        <w:left w:val="none" w:sz="0" w:space="0" w:color="auto"/>
        <w:bottom w:val="none" w:sz="0" w:space="0" w:color="auto"/>
        <w:right w:val="none" w:sz="0" w:space="0" w:color="auto"/>
      </w:divBdr>
    </w:div>
    <w:div w:id="290939740">
      <w:bodyDiv w:val="1"/>
      <w:marLeft w:val="0"/>
      <w:marRight w:val="0"/>
      <w:marTop w:val="0"/>
      <w:marBottom w:val="0"/>
      <w:divBdr>
        <w:top w:val="none" w:sz="0" w:space="0" w:color="auto"/>
        <w:left w:val="none" w:sz="0" w:space="0" w:color="auto"/>
        <w:bottom w:val="none" w:sz="0" w:space="0" w:color="auto"/>
        <w:right w:val="none" w:sz="0" w:space="0" w:color="auto"/>
      </w:divBdr>
    </w:div>
    <w:div w:id="316962107">
      <w:bodyDiv w:val="1"/>
      <w:marLeft w:val="0"/>
      <w:marRight w:val="0"/>
      <w:marTop w:val="0"/>
      <w:marBottom w:val="0"/>
      <w:divBdr>
        <w:top w:val="none" w:sz="0" w:space="0" w:color="auto"/>
        <w:left w:val="none" w:sz="0" w:space="0" w:color="auto"/>
        <w:bottom w:val="none" w:sz="0" w:space="0" w:color="auto"/>
        <w:right w:val="none" w:sz="0" w:space="0" w:color="auto"/>
      </w:divBdr>
    </w:div>
    <w:div w:id="374550143">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53402497">
      <w:bodyDiv w:val="1"/>
      <w:marLeft w:val="0"/>
      <w:marRight w:val="0"/>
      <w:marTop w:val="0"/>
      <w:marBottom w:val="0"/>
      <w:divBdr>
        <w:top w:val="none" w:sz="0" w:space="0" w:color="auto"/>
        <w:left w:val="none" w:sz="0" w:space="0" w:color="auto"/>
        <w:bottom w:val="none" w:sz="0" w:space="0" w:color="auto"/>
        <w:right w:val="none" w:sz="0" w:space="0" w:color="auto"/>
      </w:divBdr>
    </w:div>
    <w:div w:id="716900909">
      <w:bodyDiv w:val="1"/>
      <w:marLeft w:val="0"/>
      <w:marRight w:val="0"/>
      <w:marTop w:val="0"/>
      <w:marBottom w:val="0"/>
      <w:divBdr>
        <w:top w:val="none" w:sz="0" w:space="0" w:color="auto"/>
        <w:left w:val="none" w:sz="0" w:space="0" w:color="auto"/>
        <w:bottom w:val="none" w:sz="0" w:space="0" w:color="auto"/>
        <w:right w:val="none" w:sz="0" w:space="0" w:color="auto"/>
      </w:divBdr>
    </w:div>
    <w:div w:id="747266983">
      <w:bodyDiv w:val="1"/>
      <w:marLeft w:val="0"/>
      <w:marRight w:val="0"/>
      <w:marTop w:val="0"/>
      <w:marBottom w:val="0"/>
      <w:divBdr>
        <w:top w:val="none" w:sz="0" w:space="0" w:color="auto"/>
        <w:left w:val="none" w:sz="0" w:space="0" w:color="auto"/>
        <w:bottom w:val="none" w:sz="0" w:space="0" w:color="auto"/>
        <w:right w:val="none" w:sz="0" w:space="0" w:color="auto"/>
      </w:divBdr>
    </w:div>
    <w:div w:id="785662313">
      <w:bodyDiv w:val="1"/>
      <w:marLeft w:val="0"/>
      <w:marRight w:val="0"/>
      <w:marTop w:val="0"/>
      <w:marBottom w:val="0"/>
      <w:divBdr>
        <w:top w:val="none" w:sz="0" w:space="0" w:color="auto"/>
        <w:left w:val="none" w:sz="0" w:space="0" w:color="auto"/>
        <w:bottom w:val="none" w:sz="0" w:space="0" w:color="auto"/>
        <w:right w:val="none" w:sz="0" w:space="0" w:color="auto"/>
      </w:divBdr>
    </w:div>
    <w:div w:id="806510449">
      <w:bodyDiv w:val="1"/>
      <w:marLeft w:val="0"/>
      <w:marRight w:val="0"/>
      <w:marTop w:val="0"/>
      <w:marBottom w:val="0"/>
      <w:divBdr>
        <w:top w:val="none" w:sz="0" w:space="0" w:color="auto"/>
        <w:left w:val="none" w:sz="0" w:space="0" w:color="auto"/>
        <w:bottom w:val="none" w:sz="0" w:space="0" w:color="auto"/>
        <w:right w:val="none" w:sz="0" w:space="0" w:color="auto"/>
      </w:divBdr>
    </w:div>
    <w:div w:id="959148717">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2841786">
      <w:bodyDiv w:val="1"/>
      <w:marLeft w:val="0"/>
      <w:marRight w:val="0"/>
      <w:marTop w:val="0"/>
      <w:marBottom w:val="0"/>
      <w:divBdr>
        <w:top w:val="none" w:sz="0" w:space="0" w:color="auto"/>
        <w:left w:val="none" w:sz="0" w:space="0" w:color="auto"/>
        <w:bottom w:val="none" w:sz="0" w:space="0" w:color="auto"/>
        <w:right w:val="none" w:sz="0" w:space="0" w:color="auto"/>
      </w:divBdr>
      <w:divsChild>
        <w:div w:id="540165910">
          <w:marLeft w:val="0"/>
          <w:marRight w:val="0"/>
          <w:marTop w:val="0"/>
          <w:marBottom w:val="0"/>
          <w:divBdr>
            <w:top w:val="single" w:sz="18" w:space="0" w:color="3E72A6"/>
            <w:left w:val="single" w:sz="18" w:space="0" w:color="3E72A6"/>
            <w:bottom w:val="single" w:sz="18" w:space="0" w:color="3E72A6"/>
            <w:right w:val="single" w:sz="18" w:space="0" w:color="3E72A6"/>
          </w:divBdr>
          <w:divsChild>
            <w:div w:id="859052888">
              <w:marLeft w:val="0"/>
              <w:marRight w:val="0"/>
              <w:marTop w:val="0"/>
              <w:marBottom w:val="0"/>
              <w:divBdr>
                <w:top w:val="none" w:sz="0" w:space="0" w:color="auto"/>
                <w:left w:val="none" w:sz="0" w:space="0" w:color="auto"/>
                <w:bottom w:val="none" w:sz="0" w:space="0" w:color="auto"/>
                <w:right w:val="none" w:sz="0" w:space="0" w:color="auto"/>
              </w:divBdr>
              <w:divsChild>
                <w:div w:id="6680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5209">
      <w:bodyDiv w:val="1"/>
      <w:marLeft w:val="0"/>
      <w:marRight w:val="0"/>
      <w:marTop w:val="0"/>
      <w:marBottom w:val="0"/>
      <w:divBdr>
        <w:top w:val="none" w:sz="0" w:space="0" w:color="auto"/>
        <w:left w:val="none" w:sz="0" w:space="0" w:color="auto"/>
        <w:bottom w:val="none" w:sz="0" w:space="0" w:color="auto"/>
        <w:right w:val="none" w:sz="0" w:space="0" w:color="auto"/>
      </w:divBdr>
    </w:div>
    <w:div w:id="1320429408">
      <w:bodyDiv w:val="1"/>
      <w:marLeft w:val="0"/>
      <w:marRight w:val="0"/>
      <w:marTop w:val="0"/>
      <w:marBottom w:val="0"/>
      <w:divBdr>
        <w:top w:val="none" w:sz="0" w:space="0" w:color="auto"/>
        <w:left w:val="none" w:sz="0" w:space="0" w:color="auto"/>
        <w:bottom w:val="none" w:sz="0" w:space="0" w:color="auto"/>
        <w:right w:val="none" w:sz="0" w:space="0" w:color="auto"/>
      </w:divBdr>
    </w:div>
    <w:div w:id="1383793474">
      <w:bodyDiv w:val="1"/>
      <w:marLeft w:val="0"/>
      <w:marRight w:val="0"/>
      <w:marTop w:val="0"/>
      <w:marBottom w:val="0"/>
      <w:divBdr>
        <w:top w:val="none" w:sz="0" w:space="0" w:color="auto"/>
        <w:left w:val="none" w:sz="0" w:space="0" w:color="auto"/>
        <w:bottom w:val="none" w:sz="0" w:space="0" w:color="auto"/>
        <w:right w:val="none" w:sz="0" w:space="0" w:color="auto"/>
      </w:divBdr>
    </w:div>
    <w:div w:id="1453743899">
      <w:bodyDiv w:val="1"/>
      <w:marLeft w:val="0"/>
      <w:marRight w:val="0"/>
      <w:marTop w:val="0"/>
      <w:marBottom w:val="0"/>
      <w:divBdr>
        <w:top w:val="none" w:sz="0" w:space="0" w:color="auto"/>
        <w:left w:val="none" w:sz="0" w:space="0" w:color="auto"/>
        <w:bottom w:val="none" w:sz="0" w:space="0" w:color="auto"/>
        <w:right w:val="none" w:sz="0" w:space="0" w:color="auto"/>
      </w:divBdr>
    </w:div>
    <w:div w:id="1756316619">
      <w:bodyDiv w:val="1"/>
      <w:marLeft w:val="0"/>
      <w:marRight w:val="0"/>
      <w:marTop w:val="0"/>
      <w:marBottom w:val="0"/>
      <w:divBdr>
        <w:top w:val="none" w:sz="0" w:space="0" w:color="auto"/>
        <w:left w:val="none" w:sz="0" w:space="0" w:color="auto"/>
        <w:bottom w:val="none" w:sz="0" w:space="0" w:color="auto"/>
        <w:right w:val="none" w:sz="0" w:space="0" w:color="auto"/>
      </w:divBdr>
    </w:div>
    <w:div w:id="1774861238">
      <w:bodyDiv w:val="1"/>
      <w:marLeft w:val="0"/>
      <w:marRight w:val="0"/>
      <w:marTop w:val="0"/>
      <w:marBottom w:val="0"/>
      <w:divBdr>
        <w:top w:val="none" w:sz="0" w:space="0" w:color="auto"/>
        <w:left w:val="none" w:sz="0" w:space="0" w:color="auto"/>
        <w:bottom w:val="none" w:sz="0" w:space="0" w:color="auto"/>
        <w:right w:val="none" w:sz="0" w:space="0" w:color="auto"/>
      </w:divBdr>
    </w:div>
    <w:div w:id="1824393185">
      <w:bodyDiv w:val="1"/>
      <w:marLeft w:val="0"/>
      <w:marRight w:val="0"/>
      <w:marTop w:val="0"/>
      <w:marBottom w:val="0"/>
      <w:divBdr>
        <w:top w:val="none" w:sz="0" w:space="0" w:color="auto"/>
        <w:left w:val="none" w:sz="0" w:space="0" w:color="auto"/>
        <w:bottom w:val="none" w:sz="0" w:space="0" w:color="auto"/>
        <w:right w:val="none" w:sz="0" w:space="0" w:color="auto"/>
      </w:divBdr>
    </w:div>
    <w:div w:id="1916160861">
      <w:bodyDiv w:val="1"/>
      <w:marLeft w:val="0"/>
      <w:marRight w:val="0"/>
      <w:marTop w:val="0"/>
      <w:marBottom w:val="0"/>
      <w:divBdr>
        <w:top w:val="none" w:sz="0" w:space="0" w:color="auto"/>
        <w:left w:val="none" w:sz="0" w:space="0" w:color="auto"/>
        <w:bottom w:val="none" w:sz="0" w:space="0" w:color="auto"/>
        <w:right w:val="none" w:sz="0" w:space="0" w:color="auto"/>
      </w:divBdr>
    </w:div>
    <w:div w:id="212769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s.tga.gov.au/ebs/picmi/picmirepository.nsf/pdf?OpenAgent&amp;id=CP-2010-PI-04263-3&amp;d=201808201016933" TargetMode="External"/><Relationship Id="rId13" Type="http://schemas.openxmlformats.org/officeDocument/2006/relationships/hyperlink" Target="http://www.pbs.gov.au/medicine/item/10114H-10115J-10120P-10121Q-10881Q-10885X-4400N-7243F" TargetMode="External"/><Relationship Id="rId18" Type="http://schemas.openxmlformats.org/officeDocument/2006/relationships/chart" Target="charts/chart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pbs.gov.au/medicine/item/10115j" TargetMode="External"/><Relationship Id="rId17" Type="http://schemas.openxmlformats.org/officeDocument/2006/relationships/hyperlink" Target="https://sapngp.central.health/sap/bc/ui2/fl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bs.gov.au/info/industry/listing/elements/pbac-meetings/psd/2013-11/bevacizumab" TargetMode="External"/><Relationship Id="rId20" Type="http://schemas.openxmlformats.org/officeDocument/2006/relationships/chart" Target="charts/chart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medicine/item/10120p"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bs.gov.au/info/publication/schedule/archive" TargetMode="External"/><Relationship Id="rId23" Type="http://schemas.openxmlformats.org/officeDocument/2006/relationships/hyperlink" Target="https://www.eviq.org.au/" TargetMode="External"/><Relationship Id="rId28" Type="http://schemas.openxmlformats.org/officeDocument/2006/relationships/footer" Target="footer2.xml"/><Relationship Id="rId10" Type="http://schemas.openxmlformats.org/officeDocument/2006/relationships/hyperlink" Target="http://www.pbs.gov.au/medicine/item/10114H-10115J-10120P-10121Q-10881Q-10885X-4400N-7243F" TargetMode="Externa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viq.org.au/medical-oncology/gynaecological/ovarian/1601-ovarian-advanced-carboplatin-paclitaxel-and" TargetMode="External"/><Relationship Id="rId14" Type="http://schemas.openxmlformats.org/officeDocument/2006/relationships/hyperlink" Target="http://www.pbs.gov.au/pbs/home"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tga.gov.au/sites/default/files/auspar-bevacizumab-120806.pdf" TargetMode="External"/><Relationship Id="rId3" Type="http://schemas.openxmlformats.org/officeDocument/2006/relationships/hyperlink" Target="https://www.cancer.gov/publications/dictionaries/cancer-terms/def/primary-peritoneal-cancer" TargetMode="External"/><Relationship Id="rId7" Type="http://schemas.openxmlformats.org/officeDocument/2006/relationships/hyperlink" Target="http://www.pbs.gov.au/medicine/item/10114H-10115J-10120P-10121Q-10881Q-10885X-4400N-7243F" TargetMode="External"/><Relationship Id="rId2" Type="http://schemas.openxmlformats.org/officeDocument/2006/relationships/hyperlink" Target="https://canceraustralia.gov.au/system/tdf/publications/occ-epithelial-ovarian-cancer_505aa93e2004f.pdf?file=1&amp;type=node&amp;id=3268" TargetMode="External"/><Relationship Id="rId1" Type="http://schemas.openxmlformats.org/officeDocument/2006/relationships/hyperlink" Target="http://www.cancervic.org.au/downloads/resources/booklets/Understanding-Ovarian-Cancer.pdf" TargetMode="External"/><Relationship Id="rId6" Type="http://schemas.openxmlformats.org/officeDocument/2006/relationships/hyperlink" Target="https://www.eviq.org.au/medical-oncology/gynaecological/ovarian/1601-ovarian-advanced-carboplatin-paclitaxel-and" TargetMode="External"/><Relationship Id="rId5" Type="http://schemas.openxmlformats.org/officeDocument/2006/relationships/hyperlink" Target="https://www.tga.gov.au/" TargetMode="External"/><Relationship Id="rId4" Type="http://schemas.openxmlformats.org/officeDocument/2006/relationships/hyperlink" Target="https://doi.org/10.1016/j.ehpc.2016.12.00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6%20-%20Bevacizumab%20for%20ovarian%20cancer%20PvA%20-%20Sep%202018\D1086%20-%20Analysis%20for%20review\D1086%20-%20bevacizumab%20ovarian%20canc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6%20-%20Bevacizumab%20for%20ovarian%20cancer%20PvA%20-%20Sep%202018\D1086%20-%20Analysis%20for%20review\D1086%20-%20bevacizumab%20ovarian%20canc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6%20-%20Bevacizumab%20for%20ovarian%20cancer%20PvA%20-%20Sep%202018\D1086%20-%20Analysis%20for%20review\D1086%20-%20bevacizumab%20ovarian%20canc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[D1086 - bevacizumab ovarian cancer.xlsx]Patients!PivotTable4</c:name>
    <c:fmtId val="20"/>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s>
    <c:plotArea>
      <c:layout/>
      <c:lineChart>
        <c:grouping val="standard"/>
        <c:varyColors val="0"/>
        <c:ser>
          <c:idx val="0"/>
          <c:order val="0"/>
          <c:tx>
            <c:strRef>
              <c:f>Patients!$Z$1</c:f>
              <c:strCache>
                <c:ptCount val="1"/>
                <c:pt idx="0">
                  <c:v>Inititiating patients</c:v>
                </c:pt>
              </c:strCache>
            </c:strRef>
          </c:tx>
          <c:marker>
            <c:symbol val="none"/>
          </c:marker>
          <c:cat>
            <c:strRef>
              <c:f>Patients!$Y$2:$Y$50</c:f>
              <c:strCache>
                <c:ptCount val="48"/>
                <c:pt idx="0">
                  <c:v>201408</c:v>
                </c:pt>
                <c:pt idx="1">
                  <c:v>201409</c:v>
                </c:pt>
                <c:pt idx="2">
                  <c:v>201410</c:v>
                </c:pt>
                <c:pt idx="3">
                  <c:v>201411</c:v>
                </c:pt>
                <c:pt idx="4">
                  <c:v>201412</c:v>
                </c:pt>
                <c:pt idx="5">
                  <c:v>201501</c:v>
                </c:pt>
                <c:pt idx="6">
                  <c:v>201502</c:v>
                </c:pt>
                <c:pt idx="7">
                  <c:v>201503</c:v>
                </c:pt>
                <c:pt idx="8">
                  <c:v>201504</c:v>
                </c:pt>
                <c:pt idx="9">
                  <c:v>201505</c:v>
                </c:pt>
                <c:pt idx="10">
                  <c:v>201506</c:v>
                </c:pt>
                <c:pt idx="11">
                  <c:v>201507</c:v>
                </c:pt>
                <c:pt idx="12">
                  <c:v>201508</c:v>
                </c:pt>
                <c:pt idx="13">
                  <c:v>201509</c:v>
                </c:pt>
                <c:pt idx="14">
                  <c:v>201510</c:v>
                </c:pt>
                <c:pt idx="15">
                  <c:v>201511</c:v>
                </c:pt>
                <c:pt idx="16">
                  <c:v>201512</c:v>
                </c:pt>
                <c:pt idx="17">
                  <c:v>201601</c:v>
                </c:pt>
                <c:pt idx="18">
                  <c:v>201602</c:v>
                </c:pt>
                <c:pt idx="19">
                  <c:v>201603</c:v>
                </c:pt>
                <c:pt idx="20">
                  <c:v>201604</c:v>
                </c:pt>
                <c:pt idx="21">
                  <c:v>201605</c:v>
                </c:pt>
                <c:pt idx="22">
                  <c:v>201606</c:v>
                </c:pt>
                <c:pt idx="23">
                  <c:v>201607</c:v>
                </c:pt>
                <c:pt idx="24">
                  <c:v>201608</c:v>
                </c:pt>
                <c:pt idx="25">
                  <c:v>201609</c:v>
                </c:pt>
                <c:pt idx="26">
                  <c:v>201610</c:v>
                </c:pt>
                <c:pt idx="27">
                  <c:v>201611</c:v>
                </c:pt>
                <c:pt idx="28">
                  <c:v>201612</c:v>
                </c:pt>
                <c:pt idx="29">
                  <c:v>201701</c:v>
                </c:pt>
                <c:pt idx="30">
                  <c:v>201702</c:v>
                </c:pt>
                <c:pt idx="31">
                  <c:v>201703</c:v>
                </c:pt>
                <c:pt idx="32">
                  <c:v>201704</c:v>
                </c:pt>
                <c:pt idx="33">
                  <c:v>201705</c:v>
                </c:pt>
                <c:pt idx="34">
                  <c:v>201706</c:v>
                </c:pt>
                <c:pt idx="35">
                  <c:v>201707</c:v>
                </c:pt>
                <c:pt idx="36">
                  <c:v>201708</c:v>
                </c:pt>
                <c:pt idx="37">
                  <c:v>201709</c:v>
                </c:pt>
                <c:pt idx="38">
                  <c:v>201710</c:v>
                </c:pt>
                <c:pt idx="39">
                  <c:v>201711</c:v>
                </c:pt>
                <c:pt idx="40">
                  <c:v>201712</c:v>
                </c:pt>
                <c:pt idx="41">
                  <c:v>201801</c:v>
                </c:pt>
                <c:pt idx="42">
                  <c:v>201802</c:v>
                </c:pt>
                <c:pt idx="43">
                  <c:v>201803</c:v>
                </c:pt>
                <c:pt idx="44">
                  <c:v>201804</c:v>
                </c:pt>
                <c:pt idx="45">
                  <c:v>201805</c:v>
                </c:pt>
                <c:pt idx="46">
                  <c:v>201806</c:v>
                </c:pt>
                <c:pt idx="47">
                  <c:v>201807</c:v>
                </c:pt>
              </c:strCache>
            </c:strRef>
          </c:cat>
          <c:val>
            <c:numRef>
              <c:f>Patients!$Z$2:$Z$50</c:f>
              <c:numCache>
                <c:formatCode>General</c:formatCode>
                <c:ptCount val="48"/>
                <c:pt idx="0">
                  <c:v>45</c:v>
                </c:pt>
                <c:pt idx="1">
                  <c:v>37</c:v>
                </c:pt>
                <c:pt idx="2">
                  <c:v>40</c:v>
                </c:pt>
                <c:pt idx="3">
                  <c:v>39</c:v>
                </c:pt>
                <c:pt idx="4">
                  <c:v>41</c:v>
                </c:pt>
                <c:pt idx="5">
                  <c:v>36</c:v>
                </c:pt>
                <c:pt idx="6">
                  <c:v>28</c:v>
                </c:pt>
                <c:pt idx="7">
                  <c:v>31</c:v>
                </c:pt>
                <c:pt idx="8">
                  <c:v>43</c:v>
                </c:pt>
                <c:pt idx="9">
                  <c:v>40</c:v>
                </c:pt>
                <c:pt idx="10">
                  <c:v>41</c:v>
                </c:pt>
                <c:pt idx="11">
                  <c:v>35</c:v>
                </c:pt>
                <c:pt idx="12">
                  <c:v>34</c:v>
                </c:pt>
                <c:pt idx="13">
                  <c:v>26</c:v>
                </c:pt>
                <c:pt idx="14">
                  <c:v>32</c:v>
                </c:pt>
                <c:pt idx="15">
                  <c:v>29</c:v>
                </c:pt>
                <c:pt idx="16">
                  <c:v>41</c:v>
                </c:pt>
                <c:pt idx="17">
                  <c:v>35</c:v>
                </c:pt>
                <c:pt idx="18">
                  <c:v>34</c:v>
                </c:pt>
                <c:pt idx="19">
                  <c:v>42</c:v>
                </c:pt>
                <c:pt idx="20">
                  <c:v>38</c:v>
                </c:pt>
                <c:pt idx="21">
                  <c:v>44</c:v>
                </c:pt>
                <c:pt idx="22">
                  <c:v>31</c:v>
                </c:pt>
                <c:pt idx="23">
                  <c:v>28</c:v>
                </c:pt>
                <c:pt idx="24">
                  <c:v>42</c:v>
                </c:pt>
                <c:pt idx="25">
                  <c:v>29</c:v>
                </c:pt>
                <c:pt idx="26">
                  <c:v>35</c:v>
                </c:pt>
                <c:pt idx="27">
                  <c:v>34</c:v>
                </c:pt>
                <c:pt idx="28">
                  <c:v>31</c:v>
                </c:pt>
                <c:pt idx="29">
                  <c:v>43</c:v>
                </c:pt>
                <c:pt idx="30">
                  <c:v>42</c:v>
                </c:pt>
                <c:pt idx="31">
                  <c:v>61</c:v>
                </c:pt>
                <c:pt idx="32">
                  <c:v>36</c:v>
                </c:pt>
                <c:pt idx="33">
                  <c:v>34</c:v>
                </c:pt>
                <c:pt idx="34">
                  <c:v>40</c:v>
                </c:pt>
                <c:pt idx="35">
                  <c:v>38</c:v>
                </c:pt>
                <c:pt idx="36">
                  <c:v>35</c:v>
                </c:pt>
                <c:pt idx="37">
                  <c:v>33</c:v>
                </c:pt>
                <c:pt idx="38">
                  <c:v>33</c:v>
                </c:pt>
                <c:pt idx="39">
                  <c:v>40</c:v>
                </c:pt>
                <c:pt idx="40">
                  <c:v>23</c:v>
                </c:pt>
                <c:pt idx="41">
                  <c:v>24</c:v>
                </c:pt>
                <c:pt idx="42">
                  <c:v>31</c:v>
                </c:pt>
                <c:pt idx="43">
                  <c:v>37</c:v>
                </c:pt>
                <c:pt idx="44">
                  <c:v>36</c:v>
                </c:pt>
                <c:pt idx="45">
                  <c:v>47</c:v>
                </c:pt>
                <c:pt idx="46">
                  <c:v>47</c:v>
                </c:pt>
                <c:pt idx="47">
                  <c:v>44</c:v>
                </c:pt>
              </c:numCache>
            </c:numRef>
          </c:val>
          <c:smooth val="0"/>
          <c:extLst>
            <c:ext xmlns:c16="http://schemas.microsoft.com/office/drawing/2014/chart" uri="{C3380CC4-5D6E-409C-BE32-E72D297353CC}">
              <c16:uniqueId val="{00000000-AB6D-4C33-8153-C884E3B64F39}"/>
            </c:ext>
          </c:extLst>
        </c:ser>
        <c:ser>
          <c:idx val="1"/>
          <c:order val="1"/>
          <c:tx>
            <c:strRef>
              <c:f>Patients!$AA$1</c:f>
              <c:strCache>
                <c:ptCount val="1"/>
                <c:pt idx="0">
                  <c:v>Treated Patients</c:v>
                </c:pt>
              </c:strCache>
            </c:strRef>
          </c:tx>
          <c:marker>
            <c:symbol val="none"/>
          </c:marker>
          <c:cat>
            <c:strRef>
              <c:f>Patients!$Y$2:$Y$50</c:f>
              <c:strCache>
                <c:ptCount val="48"/>
                <c:pt idx="0">
                  <c:v>201408</c:v>
                </c:pt>
                <c:pt idx="1">
                  <c:v>201409</c:v>
                </c:pt>
                <c:pt idx="2">
                  <c:v>201410</c:v>
                </c:pt>
                <c:pt idx="3">
                  <c:v>201411</c:v>
                </c:pt>
                <c:pt idx="4">
                  <c:v>201412</c:v>
                </c:pt>
                <c:pt idx="5">
                  <c:v>201501</c:v>
                </c:pt>
                <c:pt idx="6">
                  <c:v>201502</c:v>
                </c:pt>
                <c:pt idx="7">
                  <c:v>201503</c:v>
                </c:pt>
                <c:pt idx="8">
                  <c:v>201504</c:v>
                </c:pt>
                <c:pt idx="9">
                  <c:v>201505</c:v>
                </c:pt>
                <c:pt idx="10">
                  <c:v>201506</c:v>
                </c:pt>
                <c:pt idx="11">
                  <c:v>201507</c:v>
                </c:pt>
                <c:pt idx="12">
                  <c:v>201508</c:v>
                </c:pt>
                <c:pt idx="13">
                  <c:v>201509</c:v>
                </c:pt>
                <c:pt idx="14">
                  <c:v>201510</c:v>
                </c:pt>
                <c:pt idx="15">
                  <c:v>201511</c:v>
                </c:pt>
                <c:pt idx="16">
                  <c:v>201512</c:v>
                </c:pt>
                <c:pt idx="17">
                  <c:v>201601</c:v>
                </c:pt>
                <c:pt idx="18">
                  <c:v>201602</c:v>
                </c:pt>
                <c:pt idx="19">
                  <c:v>201603</c:v>
                </c:pt>
                <c:pt idx="20">
                  <c:v>201604</c:v>
                </c:pt>
                <c:pt idx="21">
                  <c:v>201605</c:v>
                </c:pt>
                <c:pt idx="22">
                  <c:v>201606</c:v>
                </c:pt>
                <c:pt idx="23">
                  <c:v>201607</c:v>
                </c:pt>
                <c:pt idx="24">
                  <c:v>201608</c:v>
                </c:pt>
                <c:pt idx="25">
                  <c:v>201609</c:v>
                </c:pt>
                <c:pt idx="26">
                  <c:v>201610</c:v>
                </c:pt>
                <c:pt idx="27">
                  <c:v>201611</c:v>
                </c:pt>
                <c:pt idx="28">
                  <c:v>201612</c:v>
                </c:pt>
                <c:pt idx="29">
                  <c:v>201701</c:v>
                </c:pt>
                <c:pt idx="30">
                  <c:v>201702</c:v>
                </c:pt>
                <c:pt idx="31">
                  <c:v>201703</c:v>
                </c:pt>
                <c:pt idx="32">
                  <c:v>201704</c:v>
                </c:pt>
                <c:pt idx="33">
                  <c:v>201705</c:v>
                </c:pt>
                <c:pt idx="34">
                  <c:v>201706</c:v>
                </c:pt>
                <c:pt idx="35">
                  <c:v>201707</c:v>
                </c:pt>
                <c:pt idx="36">
                  <c:v>201708</c:v>
                </c:pt>
                <c:pt idx="37">
                  <c:v>201709</c:v>
                </c:pt>
                <c:pt idx="38">
                  <c:v>201710</c:v>
                </c:pt>
                <c:pt idx="39">
                  <c:v>201711</c:v>
                </c:pt>
                <c:pt idx="40">
                  <c:v>201712</c:v>
                </c:pt>
                <c:pt idx="41">
                  <c:v>201801</c:v>
                </c:pt>
                <c:pt idx="42">
                  <c:v>201802</c:v>
                </c:pt>
                <c:pt idx="43">
                  <c:v>201803</c:v>
                </c:pt>
                <c:pt idx="44">
                  <c:v>201804</c:v>
                </c:pt>
                <c:pt idx="45">
                  <c:v>201805</c:v>
                </c:pt>
                <c:pt idx="46">
                  <c:v>201806</c:v>
                </c:pt>
                <c:pt idx="47">
                  <c:v>201807</c:v>
                </c:pt>
              </c:strCache>
            </c:strRef>
          </c:cat>
          <c:val>
            <c:numRef>
              <c:f>Patients!$AA$2:$AA$50</c:f>
              <c:numCache>
                <c:formatCode>General</c:formatCode>
                <c:ptCount val="48"/>
                <c:pt idx="0">
                  <c:v>45</c:v>
                </c:pt>
                <c:pt idx="1">
                  <c:v>70</c:v>
                </c:pt>
                <c:pt idx="2">
                  <c:v>102</c:v>
                </c:pt>
                <c:pt idx="3">
                  <c:v>126</c:v>
                </c:pt>
                <c:pt idx="4">
                  <c:v>152</c:v>
                </c:pt>
                <c:pt idx="5">
                  <c:v>163</c:v>
                </c:pt>
                <c:pt idx="6">
                  <c:v>172</c:v>
                </c:pt>
                <c:pt idx="7">
                  <c:v>195</c:v>
                </c:pt>
                <c:pt idx="8">
                  <c:v>208</c:v>
                </c:pt>
                <c:pt idx="9">
                  <c:v>230</c:v>
                </c:pt>
                <c:pt idx="10">
                  <c:v>246</c:v>
                </c:pt>
                <c:pt idx="11">
                  <c:v>259</c:v>
                </c:pt>
                <c:pt idx="12">
                  <c:v>271</c:v>
                </c:pt>
                <c:pt idx="13">
                  <c:v>260</c:v>
                </c:pt>
                <c:pt idx="14">
                  <c:v>250</c:v>
                </c:pt>
                <c:pt idx="15">
                  <c:v>251</c:v>
                </c:pt>
                <c:pt idx="16">
                  <c:v>259</c:v>
                </c:pt>
                <c:pt idx="17">
                  <c:v>266</c:v>
                </c:pt>
                <c:pt idx="18">
                  <c:v>272</c:v>
                </c:pt>
                <c:pt idx="19">
                  <c:v>293</c:v>
                </c:pt>
                <c:pt idx="20">
                  <c:v>277</c:v>
                </c:pt>
                <c:pt idx="21">
                  <c:v>284</c:v>
                </c:pt>
                <c:pt idx="22">
                  <c:v>293</c:v>
                </c:pt>
                <c:pt idx="23">
                  <c:v>278</c:v>
                </c:pt>
                <c:pt idx="24">
                  <c:v>297</c:v>
                </c:pt>
                <c:pt idx="25">
                  <c:v>282</c:v>
                </c:pt>
                <c:pt idx="26">
                  <c:v>284</c:v>
                </c:pt>
                <c:pt idx="27">
                  <c:v>294</c:v>
                </c:pt>
                <c:pt idx="28">
                  <c:v>283</c:v>
                </c:pt>
                <c:pt idx="29">
                  <c:v>295</c:v>
                </c:pt>
                <c:pt idx="30">
                  <c:v>308</c:v>
                </c:pt>
                <c:pt idx="31">
                  <c:v>322</c:v>
                </c:pt>
                <c:pt idx="32">
                  <c:v>304</c:v>
                </c:pt>
                <c:pt idx="33">
                  <c:v>312</c:v>
                </c:pt>
                <c:pt idx="34">
                  <c:v>305</c:v>
                </c:pt>
                <c:pt idx="35">
                  <c:v>291</c:v>
                </c:pt>
                <c:pt idx="36">
                  <c:v>305</c:v>
                </c:pt>
                <c:pt idx="37">
                  <c:v>293</c:v>
                </c:pt>
                <c:pt idx="38">
                  <c:v>286</c:v>
                </c:pt>
                <c:pt idx="39">
                  <c:v>310</c:v>
                </c:pt>
                <c:pt idx="40">
                  <c:v>279</c:v>
                </c:pt>
                <c:pt idx="41">
                  <c:v>280</c:v>
                </c:pt>
                <c:pt idx="42">
                  <c:v>277</c:v>
                </c:pt>
                <c:pt idx="43">
                  <c:v>277</c:v>
                </c:pt>
                <c:pt idx="44">
                  <c:v>282</c:v>
                </c:pt>
                <c:pt idx="45">
                  <c:v>298</c:v>
                </c:pt>
                <c:pt idx="46">
                  <c:v>297</c:v>
                </c:pt>
                <c:pt idx="47">
                  <c:v>301</c:v>
                </c:pt>
              </c:numCache>
            </c:numRef>
          </c:val>
          <c:smooth val="0"/>
          <c:extLst>
            <c:ext xmlns:c16="http://schemas.microsoft.com/office/drawing/2014/chart" uri="{C3380CC4-5D6E-409C-BE32-E72D297353CC}">
              <c16:uniqueId val="{00000001-AB6D-4C33-8153-C884E3B64F39}"/>
            </c:ext>
          </c:extLst>
        </c:ser>
        <c:ser>
          <c:idx val="2"/>
          <c:order val="2"/>
          <c:tx>
            <c:strRef>
              <c:f>Patients!$AB$1</c:f>
              <c:strCache>
                <c:ptCount val="1"/>
                <c:pt idx="0">
                  <c:v>Prescriptions</c:v>
                </c:pt>
              </c:strCache>
            </c:strRef>
          </c:tx>
          <c:marker>
            <c:symbol val="none"/>
          </c:marker>
          <c:cat>
            <c:strRef>
              <c:f>Patients!$Y$2:$Y$50</c:f>
              <c:strCache>
                <c:ptCount val="48"/>
                <c:pt idx="0">
                  <c:v>201408</c:v>
                </c:pt>
                <c:pt idx="1">
                  <c:v>201409</c:v>
                </c:pt>
                <c:pt idx="2">
                  <c:v>201410</c:v>
                </c:pt>
                <c:pt idx="3">
                  <c:v>201411</c:v>
                </c:pt>
                <c:pt idx="4">
                  <c:v>201412</c:v>
                </c:pt>
                <c:pt idx="5">
                  <c:v>201501</c:v>
                </c:pt>
                <c:pt idx="6">
                  <c:v>201502</c:v>
                </c:pt>
                <c:pt idx="7">
                  <c:v>201503</c:v>
                </c:pt>
                <c:pt idx="8">
                  <c:v>201504</c:v>
                </c:pt>
                <c:pt idx="9">
                  <c:v>201505</c:v>
                </c:pt>
                <c:pt idx="10">
                  <c:v>201506</c:v>
                </c:pt>
                <c:pt idx="11">
                  <c:v>201507</c:v>
                </c:pt>
                <c:pt idx="12">
                  <c:v>201508</c:v>
                </c:pt>
                <c:pt idx="13">
                  <c:v>201509</c:v>
                </c:pt>
                <c:pt idx="14">
                  <c:v>201510</c:v>
                </c:pt>
                <c:pt idx="15">
                  <c:v>201511</c:v>
                </c:pt>
                <c:pt idx="16">
                  <c:v>201512</c:v>
                </c:pt>
                <c:pt idx="17">
                  <c:v>201601</c:v>
                </c:pt>
                <c:pt idx="18">
                  <c:v>201602</c:v>
                </c:pt>
                <c:pt idx="19">
                  <c:v>201603</c:v>
                </c:pt>
                <c:pt idx="20">
                  <c:v>201604</c:v>
                </c:pt>
                <c:pt idx="21">
                  <c:v>201605</c:v>
                </c:pt>
                <c:pt idx="22">
                  <c:v>201606</c:v>
                </c:pt>
                <c:pt idx="23">
                  <c:v>201607</c:v>
                </c:pt>
                <c:pt idx="24">
                  <c:v>201608</c:v>
                </c:pt>
                <c:pt idx="25">
                  <c:v>201609</c:v>
                </c:pt>
                <c:pt idx="26">
                  <c:v>201610</c:v>
                </c:pt>
                <c:pt idx="27">
                  <c:v>201611</c:v>
                </c:pt>
                <c:pt idx="28">
                  <c:v>201612</c:v>
                </c:pt>
                <c:pt idx="29">
                  <c:v>201701</c:v>
                </c:pt>
                <c:pt idx="30">
                  <c:v>201702</c:v>
                </c:pt>
                <c:pt idx="31">
                  <c:v>201703</c:v>
                </c:pt>
                <c:pt idx="32">
                  <c:v>201704</c:v>
                </c:pt>
                <c:pt idx="33">
                  <c:v>201705</c:v>
                </c:pt>
                <c:pt idx="34">
                  <c:v>201706</c:v>
                </c:pt>
                <c:pt idx="35">
                  <c:v>201707</c:v>
                </c:pt>
                <c:pt idx="36">
                  <c:v>201708</c:v>
                </c:pt>
                <c:pt idx="37">
                  <c:v>201709</c:v>
                </c:pt>
                <c:pt idx="38">
                  <c:v>201710</c:v>
                </c:pt>
                <c:pt idx="39">
                  <c:v>201711</c:v>
                </c:pt>
                <c:pt idx="40">
                  <c:v>201712</c:v>
                </c:pt>
                <c:pt idx="41">
                  <c:v>201801</c:v>
                </c:pt>
                <c:pt idx="42">
                  <c:v>201802</c:v>
                </c:pt>
                <c:pt idx="43">
                  <c:v>201803</c:v>
                </c:pt>
                <c:pt idx="44">
                  <c:v>201804</c:v>
                </c:pt>
                <c:pt idx="45">
                  <c:v>201805</c:v>
                </c:pt>
                <c:pt idx="46">
                  <c:v>201806</c:v>
                </c:pt>
                <c:pt idx="47">
                  <c:v>201807</c:v>
                </c:pt>
              </c:strCache>
            </c:strRef>
          </c:cat>
          <c:val>
            <c:numRef>
              <c:f>Patients!$AB$2:$AB$50</c:f>
              <c:numCache>
                <c:formatCode>General</c:formatCode>
                <c:ptCount val="48"/>
                <c:pt idx="0">
                  <c:v>62</c:v>
                </c:pt>
                <c:pt idx="1">
                  <c:v>107</c:v>
                </c:pt>
                <c:pt idx="2">
                  <c:v>153</c:v>
                </c:pt>
                <c:pt idx="3">
                  <c:v>174</c:v>
                </c:pt>
                <c:pt idx="4">
                  <c:v>238</c:v>
                </c:pt>
                <c:pt idx="5">
                  <c:v>239</c:v>
                </c:pt>
                <c:pt idx="6">
                  <c:v>235</c:v>
                </c:pt>
                <c:pt idx="7">
                  <c:v>279</c:v>
                </c:pt>
                <c:pt idx="8">
                  <c:v>311</c:v>
                </c:pt>
                <c:pt idx="9">
                  <c:v>317</c:v>
                </c:pt>
                <c:pt idx="10">
                  <c:v>360</c:v>
                </c:pt>
                <c:pt idx="11">
                  <c:v>397</c:v>
                </c:pt>
                <c:pt idx="12">
                  <c:v>381</c:v>
                </c:pt>
                <c:pt idx="13">
                  <c:v>374</c:v>
                </c:pt>
                <c:pt idx="14">
                  <c:v>365</c:v>
                </c:pt>
                <c:pt idx="15">
                  <c:v>348</c:v>
                </c:pt>
                <c:pt idx="16">
                  <c:v>391</c:v>
                </c:pt>
                <c:pt idx="17">
                  <c:v>367</c:v>
                </c:pt>
                <c:pt idx="18">
                  <c:v>396</c:v>
                </c:pt>
                <c:pt idx="19">
                  <c:v>438</c:v>
                </c:pt>
                <c:pt idx="20">
                  <c:v>388</c:v>
                </c:pt>
                <c:pt idx="21">
                  <c:v>408</c:v>
                </c:pt>
                <c:pt idx="22">
                  <c:v>436</c:v>
                </c:pt>
                <c:pt idx="23">
                  <c:v>398</c:v>
                </c:pt>
                <c:pt idx="24">
                  <c:v>444</c:v>
                </c:pt>
                <c:pt idx="25">
                  <c:v>415</c:v>
                </c:pt>
                <c:pt idx="26">
                  <c:v>402</c:v>
                </c:pt>
                <c:pt idx="27">
                  <c:v>432</c:v>
                </c:pt>
                <c:pt idx="28">
                  <c:v>410</c:v>
                </c:pt>
                <c:pt idx="29">
                  <c:v>435</c:v>
                </c:pt>
                <c:pt idx="30">
                  <c:v>397</c:v>
                </c:pt>
                <c:pt idx="31">
                  <c:v>473</c:v>
                </c:pt>
                <c:pt idx="32">
                  <c:v>390</c:v>
                </c:pt>
                <c:pt idx="33">
                  <c:v>462</c:v>
                </c:pt>
                <c:pt idx="34">
                  <c:v>438</c:v>
                </c:pt>
                <c:pt idx="35">
                  <c:v>393</c:v>
                </c:pt>
                <c:pt idx="36">
                  <c:v>451</c:v>
                </c:pt>
                <c:pt idx="37">
                  <c:v>414</c:v>
                </c:pt>
                <c:pt idx="38">
                  <c:v>390</c:v>
                </c:pt>
                <c:pt idx="39">
                  <c:v>435</c:v>
                </c:pt>
                <c:pt idx="40">
                  <c:v>375</c:v>
                </c:pt>
                <c:pt idx="41">
                  <c:v>396</c:v>
                </c:pt>
                <c:pt idx="42">
                  <c:v>358</c:v>
                </c:pt>
                <c:pt idx="43">
                  <c:v>377</c:v>
                </c:pt>
                <c:pt idx="44">
                  <c:v>399</c:v>
                </c:pt>
                <c:pt idx="45">
                  <c:v>442</c:v>
                </c:pt>
                <c:pt idx="46">
                  <c:v>415</c:v>
                </c:pt>
                <c:pt idx="47">
                  <c:v>445</c:v>
                </c:pt>
              </c:numCache>
            </c:numRef>
          </c:val>
          <c:smooth val="0"/>
          <c:extLst>
            <c:ext xmlns:c16="http://schemas.microsoft.com/office/drawing/2014/chart" uri="{C3380CC4-5D6E-409C-BE32-E72D297353CC}">
              <c16:uniqueId val="{00000002-AB6D-4C33-8153-C884E3B64F39}"/>
            </c:ext>
          </c:extLst>
        </c:ser>
        <c:dLbls>
          <c:showLegendKey val="0"/>
          <c:showVal val="0"/>
          <c:showCatName val="0"/>
          <c:showSerName val="0"/>
          <c:showPercent val="0"/>
          <c:showBubbleSize val="0"/>
        </c:dLbls>
        <c:smooth val="0"/>
        <c:axId val="465885824"/>
        <c:axId val="465887616"/>
      </c:lineChart>
      <c:catAx>
        <c:axId val="465885824"/>
        <c:scaling>
          <c:orientation val="minMax"/>
        </c:scaling>
        <c:delete val="0"/>
        <c:axPos val="b"/>
        <c:numFmt formatCode="General" sourceLinked="0"/>
        <c:majorTickMark val="out"/>
        <c:minorTickMark val="none"/>
        <c:tickLblPos val="nextTo"/>
        <c:crossAx val="465887616"/>
        <c:crosses val="autoZero"/>
        <c:auto val="1"/>
        <c:lblAlgn val="ctr"/>
        <c:lblOffset val="100"/>
        <c:noMultiLvlLbl val="0"/>
      </c:catAx>
      <c:valAx>
        <c:axId val="465887616"/>
        <c:scaling>
          <c:orientation val="minMax"/>
        </c:scaling>
        <c:delete val="0"/>
        <c:axPos val="l"/>
        <c:majorGridlines/>
        <c:numFmt formatCode="General" sourceLinked="1"/>
        <c:majorTickMark val="out"/>
        <c:minorTickMark val="none"/>
        <c:tickLblPos val="nextTo"/>
        <c:crossAx val="465885824"/>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[D1086 - bevacizumab ovarian cancer.xlsx]gender!PivotTable5</c:name>
    <c:fmtId val="9"/>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lineChart>
        <c:grouping val="standard"/>
        <c:varyColors val="0"/>
        <c:ser>
          <c:idx val="0"/>
          <c:order val="0"/>
          <c:tx>
            <c:strRef>
              <c:f>gender!$I$1:$I$2</c:f>
              <c:strCache>
                <c:ptCount val="1"/>
                <c:pt idx="0">
                  <c:v>F</c:v>
                </c:pt>
              </c:strCache>
            </c:strRef>
          </c:tx>
          <c:marker>
            <c:symbol val="none"/>
          </c:marker>
          <c:cat>
            <c:strRef>
              <c:f>gender!$H$3:$H$19</c:f>
              <c:strCache>
                <c:ptCount val="1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strCache>
            </c:strRef>
          </c:cat>
          <c:val>
            <c:numRef>
              <c:f>gender!$I$3:$I$19</c:f>
              <c:numCache>
                <c:formatCode>General</c:formatCode>
                <c:ptCount val="16"/>
                <c:pt idx="0">
                  <c:v>64</c:v>
                </c:pt>
                <c:pt idx="1">
                  <c:v>95</c:v>
                </c:pt>
                <c:pt idx="2">
                  <c:v>73</c:v>
                </c:pt>
                <c:pt idx="3">
                  <c:v>98</c:v>
                </c:pt>
                <c:pt idx="4">
                  <c:v>85</c:v>
                </c:pt>
                <c:pt idx="5">
                  <c:v>86</c:v>
                </c:pt>
                <c:pt idx="6">
                  <c:v>100</c:v>
                </c:pt>
                <c:pt idx="7">
                  <c:v>100</c:v>
                </c:pt>
                <c:pt idx="8">
                  <c:v>81</c:v>
                </c:pt>
                <c:pt idx="9">
                  <c:v>89</c:v>
                </c:pt>
                <c:pt idx="10">
                  <c:v>133</c:v>
                </c:pt>
                <c:pt idx="11">
                  <c:v>102</c:v>
                </c:pt>
                <c:pt idx="12">
                  <c:v>97</c:v>
                </c:pt>
                <c:pt idx="13">
                  <c:v>92</c:v>
                </c:pt>
                <c:pt idx="14">
                  <c:v>78</c:v>
                </c:pt>
                <c:pt idx="15">
                  <c:v>111</c:v>
                </c:pt>
              </c:numCache>
            </c:numRef>
          </c:val>
          <c:smooth val="0"/>
          <c:extLst>
            <c:ext xmlns:c16="http://schemas.microsoft.com/office/drawing/2014/chart" uri="{C3380CC4-5D6E-409C-BE32-E72D297353CC}">
              <c16:uniqueId val="{00000000-39EB-443B-B284-7C9F4114B1F5}"/>
            </c:ext>
          </c:extLst>
        </c:ser>
        <c:ser>
          <c:idx val="1"/>
          <c:order val="1"/>
          <c:tx>
            <c:strRef>
              <c:f>gender!$J$1:$J$2</c:f>
              <c:strCache>
                <c:ptCount val="1"/>
                <c:pt idx="0">
                  <c:v>M</c:v>
                </c:pt>
              </c:strCache>
            </c:strRef>
          </c:tx>
          <c:marker>
            <c:symbol val="none"/>
          </c:marker>
          <c:cat>
            <c:strRef>
              <c:f>gender!$H$3:$H$19</c:f>
              <c:strCache>
                <c:ptCount val="1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strCache>
            </c:strRef>
          </c:cat>
          <c:val>
            <c:numRef>
              <c:f>gender!$J$3:$J$19</c:f>
              <c:numCache>
                <c:formatCode>General</c:formatCode>
                <c:ptCount val="16"/>
                <c:pt idx="0">
                  <c:v>18</c:v>
                </c:pt>
                <c:pt idx="1">
                  <c:v>25</c:v>
                </c:pt>
                <c:pt idx="2">
                  <c:v>22</c:v>
                </c:pt>
                <c:pt idx="3">
                  <c:v>26</c:v>
                </c:pt>
                <c:pt idx="4">
                  <c:v>10</c:v>
                </c:pt>
                <c:pt idx="5">
                  <c:v>16</c:v>
                </c:pt>
                <c:pt idx="6">
                  <c:v>11</c:v>
                </c:pt>
                <c:pt idx="7">
                  <c:v>13</c:v>
                </c:pt>
                <c:pt idx="8">
                  <c:v>18</c:v>
                </c:pt>
                <c:pt idx="9">
                  <c:v>11</c:v>
                </c:pt>
                <c:pt idx="10">
                  <c:v>13</c:v>
                </c:pt>
                <c:pt idx="11">
                  <c:v>8</c:v>
                </c:pt>
                <c:pt idx="12">
                  <c:v>9</c:v>
                </c:pt>
                <c:pt idx="13">
                  <c:v>4</c:v>
                </c:pt>
                <c:pt idx="14">
                  <c:v>14</c:v>
                </c:pt>
                <c:pt idx="15">
                  <c:v>19</c:v>
                </c:pt>
              </c:numCache>
            </c:numRef>
          </c:val>
          <c:smooth val="0"/>
          <c:extLst>
            <c:ext xmlns:c16="http://schemas.microsoft.com/office/drawing/2014/chart" uri="{C3380CC4-5D6E-409C-BE32-E72D297353CC}">
              <c16:uniqueId val="{00000001-39EB-443B-B284-7C9F4114B1F5}"/>
            </c:ext>
          </c:extLst>
        </c:ser>
        <c:dLbls>
          <c:showLegendKey val="0"/>
          <c:showVal val="0"/>
          <c:showCatName val="0"/>
          <c:showSerName val="0"/>
          <c:showPercent val="0"/>
          <c:showBubbleSize val="0"/>
        </c:dLbls>
        <c:smooth val="0"/>
        <c:axId val="465798272"/>
        <c:axId val="465799808"/>
      </c:lineChart>
      <c:catAx>
        <c:axId val="465798272"/>
        <c:scaling>
          <c:orientation val="minMax"/>
        </c:scaling>
        <c:delete val="0"/>
        <c:axPos val="b"/>
        <c:numFmt formatCode="General" sourceLinked="0"/>
        <c:majorTickMark val="out"/>
        <c:minorTickMark val="none"/>
        <c:tickLblPos val="nextTo"/>
        <c:crossAx val="465799808"/>
        <c:crosses val="autoZero"/>
        <c:auto val="1"/>
        <c:lblAlgn val="ctr"/>
        <c:lblOffset val="100"/>
        <c:noMultiLvlLbl val="0"/>
      </c:catAx>
      <c:valAx>
        <c:axId val="465799808"/>
        <c:scaling>
          <c:orientation val="minMax"/>
        </c:scaling>
        <c:delete val="0"/>
        <c:axPos val="l"/>
        <c:majorGridlines/>
        <c:title>
          <c:tx>
            <c:rich>
              <a:bodyPr rot="-5400000" vert="horz"/>
              <a:lstStyle/>
              <a:p>
                <a:pPr>
                  <a:defRPr/>
                </a:pPr>
                <a:r>
                  <a:rPr lang="en-US"/>
                  <a:t>Initiating patients</a:t>
                </a:r>
              </a:p>
            </c:rich>
          </c:tx>
          <c:layout/>
          <c:overlay val="0"/>
        </c:title>
        <c:numFmt formatCode="General" sourceLinked="1"/>
        <c:majorTickMark val="out"/>
        <c:minorTickMark val="none"/>
        <c:tickLblPos val="nextTo"/>
        <c:crossAx val="465798272"/>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[D1086 - bevacizumab ovarian cancer.xlsx]init prior 2017!PivotTable12</c:name>
    <c:fmtId val="7"/>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s>
    <c:plotArea>
      <c:layout/>
      <c:lineChart>
        <c:grouping val="standard"/>
        <c:varyColors val="0"/>
        <c:ser>
          <c:idx val="0"/>
          <c:order val="0"/>
          <c:tx>
            <c:strRef>
              <c:f>'init prior 2017'!$Z$22:$Z$23</c:f>
              <c:strCache>
                <c:ptCount val="1"/>
                <c:pt idx="0">
                  <c:v>Alive</c:v>
                </c:pt>
              </c:strCache>
            </c:strRef>
          </c:tx>
          <c:marker>
            <c:symbol val="none"/>
          </c:marker>
          <c:cat>
            <c:strRef>
              <c:f>'init prior 2017'!$Y$24:$Y$49</c:f>
              <c:strCach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 25</c:v>
                </c:pt>
              </c:strCache>
            </c:strRef>
          </c:cat>
          <c:val>
            <c:numRef>
              <c:f>'init prior 2017'!$Z$24:$Z$49</c:f>
              <c:numCache>
                <c:formatCode>General</c:formatCode>
                <c:ptCount val="25"/>
                <c:pt idx="0">
                  <c:v>12</c:v>
                </c:pt>
                <c:pt idx="1">
                  <c:v>9</c:v>
                </c:pt>
                <c:pt idx="2">
                  <c:v>12</c:v>
                </c:pt>
                <c:pt idx="3">
                  <c:v>14</c:v>
                </c:pt>
                <c:pt idx="4">
                  <c:v>13</c:v>
                </c:pt>
                <c:pt idx="5">
                  <c:v>21</c:v>
                </c:pt>
                <c:pt idx="6">
                  <c:v>6</c:v>
                </c:pt>
                <c:pt idx="7">
                  <c:v>9</c:v>
                </c:pt>
                <c:pt idx="8">
                  <c:v>12</c:v>
                </c:pt>
                <c:pt idx="9">
                  <c:v>8</c:v>
                </c:pt>
                <c:pt idx="10">
                  <c:v>12</c:v>
                </c:pt>
                <c:pt idx="11">
                  <c:v>19</c:v>
                </c:pt>
                <c:pt idx="12">
                  <c:v>15</c:v>
                </c:pt>
                <c:pt idx="13">
                  <c:v>16</c:v>
                </c:pt>
                <c:pt idx="14">
                  <c:v>17</c:v>
                </c:pt>
                <c:pt idx="15">
                  <c:v>34</c:v>
                </c:pt>
                <c:pt idx="16">
                  <c:v>53</c:v>
                </c:pt>
                <c:pt idx="17">
                  <c:v>145</c:v>
                </c:pt>
                <c:pt idx="18">
                  <c:v>27</c:v>
                </c:pt>
              </c:numCache>
            </c:numRef>
          </c:val>
          <c:smooth val="0"/>
          <c:extLst>
            <c:ext xmlns:c16="http://schemas.microsoft.com/office/drawing/2014/chart" uri="{C3380CC4-5D6E-409C-BE32-E72D297353CC}">
              <c16:uniqueId val="{00000000-5399-4FE1-8453-F94F865A9DB6}"/>
            </c:ext>
          </c:extLst>
        </c:ser>
        <c:ser>
          <c:idx val="1"/>
          <c:order val="1"/>
          <c:tx>
            <c:strRef>
              <c:f>'init prior 2017'!$AA$22:$AA$23</c:f>
              <c:strCache>
                <c:ptCount val="1"/>
                <c:pt idx="0">
                  <c:v>Deceased</c:v>
                </c:pt>
              </c:strCache>
            </c:strRef>
          </c:tx>
          <c:marker>
            <c:symbol val="none"/>
          </c:marker>
          <c:cat>
            <c:strRef>
              <c:f>'init prior 2017'!$Y$24:$Y$49</c:f>
              <c:strCach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 25</c:v>
                </c:pt>
              </c:strCache>
            </c:strRef>
          </c:cat>
          <c:val>
            <c:numRef>
              <c:f>'init prior 2017'!$AA$24:$AA$49</c:f>
              <c:numCache>
                <c:formatCode>General</c:formatCode>
                <c:ptCount val="25"/>
                <c:pt idx="0">
                  <c:v>21</c:v>
                </c:pt>
                <c:pt idx="1">
                  <c:v>11</c:v>
                </c:pt>
                <c:pt idx="2">
                  <c:v>18</c:v>
                </c:pt>
                <c:pt idx="3">
                  <c:v>20</c:v>
                </c:pt>
                <c:pt idx="4">
                  <c:v>22</c:v>
                </c:pt>
                <c:pt idx="5">
                  <c:v>19</c:v>
                </c:pt>
                <c:pt idx="6">
                  <c:v>20</c:v>
                </c:pt>
                <c:pt idx="7">
                  <c:v>19</c:v>
                </c:pt>
                <c:pt idx="8">
                  <c:v>20</c:v>
                </c:pt>
                <c:pt idx="9">
                  <c:v>23</c:v>
                </c:pt>
                <c:pt idx="10">
                  <c:v>15</c:v>
                </c:pt>
                <c:pt idx="11">
                  <c:v>18</c:v>
                </c:pt>
                <c:pt idx="12">
                  <c:v>9</c:v>
                </c:pt>
                <c:pt idx="13">
                  <c:v>23</c:v>
                </c:pt>
                <c:pt idx="14">
                  <c:v>18</c:v>
                </c:pt>
                <c:pt idx="15">
                  <c:v>20</c:v>
                </c:pt>
                <c:pt idx="16">
                  <c:v>21</c:v>
                </c:pt>
                <c:pt idx="17">
                  <c:v>40</c:v>
                </c:pt>
                <c:pt idx="18">
                  <c:v>10</c:v>
                </c:pt>
              </c:numCache>
            </c:numRef>
          </c:val>
          <c:smooth val="0"/>
          <c:extLst>
            <c:ext xmlns:c16="http://schemas.microsoft.com/office/drawing/2014/chart" uri="{C3380CC4-5D6E-409C-BE32-E72D297353CC}">
              <c16:uniqueId val="{00000001-5399-4FE1-8453-F94F865A9DB6}"/>
            </c:ext>
          </c:extLst>
        </c:ser>
        <c:ser>
          <c:idx val="2"/>
          <c:order val="2"/>
          <c:tx>
            <c:strRef>
              <c:f>'init prior 2017'!$AB$22:$AB$23</c:f>
              <c:strCache>
                <c:ptCount val="1"/>
                <c:pt idx="0">
                  <c:v>Total</c:v>
                </c:pt>
              </c:strCache>
            </c:strRef>
          </c:tx>
          <c:marker>
            <c:symbol val="none"/>
          </c:marker>
          <c:cat>
            <c:strRef>
              <c:f>'init prior 2017'!$Y$24:$Y$49</c:f>
              <c:strCach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 25</c:v>
                </c:pt>
              </c:strCache>
            </c:strRef>
          </c:cat>
          <c:val>
            <c:numRef>
              <c:f>'init prior 2017'!$AB$24:$AB$49</c:f>
              <c:numCache>
                <c:formatCode>General</c:formatCode>
                <c:ptCount val="25"/>
                <c:pt idx="0">
                  <c:v>33</c:v>
                </c:pt>
                <c:pt idx="1">
                  <c:v>20</c:v>
                </c:pt>
                <c:pt idx="2">
                  <c:v>30</c:v>
                </c:pt>
                <c:pt idx="3">
                  <c:v>34</c:v>
                </c:pt>
                <c:pt idx="4">
                  <c:v>35</c:v>
                </c:pt>
                <c:pt idx="5">
                  <c:v>40</c:v>
                </c:pt>
                <c:pt idx="6">
                  <c:v>26</c:v>
                </c:pt>
                <c:pt idx="7">
                  <c:v>28</c:v>
                </c:pt>
                <c:pt idx="8">
                  <c:v>32</c:v>
                </c:pt>
                <c:pt idx="9">
                  <c:v>31</c:v>
                </c:pt>
                <c:pt idx="10">
                  <c:v>27</c:v>
                </c:pt>
                <c:pt idx="11">
                  <c:v>37</c:v>
                </c:pt>
                <c:pt idx="12">
                  <c:v>24</c:v>
                </c:pt>
                <c:pt idx="13">
                  <c:v>39</c:v>
                </c:pt>
                <c:pt idx="14">
                  <c:v>35</c:v>
                </c:pt>
                <c:pt idx="15">
                  <c:v>54</c:v>
                </c:pt>
                <c:pt idx="16">
                  <c:v>74</c:v>
                </c:pt>
                <c:pt idx="17">
                  <c:v>185</c:v>
                </c:pt>
                <c:pt idx="18">
                  <c:v>37</c:v>
                </c:pt>
                <c:pt idx="19">
                  <c:v>19</c:v>
                </c:pt>
                <c:pt idx="20">
                  <c:v>10</c:v>
                </c:pt>
                <c:pt idx="21">
                  <c:v>5</c:v>
                </c:pt>
                <c:pt idx="22">
                  <c:v>6</c:v>
                </c:pt>
                <c:pt idx="23">
                  <c:v>5</c:v>
                </c:pt>
                <c:pt idx="24">
                  <c:v>10</c:v>
                </c:pt>
              </c:numCache>
            </c:numRef>
          </c:val>
          <c:smooth val="0"/>
          <c:extLst>
            <c:ext xmlns:c16="http://schemas.microsoft.com/office/drawing/2014/chart" uri="{C3380CC4-5D6E-409C-BE32-E72D297353CC}">
              <c16:uniqueId val="{00000002-5399-4FE1-8453-F94F865A9DB6}"/>
            </c:ext>
          </c:extLst>
        </c:ser>
        <c:dLbls>
          <c:showLegendKey val="0"/>
          <c:showVal val="0"/>
          <c:showCatName val="0"/>
          <c:showSerName val="0"/>
          <c:showPercent val="0"/>
          <c:showBubbleSize val="0"/>
        </c:dLbls>
        <c:smooth val="0"/>
        <c:axId val="463020416"/>
        <c:axId val="463021952"/>
      </c:lineChart>
      <c:catAx>
        <c:axId val="463020416"/>
        <c:scaling>
          <c:orientation val="minMax"/>
        </c:scaling>
        <c:delete val="0"/>
        <c:axPos val="b"/>
        <c:numFmt formatCode="General" sourceLinked="0"/>
        <c:majorTickMark val="out"/>
        <c:minorTickMark val="none"/>
        <c:tickLblPos val="nextTo"/>
        <c:crossAx val="463021952"/>
        <c:crosses val="autoZero"/>
        <c:auto val="1"/>
        <c:lblAlgn val="ctr"/>
        <c:lblOffset val="100"/>
        <c:noMultiLvlLbl val="0"/>
      </c:catAx>
      <c:valAx>
        <c:axId val="463021952"/>
        <c:scaling>
          <c:orientation val="minMax"/>
        </c:scaling>
        <c:delete val="0"/>
        <c:axPos val="l"/>
        <c:majorGridlines/>
        <c:title>
          <c:tx>
            <c:rich>
              <a:bodyPr rot="-5400000" vert="horz"/>
              <a:lstStyle/>
              <a:p>
                <a:pPr>
                  <a:defRPr/>
                </a:pPr>
                <a:r>
                  <a:rPr lang="en-US"/>
                  <a:t>Number of treatments</a:t>
                </a:r>
              </a:p>
            </c:rich>
          </c:tx>
          <c:layout/>
          <c:overlay val="0"/>
        </c:title>
        <c:numFmt formatCode="General" sourceLinked="1"/>
        <c:majorTickMark val="out"/>
        <c:minorTickMark val="none"/>
        <c:tickLblPos val="nextTo"/>
        <c:crossAx val="463020416"/>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0372-A04F-4AF0-BAEF-125DE5D6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22</Pages>
  <Words>5109</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MORRISON, Olivia</cp:lastModifiedBy>
  <cp:revision>29</cp:revision>
  <cp:lastPrinted>2019-02-27T06:38:00Z</cp:lastPrinted>
  <dcterms:created xsi:type="dcterms:W3CDTF">2019-01-14T04:59:00Z</dcterms:created>
  <dcterms:modified xsi:type="dcterms:W3CDTF">2019-03-07T23:23:00Z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