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57F61589" w:rsidR="00832324" w:rsidRDefault="00104F83" w:rsidP="00F73113">
      <w:pPr>
        <w:pStyle w:val="Title"/>
      </w:pPr>
      <w:proofErr w:type="spellStart"/>
      <w:r>
        <w:t>Armodafinil</w:t>
      </w:r>
      <w:proofErr w:type="spellEnd"/>
      <w:r w:rsidR="001C4016">
        <w:t xml:space="preserve">: </w:t>
      </w:r>
      <w:r w:rsidR="003674C0">
        <w:t>predicted</w:t>
      </w:r>
      <w:r>
        <w:t xml:space="preserve"> versus actual </w:t>
      </w:r>
      <w:r w:rsidR="001C4016">
        <w:t>a</w:t>
      </w:r>
      <w:r>
        <w:t>nalysis</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380B18DE" w:rsidR="009053D3" w:rsidRPr="00F73113" w:rsidRDefault="0059346D" w:rsidP="00F73113">
      <w:pPr>
        <w:pStyle w:val="Meetingdate"/>
      </w:pPr>
      <w:r>
        <w:t>June 2019</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6F3661C2" w14:textId="1AFEB7B7" w:rsidR="00B818CF" w:rsidRPr="007A0F0F" w:rsidRDefault="00B818CF" w:rsidP="00B818CF">
      <w:r w:rsidRPr="007A0F0F">
        <w:t>To</w:t>
      </w:r>
      <w:r>
        <w:t xml:space="preserve"> compare the predicted and actual utilisation of </w:t>
      </w:r>
      <w:proofErr w:type="spellStart"/>
      <w:r>
        <w:t>armodafinil</w:t>
      </w:r>
      <w:proofErr w:type="spellEnd"/>
      <w:r>
        <w:t xml:space="preserve"> for narcolepsy since it wa</w:t>
      </w:r>
      <w:r w:rsidR="003E07A9">
        <w:t>s PBS listed for this indication</w:t>
      </w:r>
      <w:r>
        <w:t>.</w:t>
      </w:r>
    </w:p>
    <w:p w14:paraId="03538E7F" w14:textId="322BB850" w:rsidR="002D144A" w:rsidRDefault="002D144A" w:rsidP="00BD7518">
      <w:pPr>
        <w:pStyle w:val="Heading3"/>
      </w:pPr>
      <w:r>
        <w:t>Date of listing on the P</w:t>
      </w:r>
      <w:r w:rsidR="00A95FA5">
        <w:t xml:space="preserve">harmaceutical </w:t>
      </w:r>
      <w:r>
        <w:t>B</w:t>
      </w:r>
      <w:r w:rsidR="00A95FA5">
        <w:t xml:space="preserve">enefits </w:t>
      </w:r>
      <w:r>
        <w:t>S</w:t>
      </w:r>
      <w:r w:rsidR="00A95FA5">
        <w:t>cheme (PBS)</w:t>
      </w:r>
    </w:p>
    <w:p w14:paraId="6889394B" w14:textId="77777777" w:rsidR="00B818CF" w:rsidRDefault="00B818CF" w:rsidP="00BD7518">
      <w:proofErr w:type="spellStart"/>
      <w:r w:rsidRPr="00B818CF">
        <w:t>Armodafinil</w:t>
      </w:r>
      <w:proofErr w:type="spellEnd"/>
      <w:r w:rsidRPr="00B818CF">
        <w:t xml:space="preserve"> for the treatment of narcolepsy was PBS listed on 1 November 2016. </w:t>
      </w:r>
    </w:p>
    <w:p w14:paraId="1E7A88A6" w14:textId="3CFBABA6" w:rsidR="00F46DEC" w:rsidRDefault="005C6661" w:rsidP="00CF5E22">
      <w:pPr>
        <w:pStyle w:val="Heading3"/>
      </w:pPr>
      <w:r>
        <w:t>Data Source / methodology</w:t>
      </w:r>
      <w:r w:rsidR="00F46DEC">
        <w:t xml:space="preserve"> </w:t>
      </w:r>
    </w:p>
    <w:p w14:paraId="1DF4CFA1" w14:textId="260943EE" w:rsidR="00F46DEC" w:rsidRPr="00F46DEC" w:rsidRDefault="00F46DEC" w:rsidP="00F46DEC">
      <w:r>
        <w:t>The analysis used data from the Department of Human Services (DHS) supplied prescriptions database.</w:t>
      </w:r>
    </w:p>
    <w:p w14:paraId="7599E7C1" w14:textId="337B5BB9" w:rsidR="005C6661" w:rsidRDefault="005C6661" w:rsidP="00CF5E22">
      <w:pPr>
        <w:pStyle w:val="Heading3"/>
      </w:pPr>
      <w:r>
        <w:t>Key Findings</w:t>
      </w:r>
    </w:p>
    <w:p w14:paraId="64987B6F" w14:textId="18CD2A28" w:rsidR="003B5E94" w:rsidRPr="00AD44F6" w:rsidRDefault="00606823" w:rsidP="0095368A">
      <w:pPr>
        <w:pStyle w:val="NoSpacing"/>
        <w:numPr>
          <w:ilvl w:val="0"/>
          <w:numId w:val="6"/>
        </w:numPr>
        <w:spacing w:after="200"/>
        <w:ind w:left="714" w:hanging="357"/>
        <w:contextualSpacing/>
      </w:pPr>
      <w:r w:rsidRPr="00AD44F6">
        <w:t>The number of patients on therapy for narcolepsy has increased from 2014 to 2018, inclusive.</w:t>
      </w:r>
    </w:p>
    <w:p w14:paraId="11D6FA01" w14:textId="5B602CD5" w:rsidR="00606823" w:rsidRPr="00AD44F6" w:rsidRDefault="00606823" w:rsidP="0095368A">
      <w:pPr>
        <w:pStyle w:val="NoSpacing"/>
        <w:numPr>
          <w:ilvl w:val="0"/>
          <w:numId w:val="6"/>
        </w:numPr>
        <w:spacing w:after="200"/>
        <w:ind w:left="714" w:hanging="357"/>
        <w:contextualSpacing/>
      </w:pPr>
      <w:r w:rsidRPr="00AD44F6">
        <w:t>There was a 35.9% increase in patients new to</w:t>
      </w:r>
      <w:r w:rsidR="00DC1588">
        <w:t xml:space="preserve"> narcolepsy therapy from</w:t>
      </w:r>
      <w:r w:rsidRPr="00AD44F6">
        <w:t xml:space="preserve"> 2017 to 2018. </w:t>
      </w:r>
    </w:p>
    <w:p w14:paraId="18F2DDDF" w14:textId="68E8A327" w:rsidR="00606823" w:rsidRPr="00AD44F6" w:rsidRDefault="00606823" w:rsidP="0095368A">
      <w:pPr>
        <w:pStyle w:val="NoSpacing"/>
        <w:numPr>
          <w:ilvl w:val="0"/>
          <w:numId w:val="6"/>
        </w:numPr>
        <w:spacing w:after="200"/>
        <w:ind w:left="714" w:hanging="357"/>
        <w:contextualSpacing/>
      </w:pPr>
      <w:r w:rsidRPr="00AD44F6">
        <w:t xml:space="preserve">The listing of </w:t>
      </w:r>
      <w:proofErr w:type="spellStart"/>
      <w:r w:rsidRPr="00AD44F6">
        <w:t>armodafinil</w:t>
      </w:r>
      <w:proofErr w:type="spellEnd"/>
      <w:r w:rsidRPr="00AD44F6">
        <w:t xml:space="preserve"> has increased the total narcolepsy market, with the </w:t>
      </w:r>
      <w:proofErr w:type="gramStart"/>
      <w:r w:rsidRPr="00AD44F6">
        <w:t>number</w:t>
      </w:r>
      <w:proofErr w:type="gramEnd"/>
      <w:r w:rsidRPr="00AD44F6">
        <w:t xml:space="preserve"> of people starting PBS subsidised </w:t>
      </w:r>
      <w:proofErr w:type="spellStart"/>
      <w:r w:rsidRPr="00AD44F6">
        <w:t>armodafinil</w:t>
      </w:r>
      <w:proofErr w:type="spellEnd"/>
      <w:r w:rsidRPr="00AD44F6">
        <w:t xml:space="preserve"> being higher than the number of patients starting </w:t>
      </w:r>
      <w:proofErr w:type="spellStart"/>
      <w:r w:rsidRPr="00AD44F6">
        <w:t>modafinil</w:t>
      </w:r>
      <w:proofErr w:type="spellEnd"/>
      <w:r w:rsidR="00E02695">
        <w:t xml:space="preserve"> </w:t>
      </w:r>
      <w:r w:rsidRPr="00AD44F6">
        <w:t>since its listing.</w:t>
      </w:r>
    </w:p>
    <w:p w14:paraId="3D05B753" w14:textId="3B723145" w:rsidR="00AD44F6" w:rsidRPr="00AD44F6" w:rsidRDefault="00AD44F6" w:rsidP="0095368A">
      <w:pPr>
        <w:pStyle w:val="NoSpacing"/>
        <w:numPr>
          <w:ilvl w:val="0"/>
          <w:numId w:val="6"/>
        </w:numPr>
        <w:spacing w:after="200"/>
        <w:ind w:left="714" w:hanging="357"/>
        <w:contextualSpacing/>
      </w:pPr>
      <w:r w:rsidRPr="00AD44F6">
        <w:t xml:space="preserve">The listing of </w:t>
      </w:r>
      <w:proofErr w:type="spellStart"/>
      <w:r w:rsidRPr="00AD44F6">
        <w:t>armodafinil</w:t>
      </w:r>
      <w:proofErr w:type="spellEnd"/>
      <w:r w:rsidRPr="00AD44F6">
        <w:t xml:space="preserve"> has increased the overall government expenditure for PBS-subsidised narcolepsy therapy</w:t>
      </w:r>
      <w:r w:rsidR="00E02695">
        <w:t>.</w:t>
      </w:r>
    </w:p>
    <w:p w14:paraId="544BAA6E" w14:textId="5E0520C7" w:rsidR="00606823" w:rsidRPr="00AD44F6" w:rsidRDefault="00606823" w:rsidP="0095368A">
      <w:pPr>
        <w:pStyle w:val="NoSpacing"/>
        <w:numPr>
          <w:ilvl w:val="0"/>
          <w:numId w:val="6"/>
        </w:numPr>
        <w:spacing w:after="200"/>
        <w:ind w:left="714" w:hanging="357"/>
        <w:contextualSpacing/>
      </w:pPr>
      <w:proofErr w:type="spellStart"/>
      <w:r w:rsidRPr="00AD44F6">
        <w:t>Dexamfetamine</w:t>
      </w:r>
      <w:proofErr w:type="spellEnd"/>
      <w:r w:rsidRPr="00AD44F6">
        <w:t xml:space="preserve"> was the most used drug for narcolepsy by prescription volume and number of prevalent patients</w:t>
      </w:r>
      <w:r w:rsidR="00AD44F6" w:rsidRPr="00AD44F6">
        <w:t xml:space="preserve"> from 2015-2018, inclusive</w:t>
      </w:r>
      <w:r w:rsidRPr="00AD44F6">
        <w:t xml:space="preserve">. </w:t>
      </w:r>
    </w:p>
    <w:p w14:paraId="6BC82358" w14:textId="5153AA77" w:rsidR="00606823" w:rsidRPr="00AD44F6" w:rsidRDefault="00606823" w:rsidP="0095368A">
      <w:pPr>
        <w:pStyle w:val="NoSpacing"/>
        <w:numPr>
          <w:ilvl w:val="0"/>
          <w:numId w:val="6"/>
        </w:numPr>
        <w:spacing w:after="200"/>
        <w:ind w:left="714" w:hanging="357"/>
        <w:contextualSpacing/>
      </w:pPr>
      <w:r w:rsidRPr="00AD44F6">
        <w:t xml:space="preserve">There was a steep increase in the number of patients starting </w:t>
      </w:r>
      <w:proofErr w:type="spellStart"/>
      <w:r w:rsidRPr="00AD44F6">
        <w:t>dexamfetamine</w:t>
      </w:r>
      <w:proofErr w:type="spellEnd"/>
      <w:r w:rsidR="00E02695">
        <w:t xml:space="preserve"> for narcolepsy</w:t>
      </w:r>
      <w:r w:rsidRPr="00AD44F6">
        <w:t xml:space="preserve"> from 178 patients in the second quarter of 2018 to 465 patients in the fourth quarter of 2018.</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95368A">
      <w:pPr>
        <w:pStyle w:val="Heading1"/>
        <w:spacing w:before="240" w:after="200"/>
      </w:pPr>
      <w:r w:rsidRPr="00CF5E22">
        <w:lastRenderedPageBreak/>
        <w:t xml:space="preserve">Purpose of </w:t>
      </w:r>
      <w:r w:rsidR="00D151EB" w:rsidRPr="00CF5E22">
        <w:t>analysis</w:t>
      </w:r>
    </w:p>
    <w:p w14:paraId="323E52E9" w14:textId="589DFFEE" w:rsidR="007A0F0F" w:rsidRPr="007A0F0F" w:rsidRDefault="007A0F0F" w:rsidP="00990DCF">
      <w:r w:rsidRPr="007A0F0F">
        <w:t>To</w:t>
      </w:r>
      <w:r>
        <w:t xml:space="preserve"> compare the predicted and actual utilisation of </w:t>
      </w:r>
      <w:proofErr w:type="spellStart"/>
      <w:r>
        <w:t>armodafinil</w:t>
      </w:r>
      <w:proofErr w:type="spellEnd"/>
      <w:r>
        <w:t xml:space="preserve"> for narcolepsy since it was PBS listed for this indication on 1 November 2016.</w:t>
      </w:r>
    </w:p>
    <w:p w14:paraId="0A7F0B57" w14:textId="034D22D5" w:rsidR="006537D9" w:rsidRPr="005E22C2" w:rsidRDefault="00736041" w:rsidP="0095368A">
      <w:pPr>
        <w:pStyle w:val="Heading1"/>
        <w:spacing w:before="200" w:after="200"/>
      </w:pPr>
      <w:r w:rsidRPr="005E22C2">
        <w:t>Background</w:t>
      </w:r>
    </w:p>
    <w:p w14:paraId="2C748275" w14:textId="30948B4A" w:rsidR="00EE2BBB" w:rsidRDefault="00EE2BBB" w:rsidP="00EE2BBB">
      <w:pPr>
        <w:pStyle w:val="Heading2"/>
      </w:pPr>
      <w:r w:rsidRPr="007247B9">
        <w:t>Clinical situation</w:t>
      </w:r>
    </w:p>
    <w:p w14:paraId="4DB062AF" w14:textId="2C672B12" w:rsidR="007577E0" w:rsidRDefault="007577E0" w:rsidP="007577E0">
      <w:r>
        <w:t>Narcolepsy is a</w:t>
      </w:r>
      <w:r w:rsidR="00736528">
        <w:t xml:space="preserve"> disorder of sleep-wake regulation. It is characterised by chronic daytime sleepiness, which may lead to uncontrollable sleep a</w:t>
      </w:r>
      <w:r w:rsidR="007748B5">
        <w:t>ttacks</w:t>
      </w:r>
      <w:r w:rsidR="00736528">
        <w:t>.</w:t>
      </w:r>
      <w:bookmarkStart w:id="0" w:name="_Ref8035119"/>
      <w:r w:rsidR="00736528">
        <w:rPr>
          <w:rStyle w:val="FootnoteReference"/>
        </w:rPr>
        <w:footnoteReference w:id="1"/>
      </w:r>
      <w:bookmarkEnd w:id="0"/>
      <w:r w:rsidR="007748B5">
        <w:t xml:space="preserve"> Excessive daytime sleepiness is the main symptom of narcolepsy. Other symptoms include sudden loss of muscle ton</w:t>
      </w:r>
      <w:r w:rsidR="006F3BBF">
        <w:t>e</w:t>
      </w:r>
      <w:r w:rsidR="007748B5">
        <w:t>, usually associated with strong emotion (cataplexy), muscle paralysis on falling asleep or waking (sleep paralysis) and vivid hallucinations on falling asleep (</w:t>
      </w:r>
      <w:r>
        <w:t>hypnagogic</w:t>
      </w:r>
      <w:r w:rsidR="007748B5">
        <w:t>) or waking (hypnopompic).</w:t>
      </w:r>
      <w:bookmarkStart w:id="1" w:name="_Ref7600506"/>
      <w:r w:rsidR="009656CF">
        <w:rPr>
          <w:rStyle w:val="FootnoteReference"/>
        </w:rPr>
        <w:footnoteReference w:id="2"/>
      </w:r>
      <w:bookmarkEnd w:id="1"/>
      <w:r>
        <w:t xml:space="preserve"> </w:t>
      </w:r>
      <w:r w:rsidR="00FF2826">
        <w:t xml:space="preserve">It is often </w:t>
      </w:r>
      <w:r w:rsidR="00736528">
        <w:t xml:space="preserve">extremely incapacitating, interfering with every aspect of life, in work and social settings. </w:t>
      </w:r>
      <w:r>
        <w:t>It usually begins between the ages of 10 and 20 years with the sudden onset of persistent daytime sleepiness, although it can also develop gradually.</w:t>
      </w:r>
      <w:bookmarkStart w:id="2" w:name="_Ref7600664"/>
      <w:r w:rsidR="009656CF">
        <w:rPr>
          <w:rStyle w:val="FootnoteReference"/>
        </w:rPr>
        <w:footnoteReference w:id="3"/>
      </w:r>
      <w:bookmarkEnd w:id="2"/>
    </w:p>
    <w:p w14:paraId="65F4097B" w14:textId="78C02351" w:rsidR="007748B5" w:rsidRPr="00B71BC7" w:rsidRDefault="006F3BBF" w:rsidP="00B71BC7">
      <w:r>
        <w:t>Narcolepsy is treated with a combination of behavioural and pharmacological approaches.</w:t>
      </w:r>
      <w:r w:rsidR="00F27FAB">
        <w:rPr>
          <w:vertAlign w:val="superscript"/>
        </w:rPr>
        <w:fldChar w:fldCharType="begin"/>
      </w:r>
      <w:r w:rsidR="00F27FAB">
        <w:instrText xml:space="preserve"> NOTEREF _Ref7600506 \f \h </w:instrText>
      </w:r>
      <w:r w:rsidR="00F27FAB">
        <w:rPr>
          <w:vertAlign w:val="superscript"/>
        </w:rPr>
      </w:r>
      <w:r w:rsidR="00F27FAB">
        <w:rPr>
          <w:vertAlign w:val="superscript"/>
        </w:rPr>
        <w:fldChar w:fldCharType="separate"/>
      </w:r>
      <w:r w:rsidR="0095368A" w:rsidRPr="0095368A">
        <w:rPr>
          <w:rStyle w:val="FootnoteReference"/>
        </w:rPr>
        <w:t>2</w:t>
      </w:r>
      <w:r w:rsidR="00F27FAB">
        <w:rPr>
          <w:vertAlign w:val="superscript"/>
        </w:rPr>
        <w:fldChar w:fldCharType="end"/>
      </w:r>
      <w:r w:rsidR="00F27FAB">
        <w:t xml:space="preserve"> </w:t>
      </w:r>
      <w:r w:rsidR="007748B5">
        <w:t xml:space="preserve">According to the Australian therapeutic guidelines, </w:t>
      </w:r>
      <w:proofErr w:type="spellStart"/>
      <w:r w:rsidR="007748B5">
        <w:t>modafinil</w:t>
      </w:r>
      <w:proofErr w:type="spellEnd"/>
      <w:r w:rsidR="007748B5">
        <w:t xml:space="preserve"> and </w:t>
      </w:r>
      <w:proofErr w:type="spellStart"/>
      <w:r w:rsidR="007748B5">
        <w:t>armodafinil</w:t>
      </w:r>
      <w:proofErr w:type="spellEnd"/>
      <w:r w:rsidR="007748B5">
        <w:t xml:space="preserve"> are first line drugs for the treatment of increasing alertness in narcolepsy. Other drugs that may be prescribed include dexamphetamine and methyl</w:t>
      </w:r>
      <w:r w:rsidR="00B71BC7">
        <w:t>phenidate.</w:t>
      </w:r>
      <w:r w:rsidR="005A06D4">
        <w:fldChar w:fldCharType="begin"/>
      </w:r>
      <w:r w:rsidR="005A06D4">
        <w:instrText xml:space="preserve"> NOTEREF _Ref8035119 \f \h </w:instrText>
      </w:r>
      <w:r w:rsidR="005A06D4">
        <w:fldChar w:fldCharType="separate"/>
      </w:r>
      <w:r w:rsidR="0095368A" w:rsidRPr="0095368A">
        <w:rPr>
          <w:rStyle w:val="FootnoteReference"/>
        </w:rPr>
        <w:t>1</w:t>
      </w:r>
      <w:r w:rsidR="005A06D4">
        <w:fldChar w:fldCharType="end"/>
      </w:r>
    </w:p>
    <w:p w14:paraId="14DF1A9A" w14:textId="21626B7B" w:rsidR="00D30A46" w:rsidRDefault="007B244D" w:rsidP="0010077D">
      <w:pPr>
        <w:pStyle w:val="Heading2"/>
      </w:pPr>
      <w:r>
        <w:t>Pharmacology</w:t>
      </w:r>
    </w:p>
    <w:p w14:paraId="355A5970" w14:textId="46EB27E1" w:rsidR="007B244D" w:rsidRPr="007B244D" w:rsidRDefault="007B244D" w:rsidP="007B244D">
      <w:r>
        <w:t>The</w:t>
      </w:r>
      <w:r w:rsidR="00EB6950">
        <w:t xml:space="preserve"> exact</w:t>
      </w:r>
      <w:r>
        <w:t xml:space="preserve"> mechanism through which </w:t>
      </w:r>
      <w:proofErr w:type="spellStart"/>
      <w:r>
        <w:t>armodafinil</w:t>
      </w:r>
      <w:proofErr w:type="spellEnd"/>
      <w:r>
        <w:t xml:space="preserve"> promotes wakefulness in unknown.</w:t>
      </w:r>
      <w:r w:rsidR="00D05FB9">
        <w:t xml:space="preserve"> </w:t>
      </w:r>
      <w:proofErr w:type="spellStart"/>
      <w:r w:rsidR="00D05FB9">
        <w:t>Armodafinil</w:t>
      </w:r>
      <w:proofErr w:type="spellEnd"/>
      <w:r w:rsidR="00D05FB9">
        <w:t xml:space="preserve"> is the R-enantiomer of </w:t>
      </w:r>
      <w:proofErr w:type="spellStart"/>
      <w:r w:rsidR="00D05FB9">
        <w:t>modafinil</w:t>
      </w:r>
      <w:proofErr w:type="spellEnd"/>
      <w:r w:rsidR="00D05FB9">
        <w:t xml:space="preserve"> (1:1 mixture of R and S enantiomers). It has wake promoting actions similar to sympathomimetic agents including amphetamine and methylphenidate, </w:t>
      </w:r>
      <w:r w:rsidR="00A8784B">
        <w:t>although the</w:t>
      </w:r>
      <w:r w:rsidR="00D05FB9">
        <w:t xml:space="preserve"> pharmacological profile is not identical to that</w:t>
      </w:r>
      <w:r w:rsidR="005C4640">
        <w:t xml:space="preserve"> of the sympathomimetic amines.</w:t>
      </w:r>
      <w:r w:rsidR="004C056F">
        <w:t xml:space="preserve"> </w:t>
      </w:r>
      <w:r w:rsidR="00A8784B">
        <w:t xml:space="preserve">In vitro </w:t>
      </w:r>
      <w:proofErr w:type="spellStart"/>
      <w:r w:rsidR="00A8784B">
        <w:t>armodafinil</w:t>
      </w:r>
      <w:proofErr w:type="spellEnd"/>
      <w:r w:rsidR="00A8784B">
        <w:t xml:space="preserve"> binds to the dopamine transporter and inhibits dopamine uptake.</w:t>
      </w:r>
      <w:r w:rsidR="00F27FAB">
        <w:fldChar w:fldCharType="begin"/>
      </w:r>
      <w:r w:rsidR="00F27FAB">
        <w:instrText xml:space="preserve"> NOTEREF _Ref7600695 \f \h </w:instrText>
      </w:r>
      <w:r w:rsidR="00F27FAB">
        <w:fldChar w:fldCharType="separate"/>
      </w:r>
      <w:r w:rsidR="0095368A" w:rsidRPr="0095368A">
        <w:rPr>
          <w:rStyle w:val="FootnoteReference"/>
        </w:rPr>
        <w:t>4</w:t>
      </w:r>
      <w:r w:rsidR="00F27FAB">
        <w:fldChar w:fldCharType="end"/>
      </w:r>
      <w:r w:rsidR="006F3BBF">
        <w:t xml:space="preserve"> </w:t>
      </w:r>
    </w:p>
    <w:p w14:paraId="6AC18C88" w14:textId="66B14FEE"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1098FBB7" w14:textId="77777777" w:rsidR="005C4640" w:rsidRDefault="005C4640" w:rsidP="005C4640">
      <w:proofErr w:type="spellStart"/>
      <w:r>
        <w:t>Armodafinil</w:t>
      </w:r>
      <w:proofErr w:type="spellEnd"/>
      <w:r>
        <w:t xml:space="preserve"> is indicated:</w:t>
      </w:r>
    </w:p>
    <w:p w14:paraId="16C3F8BE" w14:textId="77777777" w:rsidR="005C4640" w:rsidRDefault="005C4640" w:rsidP="005C4640">
      <w:pPr>
        <w:pStyle w:val="ListParagraph"/>
        <w:numPr>
          <w:ilvl w:val="0"/>
          <w:numId w:val="4"/>
        </w:numPr>
      </w:pPr>
      <w:r>
        <w:t>to improve wakefulness in patients with excessive daytime sleepiness associated with narcolepsy;</w:t>
      </w:r>
    </w:p>
    <w:p w14:paraId="65B2F671" w14:textId="73D43373" w:rsidR="005C4640" w:rsidRDefault="005C4640" w:rsidP="005C4640">
      <w:pPr>
        <w:pStyle w:val="ListParagraph"/>
        <w:numPr>
          <w:ilvl w:val="0"/>
          <w:numId w:val="4"/>
        </w:numPr>
      </w:pPr>
      <w:r>
        <w:t>to treat excessive sleepiness associated with moderate to severe chronic shift work sleep disorder where non</w:t>
      </w:r>
      <w:r w:rsidR="009C7F4A">
        <w:t>-</w:t>
      </w:r>
      <w:r>
        <w:t>pharmacological interventions are unsuccessful or inappropriate;</w:t>
      </w:r>
      <w:r w:rsidR="009C7F4A">
        <w:t xml:space="preserve"> and</w:t>
      </w:r>
    </w:p>
    <w:p w14:paraId="1E393897" w14:textId="4ECD28FC" w:rsidR="001420B3" w:rsidRDefault="005C4640" w:rsidP="005C4640">
      <w:pPr>
        <w:pStyle w:val="ListParagraph"/>
        <w:numPr>
          <w:ilvl w:val="0"/>
          <w:numId w:val="4"/>
        </w:numPr>
      </w:pPr>
      <w:proofErr w:type="gramStart"/>
      <w:r>
        <w:lastRenderedPageBreak/>
        <w:t>as</w:t>
      </w:r>
      <w:proofErr w:type="gramEnd"/>
      <w:r>
        <w:t xml:space="preserve"> an adjunct to continuous positive airways pressure (CPAP) in obstructive sleep apnoea/hypopnoea syndrome in order to improve wakefulness</w:t>
      </w:r>
      <w:r w:rsidR="00360B9A" w:rsidRPr="005C4640">
        <w:t>.</w:t>
      </w:r>
      <w:bookmarkStart w:id="3" w:name="_Ref7600695"/>
      <w:r w:rsidRPr="005C4640">
        <w:rPr>
          <w:rStyle w:val="FootnoteReference"/>
        </w:rPr>
        <w:footnoteReference w:id="4"/>
      </w:r>
      <w:bookmarkEnd w:id="3"/>
    </w:p>
    <w:p w14:paraId="15E919C1" w14:textId="1B3BA560" w:rsidR="006B709B" w:rsidRDefault="006B709B" w:rsidP="00CF5E22">
      <w:pPr>
        <w:pStyle w:val="Heading2"/>
      </w:pPr>
      <w:r>
        <w:t>Dosage and administration</w:t>
      </w:r>
    </w:p>
    <w:p w14:paraId="3E25B7B1" w14:textId="49C956E0" w:rsidR="001311C9" w:rsidRDefault="001311C9" w:rsidP="001311C9">
      <w:r>
        <w:t xml:space="preserve">The recommended </w:t>
      </w:r>
      <w:r w:rsidR="009673DE">
        <w:t xml:space="preserve">dose of </w:t>
      </w:r>
      <w:proofErr w:type="spellStart"/>
      <w:r w:rsidR="009673DE">
        <w:t>armodafinil</w:t>
      </w:r>
      <w:proofErr w:type="spellEnd"/>
      <w:r w:rsidR="009673DE">
        <w:t xml:space="preserve"> </w:t>
      </w:r>
      <w:r>
        <w:t>for patients with narcolepsy is 150 mg or 250 mg given once daily in the morning.</w:t>
      </w:r>
      <w:r w:rsidR="009B7491">
        <w:fldChar w:fldCharType="begin"/>
      </w:r>
      <w:r w:rsidR="009B7491">
        <w:instrText xml:space="preserve"> NOTEREF _Ref7600695 \f \h </w:instrText>
      </w:r>
      <w:r w:rsidR="009B7491">
        <w:fldChar w:fldCharType="separate"/>
      </w:r>
      <w:r w:rsidR="0095368A" w:rsidRPr="0095368A">
        <w:rPr>
          <w:rStyle w:val="FootnoteReference"/>
        </w:rPr>
        <w:t>4</w:t>
      </w:r>
      <w:r w:rsidR="009B7491">
        <w:fldChar w:fldCharType="end"/>
      </w:r>
    </w:p>
    <w:p w14:paraId="46E2BB42" w14:textId="6FA94EB5" w:rsidR="00DF0B13" w:rsidRPr="007247B9" w:rsidDel="00EE2BBB" w:rsidRDefault="00DF0B13" w:rsidP="00CF5E22">
      <w:pPr>
        <w:pStyle w:val="Heading2"/>
      </w:pPr>
      <w:r w:rsidRPr="007247B9" w:rsidDel="00EE2BBB">
        <w:t>PBS listing details</w:t>
      </w:r>
    </w:p>
    <w:p w14:paraId="51FF9D3A" w14:textId="5F18BFEC" w:rsidR="0037286B" w:rsidRPr="0037286B" w:rsidRDefault="0037286B" w:rsidP="00A35800">
      <w:proofErr w:type="spellStart"/>
      <w:r>
        <w:t>Armodafinil</w:t>
      </w:r>
      <w:proofErr w:type="spellEnd"/>
      <w:r>
        <w:t xml:space="preserve"> for the </w:t>
      </w:r>
      <w:r w:rsidR="00655F4B">
        <w:t xml:space="preserve">treatment of narcolepsy was PBS </w:t>
      </w:r>
      <w:r>
        <w:t>listed on 1 November 2016. Table 1 provides the PBS listing details as at 1 April 2019.</w:t>
      </w:r>
      <w:r w:rsidR="00F62655">
        <w:t xml:space="preserve"> </w:t>
      </w:r>
      <w:proofErr w:type="spellStart"/>
      <w:r w:rsidR="00F62655">
        <w:t>Armodafinil</w:t>
      </w:r>
      <w:proofErr w:type="spellEnd"/>
      <w:r w:rsidR="00F62655">
        <w:t xml:space="preserve"> has the same PBS restriction as </w:t>
      </w:r>
      <w:proofErr w:type="spellStart"/>
      <w:r w:rsidR="00F62655">
        <w:t>modafinil</w:t>
      </w:r>
      <w:proofErr w:type="spellEnd"/>
      <w:r w:rsidR="00F62655">
        <w:t xml:space="preserve">. </w:t>
      </w:r>
    </w:p>
    <w:p w14:paraId="1D47784A" w14:textId="32B15EF7" w:rsidR="001420B3" w:rsidRPr="001420B3" w:rsidDel="00EE2BBB" w:rsidRDefault="0037286B" w:rsidP="00655F4B">
      <w:pPr>
        <w:pStyle w:val="Tabletitle"/>
        <w:spacing w:before="200"/>
      </w:pPr>
      <w:r>
        <w:t>Table 1</w:t>
      </w:r>
      <w:r w:rsidR="001420B3" w:rsidRPr="001420B3" w:rsidDel="00EE2BBB">
        <w:t xml:space="preserve">: </w:t>
      </w:r>
      <w:r w:rsidR="009663B6" w:rsidDel="00EE2BBB">
        <w:t>PB</w:t>
      </w:r>
      <w:r w:rsidR="00D151EB" w:rsidDel="00EE2BBB">
        <w:t>S listing of</w:t>
      </w:r>
      <w:r w:rsidR="00834E9B">
        <w:t xml:space="preserve"> </w:t>
      </w:r>
      <w:proofErr w:type="spellStart"/>
      <w:r w:rsidR="00834E9B">
        <w:t>Armodafinil</w:t>
      </w:r>
      <w:proofErr w:type="spellEnd"/>
    </w:p>
    <w:tbl>
      <w:tblPr>
        <w:tblStyle w:val="TableGrid"/>
        <w:tblW w:w="8568" w:type="dxa"/>
        <w:tblLayout w:type="fixed"/>
        <w:tblLook w:val="04A0" w:firstRow="1" w:lastRow="0" w:firstColumn="1" w:lastColumn="0" w:noHBand="0" w:noVBand="1"/>
        <w:tblCaption w:val="PBS listing details of armodafinil"/>
        <w:tblDescription w:val="The table has the PBS listing details for armodafinil. Available from the PBS website. "/>
      </w:tblPr>
      <w:tblGrid>
        <w:gridCol w:w="916"/>
        <w:gridCol w:w="2765"/>
        <w:gridCol w:w="1112"/>
        <w:gridCol w:w="803"/>
        <w:gridCol w:w="983"/>
        <w:gridCol w:w="1989"/>
      </w:tblGrid>
      <w:tr w:rsidR="00655F4B" w:rsidRPr="00A35800" w:rsidDel="00EE2BBB" w14:paraId="6AA19A37" w14:textId="77B518AD" w:rsidTr="00BB4DC4">
        <w:trPr>
          <w:trHeight w:val="694"/>
          <w:tblHeader/>
        </w:trPr>
        <w:tc>
          <w:tcPr>
            <w:tcW w:w="916" w:type="dxa"/>
            <w:shd w:val="clear" w:color="auto" w:fill="BFBFBF" w:themeFill="background1" w:themeFillShade="BF"/>
          </w:tcPr>
          <w:p w14:paraId="56A3DEA0" w14:textId="1A878237" w:rsidR="00655F4B" w:rsidRPr="00A35800" w:rsidDel="00EE2BBB" w:rsidRDefault="00655F4B" w:rsidP="00A35800">
            <w:pPr>
              <w:pStyle w:val="Tableheading"/>
              <w:rPr>
                <w:sz w:val="20"/>
                <w:szCs w:val="20"/>
              </w:rPr>
            </w:pPr>
            <w:r w:rsidRPr="00A35800" w:rsidDel="00EE2BBB">
              <w:rPr>
                <w:sz w:val="20"/>
                <w:szCs w:val="20"/>
              </w:rPr>
              <w:t>Item</w:t>
            </w:r>
          </w:p>
        </w:tc>
        <w:tc>
          <w:tcPr>
            <w:tcW w:w="2765" w:type="dxa"/>
            <w:shd w:val="clear" w:color="auto" w:fill="BFBFBF" w:themeFill="background1" w:themeFillShade="BF"/>
          </w:tcPr>
          <w:p w14:paraId="67A07252" w14:textId="6DE43662" w:rsidR="00655F4B" w:rsidRPr="00A35800" w:rsidDel="00EE2BBB" w:rsidRDefault="00655F4B" w:rsidP="00A35800">
            <w:pPr>
              <w:pStyle w:val="Tableheading"/>
              <w:rPr>
                <w:sz w:val="20"/>
                <w:szCs w:val="20"/>
              </w:rPr>
            </w:pPr>
            <w:r w:rsidRPr="00A35800" w:rsidDel="00EE2BBB">
              <w:rPr>
                <w:sz w:val="20"/>
                <w:szCs w:val="20"/>
              </w:rPr>
              <w:t>Name, form &amp; strength, pack size</w:t>
            </w:r>
          </w:p>
        </w:tc>
        <w:tc>
          <w:tcPr>
            <w:tcW w:w="1112" w:type="dxa"/>
            <w:shd w:val="clear" w:color="auto" w:fill="BFBFBF" w:themeFill="background1" w:themeFillShade="BF"/>
          </w:tcPr>
          <w:p w14:paraId="114E9799" w14:textId="5CCB9145" w:rsidR="00655F4B" w:rsidRPr="00A35800" w:rsidDel="00EE2BBB" w:rsidRDefault="00655F4B" w:rsidP="00A35800">
            <w:pPr>
              <w:pStyle w:val="Tableheading"/>
              <w:rPr>
                <w:sz w:val="20"/>
                <w:szCs w:val="20"/>
              </w:rPr>
            </w:pPr>
            <w:r w:rsidRPr="00A35800" w:rsidDel="00EE2BBB">
              <w:rPr>
                <w:sz w:val="20"/>
                <w:szCs w:val="20"/>
              </w:rPr>
              <w:t xml:space="preserve">Max. </w:t>
            </w:r>
            <w:proofErr w:type="gramStart"/>
            <w:r w:rsidRPr="00A35800" w:rsidDel="00EE2BBB">
              <w:rPr>
                <w:sz w:val="20"/>
                <w:szCs w:val="20"/>
              </w:rPr>
              <w:t>quant</w:t>
            </w:r>
            <w:proofErr w:type="gramEnd"/>
            <w:r>
              <w:rPr>
                <w:sz w:val="20"/>
                <w:szCs w:val="20"/>
              </w:rPr>
              <w:t xml:space="preserve"> packs</w:t>
            </w:r>
            <w:r w:rsidRPr="00A35800" w:rsidDel="00EE2BBB">
              <w:rPr>
                <w:sz w:val="20"/>
                <w:szCs w:val="20"/>
              </w:rPr>
              <w:t xml:space="preserve">. </w:t>
            </w:r>
          </w:p>
        </w:tc>
        <w:tc>
          <w:tcPr>
            <w:tcW w:w="803" w:type="dxa"/>
            <w:shd w:val="clear" w:color="auto" w:fill="BFBFBF" w:themeFill="background1" w:themeFillShade="BF"/>
          </w:tcPr>
          <w:p w14:paraId="0F1A79F7" w14:textId="170F6D44" w:rsidR="00655F4B" w:rsidRPr="00A35800" w:rsidDel="00EE2BBB" w:rsidRDefault="00655F4B" w:rsidP="00A3580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983" w:type="dxa"/>
            <w:shd w:val="clear" w:color="auto" w:fill="BFBFBF" w:themeFill="background1" w:themeFillShade="BF"/>
          </w:tcPr>
          <w:p w14:paraId="05C5A0BF" w14:textId="2CFF9AC9" w:rsidR="00655F4B" w:rsidRPr="00A35800" w:rsidDel="00EE2BBB" w:rsidRDefault="00655F4B" w:rsidP="00A35800">
            <w:pPr>
              <w:pStyle w:val="Tableheading"/>
              <w:rPr>
                <w:sz w:val="20"/>
                <w:szCs w:val="20"/>
              </w:rPr>
            </w:pPr>
            <w:r w:rsidRPr="00A35800" w:rsidDel="00EE2BBB">
              <w:rPr>
                <w:sz w:val="20"/>
                <w:szCs w:val="20"/>
              </w:rPr>
              <w:t>DPMQ</w:t>
            </w:r>
          </w:p>
        </w:tc>
        <w:tc>
          <w:tcPr>
            <w:tcW w:w="1989" w:type="dxa"/>
            <w:shd w:val="clear" w:color="auto" w:fill="BFBFBF" w:themeFill="background1" w:themeFillShade="BF"/>
          </w:tcPr>
          <w:p w14:paraId="09B472B7" w14:textId="479D46E2" w:rsidR="00655F4B" w:rsidRPr="00A35800" w:rsidDel="00EE2BBB" w:rsidRDefault="00655F4B" w:rsidP="00A35800">
            <w:pPr>
              <w:pStyle w:val="Tableheading"/>
              <w:rPr>
                <w:sz w:val="20"/>
                <w:szCs w:val="20"/>
              </w:rPr>
            </w:pPr>
            <w:r w:rsidRPr="00A35800" w:rsidDel="00EE2BBB">
              <w:rPr>
                <w:sz w:val="20"/>
                <w:szCs w:val="20"/>
              </w:rPr>
              <w:t>Brand name and manufacturer</w:t>
            </w:r>
          </w:p>
        </w:tc>
      </w:tr>
      <w:tr w:rsidR="00655F4B" w:rsidRPr="00A35800" w:rsidDel="00EE2BBB" w14:paraId="2AF9D84B" w14:textId="0D323411" w:rsidTr="00BB4DC4">
        <w:trPr>
          <w:trHeight w:val="552"/>
          <w:tblHeader/>
        </w:trPr>
        <w:tc>
          <w:tcPr>
            <w:tcW w:w="916" w:type="dxa"/>
            <w:shd w:val="clear" w:color="auto" w:fill="auto"/>
          </w:tcPr>
          <w:p w14:paraId="0A3E3442" w14:textId="78687A15" w:rsidR="00655F4B" w:rsidRPr="00A35800" w:rsidDel="00EE2BBB" w:rsidRDefault="00655F4B" w:rsidP="00A35800">
            <w:pPr>
              <w:pStyle w:val="Tablewriting"/>
            </w:pPr>
            <w:r>
              <w:t>10912H</w:t>
            </w:r>
          </w:p>
        </w:tc>
        <w:tc>
          <w:tcPr>
            <w:tcW w:w="2765" w:type="dxa"/>
            <w:shd w:val="clear" w:color="auto" w:fill="auto"/>
          </w:tcPr>
          <w:p w14:paraId="0F676F51" w14:textId="265E990C" w:rsidR="00655F4B" w:rsidRPr="00A35800" w:rsidDel="00EE2BBB" w:rsidRDefault="00655F4B" w:rsidP="00A35800">
            <w:pPr>
              <w:pStyle w:val="Tablewriting"/>
            </w:pPr>
            <w:proofErr w:type="spellStart"/>
            <w:r>
              <w:t>Armodafinil</w:t>
            </w:r>
            <w:proofErr w:type="spellEnd"/>
            <w:r>
              <w:t>, 150</w:t>
            </w:r>
            <w:r w:rsidR="00E05A31">
              <w:t xml:space="preserve"> </w:t>
            </w:r>
            <w:r>
              <w:t>mg tablet, 30</w:t>
            </w:r>
          </w:p>
        </w:tc>
        <w:tc>
          <w:tcPr>
            <w:tcW w:w="1112" w:type="dxa"/>
            <w:shd w:val="clear" w:color="auto" w:fill="auto"/>
          </w:tcPr>
          <w:p w14:paraId="0E2637C4" w14:textId="3D15EB7B" w:rsidR="00655F4B" w:rsidRPr="00A35800" w:rsidDel="00EE2BBB" w:rsidRDefault="00655F4B" w:rsidP="00A35800">
            <w:pPr>
              <w:pStyle w:val="Tablewriting"/>
            </w:pPr>
            <w:r>
              <w:t>1</w:t>
            </w:r>
          </w:p>
        </w:tc>
        <w:tc>
          <w:tcPr>
            <w:tcW w:w="803" w:type="dxa"/>
            <w:shd w:val="clear" w:color="auto" w:fill="auto"/>
          </w:tcPr>
          <w:p w14:paraId="6B361CAA" w14:textId="694C79C2" w:rsidR="00655F4B" w:rsidRPr="00A35800" w:rsidDel="00EE2BBB" w:rsidRDefault="00655F4B" w:rsidP="00A35800">
            <w:pPr>
              <w:pStyle w:val="Tablewriting"/>
            </w:pPr>
            <w:r>
              <w:t>5</w:t>
            </w:r>
          </w:p>
        </w:tc>
        <w:tc>
          <w:tcPr>
            <w:tcW w:w="983" w:type="dxa"/>
            <w:shd w:val="clear" w:color="auto" w:fill="auto"/>
          </w:tcPr>
          <w:p w14:paraId="15F68405" w14:textId="40C297D3" w:rsidR="00655F4B" w:rsidRPr="00A35800" w:rsidDel="00EE2BBB" w:rsidRDefault="00655F4B" w:rsidP="00A35800">
            <w:pPr>
              <w:pStyle w:val="Tablewriting"/>
            </w:pPr>
            <w:r>
              <w:t>$153.58</w:t>
            </w:r>
          </w:p>
        </w:tc>
        <w:tc>
          <w:tcPr>
            <w:tcW w:w="1989" w:type="dxa"/>
            <w:shd w:val="clear" w:color="auto" w:fill="auto"/>
          </w:tcPr>
          <w:p w14:paraId="2D337AC6" w14:textId="3E682776" w:rsidR="00655F4B" w:rsidRPr="00A35800" w:rsidDel="00EE2BBB" w:rsidRDefault="00655F4B" w:rsidP="00A35800">
            <w:pPr>
              <w:pStyle w:val="Tablewriting"/>
            </w:pPr>
            <w:proofErr w:type="spellStart"/>
            <w:r>
              <w:t>Nuvigl</w:t>
            </w:r>
            <w:proofErr w:type="spellEnd"/>
          </w:p>
        </w:tc>
      </w:tr>
      <w:tr w:rsidR="00655F4B" w:rsidRPr="00A35800" w:rsidDel="00EE2BBB" w14:paraId="5A26F6DA" w14:textId="5F9D4936" w:rsidTr="00BB4DC4">
        <w:trPr>
          <w:trHeight w:val="546"/>
          <w:tblHeader/>
        </w:trPr>
        <w:tc>
          <w:tcPr>
            <w:tcW w:w="916" w:type="dxa"/>
            <w:shd w:val="clear" w:color="auto" w:fill="auto"/>
          </w:tcPr>
          <w:p w14:paraId="76F26606" w14:textId="23953929" w:rsidR="00655F4B" w:rsidRPr="00A35800" w:rsidDel="00EE2BBB" w:rsidRDefault="00655F4B" w:rsidP="00A35800">
            <w:pPr>
              <w:pStyle w:val="Tablewriting"/>
            </w:pPr>
            <w:r>
              <w:t>10919Q</w:t>
            </w:r>
          </w:p>
        </w:tc>
        <w:tc>
          <w:tcPr>
            <w:tcW w:w="2765" w:type="dxa"/>
            <w:shd w:val="clear" w:color="auto" w:fill="auto"/>
          </w:tcPr>
          <w:p w14:paraId="4C40F7E7" w14:textId="063231A7" w:rsidR="00655F4B" w:rsidRPr="00A35800" w:rsidDel="00EE2BBB" w:rsidRDefault="00655F4B" w:rsidP="00A35800">
            <w:pPr>
              <w:pStyle w:val="Tablewriting"/>
            </w:pPr>
            <w:proofErr w:type="spellStart"/>
            <w:r>
              <w:t>Armodafinil</w:t>
            </w:r>
            <w:proofErr w:type="spellEnd"/>
            <w:r>
              <w:t>, 250</w:t>
            </w:r>
            <w:r w:rsidR="00E05A31">
              <w:t xml:space="preserve"> </w:t>
            </w:r>
            <w:r>
              <w:t>mg tablet, 30</w:t>
            </w:r>
          </w:p>
        </w:tc>
        <w:tc>
          <w:tcPr>
            <w:tcW w:w="1112" w:type="dxa"/>
            <w:shd w:val="clear" w:color="auto" w:fill="auto"/>
          </w:tcPr>
          <w:p w14:paraId="73733F58" w14:textId="153B81D6" w:rsidR="00655F4B" w:rsidRPr="00A35800" w:rsidDel="00EE2BBB" w:rsidRDefault="00655F4B" w:rsidP="00A35800">
            <w:pPr>
              <w:pStyle w:val="Tablewriting"/>
            </w:pPr>
            <w:r>
              <w:t>1</w:t>
            </w:r>
          </w:p>
        </w:tc>
        <w:tc>
          <w:tcPr>
            <w:tcW w:w="803" w:type="dxa"/>
            <w:shd w:val="clear" w:color="auto" w:fill="auto"/>
          </w:tcPr>
          <w:p w14:paraId="2751F86C" w14:textId="5DF47454" w:rsidR="00655F4B" w:rsidRPr="00A35800" w:rsidDel="00EE2BBB" w:rsidRDefault="00655F4B" w:rsidP="00A35800">
            <w:pPr>
              <w:pStyle w:val="Tablewriting"/>
            </w:pPr>
            <w:r>
              <w:t>5</w:t>
            </w:r>
          </w:p>
        </w:tc>
        <w:tc>
          <w:tcPr>
            <w:tcW w:w="983" w:type="dxa"/>
            <w:shd w:val="clear" w:color="auto" w:fill="auto"/>
          </w:tcPr>
          <w:p w14:paraId="0EB41EFB" w14:textId="2FC2D450" w:rsidR="00655F4B" w:rsidRPr="00A35800" w:rsidDel="00EE2BBB" w:rsidRDefault="00655F4B" w:rsidP="00A35800">
            <w:pPr>
              <w:pStyle w:val="Tablewriting"/>
            </w:pPr>
            <w:r>
              <w:t>$250.41</w:t>
            </w:r>
          </w:p>
        </w:tc>
        <w:tc>
          <w:tcPr>
            <w:tcW w:w="1989" w:type="dxa"/>
            <w:shd w:val="clear" w:color="auto" w:fill="auto"/>
          </w:tcPr>
          <w:p w14:paraId="2F152B32" w14:textId="7FE95D9C" w:rsidR="00655F4B" w:rsidRPr="00A35800" w:rsidDel="00EE2BBB" w:rsidRDefault="00655F4B" w:rsidP="00A35800">
            <w:pPr>
              <w:pStyle w:val="Tablewriting"/>
            </w:pPr>
            <w:proofErr w:type="spellStart"/>
            <w:r>
              <w:t>Nuvigil</w:t>
            </w:r>
            <w:proofErr w:type="spellEnd"/>
          </w:p>
        </w:tc>
      </w:tr>
      <w:tr w:rsidR="00655F4B" w:rsidRPr="00A35800" w:rsidDel="00EE2BBB" w14:paraId="2D04AF45" w14:textId="77777777" w:rsidTr="00BB4DC4">
        <w:trPr>
          <w:trHeight w:val="546"/>
          <w:tblHeader/>
        </w:trPr>
        <w:tc>
          <w:tcPr>
            <w:tcW w:w="916" w:type="dxa"/>
            <w:shd w:val="clear" w:color="auto" w:fill="auto"/>
          </w:tcPr>
          <w:p w14:paraId="791E1938" w14:textId="0A49863F" w:rsidR="00655F4B" w:rsidRDefault="00655F4B" w:rsidP="00A35800">
            <w:pPr>
              <w:pStyle w:val="Tablewriting"/>
            </w:pPr>
            <w:r>
              <w:t>10922W</w:t>
            </w:r>
          </w:p>
        </w:tc>
        <w:tc>
          <w:tcPr>
            <w:tcW w:w="2765" w:type="dxa"/>
            <w:shd w:val="clear" w:color="auto" w:fill="auto"/>
          </w:tcPr>
          <w:p w14:paraId="12BA664B" w14:textId="511AFED0" w:rsidR="00655F4B" w:rsidRDefault="00655F4B" w:rsidP="00A35800">
            <w:pPr>
              <w:pStyle w:val="Tablewriting"/>
            </w:pPr>
            <w:proofErr w:type="spellStart"/>
            <w:r>
              <w:t>Armodafinil</w:t>
            </w:r>
            <w:proofErr w:type="spellEnd"/>
            <w:r>
              <w:t>, 50</w:t>
            </w:r>
            <w:r w:rsidR="00E05A31">
              <w:t xml:space="preserve"> </w:t>
            </w:r>
            <w:r>
              <w:t>mg tablet, 30</w:t>
            </w:r>
          </w:p>
        </w:tc>
        <w:tc>
          <w:tcPr>
            <w:tcW w:w="1112" w:type="dxa"/>
            <w:shd w:val="clear" w:color="auto" w:fill="auto"/>
          </w:tcPr>
          <w:p w14:paraId="13F302EC" w14:textId="791BC98C" w:rsidR="00655F4B" w:rsidRDefault="00655F4B" w:rsidP="00A35800">
            <w:pPr>
              <w:pStyle w:val="Tablewriting"/>
            </w:pPr>
            <w:r>
              <w:t>2</w:t>
            </w:r>
          </w:p>
        </w:tc>
        <w:tc>
          <w:tcPr>
            <w:tcW w:w="803" w:type="dxa"/>
            <w:shd w:val="clear" w:color="auto" w:fill="auto"/>
          </w:tcPr>
          <w:p w14:paraId="6CC3C9A2" w14:textId="74E333B1" w:rsidR="00655F4B" w:rsidRDefault="00655F4B" w:rsidP="00A35800">
            <w:pPr>
              <w:pStyle w:val="Tablewriting"/>
            </w:pPr>
            <w:r>
              <w:t>5</w:t>
            </w:r>
          </w:p>
        </w:tc>
        <w:tc>
          <w:tcPr>
            <w:tcW w:w="983" w:type="dxa"/>
            <w:shd w:val="clear" w:color="auto" w:fill="auto"/>
          </w:tcPr>
          <w:p w14:paraId="2E1B4B02" w14:textId="6ECF416F" w:rsidR="00655F4B" w:rsidRDefault="00655F4B" w:rsidP="00A35800">
            <w:pPr>
              <w:pStyle w:val="Tablewriting"/>
            </w:pPr>
            <w:r>
              <w:t>$106.17</w:t>
            </w:r>
          </w:p>
        </w:tc>
        <w:tc>
          <w:tcPr>
            <w:tcW w:w="1989" w:type="dxa"/>
            <w:shd w:val="clear" w:color="auto" w:fill="auto"/>
          </w:tcPr>
          <w:p w14:paraId="681948A4" w14:textId="17CEA59F" w:rsidR="00655F4B" w:rsidRDefault="00655F4B" w:rsidP="00A35800">
            <w:pPr>
              <w:pStyle w:val="Tablewriting"/>
            </w:pPr>
            <w:proofErr w:type="spellStart"/>
            <w:r>
              <w:t>Nuvigil</w:t>
            </w:r>
            <w:proofErr w:type="spellEnd"/>
          </w:p>
        </w:tc>
      </w:tr>
    </w:tbl>
    <w:p w14:paraId="1183F151" w14:textId="28440A06" w:rsidR="007247B9" w:rsidRPr="00A35800" w:rsidDel="00EE2BBB" w:rsidRDefault="00655F4B" w:rsidP="00BB1D3B">
      <w:pPr>
        <w:pStyle w:val="Notes"/>
      </w:pPr>
      <w:r w:rsidRPr="00155A0D">
        <w:t xml:space="preserve">Source: Department of </w:t>
      </w:r>
      <w:r w:rsidR="000D2810" w:rsidRPr="00155A0D">
        <w:t>Health</w:t>
      </w:r>
      <w:r w:rsidRPr="00155A0D">
        <w:t xml:space="preserve"> (2019), Schedule of Pha</w:t>
      </w:r>
      <w:r w:rsidR="00155A0D" w:rsidRPr="00155A0D">
        <w:t>rmaceutical Benefits.</w:t>
      </w:r>
    </w:p>
    <w:p w14:paraId="1AFA1485" w14:textId="3186A599" w:rsidR="004C3186" w:rsidDel="00EE2BBB" w:rsidRDefault="004C3186" w:rsidP="00CF5E22">
      <w:pPr>
        <w:pStyle w:val="Heading3"/>
      </w:pPr>
      <w:r w:rsidDel="00EE2BBB">
        <w:t>Restriction</w:t>
      </w:r>
    </w:p>
    <w:p w14:paraId="6305886A" w14:textId="73145CBA" w:rsidR="00DF788C" w:rsidRPr="00DF788C" w:rsidRDefault="00DF788C" w:rsidP="0037286B">
      <w:pPr>
        <w:rPr>
          <w:b/>
        </w:rPr>
      </w:pPr>
      <w:r w:rsidRPr="00DF788C">
        <w:rPr>
          <w:b/>
        </w:rPr>
        <w:t>Authority Required</w:t>
      </w:r>
    </w:p>
    <w:p w14:paraId="3055096A" w14:textId="494123C1" w:rsidR="00DF788C" w:rsidRDefault="00DF788C" w:rsidP="0037286B">
      <w:r>
        <w:t>Narcolepsy</w:t>
      </w:r>
    </w:p>
    <w:p w14:paraId="41B157A7" w14:textId="78CECB2A" w:rsidR="0037286B" w:rsidRDefault="0037286B" w:rsidP="0037286B">
      <w:r w:rsidRPr="00DF788C">
        <w:rPr>
          <w:b/>
        </w:rPr>
        <w:t>Treatment Phase:</w:t>
      </w:r>
      <w:r>
        <w:t xml:space="preserve"> Initial treatment</w:t>
      </w:r>
    </w:p>
    <w:p w14:paraId="50DCAA8D" w14:textId="77777777" w:rsidR="00DF788C" w:rsidRPr="00DF788C" w:rsidRDefault="00DF788C" w:rsidP="0037286B">
      <w:pPr>
        <w:rPr>
          <w:b/>
        </w:rPr>
      </w:pPr>
      <w:r w:rsidRPr="00DF788C">
        <w:rPr>
          <w:b/>
        </w:rPr>
        <w:t>Treatment criteria:</w:t>
      </w:r>
    </w:p>
    <w:p w14:paraId="764B1586" w14:textId="1A6C8951" w:rsidR="0037286B" w:rsidRDefault="0037286B" w:rsidP="0037286B">
      <w:r>
        <w:t>Must be treated by a qualified sleep medicine practitioner or neurologist.</w:t>
      </w:r>
    </w:p>
    <w:p w14:paraId="59A0B2BD" w14:textId="58B7300D" w:rsidR="0037286B" w:rsidRPr="00DF788C" w:rsidRDefault="0037286B" w:rsidP="0037286B">
      <w:pPr>
        <w:rPr>
          <w:b/>
        </w:rPr>
      </w:pPr>
      <w:r w:rsidRPr="00DF788C">
        <w:rPr>
          <w:b/>
        </w:rPr>
        <w:t>Clinical criteria:</w:t>
      </w:r>
    </w:p>
    <w:p w14:paraId="639191FB" w14:textId="77777777" w:rsidR="00DF788C" w:rsidRDefault="0037286B" w:rsidP="0037286B">
      <w:r>
        <w:t xml:space="preserve">The treatment must be for use when therapy with </w:t>
      </w:r>
      <w:proofErr w:type="spellStart"/>
      <w:r>
        <w:t>dexamfetamine</w:t>
      </w:r>
      <w:proofErr w:type="spellEnd"/>
      <w:r>
        <w:t xml:space="preserve"> </w:t>
      </w:r>
      <w:proofErr w:type="spellStart"/>
      <w:r>
        <w:t>sulfate</w:t>
      </w:r>
      <w:proofErr w:type="spellEnd"/>
      <w:r>
        <w:t xml:space="preserve"> poses a</w:t>
      </w:r>
      <w:r w:rsidR="00DF788C">
        <w:t>n unacceptable medical risk; OR</w:t>
      </w:r>
    </w:p>
    <w:p w14:paraId="13124FCF" w14:textId="20547823" w:rsidR="0037286B" w:rsidRDefault="0037286B" w:rsidP="0037286B">
      <w:r>
        <w:lastRenderedPageBreak/>
        <w:t xml:space="preserve">The treatment must be for use when intolerance to </w:t>
      </w:r>
      <w:proofErr w:type="spellStart"/>
      <w:r>
        <w:t>dexamfetamine</w:t>
      </w:r>
      <w:proofErr w:type="spellEnd"/>
      <w:r>
        <w:t xml:space="preserve"> </w:t>
      </w:r>
      <w:proofErr w:type="spellStart"/>
      <w:r>
        <w:t>sulfate</w:t>
      </w:r>
      <w:proofErr w:type="spellEnd"/>
      <w:r>
        <w:t xml:space="preserve"> is of a severity to necessitate treatment withdrawal,</w:t>
      </w:r>
    </w:p>
    <w:p w14:paraId="65D25F1B" w14:textId="77777777" w:rsidR="00DF788C" w:rsidRDefault="0037286B" w:rsidP="0037286B">
      <w:r>
        <w:t>AND</w:t>
      </w:r>
    </w:p>
    <w:p w14:paraId="23E9854D" w14:textId="3B812E1A" w:rsidR="0037286B" w:rsidRDefault="0037286B" w:rsidP="0037286B">
      <w:r>
        <w:t>Patient must have experienced excessive daytime sleepiness, recurrent naps or lapses into sleep occurring almost daily for at least 3 months,</w:t>
      </w:r>
    </w:p>
    <w:p w14:paraId="60F79E46" w14:textId="5C5D640F" w:rsidR="0037286B" w:rsidRDefault="0037286B" w:rsidP="0037286B">
      <w:r>
        <w:t>AND</w:t>
      </w:r>
    </w:p>
    <w:p w14:paraId="418663F5" w14:textId="1D198349" w:rsidR="0037286B" w:rsidRDefault="0037286B" w:rsidP="0037286B">
      <w:r>
        <w:t>Patient must have a definite history of cataplexy; OR</w:t>
      </w:r>
    </w:p>
    <w:p w14:paraId="5DEFBDBA" w14:textId="28548532" w:rsidR="0037286B" w:rsidRDefault="0037286B" w:rsidP="0037286B">
      <w:r>
        <w:t>Patient must have a mean sleep latency less than or equal to 10 minutes on a Multiple Sleep Latency Test (MSLT); OR</w:t>
      </w:r>
    </w:p>
    <w:p w14:paraId="47EB5EC3" w14:textId="5AD4E183" w:rsidR="0037286B" w:rsidRDefault="0037286B" w:rsidP="0037286B">
      <w:r>
        <w:t>Patient must have an electroencephalographic (EEG) recording showing the pathologically rapid development of REM sleep,</w:t>
      </w:r>
    </w:p>
    <w:p w14:paraId="19001DD9" w14:textId="32A5503D" w:rsidR="0037286B" w:rsidRDefault="0037286B" w:rsidP="0037286B">
      <w:r>
        <w:t>AND</w:t>
      </w:r>
    </w:p>
    <w:p w14:paraId="0B8677AB" w14:textId="2688B3C0" w:rsidR="0037286B" w:rsidRDefault="0037286B" w:rsidP="0037286B">
      <w:r>
        <w:t>Patient must not have any medical or psychiatric disorder that could otherwise account for the hypersomnia.</w:t>
      </w:r>
    </w:p>
    <w:p w14:paraId="4A47164F" w14:textId="567A1306" w:rsidR="0037286B" w:rsidRDefault="0037286B" w:rsidP="0037286B">
      <w:r>
        <w:t xml:space="preserve">The presence of any one of the following indicates treatment with </w:t>
      </w:r>
      <w:proofErr w:type="spellStart"/>
      <w:r>
        <w:t>dexamfetamine</w:t>
      </w:r>
      <w:proofErr w:type="spellEnd"/>
      <w:r>
        <w:t xml:space="preserve"> </w:t>
      </w:r>
      <w:proofErr w:type="spellStart"/>
      <w:r>
        <w:t>sulfate</w:t>
      </w:r>
      <w:proofErr w:type="spellEnd"/>
      <w:r>
        <w:t xml:space="preserve"> pose</w:t>
      </w:r>
      <w:r w:rsidR="00DF788C">
        <w:t>s an unacceptable medical risk:</w:t>
      </w:r>
    </w:p>
    <w:p w14:paraId="5295A955" w14:textId="30ACCBE2" w:rsidR="0037286B" w:rsidRDefault="00DF788C" w:rsidP="0037286B">
      <w:r>
        <w:t xml:space="preserve">(a) </w:t>
      </w:r>
      <w:proofErr w:type="gramStart"/>
      <w:r>
        <w:t>a</w:t>
      </w:r>
      <w:proofErr w:type="gramEnd"/>
      <w:r>
        <w:t xml:space="preserve"> psychiatric disorder;</w:t>
      </w:r>
    </w:p>
    <w:p w14:paraId="2D3225AE" w14:textId="254D1860" w:rsidR="0037286B" w:rsidRDefault="00DF788C" w:rsidP="0037286B">
      <w:r>
        <w:t xml:space="preserve">(b) </w:t>
      </w:r>
      <w:proofErr w:type="gramStart"/>
      <w:r>
        <w:t>a</w:t>
      </w:r>
      <w:proofErr w:type="gramEnd"/>
      <w:r>
        <w:t xml:space="preserve"> cardiovascular disorder;</w:t>
      </w:r>
    </w:p>
    <w:p w14:paraId="59286BE4" w14:textId="4366AEF7" w:rsidR="0037286B" w:rsidRDefault="0037286B" w:rsidP="0037286B">
      <w:r>
        <w:t xml:space="preserve">(c) </w:t>
      </w:r>
      <w:proofErr w:type="gramStart"/>
      <w:r>
        <w:t>a</w:t>
      </w:r>
      <w:proofErr w:type="gramEnd"/>
      <w:r>
        <w:t xml:space="preserve"> history of substance </w:t>
      </w:r>
      <w:r w:rsidR="00DF788C">
        <w:t>abuse;</w:t>
      </w:r>
    </w:p>
    <w:p w14:paraId="2179F536" w14:textId="1BA1CB48" w:rsidR="0037286B" w:rsidRDefault="00DF788C" w:rsidP="0037286B">
      <w:r>
        <w:t xml:space="preserve">(d) </w:t>
      </w:r>
      <w:proofErr w:type="gramStart"/>
      <w:r>
        <w:t>glaucoma</w:t>
      </w:r>
      <w:proofErr w:type="gramEnd"/>
      <w:r>
        <w:t>;</w:t>
      </w:r>
    </w:p>
    <w:p w14:paraId="2722F238" w14:textId="2FC4FEC6" w:rsidR="0037286B" w:rsidRDefault="0037286B" w:rsidP="0037286B">
      <w:r>
        <w:t xml:space="preserve">(e) </w:t>
      </w:r>
      <w:proofErr w:type="gramStart"/>
      <w:r>
        <w:t>any</w:t>
      </w:r>
      <w:proofErr w:type="gramEnd"/>
      <w:r>
        <w:t xml:space="preserve"> other absolute contraindication to </w:t>
      </w:r>
      <w:proofErr w:type="spellStart"/>
      <w:r>
        <w:t>dexamfetamine</w:t>
      </w:r>
      <w:proofErr w:type="spellEnd"/>
      <w:r>
        <w:t xml:space="preserve"> </w:t>
      </w:r>
      <w:proofErr w:type="spellStart"/>
      <w:r>
        <w:t>sulfate</w:t>
      </w:r>
      <w:proofErr w:type="spellEnd"/>
      <w:r>
        <w:t xml:space="preserve"> as specified in the TG</w:t>
      </w:r>
      <w:r w:rsidR="00DF788C">
        <w:t>A-approved Product Information.</w:t>
      </w:r>
    </w:p>
    <w:p w14:paraId="6CC6C74D" w14:textId="15888B29" w:rsidR="00155A0D" w:rsidRPr="009B7491" w:rsidRDefault="0037286B" w:rsidP="0037286B">
      <w:r>
        <w:t>The MSLT must be preceded by nocturnal polysomnography. Sleep prior to the MSLT must be at least 6 hours in durat</w:t>
      </w:r>
      <w:r w:rsidR="00DF788C">
        <w:t>ion.</w:t>
      </w:r>
    </w:p>
    <w:p w14:paraId="3D307C12" w14:textId="6E5FD04B" w:rsidR="0037286B" w:rsidRDefault="0037286B" w:rsidP="0037286B">
      <w:r w:rsidRPr="00DF788C">
        <w:rPr>
          <w:b/>
        </w:rPr>
        <w:t>Treatment Phase:</w:t>
      </w:r>
      <w:r w:rsidR="004D7A4B">
        <w:t xml:space="preserve"> Continuing treatment</w:t>
      </w:r>
    </w:p>
    <w:p w14:paraId="1782E5CB" w14:textId="6044B58F" w:rsidR="0037286B" w:rsidRPr="004D7A4B" w:rsidRDefault="004D7A4B" w:rsidP="0037286B">
      <w:pPr>
        <w:rPr>
          <w:b/>
        </w:rPr>
      </w:pPr>
      <w:r>
        <w:rPr>
          <w:b/>
        </w:rPr>
        <w:t>Clinical criteria:</w:t>
      </w:r>
    </w:p>
    <w:p w14:paraId="61D16A9A" w14:textId="77777777" w:rsidR="00155A0D" w:rsidRDefault="0037286B" w:rsidP="0037286B">
      <w:r>
        <w:t>Patient must have previously received PBS-subsidised treatment with this drug for this condition.</w:t>
      </w:r>
    </w:p>
    <w:p w14:paraId="22433632" w14:textId="4C1116B1" w:rsidR="006775F1" w:rsidRDefault="006775F1" w:rsidP="0037286B">
      <w:pPr>
        <w:rPr>
          <w:rStyle w:val="Hyperlink"/>
        </w:rPr>
      </w:pPr>
      <w:r w:rsidRPr="006775F1" w:rsidDel="00EE2BBB">
        <w:t xml:space="preserve">For </w:t>
      </w:r>
      <w:r w:rsidR="00835337" w:rsidDel="00EE2BBB">
        <w:t xml:space="preserve">details of the current PBS listing refer to the </w:t>
      </w:r>
      <w:hyperlink r:id="rId8" w:history="1">
        <w:r w:rsidR="00835337" w:rsidRPr="00645D51" w:rsidDel="00EE2BBB">
          <w:rPr>
            <w:rStyle w:val="Hyperlink"/>
          </w:rPr>
          <w:t>PBS website</w:t>
        </w:r>
      </w:hyperlink>
      <w:r w:rsidR="00835337" w:rsidDel="00EE2BBB">
        <w:rPr>
          <w:rStyle w:val="Hyperlink"/>
        </w:rPr>
        <w:t>.</w:t>
      </w:r>
    </w:p>
    <w:p w14:paraId="46A0676E" w14:textId="77777777" w:rsidR="00155A0D" w:rsidRPr="006775F1" w:rsidDel="00EE2BBB" w:rsidRDefault="00155A0D" w:rsidP="0037286B"/>
    <w:p w14:paraId="735B5362" w14:textId="6C5A930B" w:rsidR="004D7A4B" w:rsidRPr="009B7491" w:rsidRDefault="009B7491" w:rsidP="009B7491">
      <w:pPr>
        <w:spacing w:line="276" w:lineRule="auto"/>
        <w:rPr>
          <w:b/>
          <w:sz w:val="28"/>
        </w:rPr>
      </w:pPr>
      <w:r>
        <w:br w:type="page"/>
      </w:r>
    </w:p>
    <w:p w14:paraId="383E312E" w14:textId="398B960B" w:rsidR="00736041" w:rsidRPr="00BD7518" w:rsidRDefault="00394AEE" w:rsidP="00BD7518">
      <w:pPr>
        <w:pStyle w:val="Heading2"/>
      </w:pPr>
      <w:r w:rsidRPr="00BD7518">
        <w:lastRenderedPageBreak/>
        <w:t>Relevant aspects of</w:t>
      </w:r>
      <w:r w:rsidR="00736041" w:rsidRPr="00BD7518">
        <w:t xml:space="preserve"> consideration</w:t>
      </w:r>
      <w:r w:rsidRPr="00BD7518">
        <w:t xml:space="preserve"> by the Pharmaceutical Benefits Advisory Committee (PBAC)</w:t>
      </w:r>
    </w:p>
    <w:p w14:paraId="1F28DACA" w14:textId="58B19EE7" w:rsidR="00EE498D" w:rsidRPr="00EE498D" w:rsidRDefault="00EE498D" w:rsidP="00BD7518">
      <w:pPr>
        <w:pStyle w:val="Heading3"/>
      </w:pPr>
      <w:r w:rsidRPr="00EE498D">
        <w:t>Major submission</w:t>
      </w:r>
      <w:r w:rsidR="009C1658">
        <w:t xml:space="preserve"> for </w:t>
      </w:r>
      <w:proofErr w:type="spellStart"/>
      <w:r w:rsidR="009C1658">
        <w:t>armodafinil</w:t>
      </w:r>
      <w:proofErr w:type="spellEnd"/>
      <w:r w:rsidR="009C1658">
        <w:t>-</w:t>
      </w:r>
      <w:r w:rsidRPr="00EE498D">
        <w:t xml:space="preserve"> November 2015</w:t>
      </w:r>
    </w:p>
    <w:p w14:paraId="0EB23774" w14:textId="1AE6DE43" w:rsidR="00D54CCD" w:rsidRDefault="0097117D" w:rsidP="00BD7518">
      <w:r w:rsidRPr="0097117D">
        <w:t>A submissio</w:t>
      </w:r>
      <w:r>
        <w:t xml:space="preserve">n for </w:t>
      </w:r>
      <w:proofErr w:type="spellStart"/>
      <w:r>
        <w:t>armodafinil</w:t>
      </w:r>
      <w:proofErr w:type="spellEnd"/>
      <w:r>
        <w:t xml:space="preserve"> was initially</w:t>
      </w:r>
      <w:r w:rsidRPr="0097117D">
        <w:t xml:space="preserve"> considered and rejected by the PBA</w:t>
      </w:r>
      <w:r>
        <w:t>C at its November 2015 meeting.</w:t>
      </w:r>
      <w:r w:rsidR="00D54CCD">
        <w:t xml:space="preserve"> The </w:t>
      </w:r>
      <w:r w:rsidR="00D54CCD" w:rsidRPr="00D54CCD">
        <w:t xml:space="preserve">submission nominated </w:t>
      </w:r>
      <w:proofErr w:type="spellStart"/>
      <w:r w:rsidR="00D54CCD" w:rsidRPr="00D54CCD">
        <w:t>modafinil</w:t>
      </w:r>
      <w:proofErr w:type="spellEnd"/>
      <w:r w:rsidR="00D54CCD" w:rsidRPr="00D54CCD">
        <w:t xml:space="preserve"> as the</w:t>
      </w:r>
      <w:r w:rsidR="00D54CCD">
        <w:t xml:space="preserve"> comparator and the </w:t>
      </w:r>
      <w:r w:rsidR="00753879">
        <w:t xml:space="preserve">PBAC agreed that </w:t>
      </w:r>
      <w:proofErr w:type="spellStart"/>
      <w:r w:rsidR="00753879">
        <w:t>modafinil</w:t>
      </w:r>
      <w:proofErr w:type="spellEnd"/>
      <w:r w:rsidR="00753879">
        <w:t xml:space="preserve"> was appropriate</w:t>
      </w:r>
      <w:r w:rsidR="00D54CCD" w:rsidRPr="00D54CCD">
        <w:t xml:space="preserve">, but considered that a comparison against the split dose regimen </w:t>
      </w:r>
      <w:r w:rsidR="00D54CCD">
        <w:t xml:space="preserve">of </w:t>
      </w:r>
      <w:proofErr w:type="spellStart"/>
      <w:r w:rsidR="00D54CCD">
        <w:t>modafinil</w:t>
      </w:r>
      <w:proofErr w:type="spellEnd"/>
      <w:r w:rsidR="00D54CCD">
        <w:t xml:space="preserve"> was also relevant.</w:t>
      </w:r>
      <w:r w:rsidR="00D468DF">
        <w:t xml:space="preserve"> The PBAC </w:t>
      </w:r>
      <w:r w:rsidR="00155A0D">
        <w:t>noted</w:t>
      </w:r>
      <w:r w:rsidR="00D468DF">
        <w:t xml:space="preserve"> that there was no apparent unmet clinical need for </w:t>
      </w:r>
      <w:proofErr w:type="spellStart"/>
      <w:r w:rsidR="00D468DF">
        <w:t>armodafinil</w:t>
      </w:r>
      <w:proofErr w:type="spellEnd"/>
      <w:r w:rsidR="00D468DF">
        <w:t>.</w:t>
      </w:r>
      <w:bookmarkStart w:id="4" w:name="_Ref7601120"/>
      <w:r w:rsidR="00753879">
        <w:rPr>
          <w:rStyle w:val="FootnoteReference"/>
          <w:b/>
        </w:rPr>
        <w:footnoteReference w:id="5"/>
      </w:r>
      <w:bookmarkEnd w:id="4"/>
    </w:p>
    <w:p w14:paraId="5036598A" w14:textId="1BDF5ABC" w:rsidR="006A5458" w:rsidRDefault="00753879" w:rsidP="00BD7518">
      <w:r>
        <w:t>This</w:t>
      </w:r>
      <w:r w:rsidR="00D54CCD">
        <w:t xml:space="preserve"> </w:t>
      </w:r>
      <w:r w:rsidR="00D54CCD" w:rsidRPr="00D54CCD">
        <w:t xml:space="preserve">submission estimated the </w:t>
      </w:r>
      <w:proofErr w:type="spellStart"/>
      <w:r w:rsidR="00D54CCD" w:rsidRPr="00D54CCD">
        <w:t>equi</w:t>
      </w:r>
      <w:proofErr w:type="spellEnd"/>
      <w:r w:rsidR="00D54CCD" w:rsidRPr="00D54CCD">
        <w:t xml:space="preserve">-effective doses as </w:t>
      </w:r>
      <w:proofErr w:type="spellStart"/>
      <w:r w:rsidR="00D54CCD" w:rsidRPr="00D54CCD">
        <w:t>armodafinil</w:t>
      </w:r>
      <w:proofErr w:type="spellEnd"/>
      <w:r w:rsidR="00D54CCD" w:rsidRPr="00D54CCD">
        <w:t xml:space="preserve"> </w:t>
      </w:r>
      <w:proofErr w:type="spellStart"/>
      <w:r w:rsidR="00A4568F">
        <w:rPr>
          <w:highlight w:val="black"/>
        </w:rPr>
        <w:t>xxxxxx</w:t>
      </w:r>
      <w:proofErr w:type="spellEnd"/>
      <w:r w:rsidR="00D54CCD" w:rsidRPr="00D54CCD">
        <w:t xml:space="preserve"> mg and </w:t>
      </w:r>
      <w:proofErr w:type="spellStart"/>
      <w:r w:rsidR="00D54CCD" w:rsidRPr="00D54CCD">
        <w:t>modafinil</w:t>
      </w:r>
      <w:proofErr w:type="spellEnd"/>
      <w:r w:rsidR="00D54CCD" w:rsidRPr="00D54CCD">
        <w:t xml:space="preserve"> </w:t>
      </w:r>
      <w:proofErr w:type="spellStart"/>
      <w:r w:rsidR="00A4568F">
        <w:rPr>
          <w:highlight w:val="black"/>
        </w:rPr>
        <w:t>xxxxxx</w:t>
      </w:r>
      <w:proofErr w:type="spellEnd"/>
      <w:r w:rsidR="00D54CCD" w:rsidRPr="00D54CCD">
        <w:t xml:space="preserve"> mg, and a dose relativity of</w:t>
      </w:r>
      <w:r w:rsidR="006A5458">
        <w:t xml:space="preserve"> </w:t>
      </w:r>
      <w:r w:rsidR="00A4568F" w:rsidRPr="00A4568F">
        <w:rPr>
          <w:highlight w:val="black"/>
        </w:rPr>
        <w:t>xxx</w:t>
      </w:r>
      <w:r w:rsidR="006A5458">
        <w:t xml:space="preserve"> (</w:t>
      </w:r>
      <w:proofErr w:type="spellStart"/>
      <w:r w:rsidR="006A5458">
        <w:t>armodafinil</w:t>
      </w:r>
      <w:proofErr w:type="spellEnd"/>
      <w:r w:rsidR="006A5458">
        <w:t xml:space="preserve"> vs </w:t>
      </w:r>
      <w:proofErr w:type="spellStart"/>
      <w:r w:rsidR="006A5458">
        <w:t>modafinil</w:t>
      </w:r>
      <w:proofErr w:type="spellEnd"/>
      <w:r w:rsidR="006A5458">
        <w:t xml:space="preserve">) based on mean doses used in five single arm studies. The PBAC considered that the basis for calculating the </w:t>
      </w:r>
      <w:proofErr w:type="spellStart"/>
      <w:r w:rsidR="006A5458">
        <w:t>equi</w:t>
      </w:r>
      <w:proofErr w:type="spellEnd"/>
      <w:r w:rsidR="006A5458">
        <w:t>-effective dose</w:t>
      </w:r>
      <w:r w:rsidR="00D468DF">
        <w:t xml:space="preserve">s was unreliable and that the </w:t>
      </w:r>
      <w:proofErr w:type="spellStart"/>
      <w:r w:rsidR="00D468DF">
        <w:t>eq</w:t>
      </w:r>
      <w:r w:rsidR="001F1531">
        <w:t>u</w:t>
      </w:r>
      <w:r w:rsidR="006A5458">
        <w:t>i</w:t>
      </w:r>
      <w:proofErr w:type="spellEnd"/>
      <w:r w:rsidR="006A5458">
        <w:t>-effective dose had not been adequately</w:t>
      </w:r>
      <w:r w:rsidR="00D468DF">
        <w:t xml:space="preserve"> established in the submission.</w:t>
      </w:r>
      <w:r w:rsidR="00E84249" w:rsidRPr="00E84249">
        <w:fldChar w:fldCharType="begin"/>
      </w:r>
      <w:r w:rsidR="00E84249" w:rsidRPr="00E84249">
        <w:instrText xml:space="preserve"> NOTEREF _Ref7601120 \f \h  \* MERGEFORMAT </w:instrText>
      </w:r>
      <w:r w:rsidR="00E84249" w:rsidRPr="00E84249">
        <w:fldChar w:fldCharType="separate"/>
      </w:r>
      <w:r w:rsidR="0095368A" w:rsidRPr="0095368A">
        <w:rPr>
          <w:rStyle w:val="FootnoteReference"/>
          <w:b/>
        </w:rPr>
        <w:t>5</w:t>
      </w:r>
      <w:r w:rsidR="00E84249" w:rsidRPr="00E84249">
        <w:fldChar w:fldCharType="end"/>
      </w:r>
      <w:r w:rsidR="00E84249" w:rsidRPr="00E84249">
        <w:t xml:space="preserve"> </w:t>
      </w:r>
    </w:p>
    <w:p w14:paraId="0E9037AA" w14:textId="1FF75FB4" w:rsidR="00D468DF" w:rsidRPr="00D468DF" w:rsidRDefault="006E3A95" w:rsidP="00BD7518">
      <w:r>
        <w:t>The PBAC noted that the submission estimate</w:t>
      </w:r>
      <w:r w:rsidR="00EE498D">
        <w:t>d</w:t>
      </w:r>
      <w:r>
        <w:t xml:space="preserve"> a net cost to the PBS from the listing of </w:t>
      </w:r>
      <w:proofErr w:type="spellStart"/>
      <w:r>
        <w:t>armodafinil</w:t>
      </w:r>
      <w:proofErr w:type="spellEnd"/>
      <w:r>
        <w:t xml:space="preserve">. Considering the submission’s claim of non-inferiority of </w:t>
      </w:r>
      <w:proofErr w:type="spellStart"/>
      <w:r>
        <w:t>armodafinil</w:t>
      </w:r>
      <w:proofErr w:type="spellEnd"/>
      <w:r>
        <w:t xml:space="preserve"> to </w:t>
      </w:r>
      <w:proofErr w:type="spellStart"/>
      <w:r>
        <w:t>modafinil</w:t>
      </w:r>
      <w:proofErr w:type="spellEnd"/>
      <w:r>
        <w:t xml:space="preserve"> a</w:t>
      </w:r>
      <w:r w:rsidR="00EE498D">
        <w:t>nd the cost minimisation approach</w:t>
      </w:r>
      <w:r>
        <w:t xml:space="preserve"> taken, the PBAC considered that the listing of </w:t>
      </w:r>
      <w:proofErr w:type="spellStart"/>
      <w:r>
        <w:t>armo</w:t>
      </w:r>
      <w:r w:rsidR="00EE498D">
        <w:t>daf</w:t>
      </w:r>
      <w:r w:rsidR="00E508C4">
        <w:t>inil</w:t>
      </w:r>
      <w:proofErr w:type="spellEnd"/>
      <w:r w:rsidR="00E508C4">
        <w:t xml:space="preserve"> should be cost neutral.</w:t>
      </w:r>
      <w:r w:rsidR="00E508C4">
        <w:fldChar w:fldCharType="begin"/>
      </w:r>
      <w:r w:rsidR="00E508C4">
        <w:instrText xml:space="preserve"> NOTEREF _Ref7601120 \f \h </w:instrText>
      </w:r>
      <w:r w:rsidR="00BD7518">
        <w:instrText xml:space="preserve"> \* MERGEFORMAT </w:instrText>
      </w:r>
      <w:r w:rsidR="00E508C4">
        <w:fldChar w:fldCharType="separate"/>
      </w:r>
      <w:r w:rsidR="0095368A" w:rsidRPr="0095368A">
        <w:rPr>
          <w:rStyle w:val="FootnoteReference"/>
        </w:rPr>
        <w:t>5</w:t>
      </w:r>
      <w:r w:rsidR="00E508C4">
        <w:fldChar w:fldCharType="end"/>
      </w:r>
    </w:p>
    <w:p w14:paraId="1F1FBD37" w14:textId="2236B852" w:rsidR="00D54CCD" w:rsidRDefault="00D54CCD" w:rsidP="00BD7518">
      <w:r>
        <w:t>T</w:t>
      </w:r>
      <w:r w:rsidRPr="00D54CCD">
        <w:t xml:space="preserve">he sponsor indicated it would offer </w:t>
      </w:r>
      <w:proofErr w:type="gramStart"/>
      <w:r w:rsidRPr="00F50F84">
        <w:t>a</w:t>
      </w:r>
      <w:proofErr w:type="gramEnd"/>
      <w:r w:rsidRPr="00F50F84">
        <w:t xml:space="preserve"> </w:t>
      </w:r>
      <w:r w:rsidR="00A4568F">
        <w:rPr>
          <w:highlight w:val="black"/>
        </w:rPr>
        <w:t>xx</w:t>
      </w:r>
      <w:r w:rsidRPr="00F50F84">
        <w:t>% price</w:t>
      </w:r>
      <w:r w:rsidRPr="00D54CCD">
        <w:t xml:space="preserve"> reduction upon the listing of the first generic version of modafinil.</w:t>
      </w:r>
      <w:r w:rsidR="00E508C4" w:rsidRPr="00E84249">
        <w:fldChar w:fldCharType="begin"/>
      </w:r>
      <w:r w:rsidR="00E508C4" w:rsidRPr="00E84249">
        <w:instrText xml:space="preserve"> NOTEREF _Ref7601120 \f \h </w:instrText>
      </w:r>
      <w:r w:rsidR="00E84249" w:rsidRPr="00E84249">
        <w:instrText xml:space="preserve"> \* MERGEFORMAT </w:instrText>
      </w:r>
      <w:r w:rsidR="00E508C4" w:rsidRPr="00E84249">
        <w:fldChar w:fldCharType="separate"/>
      </w:r>
      <w:r w:rsidR="0095368A" w:rsidRPr="0095368A">
        <w:rPr>
          <w:rStyle w:val="FootnoteReference"/>
          <w:b/>
        </w:rPr>
        <w:t>5</w:t>
      </w:r>
      <w:r w:rsidR="00E508C4" w:rsidRPr="00E84249">
        <w:fldChar w:fldCharType="end"/>
      </w:r>
    </w:p>
    <w:p w14:paraId="21512258" w14:textId="5BB1C88C" w:rsidR="00EE498D" w:rsidRPr="00EE498D" w:rsidRDefault="00EE498D" w:rsidP="00BD7518">
      <w:pPr>
        <w:pStyle w:val="Heading3"/>
      </w:pPr>
      <w:r>
        <w:t>Minor resubmission</w:t>
      </w:r>
      <w:r w:rsidR="009C1658">
        <w:t xml:space="preserve"> for </w:t>
      </w:r>
      <w:proofErr w:type="spellStart"/>
      <w:r w:rsidR="009C1658">
        <w:t>armodafinil</w:t>
      </w:r>
      <w:proofErr w:type="spellEnd"/>
      <w:r w:rsidR="009C1658">
        <w:t>-</w:t>
      </w:r>
      <w:r>
        <w:t>March 2016</w:t>
      </w:r>
    </w:p>
    <w:p w14:paraId="45EFCFE2" w14:textId="5F97E4EE" w:rsidR="00EE498D" w:rsidRDefault="0089500A" w:rsidP="00BD7518">
      <w:r>
        <w:t xml:space="preserve">A resubmission for </w:t>
      </w:r>
      <w:proofErr w:type="spellStart"/>
      <w:r>
        <w:t>armodafinil</w:t>
      </w:r>
      <w:proofErr w:type="spellEnd"/>
      <w:r>
        <w:t xml:space="preserve"> in </w:t>
      </w:r>
      <w:r w:rsidR="00FD0532">
        <w:t>narcolepsy</w:t>
      </w:r>
      <w:r>
        <w:t xml:space="preserve"> was considered by PBAC at its March 2016 meeting. </w:t>
      </w:r>
      <w:r w:rsidR="006E3A95">
        <w:t xml:space="preserve">The resubmission presented data describing the </w:t>
      </w:r>
      <w:r w:rsidRPr="0089500A">
        <w:t xml:space="preserve">differences between </w:t>
      </w:r>
      <w:proofErr w:type="spellStart"/>
      <w:r w:rsidRPr="0089500A">
        <w:t>armodafini</w:t>
      </w:r>
      <w:r w:rsidR="006E3A95">
        <w:t>l</w:t>
      </w:r>
      <w:proofErr w:type="spellEnd"/>
      <w:r w:rsidR="006E3A95">
        <w:t xml:space="preserve"> and </w:t>
      </w:r>
      <w:proofErr w:type="spellStart"/>
      <w:r w:rsidR="006E3A95">
        <w:t>modafinil</w:t>
      </w:r>
      <w:proofErr w:type="spellEnd"/>
      <w:r w:rsidR="006E3A95">
        <w:t xml:space="preserve"> (Table 2</w:t>
      </w:r>
      <w:r w:rsidRPr="0089500A">
        <w:t>). The resubmission pro</w:t>
      </w:r>
      <w:r w:rsidR="002C26DA">
        <w:t>posed that these differences were</w:t>
      </w:r>
      <w:r w:rsidRPr="0089500A">
        <w:t xml:space="preserve"> substantive enough to have a clinical impact and that patients not responding to one drug may respond to the other therapy</w:t>
      </w:r>
      <w:r w:rsidR="00F50F84">
        <w:t>.</w:t>
      </w:r>
      <w:bookmarkStart w:id="5" w:name="_Ref7601156"/>
      <w:r w:rsidR="008A0A50">
        <w:rPr>
          <w:rStyle w:val="FootnoteReference"/>
          <w:b/>
        </w:rPr>
        <w:footnoteReference w:id="6"/>
      </w:r>
      <w:bookmarkEnd w:id="5"/>
    </w:p>
    <w:p w14:paraId="3DBE56D1" w14:textId="11AFC94A" w:rsidR="0097117D" w:rsidRPr="00EE498D" w:rsidRDefault="00EE498D" w:rsidP="00EE498D">
      <w:pPr>
        <w:spacing w:line="276" w:lineRule="auto"/>
      </w:pPr>
      <w:r>
        <w:rPr>
          <w:b/>
        </w:rPr>
        <w:br w:type="page"/>
      </w:r>
    </w:p>
    <w:p w14:paraId="19323DE4" w14:textId="5A3556AD" w:rsidR="00D54CCD" w:rsidRPr="00834E9B" w:rsidRDefault="00834E9B" w:rsidP="00BC4055">
      <w:pPr>
        <w:pStyle w:val="Tabletitle"/>
        <w:spacing w:before="200"/>
      </w:pPr>
      <w:r>
        <w:lastRenderedPageBreak/>
        <w:t>Table 2</w:t>
      </w:r>
      <w:r w:rsidRPr="001420B3" w:rsidDel="00EE2BBB">
        <w:t xml:space="preserve">: </w:t>
      </w:r>
      <w:r>
        <w:t>Comparison</w:t>
      </w:r>
      <w:r w:rsidDel="00EE2BBB">
        <w:t xml:space="preserve"> of</w:t>
      </w:r>
      <w:r>
        <w:t xml:space="preserve"> key properties of </w:t>
      </w:r>
      <w:proofErr w:type="spellStart"/>
      <w:r>
        <w:t>armodafinil</w:t>
      </w:r>
      <w:proofErr w:type="spellEnd"/>
      <w:r>
        <w:t xml:space="preserve"> and </w:t>
      </w:r>
      <w:proofErr w:type="spellStart"/>
      <w:r>
        <w:t>modafinil</w:t>
      </w:r>
      <w:proofErr w:type="spellEnd"/>
    </w:p>
    <w:tbl>
      <w:tblPr>
        <w:tblStyle w:val="TableGrid1"/>
        <w:tblW w:w="8809" w:type="dxa"/>
        <w:tblInd w:w="-5" w:type="dxa"/>
        <w:tblLook w:val="04A0" w:firstRow="1" w:lastRow="0" w:firstColumn="1" w:lastColumn="0" w:noHBand="0" w:noVBand="1"/>
        <w:tblCaption w:val="Comparison of key properties of armodafinil and modafinil"/>
        <w:tblDescription w:val="The resubmission presented data describing the differences between armodafinil and modafinil. The differences have been outlined in Table 2.  "/>
      </w:tblPr>
      <w:tblGrid>
        <w:gridCol w:w="2236"/>
        <w:gridCol w:w="2794"/>
        <w:gridCol w:w="3779"/>
      </w:tblGrid>
      <w:tr w:rsidR="00D54CCD" w:rsidRPr="00D54CCD" w14:paraId="5A3BF8AD" w14:textId="77777777" w:rsidTr="001F24BB">
        <w:trPr>
          <w:trHeight w:val="324"/>
          <w:tblHeader/>
        </w:trPr>
        <w:tc>
          <w:tcPr>
            <w:tcW w:w="2236" w:type="dxa"/>
            <w:shd w:val="clear" w:color="auto" w:fill="BFBFBF"/>
          </w:tcPr>
          <w:p w14:paraId="377D164A" w14:textId="77777777" w:rsidR="00D54CCD" w:rsidRPr="00D54CCD" w:rsidRDefault="00D54CCD" w:rsidP="00861A4D">
            <w:pPr>
              <w:spacing w:before="40" w:after="40"/>
              <w:jc w:val="left"/>
              <w:rPr>
                <w:rFonts w:ascii="Arial Narrow" w:hAnsi="Arial Narrow"/>
                <w:color w:val="000000"/>
                <w:sz w:val="20"/>
                <w:szCs w:val="20"/>
              </w:rPr>
            </w:pPr>
          </w:p>
        </w:tc>
        <w:tc>
          <w:tcPr>
            <w:tcW w:w="2794" w:type="dxa"/>
            <w:shd w:val="clear" w:color="auto" w:fill="BFBFBF"/>
          </w:tcPr>
          <w:p w14:paraId="54CCF324" w14:textId="77777777" w:rsidR="00D54CCD" w:rsidRPr="00834E9B" w:rsidRDefault="00D54CCD" w:rsidP="00861A4D">
            <w:pPr>
              <w:spacing w:before="40" w:after="40"/>
              <w:jc w:val="left"/>
              <w:rPr>
                <w:rFonts w:asciiTheme="minorHAnsi" w:hAnsiTheme="minorHAnsi" w:cstheme="minorHAnsi"/>
                <w:b/>
                <w:color w:val="000000"/>
                <w:sz w:val="20"/>
                <w:szCs w:val="20"/>
              </w:rPr>
            </w:pPr>
            <w:proofErr w:type="spellStart"/>
            <w:r w:rsidRPr="00834E9B">
              <w:rPr>
                <w:rFonts w:asciiTheme="minorHAnsi" w:hAnsiTheme="minorHAnsi" w:cstheme="minorHAnsi"/>
                <w:b/>
                <w:color w:val="000000"/>
                <w:sz w:val="20"/>
                <w:szCs w:val="20"/>
              </w:rPr>
              <w:t>Armodafinil</w:t>
            </w:r>
            <w:proofErr w:type="spellEnd"/>
          </w:p>
        </w:tc>
        <w:tc>
          <w:tcPr>
            <w:tcW w:w="3779" w:type="dxa"/>
            <w:shd w:val="clear" w:color="auto" w:fill="BFBFBF"/>
          </w:tcPr>
          <w:p w14:paraId="5598993F" w14:textId="77777777" w:rsidR="00D54CCD" w:rsidRPr="00834E9B" w:rsidRDefault="00D54CCD" w:rsidP="00861A4D">
            <w:pPr>
              <w:spacing w:before="40" w:after="40"/>
              <w:jc w:val="left"/>
              <w:rPr>
                <w:rFonts w:asciiTheme="minorHAnsi" w:hAnsiTheme="minorHAnsi" w:cstheme="minorHAnsi"/>
                <w:b/>
                <w:color w:val="000000"/>
                <w:sz w:val="20"/>
                <w:szCs w:val="20"/>
              </w:rPr>
            </w:pPr>
            <w:proofErr w:type="spellStart"/>
            <w:r w:rsidRPr="00834E9B">
              <w:rPr>
                <w:rFonts w:asciiTheme="minorHAnsi" w:hAnsiTheme="minorHAnsi" w:cstheme="minorHAnsi"/>
                <w:b/>
                <w:color w:val="000000"/>
                <w:sz w:val="20"/>
                <w:szCs w:val="20"/>
              </w:rPr>
              <w:t>Modafinil</w:t>
            </w:r>
            <w:proofErr w:type="spellEnd"/>
          </w:p>
        </w:tc>
      </w:tr>
      <w:tr w:rsidR="00D54CCD" w:rsidRPr="00D54CCD" w14:paraId="45B1F16D" w14:textId="77777777" w:rsidTr="001F24BB">
        <w:trPr>
          <w:trHeight w:val="307"/>
        </w:trPr>
        <w:tc>
          <w:tcPr>
            <w:tcW w:w="2236" w:type="dxa"/>
          </w:tcPr>
          <w:p w14:paraId="49BFE92D" w14:textId="77777777" w:rsidR="00D54CCD" w:rsidRPr="00861A4D" w:rsidRDefault="00D54CCD" w:rsidP="00BC4055">
            <w:pPr>
              <w:spacing w:before="60" w:after="60"/>
              <w:jc w:val="left"/>
              <w:rPr>
                <w:rFonts w:asciiTheme="minorHAnsi" w:hAnsiTheme="minorHAnsi" w:cstheme="minorHAnsi"/>
                <w:b/>
                <w:color w:val="000000"/>
                <w:sz w:val="20"/>
                <w:szCs w:val="20"/>
              </w:rPr>
            </w:pPr>
            <w:r w:rsidRPr="00861A4D">
              <w:rPr>
                <w:rFonts w:asciiTheme="minorHAnsi" w:hAnsiTheme="minorHAnsi" w:cstheme="minorHAnsi"/>
                <w:b/>
                <w:color w:val="000000"/>
                <w:sz w:val="20"/>
                <w:szCs w:val="20"/>
              </w:rPr>
              <w:t>ATC Code</w:t>
            </w:r>
          </w:p>
        </w:tc>
        <w:tc>
          <w:tcPr>
            <w:tcW w:w="2794" w:type="dxa"/>
          </w:tcPr>
          <w:p w14:paraId="62614580"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N06BA13</w:t>
            </w:r>
          </w:p>
        </w:tc>
        <w:tc>
          <w:tcPr>
            <w:tcW w:w="3779" w:type="dxa"/>
          </w:tcPr>
          <w:p w14:paraId="48B43DC1"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N06BA07</w:t>
            </w:r>
          </w:p>
        </w:tc>
      </w:tr>
      <w:tr w:rsidR="00D54CCD" w:rsidRPr="00D54CCD" w14:paraId="30F85314" w14:textId="77777777" w:rsidTr="001F24BB">
        <w:trPr>
          <w:trHeight w:val="563"/>
        </w:trPr>
        <w:tc>
          <w:tcPr>
            <w:tcW w:w="2236" w:type="dxa"/>
          </w:tcPr>
          <w:p w14:paraId="5687B40B" w14:textId="77777777" w:rsidR="00D54CCD" w:rsidRPr="00861A4D" w:rsidRDefault="00D54CCD" w:rsidP="00BC4055">
            <w:pPr>
              <w:spacing w:before="60" w:after="60"/>
              <w:jc w:val="left"/>
              <w:rPr>
                <w:rFonts w:asciiTheme="minorHAnsi" w:hAnsiTheme="minorHAnsi" w:cstheme="minorHAnsi"/>
                <w:b/>
                <w:color w:val="000000"/>
                <w:sz w:val="20"/>
                <w:szCs w:val="20"/>
              </w:rPr>
            </w:pPr>
            <w:r w:rsidRPr="00861A4D">
              <w:rPr>
                <w:rFonts w:asciiTheme="minorHAnsi" w:hAnsiTheme="minorHAnsi" w:cstheme="minorHAnsi"/>
                <w:b/>
                <w:color w:val="000000"/>
                <w:sz w:val="20"/>
                <w:szCs w:val="20"/>
              </w:rPr>
              <w:t>Enantiomers</w:t>
            </w:r>
          </w:p>
        </w:tc>
        <w:tc>
          <w:tcPr>
            <w:tcW w:w="2794" w:type="dxa"/>
          </w:tcPr>
          <w:p w14:paraId="2F12F4D8"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 xml:space="preserve">contains solely the R-enantiomer of </w:t>
            </w:r>
            <w:proofErr w:type="spellStart"/>
            <w:r w:rsidRPr="00861A4D">
              <w:rPr>
                <w:rFonts w:asciiTheme="minorHAnsi" w:hAnsiTheme="minorHAnsi" w:cstheme="minorHAnsi"/>
                <w:color w:val="000000"/>
                <w:sz w:val="20"/>
                <w:szCs w:val="20"/>
              </w:rPr>
              <w:t>modafinil</w:t>
            </w:r>
            <w:proofErr w:type="spellEnd"/>
          </w:p>
        </w:tc>
        <w:tc>
          <w:tcPr>
            <w:tcW w:w="3779" w:type="dxa"/>
          </w:tcPr>
          <w:p w14:paraId="0547DD10"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 xml:space="preserve">contains both the “R” and “S” enantiomers of </w:t>
            </w:r>
            <w:proofErr w:type="spellStart"/>
            <w:r w:rsidRPr="00861A4D">
              <w:rPr>
                <w:rFonts w:asciiTheme="minorHAnsi" w:hAnsiTheme="minorHAnsi" w:cstheme="minorHAnsi"/>
                <w:color w:val="000000"/>
                <w:sz w:val="20"/>
                <w:szCs w:val="20"/>
              </w:rPr>
              <w:t>modafinil</w:t>
            </w:r>
            <w:proofErr w:type="spellEnd"/>
          </w:p>
        </w:tc>
      </w:tr>
      <w:tr w:rsidR="00D54CCD" w:rsidRPr="00D54CCD" w14:paraId="275D8B48" w14:textId="77777777" w:rsidTr="001F24BB">
        <w:trPr>
          <w:trHeight w:val="324"/>
        </w:trPr>
        <w:tc>
          <w:tcPr>
            <w:tcW w:w="2236" w:type="dxa"/>
          </w:tcPr>
          <w:p w14:paraId="4197FCCF" w14:textId="77777777" w:rsidR="00D54CCD" w:rsidRPr="00861A4D" w:rsidRDefault="00D54CCD" w:rsidP="00BC4055">
            <w:pPr>
              <w:spacing w:before="60" w:after="60"/>
              <w:jc w:val="left"/>
              <w:rPr>
                <w:rFonts w:asciiTheme="minorHAnsi" w:hAnsiTheme="minorHAnsi" w:cstheme="minorHAnsi"/>
                <w:b/>
                <w:color w:val="000000"/>
                <w:sz w:val="20"/>
                <w:szCs w:val="20"/>
              </w:rPr>
            </w:pPr>
            <w:r w:rsidRPr="00861A4D">
              <w:rPr>
                <w:rFonts w:asciiTheme="minorHAnsi" w:hAnsiTheme="minorHAnsi" w:cstheme="minorHAnsi"/>
                <w:b/>
                <w:color w:val="000000"/>
                <w:sz w:val="20"/>
                <w:szCs w:val="20"/>
              </w:rPr>
              <w:t>Strengths</w:t>
            </w:r>
          </w:p>
        </w:tc>
        <w:tc>
          <w:tcPr>
            <w:tcW w:w="2794" w:type="dxa"/>
          </w:tcPr>
          <w:p w14:paraId="7ECA632B"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50, 150 and 250 mg</w:t>
            </w:r>
          </w:p>
        </w:tc>
        <w:tc>
          <w:tcPr>
            <w:tcW w:w="3779" w:type="dxa"/>
          </w:tcPr>
          <w:p w14:paraId="354B5DE3"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100 mg</w:t>
            </w:r>
          </w:p>
        </w:tc>
      </w:tr>
      <w:tr w:rsidR="00D54CCD" w:rsidRPr="00D54CCD" w14:paraId="58BB023E" w14:textId="77777777" w:rsidTr="001F24BB">
        <w:trPr>
          <w:trHeight w:val="818"/>
        </w:trPr>
        <w:tc>
          <w:tcPr>
            <w:tcW w:w="2236" w:type="dxa"/>
          </w:tcPr>
          <w:p w14:paraId="4AB51D60" w14:textId="77777777" w:rsidR="00D54CCD" w:rsidRPr="00861A4D" w:rsidRDefault="00D54CCD" w:rsidP="00BC4055">
            <w:pPr>
              <w:spacing w:before="60" w:after="60"/>
              <w:jc w:val="left"/>
              <w:rPr>
                <w:rFonts w:asciiTheme="minorHAnsi" w:hAnsiTheme="minorHAnsi" w:cstheme="minorHAnsi"/>
                <w:b/>
                <w:color w:val="000000"/>
                <w:sz w:val="20"/>
                <w:szCs w:val="20"/>
              </w:rPr>
            </w:pPr>
            <w:r w:rsidRPr="00861A4D">
              <w:rPr>
                <w:rFonts w:asciiTheme="minorHAnsi" w:hAnsiTheme="minorHAnsi" w:cstheme="minorHAnsi"/>
                <w:b/>
                <w:color w:val="000000"/>
                <w:sz w:val="20"/>
                <w:szCs w:val="20"/>
              </w:rPr>
              <w:t>Dosing</w:t>
            </w:r>
          </w:p>
        </w:tc>
        <w:tc>
          <w:tcPr>
            <w:tcW w:w="2794" w:type="dxa"/>
          </w:tcPr>
          <w:p w14:paraId="2134CC03"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Starting Dose: 150mg</w:t>
            </w:r>
          </w:p>
          <w:p w14:paraId="0183444B"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u w:val="single"/>
              </w:rPr>
              <w:t>Narcolepsy</w:t>
            </w:r>
            <w:r w:rsidRPr="00861A4D">
              <w:rPr>
                <w:rFonts w:asciiTheme="minorHAnsi" w:hAnsiTheme="minorHAnsi" w:cstheme="minorHAnsi"/>
                <w:color w:val="000000"/>
                <w:sz w:val="20"/>
                <w:szCs w:val="20"/>
              </w:rPr>
              <w:t xml:space="preserve">: 150 mg or 250 mg given once daily in the morning. </w:t>
            </w:r>
          </w:p>
        </w:tc>
        <w:tc>
          <w:tcPr>
            <w:tcW w:w="3779" w:type="dxa"/>
          </w:tcPr>
          <w:p w14:paraId="0D82C2F0" w14:textId="77777777" w:rsidR="008A0A50" w:rsidRPr="00861A4D" w:rsidRDefault="00D54CCD" w:rsidP="00BC4055">
            <w:pPr>
              <w:spacing w:before="60" w:after="60"/>
              <w:jc w:val="left"/>
              <w:rPr>
                <w:rFonts w:asciiTheme="minorHAnsi" w:hAnsiTheme="minorHAnsi" w:cstheme="minorHAnsi"/>
                <w:color w:val="000000"/>
                <w:sz w:val="20"/>
                <w:szCs w:val="20"/>
                <w:vertAlign w:val="superscript"/>
              </w:rPr>
            </w:pPr>
            <w:r w:rsidRPr="00861A4D">
              <w:rPr>
                <w:rFonts w:asciiTheme="minorHAnsi" w:hAnsiTheme="minorHAnsi" w:cstheme="minorHAnsi"/>
                <w:color w:val="000000"/>
                <w:sz w:val="20"/>
                <w:szCs w:val="20"/>
              </w:rPr>
              <w:t>Starting Dose: 200mg</w:t>
            </w:r>
          </w:p>
          <w:p w14:paraId="558B6135" w14:textId="0D3D8E24"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u w:val="single"/>
              </w:rPr>
              <w:t>Narcolepsy:</w:t>
            </w:r>
            <w:r w:rsidRPr="00861A4D">
              <w:rPr>
                <w:rFonts w:asciiTheme="minorHAnsi" w:hAnsiTheme="minorHAnsi" w:cstheme="minorHAnsi"/>
                <w:color w:val="000000"/>
                <w:sz w:val="20"/>
                <w:szCs w:val="20"/>
              </w:rPr>
              <w:t xml:space="preserve"> 200 to 400 mg/day, given as a single dose in the morning, or as two divided doses, in the morning and at noon.</w:t>
            </w:r>
          </w:p>
          <w:p w14:paraId="5F1D1099" w14:textId="0274DF25"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Doses of 400 mg/day have been well tolerated, but there is no statistically significant evidence that this dose confers additional benefit beyond that of the 200 mg dose. It is proposed that split dosing may be appropriate for patients who experience a late afternoon dip in wakefulness at a proposed dosing of 400mg spilt into 200mg in the morning and 200mg at noon.</w:t>
            </w:r>
            <w:r w:rsidR="008A0A50" w:rsidRPr="00861A4D">
              <w:rPr>
                <w:rFonts w:asciiTheme="minorHAnsi" w:hAnsiTheme="minorHAnsi" w:cstheme="minorHAnsi"/>
                <w:color w:val="000000"/>
                <w:sz w:val="20"/>
                <w:szCs w:val="20"/>
              </w:rPr>
              <w:t xml:space="preserve"> </w:t>
            </w:r>
          </w:p>
          <w:p w14:paraId="791293BF"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For patients who require more than 200 mg/day, the dose should be increased, to a maximum of 400 mg/day, in increments of 100 mg as needed and tolerated.</w:t>
            </w:r>
          </w:p>
        </w:tc>
      </w:tr>
      <w:tr w:rsidR="00D54CCD" w:rsidRPr="00D54CCD" w14:paraId="19E6F5DB" w14:textId="77777777" w:rsidTr="001F24BB">
        <w:trPr>
          <w:trHeight w:val="563"/>
        </w:trPr>
        <w:tc>
          <w:tcPr>
            <w:tcW w:w="2236" w:type="dxa"/>
          </w:tcPr>
          <w:p w14:paraId="1951E81B" w14:textId="77777777" w:rsidR="00D54CCD" w:rsidRPr="00861A4D" w:rsidRDefault="00D54CCD" w:rsidP="00BC4055">
            <w:pPr>
              <w:spacing w:before="60" w:after="60"/>
              <w:jc w:val="left"/>
              <w:rPr>
                <w:rFonts w:asciiTheme="minorHAnsi" w:hAnsiTheme="minorHAnsi" w:cstheme="minorHAnsi"/>
                <w:b/>
                <w:color w:val="000000"/>
                <w:sz w:val="20"/>
                <w:szCs w:val="20"/>
              </w:rPr>
            </w:pPr>
            <w:r w:rsidRPr="00861A4D">
              <w:rPr>
                <w:rFonts w:asciiTheme="minorHAnsi" w:hAnsiTheme="minorHAnsi" w:cstheme="minorHAnsi"/>
                <w:b/>
                <w:color w:val="000000"/>
                <w:sz w:val="20"/>
                <w:szCs w:val="20"/>
              </w:rPr>
              <w:t>Recommended Starting Dose</w:t>
            </w:r>
          </w:p>
        </w:tc>
        <w:tc>
          <w:tcPr>
            <w:tcW w:w="2794" w:type="dxa"/>
          </w:tcPr>
          <w:p w14:paraId="764216A4"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150mg</w:t>
            </w:r>
          </w:p>
        </w:tc>
        <w:tc>
          <w:tcPr>
            <w:tcW w:w="3779" w:type="dxa"/>
          </w:tcPr>
          <w:p w14:paraId="606B92AE"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200 mg</w:t>
            </w:r>
          </w:p>
        </w:tc>
      </w:tr>
      <w:tr w:rsidR="00D54CCD" w:rsidRPr="00D54CCD" w14:paraId="270E098A" w14:textId="77777777" w:rsidTr="001F24BB">
        <w:trPr>
          <w:trHeight w:val="853"/>
        </w:trPr>
        <w:tc>
          <w:tcPr>
            <w:tcW w:w="2236" w:type="dxa"/>
          </w:tcPr>
          <w:p w14:paraId="4C728177" w14:textId="7AAD718A" w:rsidR="00D54CCD" w:rsidRPr="00861A4D" w:rsidRDefault="00E766FE" w:rsidP="00BC4055">
            <w:pPr>
              <w:spacing w:before="60" w:after="60"/>
              <w:jc w:val="left"/>
              <w:rPr>
                <w:rFonts w:asciiTheme="minorHAnsi" w:hAnsiTheme="minorHAnsi" w:cstheme="minorHAnsi"/>
                <w:b/>
                <w:color w:val="000000"/>
                <w:sz w:val="20"/>
                <w:szCs w:val="20"/>
              </w:rPr>
            </w:pPr>
            <w:proofErr w:type="spellStart"/>
            <w:r w:rsidRPr="00861A4D">
              <w:rPr>
                <w:rFonts w:asciiTheme="minorHAnsi" w:hAnsiTheme="minorHAnsi" w:cstheme="minorHAnsi"/>
                <w:b/>
                <w:color w:val="000000"/>
                <w:sz w:val="20"/>
                <w:szCs w:val="20"/>
              </w:rPr>
              <w:t>Cmax</w:t>
            </w:r>
            <w:proofErr w:type="spellEnd"/>
          </w:p>
        </w:tc>
        <w:tc>
          <w:tcPr>
            <w:tcW w:w="2794" w:type="dxa"/>
          </w:tcPr>
          <w:p w14:paraId="5FDD80D4" w14:textId="55880EDF"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2.99 µg/mL after a 100 mg dose</w:t>
            </w:r>
          </w:p>
          <w:p w14:paraId="4FA4339C" w14:textId="371BD761"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5.9  µg/mL after a 250 mg dose</w:t>
            </w:r>
          </w:p>
        </w:tc>
        <w:tc>
          <w:tcPr>
            <w:tcW w:w="3779" w:type="dxa"/>
          </w:tcPr>
          <w:p w14:paraId="695CC568" w14:textId="77777777" w:rsidR="00D54CCD" w:rsidRPr="00861A4D" w:rsidRDefault="00D54CCD" w:rsidP="00BC4055">
            <w:pPr>
              <w:spacing w:before="60" w:after="60"/>
              <w:jc w:val="left"/>
              <w:rPr>
                <w:rFonts w:asciiTheme="minorHAnsi" w:hAnsiTheme="minorHAnsi" w:cstheme="minorHAnsi"/>
                <w:color w:val="000000"/>
                <w:sz w:val="20"/>
                <w:szCs w:val="20"/>
              </w:rPr>
            </w:pPr>
            <w:r w:rsidRPr="00861A4D">
              <w:rPr>
                <w:rFonts w:asciiTheme="minorHAnsi" w:hAnsiTheme="minorHAnsi" w:cstheme="minorHAnsi"/>
                <w:color w:val="000000"/>
                <w:sz w:val="20"/>
                <w:szCs w:val="20"/>
              </w:rPr>
              <w:t>3.3 mg/mL after a 200 mg dose</w:t>
            </w:r>
          </w:p>
        </w:tc>
      </w:tr>
    </w:tbl>
    <w:p w14:paraId="686E41DE" w14:textId="1F1FA36C" w:rsidR="00D54CCD" w:rsidRDefault="00D54CCD" w:rsidP="00D54CCD"/>
    <w:p w14:paraId="1BCD2481" w14:textId="38A34888" w:rsidR="00D54CCD" w:rsidRDefault="0089500A" w:rsidP="00D54CCD">
      <w:r w:rsidRPr="0089500A">
        <w:t xml:space="preserve">The resubmission </w:t>
      </w:r>
      <w:r w:rsidR="008A0A50">
        <w:t>used the</w:t>
      </w:r>
      <w:r w:rsidRPr="0089500A">
        <w:t xml:space="preserve"> maximum </w:t>
      </w:r>
      <w:r w:rsidR="008A0A50">
        <w:t xml:space="preserve">dose (250 mg daily) </w:t>
      </w:r>
      <w:r w:rsidRPr="0089500A">
        <w:t xml:space="preserve">instead of the weighted average dosing, and presented the revised </w:t>
      </w:r>
      <w:proofErr w:type="spellStart"/>
      <w:r w:rsidRPr="0089500A">
        <w:t>equi</w:t>
      </w:r>
      <w:proofErr w:type="spellEnd"/>
      <w:r w:rsidRPr="0089500A">
        <w:t xml:space="preserve">-effective doses of </w:t>
      </w:r>
      <w:proofErr w:type="spellStart"/>
      <w:r w:rsidRPr="0089500A">
        <w:t>armodafinil</w:t>
      </w:r>
      <w:proofErr w:type="spellEnd"/>
      <w:r w:rsidRPr="0089500A">
        <w:t xml:space="preserve"> 250 mg and </w:t>
      </w:r>
      <w:proofErr w:type="spellStart"/>
      <w:r w:rsidRPr="0089500A">
        <w:t>modafinil</w:t>
      </w:r>
      <w:proofErr w:type="spellEnd"/>
      <w:r w:rsidRPr="0089500A">
        <w:t xml:space="preserve"> 348.55 mg, resulting in a dose relativity of 5:7. </w:t>
      </w:r>
      <w:r w:rsidR="008A0A50">
        <w:t>T</w:t>
      </w:r>
      <w:r w:rsidRPr="0089500A">
        <w:t xml:space="preserve">he sponsor proposed a further price reduction of </w:t>
      </w:r>
      <w:r w:rsidRPr="00F50F84">
        <w:t xml:space="preserve">approximately </w:t>
      </w:r>
      <w:proofErr w:type="spellStart"/>
      <w:r w:rsidR="00A4568F">
        <w:rPr>
          <w:highlight w:val="black"/>
        </w:rPr>
        <w:t>xxxx</w:t>
      </w:r>
      <w:proofErr w:type="spellEnd"/>
      <w:r w:rsidRPr="00F50F84">
        <w:t>%</w:t>
      </w:r>
      <w:r w:rsidRPr="0089500A">
        <w:t xml:space="preserve"> based on the revised therapeutic relativity presented in the resubmission.</w:t>
      </w:r>
      <w:r w:rsidR="00991C7B">
        <w:fldChar w:fldCharType="begin"/>
      </w:r>
      <w:r w:rsidR="00991C7B">
        <w:instrText xml:space="preserve"> NOTEREF _Ref7601156 \f \h </w:instrText>
      </w:r>
      <w:r w:rsidR="00991C7B">
        <w:fldChar w:fldCharType="separate"/>
      </w:r>
      <w:r w:rsidR="0095368A" w:rsidRPr="0095368A">
        <w:rPr>
          <w:rStyle w:val="FootnoteReference"/>
        </w:rPr>
        <w:t>6</w:t>
      </w:r>
      <w:r w:rsidR="00991C7B">
        <w:fldChar w:fldCharType="end"/>
      </w:r>
    </w:p>
    <w:p w14:paraId="2CE65DE3" w14:textId="21EA1230" w:rsidR="0089500A" w:rsidRDefault="0089500A" w:rsidP="0089500A">
      <w:r w:rsidRPr="0089500A">
        <w:t xml:space="preserve">The PBAC recommended an Authority </w:t>
      </w:r>
      <w:proofErr w:type="gramStart"/>
      <w:r w:rsidRPr="0089500A">
        <w:t>Required</w:t>
      </w:r>
      <w:proofErr w:type="gramEnd"/>
      <w:r w:rsidRPr="0089500A">
        <w:t xml:space="preserve"> listing for </w:t>
      </w:r>
      <w:proofErr w:type="spellStart"/>
      <w:r w:rsidRPr="0089500A">
        <w:t>armodafinil</w:t>
      </w:r>
      <w:proofErr w:type="spellEnd"/>
      <w:r w:rsidRPr="0089500A">
        <w:t xml:space="preserve"> for the treatment of narcolepsy on a cost-minimisation basis with </w:t>
      </w:r>
      <w:proofErr w:type="spellStart"/>
      <w:r w:rsidRPr="0089500A">
        <w:t>modafinil</w:t>
      </w:r>
      <w:proofErr w:type="spellEnd"/>
      <w:r w:rsidRPr="0089500A">
        <w:t>.</w:t>
      </w:r>
      <w:r>
        <w:t xml:space="preserve"> In making its recommendation, the PBAC considered that the revised </w:t>
      </w:r>
      <w:proofErr w:type="spellStart"/>
      <w:r>
        <w:t>equi</w:t>
      </w:r>
      <w:proofErr w:type="spellEnd"/>
      <w:r>
        <w:t>-effective doses presented in the</w:t>
      </w:r>
      <w:r w:rsidR="00A80D30">
        <w:t xml:space="preserve"> re-submission were reasonable.</w:t>
      </w:r>
      <w:r w:rsidR="00991C7B">
        <w:fldChar w:fldCharType="begin"/>
      </w:r>
      <w:r w:rsidR="00991C7B">
        <w:instrText xml:space="preserve"> NOTEREF _Ref7601156 \f \h </w:instrText>
      </w:r>
      <w:r w:rsidR="00991C7B">
        <w:fldChar w:fldCharType="separate"/>
      </w:r>
      <w:r w:rsidR="0095368A" w:rsidRPr="0095368A">
        <w:rPr>
          <w:rStyle w:val="FootnoteReference"/>
        </w:rPr>
        <w:t>6</w:t>
      </w:r>
      <w:r w:rsidR="00991C7B">
        <w:fldChar w:fldCharType="end"/>
      </w:r>
    </w:p>
    <w:p w14:paraId="223CFF51" w14:textId="48501F42" w:rsidR="0089500A" w:rsidRDefault="0089500A" w:rsidP="0089500A">
      <w:r>
        <w:t xml:space="preserve">The PBAC maintained its previous view that there was no apparent unmet clinical need for </w:t>
      </w:r>
      <w:proofErr w:type="spellStart"/>
      <w:r>
        <w:t>armodafinil</w:t>
      </w:r>
      <w:proofErr w:type="spellEnd"/>
      <w:r>
        <w:t>. The PBAC noted the resubmission’s claims of differences in plasma concentrations and dose</w:t>
      </w:r>
      <w:r w:rsidR="00A80D30">
        <w:t xml:space="preserve"> response, however the PBAC was</w:t>
      </w:r>
      <w:r>
        <w:t xml:space="preserve"> not convinced that these differences would result in </w:t>
      </w:r>
      <w:proofErr w:type="spellStart"/>
      <w:r>
        <w:t>armodafinil</w:t>
      </w:r>
      <w:proofErr w:type="spellEnd"/>
      <w:r>
        <w:t xml:space="preserve"> having any appreciable clinical advantage over modafinil.</w:t>
      </w:r>
      <w:r w:rsidR="00991C7B">
        <w:fldChar w:fldCharType="begin"/>
      </w:r>
      <w:r w:rsidR="00991C7B">
        <w:instrText xml:space="preserve"> NOTEREF _Ref7601156 \f \h </w:instrText>
      </w:r>
      <w:r w:rsidR="00991C7B">
        <w:fldChar w:fldCharType="separate"/>
      </w:r>
      <w:r w:rsidR="0095368A" w:rsidRPr="0095368A">
        <w:rPr>
          <w:rStyle w:val="FootnoteReference"/>
        </w:rPr>
        <w:t>6</w:t>
      </w:r>
      <w:r w:rsidR="00991C7B">
        <w:fldChar w:fldCharType="end"/>
      </w:r>
    </w:p>
    <w:p w14:paraId="5295913F" w14:textId="62F75032" w:rsidR="0089500A" w:rsidRDefault="0089500A" w:rsidP="0089500A">
      <w:r>
        <w:lastRenderedPageBreak/>
        <w:t xml:space="preserve">The PBAC noted that over time, </w:t>
      </w:r>
      <w:proofErr w:type="spellStart"/>
      <w:r>
        <w:t>armodafinil</w:t>
      </w:r>
      <w:proofErr w:type="spellEnd"/>
      <w:r>
        <w:t xml:space="preserve"> may cease to be cost-effective due to decreases in the </w:t>
      </w:r>
      <w:proofErr w:type="spellStart"/>
      <w:r>
        <w:t>modafinil</w:t>
      </w:r>
      <w:proofErr w:type="spellEnd"/>
      <w:r>
        <w:t xml:space="preserve"> price as a result of patent expiry and the introduction of generic versions of </w:t>
      </w:r>
      <w:proofErr w:type="spellStart"/>
      <w:r>
        <w:t>modafinil</w:t>
      </w:r>
      <w:proofErr w:type="spellEnd"/>
      <w:r>
        <w:t>. The PBAC noted that at some point in the future, the Minister may wish to seek advice from the PBAC regarding the ongoing cost-effectiveness of armodafinil.</w:t>
      </w:r>
      <w:r w:rsidR="00991C7B">
        <w:fldChar w:fldCharType="begin"/>
      </w:r>
      <w:r w:rsidR="00991C7B">
        <w:instrText xml:space="preserve"> NOTEREF _Ref7601156 \f \h </w:instrText>
      </w:r>
      <w:r w:rsidR="00991C7B">
        <w:fldChar w:fldCharType="separate"/>
      </w:r>
      <w:r w:rsidR="0095368A" w:rsidRPr="0095368A">
        <w:rPr>
          <w:rStyle w:val="FootnoteReference"/>
        </w:rPr>
        <w:t>6</w:t>
      </w:r>
      <w:r w:rsidR="00991C7B">
        <w:fldChar w:fldCharType="end"/>
      </w:r>
    </w:p>
    <w:p w14:paraId="78590682" w14:textId="75C68618" w:rsidR="00A80D30" w:rsidRDefault="0089500A" w:rsidP="00676330">
      <w:r>
        <w:t xml:space="preserve">The PBAC noted that the resubmission proposed cost savings to Government upon the listing of </w:t>
      </w:r>
      <w:proofErr w:type="spellStart"/>
      <w:r>
        <w:t>armodafinil</w:t>
      </w:r>
      <w:proofErr w:type="spellEnd"/>
      <w:r>
        <w:t xml:space="preserve">, however considered that these savings will not be realised if the price of </w:t>
      </w:r>
      <w:proofErr w:type="spellStart"/>
      <w:r>
        <w:t>modafinil</w:t>
      </w:r>
      <w:proofErr w:type="spellEnd"/>
      <w:r>
        <w:t xml:space="preserve"> decreases over time.</w:t>
      </w:r>
      <w:r w:rsidR="00991C7B">
        <w:fldChar w:fldCharType="begin"/>
      </w:r>
      <w:r w:rsidR="00991C7B">
        <w:instrText xml:space="preserve"> NOTEREF _Ref7601156 \f \h </w:instrText>
      </w:r>
      <w:r w:rsidR="00991C7B">
        <w:fldChar w:fldCharType="separate"/>
      </w:r>
      <w:r w:rsidR="0095368A" w:rsidRPr="0095368A">
        <w:rPr>
          <w:rStyle w:val="FootnoteReference"/>
        </w:rPr>
        <w:t>6</w:t>
      </w:r>
      <w:r w:rsidR="00991C7B">
        <w:fldChar w:fldCharType="end"/>
      </w:r>
    </w:p>
    <w:p w14:paraId="6515FB7D" w14:textId="4C977E49" w:rsidR="009C1658" w:rsidRDefault="00B06DF6" w:rsidP="00290AFA">
      <w:pPr>
        <w:pStyle w:val="Heading3"/>
      </w:pPr>
      <w:r>
        <w:t xml:space="preserve">Minor submission for </w:t>
      </w:r>
      <w:proofErr w:type="spellStart"/>
      <w:r>
        <w:t>modafinil</w:t>
      </w:r>
      <w:proofErr w:type="spellEnd"/>
      <w:r>
        <w:t>-</w:t>
      </w:r>
      <w:r w:rsidR="009C1658">
        <w:t>November 2008</w:t>
      </w:r>
    </w:p>
    <w:p w14:paraId="18E0FBEE" w14:textId="2C40DBAC" w:rsidR="00382EFB" w:rsidRDefault="00382EFB" w:rsidP="00382EFB">
      <w:r>
        <w:t xml:space="preserve">A </w:t>
      </w:r>
      <w:r w:rsidR="00F4068C">
        <w:t>submission from the Australian Sleep Association (ASA) and the Australian New Zealand Association of Neu</w:t>
      </w:r>
      <w:r>
        <w:t xml:space="preserve">rologists (ANZAN) joint working party for instatement of </w:t>
      </w:r>
      <w:proofErr w:type="spellStart"/>
      <w:r>
        <w:t>modafinil</w:t>
      </w:r>
      <w:proofErr w:type="spellEnd"/>
      <w:r>
        <w:t xml:space="preserve"> as first line therapy for narcolepsy </w:t>
      </w:r>
      <w:r w:rsidR="00A4431E">
        <w:t>was considered</w:t>
      </w:r>
      <w:r w:rsidR="00F50F84">
        <w:t xml:space="preserve"> by the PBAC at its November 200</w:t>
      </w:r>
      <w:r w:rsidR="00A4431E">
        <w:t>8 meeting</w:t>
      </w:r>
      <w:r w:rsidR="00314140">
        <w:t>.</w:t>
      </w:r>
      <w:bookmarkStart w:id="6" w:name="_Ref7601504"/>
      <w:r w:rsidR="00314140">
        <w:rPr>
          <w:rStyle w:val="FootnoteReference"/>
        </w:rPr>
        <w:footnoteReference w:id="7"/>
      </w:r>
      <w:bookmarkEnd w:id="6"/>
    </w:p>
    <w:p w14:paraId="6C98CAEA" w14:textId="69CB6688" w:rsidR="00382EFB" w:rsidRDefault="00F4068C" w:rsidP="00F4068C">
      <w:r>
        <w:t>The PBAC did not accept the premise of the submission that from a</w:t>
      </w:r>
      <w:r w:rsidR="00382EFB">
        <w:t xml:space="preserve"> medical and legal view, </w:t>
      </w:r>
      <w:proofErr w:type="spellStart"/>
      <w:r w:rsidR="00382EFB">
        <w:t>dexamf</w:t>
      </w:r>
      <w:r>
        <w:t>etamine</w:t>
      </w:r>
      <w:proofErr w:type="spellEnd"/>
      <w:r>
        <w:t xml:space="preserve"> can no longer be considered the standard of care for treatment of this lifelong condition, and was not an appropriate comparator for </w:t>
      </w:r>
      <w:proofErr w:type="spellStart"/>
      <w:r>
        <w:t>modafinil</w:t>
      </w:r>
      <w:proofErr w:type="spellEnd"/>
      <w:r>
        <w:t xml:space="preserve"> in the first-line setting. The </w:t>
      </w:r>
      <w:r w:rsidR="00382EFB">
        <w:t>PBAC</w:t>
      </w:r>
      <w:r>
        <w:t xml:space="preserve"> noted that the absence of a systematic review of the evidence in support of this statement was a significant impediment to its deliberations. Additionally, the comment made both in the Pre-S</w:t>
      </w:r>
      <w:r w:rsidR="000B434D">
        <w:t>ub-Committee response and in a</w:t>
      </w:r>
      <w:r>
        <w:t xml:space="preserve"> hearing that not a</w:t>
      </w:r>
      <w:r w:rsidR="00382EFB">
        <w:t xml:space="preserve">ll patients currently on </w:t>
      </w:r>
      <w:proofErr w:type="spellStart"/>
      <w:r w:rsidR="00382EFB">
        <w:t>dexamf</w:t>
      </w:r>
      <w:r>
        <w:t>etamine</w:t>
      </w:r>
      <w:proofErr w:type="spellEnd"/>
      <w:r>
        <w:t xml:space="preserve"> will switch to </w:t>
      </w:r>
      <w:proofErr w:type="spellStart"/>
      <w:r>
        <w:t>modafinil</w:t>
      </w:r>
      <w:proofErr w:type="spellEnd"/>
      <w:r>
        <w:t xml:space="preserve"> appeared to contrad</w:t>
      </w:r>
      <w:r w:rsidR="00314140">
        <w:t>ict the first statement.</w:t>
      </w:r>
      <w:r w:rsidR="00314140">
        <w:fldChar w:fldCharType="begin"/>
      </w:r>
      <w:r w:rsidR="00314140">
        <w:instrText xml:space="preserve"> NOTEREF _Ref7601504 \f \h </w:instrText>
      </w:r>
      <w:r w:rsidR="00314140">
        <w:fldChar w:fldCharType="separate"/>
      </w:r>
      <w:r w:rsidR="0095368A" w:rsidRPr="0095368A">
        <w:rPr>
          <w:rStyle w:val="FootnoteReference"/>
        </w:rPr>
        <w:t>7</w:t>
      </w:r>
      <w:r w:rsidR="00314140">
        <w:fldChar w:fldCharType="end"/>
      </w:r>
    </w:p>
    <w:p w14:paraId="65BBCE43" w14:textId="3DE279E8" w:rsidR="00382EFB" w:rsidRDefault="00382EFB" w:rsidP="00F4068C">
      <w:r>
        <w:t>T</w:t>
      </w:r>
      <w:r w:rsidR="00B12C04">
        <w:t xml:space="preserve">he PBAC </w:t>
      </w:r>
      <w:r w:rsidR="00F4068C">
        <w:t xml:space="preserve">recalled that the incremental benefit (efficacy and safety) of </w:t>
      </w:r>
      <w:proofErr w:type="spellStart"/>
      <w:r w:rsidR="00F4068C">
        <w:t>modafinil</w:t>
      </w:r>
      <w:proofErr w:type="spellEnd"/>
      <w:r w:rsidR="00F4068C">
        <w:t xml:space="preserve"> over </w:t>
      </w:r>
      <w:proofErr w:type="spellStart"/>
      <w:r w:rsidR="00F4068C">
        <w:t>dexa</w:t>
      </w:r>
      <w:r>
        <w:t>mf</w:t>
      </w:r>
      <w:r w:rsidR="00F4068C">
        <w:t>etamine</w:t>
      </w:r>
      <w:proofErr w:type="spellEnd"/>
      <w:r w:rsidR="00F4068C">
        <w:t xml:space="preserve"> had not been previously established in the first-line setting. It was the large difference between the prices of the two drugs that forced the PBAC to consider the construct of the second-line indication and a comparison with placebo to be developed for </w:t>
      </w:r>
      <w:proofErr w:type="spellStart"/>
      <w:r w:rsidR="00F4068C">
        <w:t>modafinil</w:t>
      </w:r>
      <w:proofErr w:type="spellEnd"/>
      <w:r w:rsidR="00F4068C">
        <w:t xml:space="preserve"> in order for the product to</w:t>
      </w:r>
      <w:r w:rsidR="00314140">
        <w:t xml:space="preserve"> be made available to patients.</w:t>
      </w:r>
      <w:r w:rsidR="00314140">
        <w:fldChar w:fldCharType="begin"/>
      </w:r>
      <w:r w:rsidR="00314140">
        <w:instrText xml:space="preserve"> NOTEREF _Ref7601504 \f \h </w:instrText>
      </w:r>
      <w:r w:rsidR="00314140">
        <w:fldChar w:fldCharType="separate"/>
      </w:r>
      <w:r w:rsidR="0095368A" w:rsidRPr="0095368A">
        <w:rPr>
          <w:rStyle w:val="FootnoteReference"/>
        </w:rPr>
        <w:t>7</w:t>
      </w:r>
      <w:r w:rsidR="00314140">
        <w:fldChar w:fldCharType="end"/>
      </w:r>
    </w:p>
    <w:p w14:paraId="44B12AB5" w14:textId="1E5C7969" w:rsidR="00382EFB" w:rsidRDefault="00F4068C" w:rsidP="00F4068C">
      <w:r>
        <w:t xml:space="preserve">The PBAC further considered that the omission of economic analyses was inappropriate. It was </w:t>
      </w:r>
      <w:r w:rsidR="00382EFB">
        <w:t xml:space="preserve">noted that </w:t>
      </w:r>
      <w:proofErr w:type="spellStart"/>
      <w:r w:rsidR="00382EFB">
        <w:t>modafinil</w:t>
      </w:r>
      <w:proofErr w:type="spellEnd"/>
      <w:r w:rsidR="00382EFB">
        <w:t xml:space="preserve"> and </w:t>
      </w:r>
      <w:proofErr w:type="spellStart"/>
      <w:r w:rsidR="00382EFB">
        <w:t>dexamf</w:t>
      </w:r>
      <w:r>
        <w:t>etamine</w:t>
      </w:r>
      <w:proofErr w:type="spellEnd"/>
      <w:r>
        <w:t xml:space="preserve"> have drug costs of $3327 vs. $318 per year, respectively, for life long therapy and uncertain relative net clinical effect,</w:t>
      </w:r>
      <w:r w:rsidR="00314140">
        <w:t xml:space="preserve"> particularly in the long term.</w:t>
      </w:r>
      <w:r w:rsidR="00314140">
        <w:fldChar w:fldCharType="begin"/>
      </w:r>
      <w:r w:rsidR="00314140">
        <w:instrText xml:space="preserve"> NOTEREF _Ref7601504 \f \h </w:instrText>
      </w:r>
      <w:r w:rsidR="00314140">
        <w:fldChar w:fldCharType="separate"/>
      </w:r>
      <w:r w:rsidR="0095368A" w:rsidRPr="0095368A">
        <w:rPr>
          <w:rStyle w:val="FootnoteReference"/>
        </w:rPr>
        <w:t>7</w:t>
      </w:r>
      <w:r w:rsidR="00314140">
        <w:fldChar w:fldCharType="end"/>
      </w:r>
    </w:p>
    <w:p w14:paraId="4D6E4C86" w14:textId="11334A4E" w:rsidR="00B12C04" w:rsidRDefault="00F4068C" w:rsidP="00F4068C">
      <w:r>
        <w:t>The PBAC acknowledged the letter provided</w:t>
      </w:r>
      <w:r w:rsidR="00382EFB">
        <w:t xml:space="preserve"> by </w:t>
      </w:r>
      <w:r>
        <w:t>th</w:t>
      </w:r>
      <w:r w:rsidR="00902AA3">
        <w:t>e ASA</w:t>
      </w:r>
      <w:r>
        <w:t xml:space="preserve"> suggesting that there was a clinical need for the restriction to be broadened. However the criteria in the current restriction were based upon internationally accepted standards and no data or references were provided in support of the claims made in the </w:t>
      </w:r>
      <w:r w:rsidR="008A7EDE">
        <w:t>P</w:t>
      </w:r>
      <w:r>
        <w:t xml:space="preserve">re-Sub-Committee response regarding the proportion of narcolepsy patients currently being denied </w:t>
      </w:r>
      <w:proofErr w:type="spellStart"/>
      <w:r>
        <w:t>modafinil</w:t>
      </w:r>
      <w:proofErr w:type="spellEnd"/>
      <w:r>
        <w:t xml:space="preserve"> treatment as a result of re</w:t>
      </w:r>
      <w:r w:rsidR="00314140">
        <w:t>quirements related to the MSLT.</w:t>
      </w:r>
      <w:r w:rsidR="00314140">
        <w:fldChar w:fldCharType="begin"/>
      </w:r>
      <w:r w:rsidR="00314140">
        <w:instrText xml:space="preserve"> NOTEREF _Ref7601504 \f \h </w:instrText>
      </w:r>
      <w:r w:rsidR="00314140">
        <w:fldChar w:fldCharType="separate"/>
      </w:r>
      <w:r w:rsidR="0095368A" w:rsidRPr="0095368A">
        <w:rPr>
          <w:rStyle w:val="FootnoteReference"/>
        </w:rPr>
        <w:t>7</w:t>
      </w:r>
      <w:r w:rsidR="00314140">
        <w:fldChar w:fldCharType="end"/>
      </w:r>
    </w:p>
    <w:p w14:paraId="49BF4F46" w14:textId="290B126E" w:rsidR="00382EFB" w:rsidRDefault="00F4068C" w:rsidP="00F4068C">
      <w:r>
        <w:lastRenderedPageBreak/>
        <w:t xml:space="preserve">The PBAC therefore rejected the application because of insufficient evidence to support the claim </w:t>
      </w:r>
      <w:r w:rsidR="00382EFB">
        <w:t xml:space="preserve">that placebo rather than </w:t>
      </w:r>
      <w:proofErr w:type="spellStart"/>
      <w:r w:rsidR="00382EFB">
        <w:t>dexamf</w:t>
      </w:r>
      <w:r>
        <w:t>etamine</w:t>
      </w:r>
      <w:proofErr w:type="spellEnd"/>
      <w:r>
        <w:t xml:space="preserve"> is the appropriate comparator for </w:t>
      </w:r>
      <w:proofErr w:type="spellStart"/>
      <w:r>
        <w:t>modafinil</w:t>
      </w:r>
      <w:proofErr w:type="spellEnd"/>
      <w:r>
        <w:t xml:space="preserve"> in the first line setting and because of insufficient evidence to substantiate the claim that eligible patients are being denied treatment</w:t>
      </w:r>
      <w:r w:rsidR="00314140">
        <w:t xml:space="preserve"> under the current restriction.</w:t>
      </w:r>
      <w:r w:rsidR="00314140">
        <w:fldChar w:fldCharType="begin"/>
      </w:r>
      <w:r w:rsidR="00314140">
        <w:instrText xml:space="preserve"> NOTEREF _Ref7601504 \f \h </w:instrText>
      </w:r>
      <w:r w:rsidR="00314140">
        <w:fldChar w:fldCharType="separate"/>
      </w:r>
      <w:r w:rsidR="0095368A" w:rsidRPr="0095368A">
        <w:rPr>
          <w:rStyle w:val="FootnoteReference"/>
        </w:rPr>
        <w:t>7</w:t>
      </w:r>
      <w:r w:rsidR="00314140">
        <w:fldChar w:fldCharType="end"/>
      </w:r>
    </w:p>
    <w:p w14:paraId="5FEC8D77" w14:textId="22D15421" w:rsidR="009C1658" w:rsidRDefault="00382EFB" w:rsidP="00F4068C">
      <w:r>
        <w:t>The PBAC</w:t>
      </w:r>
      <w:r w:rsidR="00F4068C">
        <w:t xml:space="preserve"> indicated its willingness to hold further dialogue with the working party and other relevant stakeholders on the restriction’s diagnostic criteria.</w:t>
      </w:r>
      <w:r w:rsidR="00314140">
        <w:fldChar w:fldCharType="begin"/>
      </w:r>
      <w:r w:rsidR="00314140">
        <w:instrText xml:space="preserve"> NOTEREF _Ref7601504 \f \h </w:instrText>
      </w:r>
      <w:r w:rsidR="00314140">
        <w:fldChar w:fldCharType="separate"/>
      </w:r>
      <w:r w:rsidR="0095368A" w:rsidRPr="0095368A">
        <w:rPr>
          <w:rStyle w:val="FootnoteReference"/>
        </w:rPr>
        <w:t>7</w:t>
      </w:r>
      <w:r w:rsidR="00314140">
        <w:fldChar w:fldCharType="end"/>
      </w:r>
    </w:p>
    <w:p w14:paraId="72C2CA24" w14:textId="342E8960" w:rsidR="000F2F51" w:rsidRPr="0097117D" w:rsidRDefault="00ED633B" w:rsidP="0097117D">
      <w:pPr>
        <w:pStyle w:val="Heading2"/>
        <w:rPr>
          <w:b w:val="0"/>
          <w:sz w:val="24"/>
        </w:rPr>
      </w:pPr>
      <w:r>
        <w:t>A</w:t>
      </w:r>
      <w:r w:rsidR="000F2F51">
        <w:t xml:space="preserve">pproach </w:t>
      </w:r>
      <w:r>
        <w:t xml:space="preserve">taken to </w:t>
      </w:r>
      <w:r w:rsidR="000F2F51">
        <w:t>estimat</w:t>
      </w:r>
      <w:r>
        <w:t>e</w:t>
      </w:r>
      <w:r w:rsidR="000F2F51">
        <w:t xml:space="preserve"> utilisation</w:t>
      </w:r>
    </w:p>
    <w:p w14:paraId="71C5732D" w14:textId="20EDD7A8" w:rsidR="00D81FC5" w:rsidRPr="00EB161A" w:rsidRDefault="00D81FC5" w:rsidP="00D81FC5">
      <w:pPr>
        <w:rPr>
          <w:rFonts w:cstheme="minorHAnsi"/>
        </w:rPr>
      </w:pPr>
      <w:r w:rsidRPr="00EB161A">
        <w:rPr>
          <w:rFonts w:cstheme="minorHAnsi"/>
        </w:rPr>
        <w:t>The</w:t>
      </w:r>
      <w:r w:rsidR="00A01B2E">
        <w:rPr>
          <w:rFonts w:cstheme="minorHAnsi"/>
        </w:rPr>
        <w:t xml:space="preserve"> November 2015</w:t>
      </w:r>
      <w:r w:rsidRPr="00EB161A">
        <w:rPr>
          <w:rFonts w:cstheme="minorHAnsi"/>
        </w:rPr>
        <w:t xml:space="preserve"> submission used a market-share approach to estimate the use and costs of listing </w:t>
      </w:r>
      <w:proofErr w:type="spellStart"/>
      <w:r w:rsidRPr="00EB161A">
        <w:rPr>
          <w:rFonts w:cstheme="minorHAnsi"/>
        </w:rPr>
        <w:t>armodafinil</w:t>
      </w:r>
      <w:proofErr w:type="spellEnd"/>
      <w:r w:rsidRPr="00EB161A">
        <w:rPr>
          <w:rFonts w:cstheme="minorHAnsi"/>
        </w:rPr>
        <w:t xml:space="preserve"> on the PBS.</w:t>
      </w:r>
      <w:r w:rsidR="00314140">
        <w:rPr>
          <w:rFonts w:cstheme="minorHAnsi"/>
        </w:rPr>
        <w:fldChar w:fldCharType="begin"/>
      </w:r>
      <w:r w:rsidR="00314140">
        <w:rPr>
          <w:rFonts w:cstheme="minorHAnsi"/>
        </w:rPr>
        <w:instrText xml:space="preserve"> NOTEREF _Ref7601120 \f \h </w:instrText>
      </w:r>
      <w:r w:rsidR="00314140">
        <w:rPr>
          <w:rFonts w:cstheme="minorHAnsi"/>
        </w:rPr>
      </w:r>
      <w:r w:rsidR="00314140">
        <w:rPr>
          <w:rFonts w:cstheme="minorHAnsi"/>
        </w:rPr>
        <w:fldChar w:fldCharType="separate"/>
      </w:r>
      <w:r w:rsidR="0095368A" w:rsidRPr="0095368A">
        <w:rPr>
          <w:rStyle w:val="FootnoteReference"/>
        </w:rPr>
        <w:t>5</w:t>
      </w:r>
      <w:r w:rsidR="00314140">
        <w:rPr>
          <w:rFonts w:cstheme="minorHAnsi"/>
        </w:rPr>
        <w:fldChar w:fldCharType="end"/>
      </w:r>
    </w:p>
    <w:p w14:paraId="0DEBD50F" w14:textId="1B72BE94" w:rsidR="00094DCF" w:rsidRDefault="00ED633B" w:rsidP="00CF5E22">
      <w:pPr>
        <w:pStyle w:val="Heading2"/>
      </w:pPr>
      <w:r>
        <w:t xml:space="preserve">Previous reviews by </w:t>
      </w:r>
      <w:r w:rsidR="00177B86">
        <w:t xml:space="preserve">the </w:t>
      </w:r>
      <w:r>
        <w:t>DUSC</w:t>
      </w:r>
    </w:p>
    <w:p w14:paraId="1C05FFF8" w14:textId="4DB215C2" w:rsidR="00673937" w:rsidRDefault="00673937" w:rsidP="00673937">
      <w:r>
        <w:t xml:space="preserve">DUSC </w:t>
      </w:r>
      <w:r w:rsidR="00F15043">
        <w:t xml:space="preserve">reviewed the 12 month predicted versus actual use of </w:t>
      </w:r>
      <w:proofErr w:type="spellStart"/>
      <w:r w:rsidR="00F15043">
        <w:t>modafinil</w:t>
      </w:r>
      <w:proofErr w:type="spellEnd"/>
      <w:r w:rsidR="00F15043">
        <w:t xml:space="preserve"> at the </w:t>
      </w:r>
      <w:r w:rsidR="00FF6962">
        <w:t>September 200</w:t>
      </w:r>
      <w:r w:rsidR="00522F9B">
        <w:t>6 meeting. At 12 months, actual number of</w:t>
      </w:r>
      <w:r w:rsidR="00F61B16">
        <w:t xml:space="preserve"> PBS</w:t>
      </w:r>
      <w:r w:rsidR="00522F9B">
        <w:t xml:space="preserve"> prescriptions</w:t>
      </w:r>
      <w:r w:rsidR="00F61B16">
        <w:t xml:space="preserve"> of </w:t>
      </w:r>
      <w:proofErr w:type="spellStart"/>
      <w:r w:rsidR="00F61B16">
        <w:t>modafinil</w:t>
      </w:r>
      <w:proofErr w:type="spellEnd"/>
      <w:r w:rsidR="00F61B16">
        <w:t xml:space="preserve"> supplied</w:t>
      </w:r>
      <w:r w:rsidR="00522F9B">
        <w:t xml:space="preserve"> </w:t>
      </w:r>
      <w:r w:rsidR="00F61B16">
        <w:t>was</w:t>
      </w:r>
      <w:r w:rsidR="00522F9B">
        <w:t xml:space="preserve"> </w:t>
      </w:r>
      <w:r w:rsidR="00A4568F">
        <w:rPr>
          <w:highlight w:val="black"/>
        </w:rPr>
        <w:t>xxx</w:t>
      </w:r>
      <w:r w:rsidR="00522F9B">
        <w:t xml:space="preserve"> compared to the predicted </w:t>
      </w:r>
      <w:proofErr w:type="spellStart"/>
      <w:r w:rsidR="00A4568F">
        <w:rPr>
          <w:highlight w:val="black"/>
        </w:rPr>
        <w:t>xxxxx</w:t>
      </w:r>
      <w:proofErr w:type="spellEnd"/>
      <w:r w:rsidR="00522F9B">
        <w:t xml:space="preserve"> prescriptions. D</w:t>
      </w:r>
      <w:r w:rsidR="005E1779">
        <w:t>USC considered</w:t>
      </w:r>
      <w:r w:rsidR="00522F9B">
        <w:t xml:space="preserve"> this justified the concerns raised previously by DUSC regarding difficulties in estimating patient number</w:t>
      </w:r>
      <w:r w:rsidR="005E1779">
        <w:t>s</w:t>
      </w:r>
      <w:r w:rsidR="00522F9B">
        <w:t xml:space="preserve"> for narcolepsy. </w:t>
      </w:r>
      <w:r w:rsidR="005E1779">
        <w:t>DUSC also noted</w:t>
      </w:r>
      <w:r w:rsidR="00522F9B" w:rsidRPr="00522F9B">
        <w:t xml:space="preserve"> that th</w:t>
      </w:r>
      <w:r w:rsidR="00522F9B">
        <w:t>e wording of the restriction was</w:t>
      </w:r>
      <w:r w:rsidR="00522F9B" w:rsidRPr="00522F9B">
        <w:t xml:space="preserve"> effective in limiting uptake to</w:t>
      </w:r>
      <w:r w:rsidR="00BF21C3">
        <w:t xml:space="preserve"> the desired patient population</w:t>
      </w:r>
      <w:r w:rsidR="00522F9B">
        <w:t>.</w:t>
      </w:r>
      <w:r w:rsidR="00522F9B">
        <w:rPr>
          <w:rStyle w:val="FootnoteReference"/>
        </w:rPr>
        <w:footnoteReference w:id="8"/>
      </w:r>
    </w:p>
    <w:p w14:paraId="0312FFEC" w14:textId="5C6A9662" w:rsidR="00E677DD" w:rsidRPr="005E22C2" w:rsidRDefault="00E677DD" w:rsidP="00B92DFF">
      <w:pPr>
        <w:pStyle w:val="Heading1"/>
        <w:spacing w:before="240" w:after="200"/>
      </w:pPr>
      <w:r w:rsidRPr="005E22C2">
        <w:t>Method</w:t>
      </w:r>
      <w:r w:rsidR="001B5D37" w:rsidRPr="005E22C2">
        <w:t>s</w:t>
      </w:r>
    </w:p>
    <w:p w14:paraId="1F5D7F55" w14:textId="2755381C" w:rsidR="00A870F5" w:rsidRDefault="00A870F5" w:rsidP="00E063F9">
      <w:r>
        <w:t>P</w:t>
      </w:r>
      <w:r w:rsidR="00E063F9">
        <w:t xml:space="preserve">rescription data for </w:t>
      </w:r>
      <w:proofErr w:type="spellStart"/>
      <w:r w:rsidR="00E063F9">
        <w:t>armodafinil</w:t>
      </w:r>
      <w:proofErr w:type="spellEnd"/>
      <w:r w:rsidR="00387EAF">
        <w:t xml:space="preserve">, </w:t>
      </w:r>
      <w:proofErr w:type="spellStart"/>
      <w:r w:rsidR="00387EAF">
        <w:t>mo</w:t>
      </w:r>
      <w:r w:rsidR="00051680">
        <w:t>dafinil</w:t>
      </w:r>
      <w:proofErr w:type="spellEnd"/>
      <w:r w:rsidR="00051680">
        <w:t xml:space="preserve"> and </w:t>
      </w:r>
      <w:proofErr w:type="spellStart"/>
      <w:r w:rsidR="00051680">
        <w:t>dexamfetamine</w:t>
      </w:r>
      <w:proofErr w:type="spellEnd"/>
      <w:r w:rsidR="00E063F9">
        <w:t xml:space="preserve"> were extracted from the Department of Human Services (DHS) </w:t>
      </w:r>
      <w:r w:rsidR="007C1A7C">
        <w:t xml:space="preserve">PBS </w:t>
      </w:r>
      <w:r w:rsidR="00E063F9">
        <w:t xml:space="preserve">prescription </w:t>
      </w:r>
      <w:r w:rsidR="007C1A7C">
        <w:t xml:space="preserve">claim </w:t>
      </w:r>
      <w:r w:rsidR="00051680">
        <w:t xml:space="preserve">database for the period </w:t>
      </w:r>
      <w:r w:rsidR="00B95795">
        <w:t>April</w:t>
      </w:r>
      <w:r w:rsidR="00A4431E">
        <w:t xml:space="preserve"> 2005</w:t>
      </w:r>
      <w:r w:rsidR="00B95795">
        <w:t xml:space="preserve"> to February 2019</w:t>
      </w:r>
      <w:r w:rsidR="00051680">
        <w:t xml:space="preserve">, inclusive. </w:t>
      </w:r>
      <w:r w:rsidR="00E063F9">
        <w:t>This database contains data on PBS prescriptions sub</w:t>
      </w:r>
      <w:r w:rsidR="00051680">
        <w:t xml:space="preserve">mitted to DHS for payment of </w:t>
      </w:r>
      <w:proofErr w:type="gramStart"/>
      <w:r w:rsidR="00051680">
        <w:t>a</w:t>
      </w:r>
      <w:proofErr w:type="gramEnd"/>
      <w:r w:rsidR="00051680">
        <w:t xml:space="preserve"> </w:t>
      </w:r>
      <w:r w:rsidR="00E063F9">
        <w:t>R</w:t>
      </w:r>
      <w:r w:rsidR="00051680">
        <w:t>/PBS</w:t>
      </w:r>
      <w:r w:rsidR="00E063F9">
        <w:t xml:space="preserve"> subsidy by the Government</w:t>
      </w:r>
      <w:r w:rsidR="00051680">
        <w:t xml:space="preserve">. </w:t>
      </w:r>
      <w:r>
        <w:t>The prescription data were used to determine the number of</w:t>
      </w:r>
      <w:r w:rsidR="00647564">
        <w:t xml:space="preserve"> prescriptions supplied and for the </w:t>
      </w:r>
      <w:r>
        <w:t>R/PBS expenditure</w:t>
      </w:r>
      <w:r w:rsidR="00CF27DC">
        <w:t xml:space="preserve"> and </w:t>
      </w:r>
      <w:r w:rsidR="00571CE0">
        <w:t>prescriber type</w:t>
      </w:r>
      <w:r w:rsidR="00CF27DC">
        <w:t xml:space="preserve"> </w:t>
      </w:r>
      <w:r w:rsidR="00F25047">
        <w:t xml:space="preserve">analyses. </w:t>
      </w:r>
    </w:p>
    <w:p w14:paraId="2637AD19" w14:textId="55CDE694" w:rsidR="00404414" w:rsidRDefault="00404414" w:rsidP="00E063F9">
      <w:r w:rsidRPr="00404414">
        <w:t>Prescriber type was attributed to the de-identified approval number of the prescriber by the DHS and was based on the major field of specialty, derived from the combination of the current registered specialty and the most Medicare services provided per quarter. Prescribers can work in several different specialties but are allocated by DHS to one major field of specialty per quarter.</w:t>
      </w:r>
    </w:p>
    <w:p w14:paraId="17F276F0" w14:textId="27EB0D74" w:rsidR="00E063F9" w:rsidRDefault="00F25047" w:rsidP="00E063F9">
      <w:r>
        <w:t>The R/PBS prescription data were</w:t>
      </w:r>
      <w:r w:rsidR="004D5C79">
        <w:t xml:space="preserve"> also</w:t>
      </w:r>
      <w:r>
        <w:t xml:space="preserve"> used to determine </w:t>
      </w:r>
      <w:r w:rsidR="00E063F9">
        <w:t>the number of incident</w:t>
      </w:r>
      <w:r>
        <w:t xml:space="preserve"> (new to pharmacological treatment)</w:t>
      </w:r>
      <w:r w:rsidR="00E063F9">
        <w:t xml:space="preserve"> and prevalent</w:t>
      </w:r>
      <w:r>
        <w:t xml:space="preserve"> (number treated)</w:t>
      </w:r>
      <w:r w:rsidR="00E063F9">
        <w:t xml:space="preserve"> patients</w:t>
      </w:r>
      <w:r>
        <w:t xml:space="preserve">. </w:t>
      </w:r>
      <w:r w:rsidR="00E063F9">
        <w:t>Patient counts were based on de-identified unique patient identification numbers (PINs) from the prescription data</w:t>
      </w:r>
      <w:r>
        <w:t xml:space="preserve">. </w:t>
      </w:r>
    </w:p>
    <w:p w14:paraId="58F23B97" w14:textId="380F9B10" w:rsidR="00B12C04" w:rsidRDefault="00CF27DC" w:rsidP="00F25047">
      <w:r>
        <w:t xml:space="preserve">Location and drug sequence analyses were undertaken for all patients supplied </w:t>
      </w:r>
      <w:proofErr w:type="spellStart"/>
      <w:r>
        <w:t>dexamfetamine</w:t>
      </w:r>
      <w:proofErr w:type="spellEnd"/>
      <w:r>
        <w:t xml:space="preserve">, </w:t>
      </w:r>
      <w:proofErr w:type="spellStart"/>
      <w:r>
        <w:t>modafinil</w:t>
      </w:r>
      <w:proofErr w:type="spellEnd"/>
      <w:r>
        <w:t xml:space="preserve"> and </w:t>
      </w:r>
      <w:proofErr w:type="spellStart"/>
      <w:r>
        <w:t>armodafinil</w:t>
      </w:r>
      <w:proofErr w:type="spellEnd"/>
      <w:r>
        <w:t xml:space="preserve">. </w:t>
      </w:r>
      <w:r w:rsidRPr="00CF27DC">
        <w:t>The rate of people supplied narcolepsy therapy standardised per 1,000 population in each state and territory was calculated based on the</w:t>
      </w:r>
      <w:r w:rsidR="0040419F" w:rsidRPr="0040419F">
        <w:t xml:space="preserve"> </w:t>
      </w:r>
      <w:r w:rsidR="0040419F" w:rsidRPr="00CF27DC">
        <w:t>Australian Bureau of Statistics (ABS) Quarterly Population Estimates by State/Territory in September 2018</w:t>
      </w:r>
      <w:r w:rsidR="0040419F">
        <w:t xml:space="preserve"> </w:t>
      </w:r>
      <w:r w:rsidRPr="00CF27DC">
        <w:t>data and the DHS database.</w:t>
      </w:r>
      <w:r>
        <w:t xml:space="preserve"> For the sequence of treatment analysis, u</w:t>
      </w:r>
      <w:r w:rsidR="00051680">
        <w:t xml:space="preserve">nique patient counts were derived </w:t>
      </w:r>
      <w:r w:rsidR="00F25047">
        <w:t>for each sequence of treatment.</w:t>
      </w:r>
    </w:p>
    <w:p w14:paraId="782851E7" w14:textId="2B904175" w:rsidR="00051680" w:rsidRDefault="00051680" w:rsidP="00051680">
      <w:r w:rsidRPr="00051680">
        <w:t xml:space="preserve">As this analysis uses date of supply prescription data, there may be small differences compared with publicly available </w:t>
      </w:r>
      <w:r w:rsidR="00E470BA">
        <w:t>DHS</w:t>
      </w:r>
      <w:r w:rsidRPr="00051680">
        <w:t xml:space="preserve"> Medicare date of processing data. The publicly available DHS Medicare data only includes subsidised R/PBS prescriptions with prescriptions under the pa</w:t>
      </w:r>
      <w:r w:rsidR="00B92DFF">
        <w:t>tient co-payment not included.</w:t>
      </w:r>
    </w:p>
    <w:p w14:paraId="4F91A98A" w14:textId="3793CC65" w:rsidR="00C714D0" w:rsidRPr="005E22C2" w:rsidRDefault="00C714D0" w:rsidP="00B92DFF">
      <w:pPr>
        <w:pStyle w:val="Heading1"/>
        <w:spacing w:before="240" w:after="200"/>
      </w:pPr>
      <w:r w:rsidRPr="005E22C2">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449280D7" w14:textId="52C35057" w:rsidR="00D940E2" w:rsidRDefault="00736041" w:rsidP="005A0CD6">
      <w:pPr>
        <w:pStyle w:val="Heading3"/>
      </w:pPr>
      <w:r w:rsidRPr="005E22C2">
        <w:t>Overall utilisation</w:t>
      </w:r>
    </w:p>
    <w:p w14:paraId="2C2A2A17" w14:textId="5CDE7B42" w:rsidR="00763D6A" w:rsidRPr="0054247D" w:rsidRDefault="0054247D" w:rsidP="0054247D">
      <w:r>
        <w:rPr>
          <w:noProof/>
        </w:rPr>
        <w:drawing>
          <wp:inline distT="0" distB="0" distL="0" distR="0" wp14:anchorId="5C9DEEB0" wp14:editId="2A2D15DA">
            <wp:extent cx="5429250" cy="3638550"/>
            <wp:effectExtent l="0" t="0" r="0" b="0"/>
            <wp:docPr id="2" name="Chart 2" descr="The number of patients incident and prevalent to PBS subsidised narcolepsy therapy in the two years before and the two years after the PBS listing of armodafinil &#10;" title="Number of incident and prevalent patients to narcolepsy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A64AF6" w14:textId="2AC95BCA" w:rsidR="00B12C04" w:rsidRDefault="00467984" w:rsidP="002E5E2F">
      <w:pPr>
        <w:pStyle w:val="Figuretitle"/>
      </w:pPr>
      <w:r w:rsidRPr="005653BF">
        <w:t>Figure</w:t>
      </w:r>
      <w:r w:rsidR="005A0CD6" w:rsidRPr="005653BF">
        <w:t xml:space="preserve"> 1</w:t>
      </w:r>
      <w:r w:rsidR="00B844C4">
        <w:t>: Number of incident</w:t>
      </w:r>
      <w:r w:rsidR="00A461A9" w:rsidRPr="005653BF">
        <w:t xml:space="preserve"> and prevalent patients to narcolepsy therapy</w:t>
      </w:r>
      <w:r w:rsidR="002E5E2F">
        <w:t xml:space="preserve"> (</w:t>
      </w:r>
      <w:proofErr w:type="spellStart"/>
      <w:r w:rsidR="002E5E2F" w:rsidRPr="008339C2">
        <w:t>dexamfetamine</w:t>
      </w:r>
      <w:proofErr w:type="spellEnd"/>
      <w:r w:rsidR="002E5E2F" w:rsidRPr="008339C2">
        <w:t xml:space="preserve">, </w:t>
      </w:r>
      <w:proofErr w:type="spellStart"/>
      <w:r w:rsidR="002E5E2F" w:rsidRPr="008339C2">
        <w:t>modafinil</w:t>
      </w:r>
      <w:proofErr w:type="spellEnd"/>
      <w:r w:rsidR="002E5E2F" w:rsidRPr="008339C2">
        <w:t xml:space="preserve"> and </w:t>
      </w:r>
      <w:proofErr w:type="spellStart"/>
      <w:r w:rsidR="002E5E2F" w:rsidRPr="008339C2">
        <w:t>armodafinil</w:t>
      </w:r>
      <w:proofErr w:type="spellEnd"/>
      <w:r w:rsidR="002E5E2F">
        <w:t>)</w:t>
      </w:r>
    </w:p>
    <w:p w14:paraId="5996E48B" w14:textId="77C0CEA0" w:rsidR="00183B0A" w:rsidRPr="00183B0A" w:rsidRDefault="00183B0A" w:rsidP="00B92DFF">
      <w:pPr>
        <w:pStyle w:val="Figurecaption"/>
        <w:spacing w:before="0" w:after="200"/>
      </w:pPr>
      <w:r>
        <w:t xml:space="preserve">Source: DHS </w:t>
      </w:r>
      <w:r w:rsidR="00D95412">
        <w:t xml:space="preserve">PBS </w:t>
      </w:r>
      <w:r>
        <w:t>prescription database, extracted April 2019</w:t>
      </w:r>
    </w:p>
    <w:p w14:paraId="3ABBC366" w14:textId="15695A62" w:rsidR="008D5088" w:rsidRDefault="00B844C4" w:rsidP="00B92DFF">
      <w:r>
        <w:t>The number of</w:t>
      </w:r>
      <w:r w:rsidR="00F73D08">
        <w:t xml:space="preserve"> </w:t>
      </w:r>
      <w:proofErr w:type="gramStart"/>
      <w:r w:rsidR="00F73D08">
        <w:t>patients</w:t>
      </w:r>
      <w:proofErr w:type="gramEnd"/>
      <w:r>
        <w:t xml:space="preserve"> incident</w:t>
      </w:r>
      <w:r w:rsidR="008D5088" w:rsidRPr="008D5088">
        <w:t xml:space="preserve"> and prevalent</w:t>
      </w:r>
      <w:r w:rsidR="00A75534">
        <w:t xml:space="preserve"> to</w:t>
      </w:r>
      <w:r w:rsidR="008D5088" w:rsidRPr="008D5088">
        <w:t xml:space="preserve"> PBS subsidised narcolepsy therapy in the two years before and the two years after the PBS listing of </w:t>
      </w:r>
      <w:proofErr w:type="spellStart"/>
      <w:r w:rsidR="008D5088" w:rsidRPr="008D5088">
        <w:t>armodafinil</w:t>
      </w:r>
      <w:proofErr w:type="spellEnd"/>
      <w:r w:rsidR="00C87C43">
        <w:t xml:space="preserve"> (1 November 2016)</w:t>
      </w:r>
      <w:r w:rsidR="008D5088" w:rsidRPr="008D5088">
        <w:t xml:space="preserve"> is presented in Figure 1.</w:t>
      </w:r>
    </w:p>
    <w:p w14:paraId="7725443D" w14:textId="4593A5CE" w:rsidR="00B41B5B" w:rsidRDefault="00B41B5B" w:rsidP="00B41B5B">
      <w:pPr>
        <w:tabs>
          <w:tab w:val="left" w:pos="8265"/>
        </w:tabs>
        <w:spacing w:line="276" w:lineRule="auto"/>
      </w:pPr>
      <w:r>
        <w:tab/>
      </w:r>
    </w:p>
    <w:p w14:paraId="57EC56E8" w14:textId="44B5ACAF" w:rsidR="008D5088" w:rsidRDefault="008D5088" w:rsidP="00B41B5B">
      <w:pPr>
        <w:tabs>
          <w:tab w:val="left" w:pos="8265"/>
        </w:tabs>
        <w:spacing w:line="276" w:lineRule="auto"/>
      </w:pPr>
      <w:r w:rsidRPr="00B41B5B">
        <w:br w:type="page"/>
      </w:r>
    </w:p>
    <w:p w14:paraId="27BECA2D" w14:textId="585AF559" w:rsidR="005A0CD6" w:rsidRPr="005A0CD6" w:rsidRDefault="005A0CD6" w:rsidP="00B92DFF">
      <w:pPr>
        <w:pStyle w:val="Tabletitle"/>
        <w:spacing w:before="200"/>
      </w:pPr>
      <w:r>
        <w:t>Table</w:t>
      </w:r>
      <w:r w:rsidR="007E1473">
        <w:t xml:space="preserve"> 4</w:t>
      </w:r>
      <w:r w:rsidR="0054247D">
        <w:t>: Number</w:t>
      </w:r>
      <w:r w:rsidR="00DC2E7A">
        <w:t xml:space="preserve"> and percentage growth</w:t>
      </w:r>
      <w:r w:rsidR="0054247D">
        <w:t xml:space="preserve"> of </w:t>
      </w:r>
      <w:r>
        <w:t>patients</w:t>
      </w:r>
      <w:r w:rsidR="00DC2E7A">
        <w:t xml:space="preserve"> incident and prevalent</w:t>
      </w:r>
      <w:r w:rsidR="00284128">
        <w:t xml:space="preserve"> </w:t>
      </w:r>
      <w:r>
        <w:t xml:space="preserve">to </w:t>
      </w:r>
      <w:r w:rsidR="00107C7E">
        <w:t xml:space="preserve">all </w:t>
      </w:r>
      <w:r>
        <w:t>narcolepsy therapy</w:t>
      </w:r>
      <w:r w:rsidR="007F2151">
        <w:t xml:space="preserve"> </w:t>
      </w:r>
    </w:p>
    <w:tbl>
      <w:tblPr>
        <w:tblStyle w:val="TableGrid"/>
        <w:tblW w:w="7792" w:type="dxa"/>
        <w:tblLook w:val="04A0" w:firstRow="1" w:lastRow="0" w:firstColumn="1" w:lastColumn="0" w:noHBand="0" w:noVBand="1"/>
        <w:tblCaption w:val="Number and percentage growth of patients incident and prevalent to all narcolepsy therapy "/>
        <w:tblDescription w:val="Table 4 shows the number of patients incident and prevalent to narcolepsy therapy per calendar year from 2014 to 2018. "/>
      </w:tblPr>
      <w:tblGrid>
        <w:gridCol w:w="1555"/>
        <w:gridCol w:w="2835"/>
        <w:gridCol w:w="3402"/>
      </w:tblGrid>
      <w:tr w:rsidR="00933842" w:rsidRPr="005A0CD6" w14:paraId="034A9C4A" w14:textId="263B31AD" w:rsidTr="00BD7518">
        <w:trPr>
          <w:trHeight w:val="399"/>
          <w:tblHeader/>
        </w:trPr>
        <w:tc>
          <w:tcPr>
            <w:tcW w:w="1555" w:type="dxa"/>
            <w:shd w:val="clear" w:color="auto" w:fill="D9D9D9" w:themeFill="background1" w:themeFillShade="D9"/>
            <w:vAlign w:val="center"/>
          </w:tcPr>
          <w:p w14:paraId="5D5EED39" w14:textId="77D76D06" w:rsidR="00933842" w:rsidRPr="007F2151" w:rsidRDefault="00933842" w:rsidP="005A0CD6">
            <w:pPr>
              <w:spacing w:before="60" w:after="60"/>
              <w:rPr>
                <w:b/>
                <w:sz w:val="20"/>
                <w:szCs w:val="20"/>
              </w:rPr>
            </w:pPr>
            <w:r>
              <w:rPr>
                <w:b/>
                <w:sz w:val="20"/>
                <w:szCs w:val="20"/>
              </w:rPr>
              <w:t xml:space="preserve">Calendar </w:t>
            </w:r>
            <w:r w:rsidRPr="007F2151">
              <w:rPr>
                <w:b/>
                <w:sz w:val="20"/>
                <w:szCs w:val="20"/>
              </w:rPr>
              <w:t>Year</w:t>
            </w:r>
          </w:p>
        </w:tc>
        <w:tc>
          <w:tcPr>
            <w:tcW w:w="2835" w:type="dxa"/>
            <w:shd w:val="clear" w:color="auto" w:fill="D9D9D9" w:themeFill="background1" w:themeFillShade="D9"/>
          </w:tcPr>
          <w:p w14:paraId="5C1D2AF0" w14:textId="4ABA2E16" w:rsidR="006B3B18" w:rsidRDefault="00933842" w:rsidP="00A75534">
            <w:pPr>
              <w:spacing w:before="60" w:after="60"/>
              <w:jc w:val="center"/>
              <w:rPr>
                <w:b/>
                <w:sz w:val="20"/>
                <w:szCs w:val="20"/>
              </w:rPr>
            </w:pPr>
            <w:r w:rsidRPr="007F2151">
              <w:rPr>
                <w:b/>
                <w:sz w:val="20"/>
                <w:szCs w:val="20"/>
              </w:rPr>
              <w:t>Prevalent patients</w:t>
            </w:r>
          </w:p>
          <w:p w14:paraId="1DC139C3" w14:textId="7B99F371" w:rsidR="00933842" w:rsidRPr="007F2151" w:rsidRDefault="00933842" w:rsidP="00A75534">
            <w:pPr>
              <w:spacing w:before="60" w:after="60"/>
              <w:jc w:val="center"/>
              <w:rPr>
                <w:b/>
                <w:sz w:val="20"/>
                <w:szCs w:val="20"/>
              </w:rPr>
            </w:pPr>
            <w:r w:rsidRPr="007F2151">
              <w:rPr>
                <w:b/>
                <w:sz w:val="20"/>
                <w:szCs w:val="20"/>
              </w:rPr>
              <w:t>(% growth</w:t>
            </w:r>
            <w:r w:rsidR="006B3B18">
              <w:rPr>
                <w:b/>
                <w:sz w:val="20"/>
                <w:szCs w:val="20"/>
              </w:rPr>
              <w:t xml:space="preserve"> from previous year </w:t>
            </w:r>
            <w:r w:rsidRPr="007F2151">
              <w:rPr>
                <w:b/>
                <w:sz w:val="20"/>
                <w:szCs w:val="20"/>
              </w:rPr>
              <w:t>)</w:t>
            </w:r>
          </w:p>
        </w:tc>
        <w:tc>
          <w:tcPr>
            <w:tcW w:w="3402" w:type="dxa"/>
            <w:shd w:val="clear" w:color="auto" w:fill="D9D9D9" w:themeFill="background1" w:themeFillShade="D9"/>
          </w:tcPr>
          <w:p w14:paraId="75AC1AB8" w14:textId="6386D742" w:rsidR="006B3B18" w:rsidRDefault="00B844C4" w:rsidP="00A75534">
            <w:pPr>
              <w:spacing w:before="60" w:after="60"/>
              <w:jc w:val="center"/>
              <w:rPr>
                <w:b/>
                <w:sz w:val="20"/>
                <w:szCs w:val="20"/>
              </w:rPr>
            </w:pPr>
            <w:r>
              <w:rPr>
                <w:b/>
                <w:sz w:val="20"/>
                <w:szCs w:val="20"/>
              </w:rPr>
              <w:t>Incident</w:t>
            </w:r>
            <w:r w:rsidR="00933842" w:rsidRPr="007F2151">
              <w:rPr>
                <w:b/>
                <w:sz w:val="20"/>
                <w:szCs w:val="20"/>
              </w:rPr>
              <w:t xml:space="preserve"> patients</w:t>
            </w:r>
          </w:p>
          <w:p w14:paraId="07D6FA50" w14:textId="3F2C3BA7" w:rsidR="00933842" w:rsidRPr="007F2151" w:rsidRDefault="00933842" w:rsidP="00A75534">
            <w:pPr>
              <w:spacing w:before="60" w:after="60"/>
              <w:jc w:val="center"/>
              <w:rPr>
                <w:b/>
                <w:sz w:val="20"/>
                <w:szCs w:val="20"/>
              </w:rPr>
            </w:pPr>
            <w:r w:rsidRPr="007F2151">
              <w:rPr>
                <w:b/>
                <w:sz w:val="20"/>
                <w:szCs w:val="20"/>
              </w:rPr>
              <w:t>(% growth</w:t>
            </w:r>
            <w:r w:rsidR="006B3B18">
              <w:rPr>
                <w:b/>
                <w:sz w:val="20"/>
                <w:szCs w:val="20"/>
              </w:rPr>
              <w:t xml:space="preserve"> from previous year</w:t>
            </w:r>
            <w:r w:rsidRPr="007F2151">
              <w:rPr>
                <w:b/>
                <w:sz w:val="20"/>
                <w:szCs w:val="20"/>
              </w:rPr>
              <w:t>)</w:t>
            </w:r>
          </w:p>
        </w:tc>
      </w:tr>
      <w:tr w:rsidR="00933842" w:rsidRPr="005A0CD6" w14:paraId="5EA8C987" w14:textId="77777777" w:rsidTr="00A75534">
        <w:trPr>
          <w:trHeight w:val="762"/>
        </w:trPr>
        <w:tc>
          <w:tcPr>
            <w:tcW w:w="1555" w:type="dxa"/>
            <w:vAlign w:val="center"/>
          </w:tcPr>
          <w:p w14:paraId="2661C131" w14:textId="34D0F5D0" w:rsidR="00933842" w:rsidRPr="007F2151" w:rsidRDefault="00933842" w:rsidP="00A75534">
            <w:pPr>
              <w:spacing w:before="60" w:after="60"/>
              <w:jc w:val="center"/>
              <w:rPr>
                <w:b/>
                <w:sz w:val="20"/>
                <w:szCs w:val="20"/>
              </w:rPr>
            </w:pPr>
            <w:r>
              <w:rPr>
                <w:b/>
                <w:sz w:val="20"/>
                <w:szCs w:val="20"/>
              </w:rPr>
              <w:t>2014</w:t>
            </w:r>
          </w:p>
        </w:tc>
        <w:tc>
          <w:tcPr>
            <w:tcW w:w="2835" w:type="dxa"/>
            <w:vAlign w:val="center"/>
          </w:tcPr>
          <w:p w14:paraId="3E00E845" w14:textId="64D76558" w:rsidR="00933842" w:rsidRPr="00D84B63" w:rsidRDefault="00933842" w:rsidP="00A75534">
            <w:pPr>
              <w:pStyle w:val="Tablewriting"/>
              <w:jc w:val="center"/>
            </w:pPr>
            <w:r w:rsidRPr="00D84B63">
              <w:t>5</w:t>
            </w:r>
            <w:r w:rsidR="00A75534">
              <w:t>,</w:t>
            </w:r>
            <w:r w:rsidRPr="00D84B63">
              <w:t>258</w:t>
            </w:r>
          </w:p>
        </w:tc>
        <w:tc>
          <w:tcPr>
            <w:tcW w:w="3402" w:type="dxa"/>
            <w:vAlign w:val="center"/>
          </w:tcPr>
          <w:p w14:paraId="3E019B1F" w14:textId="1ADB6737" w:rsidR="00933842" w:rsidRPr="00D84B63" w:rsidRDefault="00933842" w:rsidP="00A75534">
            <w:pPr>
              <w:pStyle w:val="Tablewriting"/>
              <w:jc w:val="center"/>
            </w:pPr>
            <w:r w:rsidRPr="00D84B63">
              <w:t>1</w:t>
            </w:r>
            <w:r w:rsidR="00A75534">
              <w:t>,</w:t>
            </w:r>
            <w:r w:rsidRPr="00D84B63">
              <w:t>062</w:t>
            </w:r>
          </w:p>
        </w:tc>
      </w:tr>
      <w:tr w:rsidR="00933842" w:rsidRPr="005A0CD6" w14:paraId="6F118108" w14:textId="7DC69572" w:rsidTr="00A75534">
        <w:trPr>
          <w:trHeight w:val="762"/>
        </w:trPr>
        <w:tc>
          <w:tcPr>
            <w:tcW w:w="1555" w:type="dxa"/>
            <w:vAlign w:val="center"/>
          </w:tcPr>
          <w:p w14:paraId="605A8784" w14:textId="704CF2AC" w:rsidR="00933842" w:rsidRPr="007F2151" w:rsidRDefault="00933842" w:rsidP="00A75534">
            <w:pPr>
              <w:spacing w:before="60" w:after="60"/>
              <w:jc w:val="center"/>
              <w:rPr>
                <w:b/>
                <w:sz w:val="20"/>
                <w:szCs w:val="20"/>
              </w:rPr>
            </w:pPr>
            <w:r w:rsidRPr="007F2151">
              <w:rPr>
                <w:b/>
                <w:sz w:val="20"/>
                <w:szCs w:val="20"/>
              </w:rPr>
              <w:t>2015</w:t>
            </w:r>
          </w:p>
        </w:tc>
        <w:tc>
          <w:tcPr>
            <w:tcW w:w="2835" w:type="dxa"/>
            <w:vAlign w:val="center"/>
          </w:tcPr>
          <w:p w14:paraId="54B77997" w14:textId="7C490E3E" w:rsidR="00933842" w:rsidRPr="00D84B63" w:rsidRDefault="00B844C4" w:rsidP="00A75534">
            <w:pPr>
              <w:pStyle w:val="Tablewriting"/>
              <w:jc w:val="center"/>
            </w:pPr>
            <w:r>
              <w:t>5</w:t>
            </w:r>
            <w:r w:rsidR="00A75534">
              <w:t>,</w:t>
            </w:r>
            <w:r>
              <w:t>804 (10.38</w:t>
            </w:r>
            <w:r w:rsidR="00933842" w:rsidRPr="00D84B63">
              <w:t>%)</w:t>
            </w:r>
          </w:p>
        </w:tc>
        <w:tc>
          <w:tcPr>
            <w:tcW w:w="3402" w:type="dxa"/>
            <w:vAlign w:val="center"/>
          </w:tcPr>
          <w:p w14:paraId="7EFDB7AD" w14:textId="0F25ABBB" w:rsidR="00933842" w:rsidRPr="00D84B63" w:rsidRDefault="00F34723" w:rsidP="00A75534">
            <w:pPr>
              <w:pStyle w:val="Tablewriting"/>
              <w:jc w:val="center"/>
            </w:pPr>
            <w:r>
              <w:t>1</w:t>
            </w:r>
            <w:r w:rsidR="00A75534">
              <w:t>,</w:t>
            </w:r>
            <w:r>
              <w:t>210 (13.94</w:t>
            </w:r>
            <w:r w:rsidR="00933842" w:rsidRPr="00D84B63">
              <w:t>%)</w:t>
            </w:r>
          </w:p>
        </w:tc>
      </w:tr>
      <w:tr w:rsidR="00933842" w:rsidRPr="005A0CD6" w14:paraId="0F5DF375" w14:textId="73C8C0F8" w:rsidTr="00A75534">
        <w:trPr>
          <w:trHeight w:val="762"/>
        </w:trPr>
        <w:tc>
          <w:tcPr>
            <w:tcW w:w="1555" w:type="dxa"/>
            <w:vAlign w:val="center"/>
          </w:tcPr>
          <w:p w14:paraId="762E448F" w14:textId="58E773CC" w:rsidR="00933842" w:rsidRPr="007F2151" w:rsidRDefault="00933842" w:rsidP="00A75534">
            <w:pPr>
              <w:spacing w:before="60" w:after="60"/>
              <w:jc w:val="center"/>
              <w:rPr>
                <w:b/>
                <w:sz w:val="20"/>
                <w:szCs w:val="20"/>
              </w:rPr>
            </w:pPr>
            <w:r w:rsidRPr="007F2151">
              <w:rPr>
                <w:b/>
                <w:sz w:val="20"/>
                <w:szCs w:val="20"/>
              </w:rPr>
              <w:t>2016</w:t>
            </w:r>
          </w:p>
        </w:tc>
        <w:tc>
          <w:tcPr>
            <w:tcW w:w="2835" w:type="dxa"/>
            <w:vAlign w:val="center"/>
          </w:tcPr>
          <w:p w14:paraId="7E4FA5E1" w14:textId="00B2954B" w:rsidR="00933842" w:rsidRPr="00D84B63" w:rsidRDefault="00B844C4" w:rsidP="00A75534">
            <w:pPr>
              <w:pStyle w:val="Tablewriting"/>
              <w:jc w:val="center"/>
            </w:pPr>
            <w:r>
              <w:t>6</w:t>
            </w:r>
            <w:r w:rsidR="00A75534">
              <w:t>,</w:t>
            </w:r>
            <w:r>
              <w:t>449 (11.11</w:t>
            </w:r>
            <w:r w:rsidR="00933842" w:rsidRPr="00D84B63">
              <w:t>%)</w:t>
            </w:r>
          </w:p>
        </w:tc>
        <w:tc>
          <w:tcPr>
            <w:tcW w:w="3402" w:type="dxa"/>
            <w:vAlign w:val="center"/>
          </w:tcPr>
          <w:p w14:paraId="3FE355C3" w14:textId="32F56AA1" w:rsidR="00933842" w:rsidRPr="00D84B63" w:rsidRDefault="00F34723" w:rsidP="00A75534">
            <w:pPr>
              <w:pStyle w:val="Tablewriting"/>
              <w:jc w:val="center"/>
            </w:pPr>
            <w:r>
              <w:t>1</w:t>
            </w:r>
            <w:r w:rsidR="00A75534">
              <w:t>,</w:t>
            </w:r>
            <w:r>
              <w:t>293 (6.86</w:t>
            </w:r>
            <w:r w:rsidR="00933842" w:rsidRPr="00D84B63">
              <w:t>%)</w:t>
            </w:r>
          </w:p>
        </w:tc>
      </w:tr>
      <w:tr w:rsidR="00933842" w:rsidRPr="005A0CD6" w14:paraId="75ABB272" w14:textId="49DB7ABD" w:rsidTr="00A75534">
        <w:trPr>
          <w:trHeight w:val="762"/>
        </w:trPr>
        <w:tc>
          <w:tcPr>
            <w:tcW w:w="1555" w:type="dxa"/>
            <w:vAlign w:val="center"/>
          </w:tcPr>
          <w:p w14:paraId="242E3411" w14:textId="2EA885B3" w:rsidR="00933842" w:rsidRPr="007F2151" w:rsidRDefault="00933842" w:rsidP="00A75534">
            <w:pPr>
              <w:spacing w:before="60" w:after="60"/>
              <w:jc w:val="center"/>
              <w:rPr>
                <w:b/>
                <w:sz w:val="20"/>
                <w:szCs w:val="20"/>
              </w:rPr>
            </w:pPr>
            <w:r w:rsidRPr="007F2151">
              <w:rPr>
                <w:b/>
                <w:sz w:val="20"/>
                <w:szCs w:val="20"/>
              </w:rPr>
              <w:t>2017</w:t>
            </w:r>
          </w:p>
        </w:tc>
        <w:tc>
          <w:tcPr>
            <w:tcW w:w="2835" w:type="dxa"/>
            <w:vAlign w:val="center"/>
          </w:tcPr>
          <w:p w14:paraId="7E11BE47" w14:textId="4A8ACFC0" w:rsidR="00933842" w:rsidRPr="00D84B63" w:rsidRDefault="00B844C4" w:rsidP="00A75534">
            <w:pPr>
              <w:pStyle w:val="Tablewriting"/>
              <w:jc w:val="center"/>
            </w:pPr>
            <w:r>
              <w:t>7</w:t>
            </w:r>
            <w:r w:rsidR="00A75534">
              <w:t>,</w:t>
            </w:r>
            <w:r>
              <w:t>256 (12.51</w:t>
            </w:r>
            <w:r w:rsidR="00933842" w:rsidRPr="00D84B63">
              <w:t>%)</w:t>
            </w:r>
          </w:p>
        </w:tc>
        <w:tc>
          <w:tcPr>
            <w:tcW w:w="3402" w:type="dxa"/>
            <w:vAlign w:val="center"/>
          </w:tcPr>
          <w:p w14:paraId="0639E24F" w14:textId="1742C079" w:rsidR="00933842" w:rsidRPr="00D84B63" w:rsidRDefault="00F34723" w:rsidP="00A75534">
            <w:pPr>
              <w:pStyle w:val="Tablewriting"/>
              <w:jc w:val="center"/>
            </w:pPr>
            <w:r>
              <w:t>1</w:t>
            </w:r>
            <w:r w:rsidR="00A75534">
              <w:t>,</w:t>
            </w:r>
            <w:r>
              <w:t>506 (16.47</w:t>
            </w:r>
            <w:r w:rsidR="00933842" w:rsidRPr="00D84B63">
              <w:t>%)</w:t>
            </w:r>
          </w:p>
        </w:tc>
      </w:tr>
      <w:tr w:rsidR="00933842" w:rsidRPr="005A0CD6" w14:paraId="30267A97" w14:textId="202A5B62" w:rsidTr="00A75534">
        <w:trPr>
          <w:trHeight w:val="762"/>
        </w:trPr>
        <w:tc>
          <w:tcPr>
            <w:tcW w:w="1555" w:type="dxa"/>
            <w:vAlign w:val="center"/>
          </w:tcPr>
          <w:p w14:paraId="76FEE35C" w14:textId="1649D0DB" w:rsidR="00933842" w:rsidRPr="007F2151" w:rsidRDefault="00933842" w:rsidP="00A75534">
            <w:pPr>
              <w:spacing w:before="60" w:after="60"/>
              <w:jc w:val="center"/>
              <w:rPr>
                <w:b/>
                <w:sz w:val="20"/>
                <w:szCs w:val="20"/>
              </w:rPr>
            </w:pPr>
            <w:r w:rsidRPr="007F2151">
              <w:rPr>
                <w:b/>
                <w:sz w:val="20"/>
                <w:szCs w:val="20"/>
              </w:rPr>
              <w:t>2018</w:t>
            </w:r>
          </w:p>
        </w:tc>
        <w:tc>
          <w:tcPr>
            <w:tcW w:w="2835" w:type="dxa"/>
            <w:vAlign w:val="center"/>
          </w:tcPr>
          <w:p w14:paraId="4C044F3F" w14:textId="53FA22F3" w:rsidR="00933842" w:rsidRPr="00D84B63" w:rsidRDefault="00B844C4" w:rsidP="00A75534">
            <w:pPr>
              <w:pStyle w:val="Tablewriting"/>
              <w:jc w:val="center"/>
            </w:pPr>
            <w:r>
              <w:t>8</w:t>
            </w:r>
            <w:r w:rsidR="00A75534">
              <w:t>,</w:t>
            </w:r>
            <w:r>
              <w:t>454 (16.51</w:t>
            </w:r>
            <w:r w:rsidR="00933842" w:rsidRPr="00D84B63">
              <w:t>%)</w:t>
            </w:r>
          </w:p>
        </w:tc>
        <w:tc>
          <w:tcPr>
            <w:tcW w:w="3402" w:type="dxa"/>
            <w:vAlign w:val="center"/>
          </w:tcPr>
          <w:p w14:paraId="63B84B1D" w14:textId="4BBA5233" w:rsidR="00933842" w:rsidRPr="00D84B63" w:rsidRDefault="00F34723" w:rsidP="00A75534">
            <w:pPr>
              <w:pStyle w:val="Tablewriting"/>
              <w:jc w:val="center"/>
            </w:pPr>
            <w:r>
              <w:t>2</w:t>
            </w:r>
            <w:r w:rsidR="00A75534">
              <w:t>,</w:t>
            </w:r>
            <w:r>
              <w:t>047 (35.92</w:t>
            </w:r>
            <w:r w:rsidR="00933842" w:rsidRPr="00D84B63">
              <w:t>%)</w:t>
            </w:r>
          </w:p>
        </w:tc>
      </w:tr>
    </w:tbl>
    <w:p w14:paraId="1C4F0F67" w14:textId="704FFA4D" w:rsidR="00183B0A" w:rsidRPr="00183B0A" w:rsidRDefault="00183B0A" w:rsidP="009D0517">
      <w:pPr>
        <w:pStyle w:val="Tablewriting"/>
        <w:spacing w:before="0" w:after="200"/>
      </w:pPr>
      <w:r>
        <w:t xml:space="preserve">Source: DHS </w:t>
      </w:r>
      <w:r w:rsidR="007D15AD">
        <w:t xml:space="preserve">PBS </w:t>
      </w:r>
      <w:r>
        <w:t>prescription database, extracted April 2019</w:t>
      </w:r>
    </w:p>
    <w:p w14:paraId="1557877E" w14:textId="16CDB500" w:rsidR="008D5088" w:rsidRDefault="008D5088" w:rsidP="009D0517">
      <w:r>
        <w:t xml:space="preserve">Table </w:t>
      </w:r>
      <w:r w:rsidR="00DF54A8">
        <w:t xml:space="preserve">4 shows the number of </w:t>
      </w:r>
      <w:r>
        <w:t>patients</w:t>
      </w:r>
      <w:r w:rsidR="00DC2E7A">
        <w:t xml:space="preserve"> incident and prevalent</w:t>
      </w:r>
      <w:r w:rsidR="00284128">
        <w:t xml:space="preserve"> </w:t>
      </w:r>
      <w:r w:rsidR="00A75534">
        <w:t>to</w:t>
      </w:r>
      <w:r>
        <w:t xml:space="preserve"> narcolepsy therapy per calendar year from 2014 to 2018. </w:t>
      </w:r>
      <w:r w:rsidR="007F2151">
        <w:t>The</w:t>
      </w:r>
      <w:r w:rsidR="00C87C43">
        <w:t xml:space="preserve"> total</w:t>
      </w:r>
      <w:r w:rsidR="007F2151">
        <w:t xml:space="preserve"> num</w:t>
      </w:r>
      <w:r w:rsidR="00C87C43">
        <w:t>ber of patients on</w:t>
      </w:r>
      <w:r w:rsidR="00DF54A8">
        <w:t xml:space="preserve"> therapy for</w:t>
      </w:r>
      <w:r w:rsidR="00C87C43">
        <w:t xml:space="preserve"> narcolepsy</w:t>
      </w:r>
      <w:r w:rsidR="00DC2E7A">
        <w:t xml:space="preserve"> </w:t>
      </w:r>
      <w:r w:rsidR="00DF54A8">
        <w:t xml:space="preserve">increased </w:t>
      </w:r>
      <w:r w:rsidR="00C87C43">
        <w:t xml:space="preserve">over the </w:t>
      </w:r>
      <w:r w:rsidR="00036927">
        <w:t>four-year</w:t>
      </w:r>
      <w:r w:rsidR="00C87C43">
        <w:t xml:space="preserve"> </w:t>
      </w:r>
      <w:r w:rsidR="00DF54A8">
        <w:t>period. The number of incident</w:t>
      </w:r>
      <w:r w:rsidR="00C87C43">
        <w:t xml:space="preserve"> patien</w:t>
      </w:r>
      <w:r w:rsidR="00DF54A8">
        <w:t>ts to narcolepsy therapy</w:t>
      </w:r>
      <w:r w:rsidR="00DC2E7A">
        <w:t xml:space="preserve"> </w:t>
      </w:r>
      <w:r w:rsidR="00DF54A8">
        <w:t>also increased</w:t>
      </w:r>
      <w:r w:rsidR="007E1473">
        <w:t xml:space="preserve"> </w:t>
      </w:r>
      <w:r w:rsidR="00C87C43">
        <w:t>over the same period</w:t>
      </w:r>
      <w:r w:rsidR="00DC2E7A">
        <w:t>,</w:t>
      </w:r>
      <w:r w:rsidR="00C87C43">
        <w:t xml:space="preserve"> with a </w:t>
      </w:r>
      <w:r w:rsidR="00DF54A8">
        <w:t>35.9%</w:t>
      </w:r>
      <w:r w:rsidR="006B3B18">
        <w:t xml:space="preserve"> increase</w:t>
      </w:r>
      <w:r w:rsidR="0054247D">
        <w:t xml:space="preserve"> in the number of incident</w:t>
      </w:r>
      <w:r w:rsidR="005653BF">
        <w:t xml:space="preserve"> patients between 2017 and 2018.</w:t>
      </w:r>
    </w:p>
    <w:p w14:paraId="1802796C" w14:textId="3D6B07D4" w:rsidR="007F2151" w:rsidRPr="007F2151" w:rsidRDefault="008D5088" w:rsidP="008D5088">
      <w:pPr>
        <w:spacing w:line="276" w:lineRule="auto"/>
      </w:pPr>
      <w:r>
        <w:br w:type="page"/>
      </w:r>
    </w:p>
    <w:p w14:paraId="63879171" w14:textId="171D4284" w:rsidR="00763D6A" w:rsidRDefault="00306EB4" w:rsidP="00306EB4">
      <w:pPr>
        <w:pStyle w:val="Heading3"/>
      </w:pPr>
      <w:r>
        <w:t>Changes in the use of other drugs</w:t>
      </w:r>
    </w:p>
    <w:p w14:paraId="588D9293" w14:textId="4EB228CA" w:rsidR="00C44591" w:rsidRDefault="00036927" w:rsidP="00C44591">
      <w:r>
        <w:rPr>
          <w:noProof/>
        </w:rPr>
        <w:drawing>
          <wp:inline distT="0" distB="0" distL="0" distR="0" wp14:anchorId="23D39A09" wp14:editId="3206ACEF">
            <wp:extent cx="5457825" cy="3705225"/>
            <wp:effectExtent l="0" t="0" r="9525" b="9525"/>
            <wp:docPr id="3" name="Chart 3" descr="Figure 2 illustrates the use of PBS listed medicines for narcolepsy since the first quarter of 2015. Dexamfetamine was the most used drug for narcolepsy by prescription volume over the period. The listing of armodafinil appears to have increased the total market" title="Number of PBS/RPBS dexamfetamine, modafinil and armodafinil prescriptions supplied per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BDD103" w14:textId="1AD35F53" w:rsidR="00C44591" w:rsidRDefault="00C44591" w:rsidP="001323D3">
      <w:pPr>
        <w:pStyle w:val="Figuretitle"/>
      </w:pPr>
      <w:r w:rsidRPr="008339C2">
        <w:t>Figure</w:t>
      </w:r>
      <w:r w:rsidR="004A4F79">
        <w:t xml:space="preserve"> 2</w:t>
      </w:r>
      <w:r w:rsidRPr="008339C2">
        <w:t xml:space="preserve">: Number of PBS/RPBS </w:t>
      </w:r>
      <w:proofErr w:type="spellStart"/>
      <w:r w:rsidRPr="008339C2">
        <w:t>dexamfetamine</w:t>
      </w:r>
      <w:proofErr w:type="spellEnd"/>
      <w:r w:rsidRPr="008339C2">
        <w:t xml:space="preserve">, </w:t>
      </w:r>
      <w:proofErr w:type="spellStart"/>
      <w:r w:rsidRPr="008339C2">
        <w:t>modafinil</w:t>
      </w:r>
      <w:proofErr w:type="spellEnd"/>
      <w:r w:rsidRPr="008339C2">
        <w:t xml:space="preserve"> and </w:t>
      </w:r>
      <w:proofErr w:type="spellStart"/>
      <w:r w:rsidRPr="008339C2">
        <w:t>armodafinil</w:t>
      </w:r>
      <w:proofErr w:type="spellEnd"/>
      <w:r w:rsidRPr="008339C2">
        <w:t xml:space="preserve"> prescriptions supplied per quarter</w:t>
      </w:r>
    </w:p>
    <w:p w14:paraId="3DE0BB65" w14:textId="77777777" w:rsidR="00183B0A" w:rsidRPr="00183B0A" w:rsidRDefault="00183B0A" w:rsidP="001323D3">
      <w:pPr>
        <w:pStyle w:val="Figurecaption"/>
      </w:pPr>
      <w:r>
        <w:t>Source: DHS prescription database, extracted April 2019</w:t>
      </w:r>
    </w:p>
    <w:p w14:paraId="5BD99224" w14:textId="77777777" w:rsidR="00F21675" w:rsidRDefault="00F21675" w:rsidP="00C44591">
      <w:pPr>
        <w:spacing w:before="60" w:after="60"/>
      </w:pPr>
    </w:p>
    <w:p w14:paraId="600863D0" w14:textId="08BD4552" w:rsidR="00C44591" w:rsidRDefault="00C44591" w:rsidP="009D0517">
      <w:r>
        <w:t>Figure</w:t>
      </w:r>
      <w:r w:rsidR="00C2615B">
        <w:t xml:space="preserve"> 2</w:t>
      </w:r>
      <w:r>
        <w:t xml:space="preserve"> illustrates the use of PBS listed medicines for narcolepsy since the </w:t>
      </w:r>
      <w:r w:rsidR="00036927">
        <w:t>first</w:t>
      </w:r>
      <w:r>
        <w:t xml:space="preserve"> quarter of 201</w:t>
      </w:r>
      <w:r w:rsidR="00036927">
        <w:t>5</w:t>
      </w:r>
      <w:r>
        <w:t xml:space="preserve">. </w:t>
      </w:r>
      <w:proofErr w:type="spellStart"/>
      <w:r>
        <w:t>Dexamfetamine</w:t>
      </w:r>
      <w:proofErr w:type="spellEnd"/>
      <w:r w:rsidR="00851294">
        <w:t xml:space="preserve"> was</w:t>
      </w:r>
      <w:r w:rsidR="001323D3">
        <w:t xml:space="preserve"> </w:t>
      </w:r>
      <w:r>
        <w:t>the most used drug for narcolepsy by prescription volume</w:t>
      </w:r>
      <w:r w:rsidR="00851294">
        <w:t xml:space="preserve"> over the period</w:t>
      </w:r>
      <w:r>
        <w:t>. The listing</w:t>
      </w:r>
      <w:r w:rsidR="004A612F">
        <w:t xml:space="preserve"> of</w:t>
      </w:r>
      <w:r>
        <w:t xml:space="preserve"> </w:t>
      </w:r>
      <w:proofErr w:type="spellStart"/>
      <w:r>
        <w:t>armodafinil</w:t>
      </w:r>
      <w:proofErr w:type="spellEnd"/>
      <w:r>
        <w:t xml:space="preserve"> appears to have increased the total market.</w:t>
      </w:r>
    </w:p>
    <w:p w14:paraId="18315C53" w14:textId="6081331E" w:rsidR="00C44591" w:rsidRPr="00C44591" w:rsidRDefault="00C44591" w:rsidP="00C44591"/>
    <w:p w14:paraId="2C9F9498" w14:textId="46A3B97E" w:rsidR="00763D6A" w:rsidRDefault="00763D6A" w:rsidP="008339C2">
      <w:pPr>
        <w:spacing w:before="60" w:after="60"/>
        <w:rPr>
          <w:b/>
        </w:rPr>
      </w:pPr>
      <w:r>
        <w:rPr>
          <w:noProof/>
        </w:rPr>
        <w:lastRenderedPageBreak/>
        <w:drawing>
          <wp:inline distT="0" distB="0" distL="0" distR="0" wp14:anchorId="0DB7CAB6" wp14:editId="06729EDA">
            <wp:extent cx="5505450" cy="3695700"/>
            <wp:effectExtent l="0" t="0" r="0" b="0"/>
            <wp:docPr id="4" name="Chart 4" descr="Figure 3 depicts the number of patients supplied each narcolepsy medicine by quarter, from the first quarter of 2015 to fourth quarter 2018. " title="Figure 3: Prevalent patients by drug b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19D513" w14:textId="4213FB6F" w:rsidR="00763D6A" w:rsidRDefault="00763D6A" w:rsidP="001323D3">
      <w:pPr>
        <w:pStyle w:val="Figuretitle"/>
      </w:pPr>
      <w:r w:rsidRPr="00763D6A">
        <w:t>Figure</w:t>
      </w:r>
      <w:r w:rsidR="008D5088">
        <w:t xml:space="preserve"> 3</w:t>
      </w:r>
      <w:r w:rsidRPr="00763D6A">
        <w:t xml:space="preserve">: </w:t>
      </w:r>
      <w:r>
        <w:t>Prevalent patients by drug by quarter</w:t>
      </w:r>
    </w:p>
    <w:p w14:paraId="5B96DE95" w14:textId="76B54DD3" w:rsidR="00183B0A" w:rsidRPr="00183B0A" w:rsidRDefault="00183B0A" w:rsidP="009D0517">
      <w:pPr>
        <w:pStyle w:val="Figurecaption"/>
        <w:spacing w:before="0" w:after="200"/>
      </w:pPr>
      <w:r>
        <w:t xml:space="preserve">Source: DHS </w:t>
      </w:r>
      <w:r w:rsidR="003172E3">
        <w:t xml:space="preserve">PBS </w:t>
      </w:r>
      <w:r>
        <w:t>prescription database, extracted April 2019</w:t>
      </w:r>
    </w:p>
    <w:p w14:paraId="7173CC15" w14:textId="6FE666A9" w:rsidR="00306EB4" w:rsidRDefault="00306EB4" w:rsidP="008339C2">
      <w:pPr>
        <w:spacing w:before="60" w:after="60"/>
        <w:rPr>
          <w:b/>
        </w:rPr>
      </w:pPr>
    </w:p>
    <w:p w14:paraId="74FD59E0" w14:textId="53EF8177" w:rsidR="00F976E0" w:rsidRDefault="00C87C43" w:rsidP="009D0517">
      <w:r>
        <w:t>F</w:t>
      </w:r>
      <w:r w:rsidR="00EC13FC">
        <w:t>igure 3</w:t>
      </w:r>
      <w:r>
        <w:t xml:space="preserve"> depicts the </w:t>
      </w:r>
      <w:r w:rsidR="001E79F5">
        <w:t xml:space="preserve">number </w:t>
      </w:r>
      <w:r>
        <w:t>of patients</w:t>
      </w:r>
      <w:r w:rsidR="00E428D1">
        <w:t xml:space="preserve"> </w:t>
      </w:r>
      <w:r w:rsidR="001E79F5">
        <w:t>supplied</w:t>
      </w:r>
      <w:r w:rsidR="00E428D1">
        <w:t xml:space="preserve"> each narcolepsy medicine </w:t>
      </w:r>
      <w:r w:rsidR="001E79F5">
        <w:t xml:space="preserve">by quarter, </w:t>
      </w:r>
      <w:r w:rsidR="00EC13FC">
        <w:t>from the first quarter of 2015 to fourth quarter 2018. Patients</w:t>
      </w:r>
      <w:r w:rsidR="001D7957">
        <w:t xml:space="preserve"> may</w:t>
      </w:r>
      <w:r w:rsidR="001E79F5">
        <w:t xml:space="preserve"> </w:t>
      </w:r>
      <w:r w:rsidR="001D7957">
        <w:t>be double</w:t>
      </w:r>
      <w:r w:rsidR="001E79F5">
        <w:noBreakHyphen/>
      </w:r>
      <w:r w:rsidR="001D7957">
        <w:t>counted if</w:t>
      </w:r>
      <w:r w:rsidR="00EC13FC">
        <w:t xml:space="preserve"> they are supplied more than one narcolepsy medicine in the same quarter. </w:t>
      </w:r>
      <w:proofErr w:type="spellStart"/>
      <w:r w:rsidR="00EC13FC">
        <w:t>Dexamfetamine</w:t>
      </w:r>
      <w:proofErr w:type="spellEnd"/>
      <w:r w:rsidR="00EC13FC">
        <w:t xml:space="preserve"> was the most commonly supplied narcolepsy medicine over this period</w:t>
      </w:r>
      <w:r w:rsidR="001E79F5">
        <w:t xml:space="preserve">. The number of patients supplied </w:t>
      </w:r>
      <w:proofErr w:type="spellStart"/>
      <w:r w:rsidR="001E79F5">
        <w:t>dex</w:t>
      </w:r>
      <w:r w:rsidR="00712A4F">
        <w:t>amfetamine</w:t>
      </w:r>
      <w:proofErr w:type="spellEnd"/>
      <w:r w:rsidR="00712A4F">
        <w:t xml:space="preserve"> increased at a higher rate</w:t>
      </w:r>
      <w:r w:rsidR="00EC13FC">
        <w:t xml:space="preserve"> </w:t>
      </w:r>
      <w:r w:rsidR="004100B2">
        <w:t>between second and fourth quarter of 2018.</w:t>
      </w:r>
      <w:r w:rsidR="000B3F6D">
        <w:t xml:space="preserve"> The use of </w:t>
      </w:r>
      <w:proofErr w:type="spellStart"/>
      <w:r w:rsidR="000B3F6D">
        <w:t>modafinil</w:t>
      </w:r>
      <w:proofErr w:type="spellEnd"/>
      <w:r w:rsidR="000B3F6D">
        <w:t xml:space="preserve"> was increasing at a steady rate until the listing of </w:t>
      </w:r>
      <w:proofErr w:type="spellStart"/>
      <w:r w:rsidR="000B3F6D">
        <w:t>armodafinil</w:t>
      </w:r>
      <w:proofErr w:type="spellEnd"/>
      <w:r w:rsidR="000B3F6D">
        <w:t>, and then</w:t>
      </w:r>
      <w:r w:rsidR="006B3F9F">
        <w:t xml:space="preserve"> the number of patients</w:t>
      </w:r>
      <w:r w:rsidR="000B3F6D">
        <w:t xml:space="preserve"> decreased </w:t>
      </w:r>
      <w:r w:rsidR="006B3F9F">
        <w:t xml:space="preserve">marginally </w:t>
      </w:r>
      <w:r w:rsidR="000B3F6D">
        <w:t xml:space="preserve">and </w:t>
      </w:r>
      <w:r w:rsidR="006B3F9F">
        <w:t xml:space="preserve">started to plateau. </w:t>
      </w:r>
      <w:r w:rsidR="004100B2">
        <w:t xml:space="preserve">There has been a steady increase in </w:t>
      </w:r>
      <w:r w:rsidR="001E79F5">
        <w:t xml:space="preserve">the </w:t>
      </w:r>
      <w:r w:rsidR="004100B2">
        <w:t xml:space="preserve">number of patients supplied </w:t>
      </w:r>
      <w:proofErr w:type="spellStart"/>
      <w:r w:rsidR="004100B2">
        <w:t>armodafinil</w:t>
      </w:r>
      <w:proofErr w:type="spellEnd"/>
      <w:r w:rsidR="004100B2">
        <w:t xml:space="preserve"> since it was</w:t>
      </w:r>
      <w:r w:rsidR="004B3513">
        <w:t xml:space="preserve"> PBS</w:t>
      </w:r>
      <w:r w:rsidR="004100B2">
        <w:t xml:space="preserve"> listed</w:t>
      </w:r>
      <w:r w:rsidR="009D0517">
        <w:t xml:space="preserve"> in the fourth quarter of 2016.</w:t>
      </w:r>
    </w:p>
    <w:p w14:paraId="60380F44" w14:textId="77777777" w:rsidR="00F976E0" w:rsidRPr="009E7B3B" w:rsidRDefault="00F976E0" w:rsidP="00F976E0">
      <w:pPr>
        <w:spacing w:before="60" w:after="60"/>
        <w:rPr>
          <w:b/>
        </w:rPr>
      </w:pPr>
      <w:r w:rsidRPr="009E7B3B">
        <w:rPr>
          <w:noProof/>
        </w:rPr>
        <w:lastRenderedPageBreak/>
        <w:drawing>
          <wp:inline distT="0" distB="0" distL="0" distR="0" wp14:anchorId="3CB170BD" wp14:editId="58A9BF04">
            <wp:extent cx="5543550" cy="3705225"/>
            <wp:effectExtent l="0" t="0" r="0" b="9525"/>
            <wp:docPr id="5" name="Chart 5" descr="The number of patients initiating each PBS-subsidised narcolepsy medicine per quarter is shown in Figure 4. " title="Initiating patients by drug b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AE9E95" w14:textId="66D6E08A" w:rsidR="00F976E0" w:rsidRDefault="00F976E0" w:rsidP="001323D3">
      <w:pPr>
        <w:pStyle w:val="Figuretitle"/>
      </w:pPr>
      <w:r w:rsidRPr="009E7B3B">
        <w:t>Figure</w:t>
      </w:r>
      <w:r w:rsidR="00F21675">
        <w:t xml:space="preserve"> 4</w:t>
      </w:r>
      <w:r>
        <w:t xml:space="preserve">: </w:t>
      </w:r>
      <w:r w:rsidR="00543711">
        <w:t>Initiating</w:t>
      </w:r>
      <w:r w:rsidRPr="009E7B3B">
        <w:t xml:space="preserve"> patients by drug by quarter</w:t>
      </w:r>
    </w:p>
    <w:p w14:paraId="2BB53E32" w14:textId="77777777" w:rsidR="00183B0A" w:rsidRPr="00183B0A" w:rsidRDefault="00183B0A" w:rsidP="001323D3">
      <w:pPr>
        <w:pStyle w:val="Figurecaption"/>
      </w:pPr>
      <w:r>
        <w:t>Source: DHS prescription database, extracted April 2019</w:t>
      </w:r>
    </w:p>
    <w:p w14:paraId="0306B624" w14:textId="77777777" w:rsidR="00F976E0" w:rsidRDefault="00F976E0" w:rsidP="00F976E0">
      <w:pPr>
        <w:spacing w:before="60" w:after="60"/>
        <w:rPr>
          <w:b/>
        </w:rPr>
      </w:pPr>
    </w:p>
    <w:p w14:paraId="338627CB" w14:textId="1023AB39" w:rsidR="00F976E0" w:rsidRPr="00EB49A3" w:rsidRDefault="00F976E0" w:rsidP="009D0517">
      <w:r>
        <w:t>The number of</w:t>
      </w:r>
      <w:r w:rsidR="00543711">
        <w:t xml:space="preserve"> </w:t>
      </w:r>
      <w:r>
        <w:t>patients</w:t>
      </w:r>
      <w:r w:rsidR="00543711">
        <w:t xml:space="preserve"> </w:t>
      </w:r>
      <w:r w:rsidR="000652B2">
        <w:t>initiating</w:t>
      </w:r>
      <w:r w:rsidR="00543711">
        <w:t xml:space="preserve"> </w:t>
      </w:r>
      <w:r>
        <w:t>each PBS-subsidised narcolep</w:t>
      </w:r>
      <w:r w:rsidR="00287BF7">
        <w:t>sy medicine</w:t>
      </w:r>
      <w:r w:rsidR="00543711">
        <w:t xml:space="preserve"> per quarter</w:t>
      </w:r>
      <w:r w:rsidR="00287BF7">
        <w:t xml:space="preserve"> is shown in Figure 4</w:t>
      </w:r>
      <w:r>
        <w:t>.</w:t>
      </w:r>
      <w:r w:rsidRPr="00516DEC">
        <w:t xml:space="preserve"> </w:t>
      </w:r>
      <w:r>
        <w:t>Patients may</w:t>
      </w:r>
      <w:r w:rsidR="00543711">
        <w:t xml:space="preserve"> </w:t>
      </w:r>
      <w:r>
        <w:t>be double</w:t>
      </w:r>
      <w:r w:rsidR="00543711">
        <w:t>-</w:t>
      </w:r>
      <w:r>
        <w:t>counted</w:t>
      </w:r>
      <w:r w:rsidR="00543711">
        <w:t xml:space="preserve"> within a quarter</w:t>
      </w:r>
      <w:r>
        <w:t xml:space="preserve"> if they have switched between narcolepsy medicines. There was a steep increase in the number of patients starting </w:t>
      </w:r>
      <w:proofErr w:type="spellStart"/>
      <w:r>
        <w:t>dexamfetamine</w:t>
      </w:r>
      <w:proofErr w:type="spellEnd"/>
      <w:r>
        <w:t xml:space="preserve"> from 178 patients in the second quarter of 2018 to 465 patients in the fourth quarter of 2018. Since the listing of </w:t>
      </w:r>
      <w:proofErr w:type="spellStart"/>
      <w:r>
        <w:t>armodafinil</w:t>
      </w:r>
      <w:proofErr w:type="spellEnd"/>
      <w:r>
        <w:t xml:space="preserve">, the number of patients initiating </w:t>
      </w:r>
      <w:proofErr w:type="spellStart"/>
      <w:r>
        <w:t>armodafinil</w:t>
      </w:r>
      <w:proofErr w:type="spellEnd"/>
      <w:r>
        <w:t xml:space="preserve"> is higher than the number </w:t>
      </w:r>
      <w:r w:rsidR="009D0517">
        <w:t xml:space="preserve">of patients starting </w:t>
      </w:r>
      <w:proofErr w:type="spellStart"/>
      <w:r w:rsidR="009D0517">
        <w:t>modafinil</w:t>
      </w:r>
      <w:proofErr w:type="spellEnd"/>
      <w:r w:rsidR="009D0517">
        <w:t>.</w:t>
      </w:r>
    </w:p>
    <w:p w14:paraId="586CE9B6" w14:textId="77777777" w:rsidR="00F976E0" w:rsidRDefault="00F976E0">
      <w:pPr>
        <w:spacing w:line="276" w:lineRule="auto"/>
      </w:pPr>
      <w:r>
        <w:br w:type="page"/>
      </w:r>
    </w:p>
    <w:p w14:paraId="01C7978B" w14:textId="77777777" w:rsidR="00C87C43" w:rsidRPr="00C87C43" w:rsidRDefault="00C87C43" w:rsidP="008339C2">
      <w:pPr>
        <w:spacing w:before="60" w:after="60"/>
      </w:pPr>
    </w:p>
    <w:p w14:paraId="08B3C25F" w14:textId="3A3F93B8" w:rsidR="00306EB4" w:rsidRPr="008D5088" w:rsidRDefault="00D619AC" w:rsidP="008339C2">
      <w:pPr>
        <w:spacing w:before="60" w:after="60"/>
      </w:pPr>
      <w:r>
        <w:rPr>
          <w:noProof/>
        </w:rPr>
        <w:drawing>
          <wp:inline distT="0" distB="0" distL="0" distR="0" wp14:anchorId="3412D136" wp14:editId="31DC2B77">
            <wp:extent cx="5448300" cy="3657600"/>
            <wp:effectExtent l="0" t="0" r="0" b="0"/>
            <wp:docPr id="6" name="Chart 6" descr="Figure 5 shows the number of new patients per quarter by their first ever PBS-subsidised narcolepsy medicine. The listing of armodafinil increased the overall market, with the number of people starting narcolepsy therapy with armodafinil surpassing the number starting with modafinil in the fourth quarter of 2018. " title="Patients incident to narcolepsy therapy per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DEB18B" w14:textId="1804C071" w:rsidR="00763D6A" w:rsidRDefault="000D5096" w:rsidP="001323D3">
      <w:pPr>
        <w:pStyle w:val="Figuretitle"/>
      </w:pPr>
      <w:r w:rsidRPr="000D5096">
        <w:t>Fig</w:t>
      </w:r>
      <w:r>
        <w:t>ure</w:t>
      </w:r>
      <w:r w:rsidR="00F976E0">
        <w:t xml:space="preserve"> 5</w:t>
      </w:r>
      <w:r>
        <w:t xml:space="preserve">: </w:t>
      </w:r>
      <w:r w:rsidR="00B16A56">
        <w:t>P</w:t>
      </w:r>
      <w:r>
        <w:t>atients</w:t>
      </w:r>
      <w:r w:rsidR="00B16A56">
        <w:t xml:space="preserve"> incident </w:t>
      </w:r>
      <w:r w:rsidR="003C7EC2">
        <w:t>to narcolepsy</w:t>
      </w:r>
      <w:r>
        <w:t xml:space="preserve"> therapy</w:t>
      </w:r>
      <w:r w:rsidR="00467984">
        <w:t xml:space="preserve"> per </w:t>
      </w:r>
      <w:r w:rsidRPr="000D5096">
        <w:t>quarter</w:t>
      </w:r>
    </w:p>
    <w:p w14:paraId="7D417BC6" w14:textId="6B0B9DF9" w:rsidR="00183B0A" w:rsidRPr="00183B0A" w:rsidRDefault="00183B0A" w:rsidP="001323D3">
      <w:pPr>
        <w:pStyle w:val="Figurecaption"/>
      </w:pPr>
      <w:r>
        <w:t xml:space="preserve">Source: DHS </w:t>
      </w:r>
      <w:r w:rsidR="001D5933">
        <w:t xml:space="preserve">PBS </w:t>
      </w:r>
      <w:r>
        <w:t>prescription database, extracted April 2019</w:t>
      </w:r>
    </w:p>
    <w:p w14:paraId="10D59E2E" w14:textId="77777777" w:rsidR="00C93B7D" w:rsidRDefault="00C93B7D" w:rsidP="004100B2">
      <w:pPr>
        <w:spacing w:before="60" w:after="60"/>
      </w:pPr>
    </w:p>
    <w:p w14:paraId="3196E52E" w14:textId="030C3717" w:rsidR="009E7B3B" w:rsidRPr="004100B2" w:rsidRDefault="00287BF7" w:rsidP="00B30C0B">
      <w:r>
        <w:t>Figure 5</w:t>
      </w:r>
      <w:r w:rsidR="00C2615B">
        <w:t xml:space="preserve"> shows</w:t>
      </w:r>
      <w:r w:rsidR="001D7957" w:rsidRPr="001D7957">
        <w:t xml:space="preserve"> the </w:t>
      </w:r>
      <w:r w:rsidR="00660FAE">
        <w:t>number</w:t>
      </w:r>
      <w:r w:rsidR="00660FAE" w:rsidRPr="001D7957">
        <w:t xml:space="preserve"> </w:t>
      </w:r>
      <w:r w:rsidR="001D7957" w:rsidRPr="001D7957">
        <w:t>of new patients per quarter b</w:t>
      </w:r>
      <w:r w:rsidR="000662F7">
        <w:t>y their first ever PBS-subsidised</w:t>
      </w:r>
      <w:r w:rsidR="001D7957" w:rsidRPr="001D7957">
        <w:t xml:space="preserve"> narcolepsy medicine</w:t>
      </w:r>
      <w:r w:rsidR="003A1348">
        <w:t>.</w:t>
      </w:r>
      <w:r w:rsidR="00416334">
        <w:t xml:space="preserve"> The listing o</w:t>
      </w:r>
      <w:r w:rsidR="003A1348">
        <w:t>f</w:t>
      </w:r>
      <w:r w:rsidR="00416334">
        <w:t xml:space="preserve"> </w:t>
      </w:r>
      <w:proofErr w:type="spellStart"/>
      <w:r w:rsidR="00416334">
        <w:t>armodafinil</w:t>
      </w:r>
      <w:proofErr w:type="spellEnd"/>
      <w:r w:rsidR="00416334">
        <w:t xml:space="preserve"> increased the</w:t>
      </w:r>
      <w:r w:rsidR="00D6753C">
        <w:t xml:space="preserve"> overall market, </w:t>
      </w:r>
      <w:r w:rsidR="002E3857">
        <w:t>with</w:t>
      </w:r>
      <w:r w:rsidR="00D6753C">
        <w:t xml:space="preserve"> the</w:t>
      </w:r>
      <w:r w:rsidR="002E3857">
        <w:t xml:space="preserve"> number of people starting </w:t>
      </w:r>
      <w:r w:rsidR="003A1348">
        <w:t xml:space="preserve">narcolepsy therapy with </w:t>
      </w:r>
      <w:proofErr w:type="spellStart"/>
      <w:r w:rsidR="002E3857">
        <w:t>armodafinil</w:t>
      </w:r>
      <w:proofErr w:type="spellEnd"/>
      <w:r w:rsidR="002E3857">
        <w:t xml:space="preserve"> surpassing th</w:t>
      </w:r>
      <w:r w:rsidR="003A1348">
        <w:t>e number starting with</w:t>
      </w:r>
      <w:r w:rsidR="002E3857">
        <w:t xml:space="preserve"> </w:t>
      </w:r>
      <w:proofErr w:type="spellStart"/>
      <w:r w:rsidR="002E3857">
        <w:t>modafinil</w:t>
      </w:r>
      <w:proofErr w:type="spellEnd"/>
      <w:r w:rsidR="002E3857">
        <w:t xml:space="preserve"> in the fourth quarter of 2018. </w:t>
      </w:r>
      <w:r w:rsidR="00055CE1">
        <w:t>T</w:t>
      </w:r>
      <w:r w:rsidR="002E3857">
        <w:t>he</w:t>
      </w:r>
      <w:r>
        <w:t xml:space="preserve"> listing of </w:t>
      </w:r>
      <w:proofErr w:type="spellStart"/>
      <w:r>
        <w:t>armodafinil</w:t>
      </w:r>
      <w:proofErr w:type="spellEnd"/>
      <w:r>
        <w:t xml:space="preserve"> had minimal </w:t>
      </w:r>
      <w:r w:rsidR="00E04AE8">
        <w:t>effect</w:t>
      </w:r>
      <w:r>
        <w:t xml:space="preserve"> on the</w:t>
      </w:r>
      <w:r w:rsidR="002E3857">
        <w:t xml:space="preserve"> number of people initiating therapy</w:t>
      </w:r>
      <w:r>
        <w:t xml:space="preserve"> for narcolepsy with </w:t>
      </w:r>
      <w:proofErr w:type="spellStart"/>
      <w:r>
        <w:t>dexamfetamine</w:t>
      </w:r>
      <w:proofErr w:type="spellEnd"/>
      <w:r>
        <w:t xml:space="preserve"> and </w:t>
      </w:r>
      <w:proofErr w:type="spellStart"/>
      <w:r>
        <w:t>modafinil</w:t>
      </w:r>
      <w:proofErr w:type="spellEnd"/>
      <w:r>
        <w:t xml:space="preserve">. </w:t>
      </w:r>
      <w:r w:rsidR="00F976E0">
        <w:t>A similar</w:t>
      </w:r>
      <w:r w:rsidR="00660FAE">
        <w:t xml:space="preserve"> number of n</w:t>
      </w:r>
      <w:r w:rsidR="00F976E0">
        <w:t>ew patients started</w:t>
      </w:r>
      <w:r w:rsidR="00C93B7D">
        <w:t xml:space="preserve"> </w:t>
      </w:r>
      <w:r w:rsidR="00EB49A3">
        <w:t>therapy f</w:t>
      </w:r>
      <w:r w:rsidR="00C93B7D">
        <w:t xml:space="preserve">or narcolepsy </w:t>
      </w:r>
      <w:r w:rsidR="00660FAE">
        <w:t xml:space="preserve">with </w:t>
      </w:r>
      <w:proofErr w:type="spellStart"/>
      <w:r w:rsidR="00660FAE">
        <w:t>dexamfetamine</w:t>
      </w:r>
      <w:proofErr w:type="spellEnd"/>
      <w:r w:rsidR="00F976E0">
        <w:t xml:space="preserve"> and </w:t>
      </w:r>
      <w:proofErr w:type="spellStart"/>
      <w:r w:rsidR="00F976E0">
        <w:t>modafinil</w:t>
      </w:r>
      <w:proofErr w:type="spellEnd"/>
      <w:r w:rsidR="00F976E0">
        <w:t xml:space="preserve"> until the second quarter of </w:t>
      </w:r>
      <w:r w:rsidR="00EB49A3">
        <w:t>2018</w:t>
      </w:r>
      <w:r w:rsidR="003A1348">
        <w:t>,</w:t>
      </w:r>
      <w:r w:rsidR="00055CE1">
        <w:t xml:space="preserve"> whe</w:t>
      </w:r>
      <w:r w:rsidR="003A1348">
        <w:t>n</w:t>
      </w:r>
      <w:r w:rsidR="00055CE1">
        <w:t xml:space="preserve"> there was a steep increase in the number of people </w:t>
      </w:r>
      <w:r w:rsidR="00F976E0">
        <w:t xml:space="preserve">initiating therapy with </w:t>
      </w:r>
      <w:proofErr w:type="spellStart"/>
      <w:r w:rsidR="00F976E0">
        <w:t>dexamfetamine</w:t>
      </w:r>
      <w:proofErr w:type="spellEnd"/>
      <w:r w:rsidR="00EB49A3">
        <w:t>.</w:t>
      </w:r>
    </w:p>
    <w:p w14:paraId="3EC3F14A" w14:textId="4246D3AB" w:rsidR="00C44591" w:rsidRDefault="00C44591" w:rsidP="008339C2">
      <w:pPr>
        <w:spacing w:before="60" w:after="60"/>
        <w:rPr>
          <w:b/>
        </w:rPr>
      </w:pPr>
      <w:r>
        <w:rPr>
          <w:noProof/>
        </w:rPr>
        <w:lastRenderedPageBreak/>
        <w:drawing>
          <wp:inline distT="0" distB="0" distL="0" distR="0" wp14:anchorId="44788D79" wp14:editId="3FE22A36">
            <wp:extent cx="5334000" cy="3724275"/>
            <wp:effectExtent l="0" t="0" r="0" b="9525"/>
            <wp:docPr id="8" name="Chart 8" descr="Analysis of dexamfetamine use in narcolepsy showed a steep increase in the number of people using dexamfetamine from the second quarter of 2018. " title="Number of prescriptions of dexamfetamine by indication b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5BF3E4" w14:textId="62DA020E" w:rsidR="00D940E2" w:rsidRDefault="00D940E2" w:rsidP="001323D3">
      <w:pPr>
        <w:pStyle w:val="Figuretitle"/>
      </w:pPr>
      <w:r w:rsidRPr="000D5096">
        <w:t>Fig</w:t>
      </w:r>
      <w:r>
        <w:t>ure</w:t>
      </w:r>
      <w:r w:rsidR="00E60C46">
        <w:t xml:space="preserve"> 6</w:t>
      </w:r>
      <w:r>
        <w:t xml:space="preserve">: Number of prescriptions of </w:t>
      </w:r>
      <w:proofErr w:type="spellStart"/>
      <w:r>
        <w:t>dexamfe</w:t>
      </w:r>
      <w:r w:rsidR="00B30C0B">
        <w:t>tamine</w:t>
      </w:r>
      <w:proofErr w:type="spellEnd"/>
      <w:r w:rsidR="00B30C0B">
        <w:t xml:space="preserve"> by indication by quarter</w:t>
      </w:r>
    </w:p>
    <w:p w14:paraId="60FE7AC3" w14:textId="3351D14C" w:rsidR="00183B0A" w:rsidRPr="00183B0A" w:rsidRDefault="00183B0A" w:rsidP="001323D3">
      <w:pPr>
        <w:pStyle w:val="Figurecaption"/>
      </w:pPr>
      <w:r>
        <w:t xml:space="preserve">Source: DHS </w:t>
      </w:r>
      <w:r w:rsidR="00521F2A">
        <w:t xml:space="preserve">PBS </w:t>
      </w:r>
      <w:r>
        <w:t>prescription database, extracted April 2019</w:t>
      </w:r>
    </w:p>
    <w:p w14:paraId="0FAF6347" w14:textId="77777777" w:rsidR="00136902" w:rsidRDefault="00136902" w:rsidP="008339C2">
      <w:pPr>
        <w:spacing w:before="60" w:after="60"/>
        <w:rPr>
          <w:b/>
        </w:rPr>
      </w:pPr>
    </w:p>
    <w:p w14:paraId="0BC1C130" w14:textId="4C902E33" w:rsidR="00E60C46" w:rsidRDefault="00723689" w:rsidP="00B30C0B">
      <w:r>
        <w:t xml:space="preserve">Analysis of </w:t>
      </w:r>
      <w:proofErr w:type="spellStart"/>
      <w:r>
        <w:t>dexamfetamine</w:t>
      </w:r>
      <w:proofErr w:type="spellEnd"/>
      <w:r>
        <w:t xml:space="preserve"> use in narcolepsy showed a </w:t>
      </w:r>
      <w:r w:rsidR="00E60C46">
        <w:t>steep increase in the</w:t>
      </w:r>
      <w:r w:rsidR="00AB34AF">
        <w:t xml:space="preserve"> number of people using</w:t>
      </w:r>
      <w:r w:rsidR="00E60C46">
        <w:t xml:space="preserve"> </w:t>
      </w:r>
      <w:proofErr w:type="spellStart"/>
      <w:r w:rsidR="00E60C46">
        <w:t>dex</w:t>
      </w:r>
      <w:r>
        <w:t>amfetamine</w:t>
      </w:r>
      <w:proofErr w:type="spellEnd"/>
      <w:r>
        <w:t xml:space="preserve"> from the second quarter of 2018. Further analysis of the </w:t>
      </w:r>
      <w:r w:rsidR="00E60C46">
        <w:t>overall use of PBS-sub</w:t>
      </w:r>
      <w:r w:rsidR="005A2124">
        <w:t>s</w:t>
      </w:r>
      <w:r w:rsidR="00E0732E">
        <w:t xml:space="preserve">idised </w:t>
      </w:r>
      <w:proofErr w:type="spellStart"/>
      <w:r w:rsidR="00E0732E">
        <w:t>dexamfetamine</w:t>
      </w:r>
      <w:proofErr w:type="spellEnd"/>
      <w:r w:rsidR="00E0732E">
        <w:t xml:space="preserve"> showed</w:t>
      </w:r>
      <w:r w:rsidR="00E60C46">
        <w:t xml:space="preserve"> that</w:t>
      </w:r>
      <w:r w:rsidR="00550A04">
        <w:t xml:space="preserve"> there was an increase in the </w:t>
      </w:r>
      <w:r w:rsidR="00E60C46">
        <w:t xml:space="preserve">volume of prescriptions of </w:t>
      </w:r>
      <w:proofErr w:type="spellStart"/>
      <w:r w:rsidR="00E60C46">
        <w:t>dexamfetamine</w:t>
      </w:r>
      <w:proofErr w:type="spellEnd"/>
      <w:r w:rsidR="00E60C46">
        <w:t xml:space="preserve"> supplied for </w:t>
      </w:r>
      <w:r w:rsidR="00D75BD5">
        <w:t>Attention Deficit Hyperactivity Disorder (</w:t>
      </w:r>
      <w:r w:rsidR="00E60C46">
        <w:t>ADHD</w:t>
      </w:r>
      <w:r w:rsidR="00D75BD5">
        <w:t>)</w:t>
      </w:r>
      <w:r w:rsidR="00550A04">
        <w:t xml:space="preserve"> by</w:t>
      </w:r>
      <w:r w:rsidR="003A1348">
        <w:t xml:space="preserve"> </w:t>
      </w:r>
      <w:r w:rsidR="00163F75">
        <w:t>8%</w:t>
      </w:r>
      <w:r w:rsidR="00550A04">
        <w:t xml:space="preserve"> and for narcolepsy by 13.6%</w:t>
      </w:r>
      <w:r w:rsidR="003A1348">
        <w:t xml:space="preserve"> </w:t>
      </w:r>
      <w:r w:rsidR="00163F75">
        <w:t>between 2017 to 2018</w:t>
      </w:r>
      <w:r w:rsidR="00550A04">
        <w:t xml:space="preserve"> </w:t>
      </w:r>
      <w:r w:rsidR="00B30C0B">
        <w:t>(Figure 6).</w:t>
      </w:r>
    </w:p>
    <w:p w14:paraId="1ACC0B3A" w14:textId="77777777" w:rsidR="00E60C46" w:rsidRPr="00E60C46" w:rsidRDefault="00E60C46" w:rsidP="008339C2">
      <w:pPr>
        <w:spacing w:before="60" w:after="60"/>
      </w:pPr>
    </w:p>
    <w:p w14:paraId="62464C9E" w14:textId="77777777" w:rsidR="00E60C46" w:rsidRDefault="00E60C46">
      <w:pPr>
        <w:spacing w:line="276" w:lineRule="auto"/>
        <w:rPr>
          <w:b/>
          <w:i/>
          <w:szCs w:val="28"/>
        </w:rPr>
      </w:pPr>
      <w:r>
        <w:br w:type="page"/>
      </w:r>
    </w:p>
    <w:p w14:paraId="320096E3" w14:textId="7DA94844" w:rsidR="00E30EC3" w:rsidRPr="006B3013" w:rsidRDefault="006B3013" w:rsidP="006B3013">
      <w:pPr>
        <w:pStyle w:val="Heading3"/>
      </w:pPr>
      <w:r>
        <w:lastRenderedPageBreak/>
        <w:t>Prescribers</w:t>
      </w:r>
    </w:p>
    <w:p w14:paraId="63821524" w14:textId="24554134" w:rsidR="00E30EC3" w:rsidRDefault="00F22D23" w:rsidP="00A35800">
      <w:pPr>
        <w:rPr>
          <w:b/>
        </w:rPr>
      </w:pPr>
      <w:r>
        <w:rPr>
          <w:noProof/>
        </w:rPr>
        <w:drawing>
          <wp:inline distT="0" distB="0" distL="0" distR="0" wp14:anchorId="75B31FEF" wp14:editId="79DEAB3A">
            <wp:extent cx="5562600" cy="4048125"/>
            <wp:effectExtent l="0" t="0" r="0" b="9525"/>
            <wp:docPr id="7" name="Chart 7" descr="Figure 7 shows the type of prescribers initiating PBS subsidised narcolepsy therapy. The largest proportion of armodafinil and modafinil prescriptions supplied to patients starting narcolepsy therapy were written by respiratory and sleep medicine specialists. " title="Patients incident to narcolepsy therapy by drug and prescriber in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8C03BC" w14:textId="2CB6841A" w:rsidR="00E30EC3" w:rsidRDefault="006B3013" w:rsidP="001323D3">
      <w:pPr>
        <w:pStyle w:val="Figuretitle"/>
      </w:pPr>
      <w:r>
        <w:t>Figure</w:t>
      </w:r>
      <w:r w:rsidR="008F329B">
        <w:t xml:space="preserve"> 7</w:t>
      </w:r>
      <w:r>
        <w:t xml:space="preserve">: </w:t>
      </w:r>
      <w:r w:rsidR="00BD7221">
        <w:t>P</w:t>
      </w:r>
      <w:r w:rsidR="008F329B">
        <w:t>atients</w:t>
      </w:r>
      <w:r w:rsidR="00BD7221">
        <w:t xml:space="preserve"> incident to</w:t>
      </w:r>
      <w:r w:rsidR="000D45B4">
        <w:t xml:space="preserve"> </w:t>
      </w:r>
      <w:r w:rsidR="008F329B">
        <w:t>narcolepsy therapy</w:t>
      </w:r>
      <w:r w:rsidR="00BD7221">
        <w:t xml:space="preserve"> by drug and</w:t>
      </w:r>
      <w:r w:rsidR="000D45B4">
        <w:t xml:space="preserve"> </w:t>
      </w:r>
      <w:r w:rsidR="00D8167D">
        <w:t>prescriber in 2018</w:t>
      </w:r>
    </w:p>
    <w:p w14:paraId="626AA6B2" w14:textId="33224027" w:rsidR="008F329B" w:rsidRPr="00557299" w:rsidRDefault="00183B0A" w:rsidP="001323D3">
      <w:pPr>
        <w:pStyle w:val="Figurecaption"/>
      </w:pPr>
      <w:r>
        <w:t xml:space="preserve">Source: DHS </w:t>
      </w:r>
      <w:r w:rsidR="00C24A42">
        <w:t xml:space="preserve">PBS </w:t>
      </w:r>
      <w:r>
        <w:t>prescription database, extracted April 2019</w:t>
      </w:r>
    </w:p>
    <w:p w14:paraId="15A28664" w14:textId="77777777" w:rsidR="002B3344" w:rsidRDefault="002B3344" w:rsidP="00D8167D">
      <w:pPr>
        <w:spacing w:before="60" w:after="60"/>
      </w:pPr>
    </w:p>
    <w:p w14:paraId="12E25024" w14:textId="5F4282D8" w:rsidR="008F329B" w:rsidRDefault="00D52390" w:rsidP="008307FE">
      <w:pPr>
        <w:spacing w:after="0"/>
      </w:pPr>
      <w:proofErr w:type="spellStart"/>
      <w:r>
        <w:t>Dexamfetamine</w:t>
      </w:r>
      <w:proofErr w:type="spellEnd"/>
      <w:r>
        <w:t xml:space="preserve"> is classified as a Schedule 8 medicine under the Standard for the Uniform Scheduling of Medicines and Poisons (SUSMP). Schedule 8 me</w:t>
      </w:r>
      <w:r w:rsidR="0043412D">
        <w:t>dicines are controlled drugs that</w:t>
      </w:r>
      <w:r>
        <w:t xml:space="preserve"> require</w:t>
      </w:r>
      <w:r w:rsidR="0043412D">
        <w:t xml:space="preserve"> additional</w:t>
      </w:r>
      <w:r>
        <w:t xml:space="preserve"> restriction</w:t>
      </w:r>
      <w:r w:rsidR="0043412D">
        <w:t>s in</w:t>
      </w:r>
      <w:r>
        <w:t xml:space="preserve"> manufacture, supply, distribution, possession and use to re</w:t>
      </w:r>
      <w:r w:rsidR="0043412D">
        <w:t>duce abuse, misuse and physical or psychological dependence.</w:t>
      </w:r>
      <w:r w:rsidR="000D1AF3">
        <w:rPr>
          <w:rStyle w:val="FootnoteReference"/>
        </w:rPr>
        <w:footnoteReference w:id="9"/>
      </w:r>
      <w:r>
        <w:t xml:space="preserve"> </w:t>
      </w:r>
      <w:r w:rsidR="008F329B">
        <w:t xml:space="preserve">Each State and Territory </w:t>
      </w:r>
      <w:r w:rsidR="005C7F8B">
        <w:t xml:space="preserve">has regulations that </w:t>
      </w:r>
      <w:r w:rsidR="008F329B">
        <w:t xml:space="preserve">stipulate the conditions under which medical practitioners are able to prescribe </w:t>
      </w:r>
      <w:proofErr w:type="spellStart"/>
      <w:r w:rsidR="008F329B">
        <w:t>dexamfetamine</w:t>
      </w:r>
      <w:proofErr w:type="spellEnd"/>
      <w:r w:rsidR="008F329B">
        <w:t xml:space="preserve"> for narcolepsy. The PBS restriction for </w:t>
      </w:r>
      <w:proofErr w:type="spellStart"/>
      <w:r w:rsidR="008F329B">
        <w:t>modafin</w:t>
      </w:r>
      <w:r w:rsidR="00070CB0">
        <w:t>il</w:t>
      </w:r>
      <w:proofErr w:type="spellEnd"/>
      <w:r w:rsidR="00070CB0">
        <w:t xml:space="preserve"> and </w:t>
      </w:r>
      <w:proofErr w:type="spellStart"/>
      <w:r w:rsidR="00070CB0">
        <w:t>armodafinil</w:t>
      </w:r>
      <w:proofErr w:type="spellEnd"/>
      <w:r w:rsidR="00070CB0">
        <w:t xml:space="preserve"> requires that a qualified sleep medicine practitioner or neurologist prescribe the initial treatment</w:t>
      </w:r>
      <w:r w:rsidR="00BD7221">
        <w:t>,</w:t>
      </w:r>
      <w:r w:rsidR="008F329B">
        <w:t xml:space="preserve"> but there is no prescriber restriction for continuing treatment.</w:t>
      </w:r>
    </w:p>
    <w:p w14:paraId="25286C58" w14:textId="77777777" w:rsidR="008F329B" w:rsidRDefault="008F329B" w:rsidP="008307FE">
      <w:pPr>
        <w:spacing w:after="0"/>
      </w:pPr>
    </w:p>
    <w:p w14:paraId="75C75B2D" w14:textId="162AAD51" w:rsidR="008F329B" w:rsidRPr="008F329B" w:rsidRDefault="008F329B" w:rsidP="00B30C0B">
      <w:r>
        <w:t>Figure 7 shows the ty</w:t>
      </w:r>
      <w:r w:rsidR="00070CB0">
        <w:t>pe of prescribers</w:t>
      </w:r>
      <w:r w:rsidR="00B844C4">
        <w:t xml:space="preserve"> initiating </w:t>
      </w:r>
      <w:r>
        <w:t>PBS subsidise</w:t>
      </w:r>
      <w:r w:rsidR="00C712A4">
        <w:t>d</w:t>
      </w:r>
      <w:r>
        <w:t xml:space="preserve"> narcolepsy </w:t>
      </w:r>
      <w:r w:rsidR="00BD7221">
        <w:t>therapy</w:t>
      </w:r>
      <w:r>
        <w:t>.</w:t>
      </w:r>
      <w:r w:rsidR="00B844C4">
        <w:t xml:space="preserve"> The largest proportion of </w:t>
      </w:r>
      <w:proofErr w:type="spellStart"/>
      <w:r w:rsidR="00B844C4">
        <w:t>armodafinil</w:t>
      </w:r>
      <w:proofErr w:type="spellEnd"/>
      <w:r w:rsidR="00B844C4">
        <w:t xml:space="preserve"> and </w:t>
      </w:r>
      <w:proofErr w:type="spellStart"/>
      <w:r w:rsidR="00B844C4">
        <w:t>modafinil</w:t>
      </w:r>
      <w:proofErr w:type="spellEnd"/>
      <w:r w:rsidR="00B844C4">
        <w:t xml:space="preserve"> prescriptions supplied</w:t>
      </w:r>
      <w:r w:rsidR="00C712A4">
        <w:t xml:space="preserve"> </w:t>
      </w:r>
      <w:r w:rsidR="00BD7221">
        <w:t>to</w:t>
      </w:r>
      <w:r w:rsidR="00C712A4">
        <w:t xml:space="preserve"> patients starting narcolepsy therapy</w:t>
      </w:r>
      <w:r w:rsidR="00B844C4">
        <w:t xml:space="preserve"> were written by </w:t>
      </w:r>
      <w:r>
        <w:t>respiratory and sleep medicine</w:t>
      </w:r>
      <w:r w:rsidR="00B844C4">
        <w:t xml:space="preserve"> specialists</w:t>
      </w:r>
      <w:r>
        <w:t xml:space="preserve">. </w:t>
      </w:r>
      <w:r w:rsidR="0077544D">
        <w:t>Specialists in respiratory and sleep medicine, followed by GPs and psychiatrists, mo</w:t>
      </w:r>
      <w:r w:rsidR="00BD7221">
        <w:t>st</w:t>
      </w:r>
      <w:r w:rsidR="0077544D">
        <w:t xml:space="preserve"> commonly </w:t>
      </w:r>
      <w:r w:rsidR="0077544D">
        <w:lastRenderedPageBreak/>
        <w:t>prescribed first prescriptions</w:t>
      </w:r>
      <w:r w:rsidR="00BD7221">
        <w:t xml:space="preserve"> to patients supplied</w:t>
      </w:r>
      <w:r w:rsidR="0077544D">
        <w:t xml:space="preserve"> </w:t>
      </w:r>
      <w:proofErr w:type="spellStart"/>
      <w:r w:rsidR="0077544D">
        <w:t>dexamfetamine</w:t>
      </w:r>
      <w:proofErr w:type="spellEnd"/>
      <w:r w:rsidR="00BD7221">
        <w:t xml:space="preserve"> as their first narcolepsy therapy</w:t>
      </w:r>
      <w:r w:rsidR="0077544D">
        <w:t>.</w:t>
      </w:r>
    </w:p>
    <w:p w14:paraId="7633A6C7" w14:textId="6A03CEBE" w:rsidR="00E30EC3" w:rsidRPr="00D75BD5" w:rsidRDefault="00E30EC3" w:rsidP="00D75BD5">
      <w:pPr>
        <w:pStyle w:val="Heading3"/>
      </w:pPr>
      <w:r w:rsidRPr="006B3013">
        <w:t>Utilisation by State/Territory</w:t>
      </w:r>
    </w:p>
    <w:p w14:paraId="40A9BF00" w14:textId="2C74AB16" w:rsidR="00D75BD5" w:rsidRDefault="009C6594" w:rsidP="004C1B8F">
      <w:pPr>
        <w:spacing w:before="60" w:after="60"/>
      </w:pPr>
      <w:r>
        <w:rPr>
          <w:noProof/>
        </w:rPr>
        <w:drawing>
          <wp:inline distT="0" distB="0" distL="0" distR="0" wp14:anchorId="12D42391" wp14:editId="05EBAEF4">
            <wp:extent cx="5229225" cy="3581400"/>
            <wp:effectExtent l="0" t="0" r="9525" b="0"/>
            <wp:docPr id="11" name="Chart 11" descr="Figure 8 illustrates the number of new patients supplied a PBS subsidised medicine for narcolepsy per 1,000 population, adjusted to account for the population size of each State and Territory in 2018. The rate of new patients starting dexamfetamine for narcolepsy has increased in all states except for Western Australia where there was some fluctuation over the four-year period. " title="Incident patients per 1,000 population by drug and state 2015-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14A852" w14:textId="470DBF77" w:rsidR="00D75BD5" w:rsidRDefault="00D75BD5" w:rsidP="001323D3">
      <w:pPr>
        <w:pStyle w:val="Figuretitle"/>
      </w:pPr>
      <w:r>
        <w:t>Figure</w:t>
      </w:r>
      <w:r w:rsidR="001463A6">
        <w:t xml:space="preserve"> 8</w:t>
      </w:r>
      <w:r w:rsidR="009C6594">
        <w:t>: Incident</w:t>
      </w:r>
      <w:r>
        <w:t xml:space="preserve"> patients per 1,000 population by drug and state 2015-2018</w:t>
      </w:r>
    </w:p>
    <w:p w14:paraId="0FA3B1C3" w14:textId="77777777" w:rsidR="00183B0A" w:rsidRPr="00183B0A" w:rsidRDefault="00183B0A" w:rsidP="001323D3">
      <w:pPr>
        <w:pStyle w:val="Figurecaption"/>
      </w:pPr>
      <w:r>
        <w:t>Source: DHS prescription database, extracted April 2019</w:t>
      </w:r>
    </w:p>
    <w:p w14:paraId="61A93142" w14:textId="4A4395ED" w:rsidR="00D75BD5" w:rsidRDefault="00D75BD5" w:rsidP="00D75BD5"/>
    <w:p w14:paraId="4E4DAEDB" w14:textId="68910E3E" w:rsidR="00D75BD5" w:rsidRDefault="00A85CAA" w:rsidP="00A85CAA">
      <w:r w:rsidRPr="0093040B">
        <w:t>Figure 8 illustrates the number of</w:t>
      </w:r>
      <w:r w:rsidR="009C6594" w:rsidRPr="0093040B">
        <w:t xml:space="preserve"> new</w:t>
      </w:r>
      <w:r w:rsidRPr="0093040B">
        <w:t xml:space="preserve"> patients supplied a PBS subsidised medicine for narcolepsy per 1,000 population, adjusted to account f</w:t>
      </w:r>
      <w:r w:rsidR="00FD1F92" w:rsidRPr="0093040B">
        <w:t>or the population size of each State and T</w:t>
      </w:r>
      <w:r w:rsidRPr="0093040B">
        <w:t>erritory in 2018.</w:t>
      </w:r>
      <w:r w:rsidR="0044388B" w:rsidRPr="0093040B">
        <w:t xml:space="preserve"> </w:t>
      </w:r>
      <w:r w:rsidR="002227FF" w:rsidRPr="0093040B">
        <w:t xml:space="preserve">The rate of new patients starting </w:t>
      </w:r>
      <w:proofErr w:type="spellStart"/>
      <w:r w:rsidR="002227FF" w:rsidRPr="0093040B">
        <w:t>dexamfetamine</w:t>
      </w:r>
      <w:proofErr w:type="spellEnd"/>
      <w:r w:rsidR="002227FF" w:rsidRPr="0093040B">
        <w:t xml:space="preserve"> for narcolepsy has inc</w:t>
      </w:r>
      <w:r w:rsidR="00463841">
        <w:t xml:space="preserve">reased in all states except for </w:t>
      </w:r>
      <w:r w:rsidR="00ED11F9">
        <w:t>Western Australia where there was some fluctuation</w:t>
      </w:r>
      <w:r w:rsidR="00463841">
        <w:t xml:space="preserve"> over the four-year period. </w:t>
      </w:r>
      <w:r w:rsidR="00ED11F9">
        <w:t>A</w:t>
      </w:r>
      <w:r w:rsidR="00564C5F">
        <w:t xml:space="preserve"> larger</w:t>
      </w:r>
      <w:r w:rsidR="00BD05CB">
        <w:t xml:space="preserve"> difference</w:t>
      </w:r>
      <w:r w:rsidR="00ED11F9">
        <w:t xml:space="preserve"> can be seen</w:t>
      </w:r>
      <w:r w:rsidR="00BD05CB">
        <w:t xml:space="preserve"> in the rate of </w:t>
      </w:r>
      <w:proofErr w:type="spellStart"/>
      <w:r w:rsidR="00463841">
        <w:t>dexamfetamine</w:t>
      </w:r>
      <w:proofErr w:type="spellEnd"/>
      <w:r w:rsidR="00BD05CB">
        <w:t xml:space="preserve"> supplied to new patients between 2017 and 2018 in Victoria, Australian Capital Territo</w:t>
      </w:r>
      <w:r w:rsidR="00564C5F">
        <w:t xml:space="preserve">ry, </w:t>
      </w:r>
      <w:r w:rsidR="00ED11F9">
        <w:t xml:space="preserve">New South Wales, </w:t>
      </w:r>
      <w:r w:rsidR="00564C5F">
        <w:t>Northern T</w:t>
      </w:r>
      <w:r w:rsidR="00BD05CB">
        <w:t>erritory and Queensland.</w:t>
      </w:r>
      <w:r w:rsidR="00851966">
        <w:t xml:space="preserve"> </w:t>
      </w:r>
      <w:r w:rsidR="00E52A41">
        <w:t xml:space="preserve">There has been considerable uptake of </w:t>
      </w:r>
      <w:proofErr w:type="spellStart"/>
      <w:r w:rsidR="00E52A41">
        <w:t>armodafinil</w:t>
      </w:r>
      <w:proofErr w:type="spellEnd"/>
      <w:r w:rsidR="00E52A41">
        <w:t xml:space="preserve"> in South Australia, Western Australia, Australian Capital Territory, Tasmania and Victoria</w:t>
      </w:r>
      <w:r w:rsidR="005C7F8B">
        <w:t>,</w:t>
      </w:r>
      <w:r w:rsidR="00E52A41">
        <w:t xml:space="preserve"> with Victoria having the highest rate of new </w:t>
      </w:r>
      <w:r w:rsidR="00E62308">
        <w:t xml:space="preserve">patients starting </w:t>
      </w:r>
      <w:proofErr w:type="spellStart"/>
      <w:r w:rsidR="00E62308">
        <w:t>armodafinil</w:t>
      </w:r>
      <w:proofErr w:type="spellEnd"/>
      <w:r w:rsidR="00365F4F">
        <w:t xml:space="preserve"> in </w:t>
      </w:r>
      <w:r w:rsidR="00E52A41">
        <w:t>the</w:t>
      </w:r>
      <w:r w:rsidR="004D4699">
        <w:t xml:space="preserve"> first 24 months after listing.</w:t>
      </w:r>
    </w:p>
    <w:p w14:paraId="6865C20F" w14:textId="2EB87A70" w:rsidR="00D75BD5" w:rsidRDefault="00D75BD5" w:rsidP="003222F0">
      <w:pPr>
        <w:spacing w:line="276" w:lineRule="auto"/>
      </w:pPr>
      <w:r>
        <w:br w:type="page"/>
      </w:r>
    </w:p>
    <w:p w14:paraId="61A957C3" w14:textId="5366339A" w:rsidR="00E30EC3" w:rsidRPr="006B3013" w:rsidRDefault="00E30EC3" w:rsidP="006B3013">
      <w:pPr>
        <w:pStyle w:val="Heading3"/>
      </w:pPr>
      <w:r w:rsidRPr="006B3013">
        <w:lastRenderedPageBreak/>
        <w:t>Sequence of therapy</w:t>
      </w:r>
    </w:p>
    <w:p w14:paraId="5B289DCF" w14:textId="555BB6B9" w:rsidR="00E30EC3" w:rsidRPr="00E30EC3" w:rsidRDefault="00E30EC3" w:rsidP="00E30EC3">
      <w:pPr>
        <w:spacing w:before="200" w:after="20"/>
        <w:rPr>
          <w:b/>
          <w:sz w:val="22"/>
          <w:szCs w:val="22"/>
        </w:rPr>
      </w:pPr>
      <w:r w:rsidRPr="00E30EC3">
        <w:rPr>
          <w:b/>
        </w:rPr>
        <w:t>Table</w:t>
      </w:r>
      <w:r w:rsidR="001463A6">
        <w:rPr>
          <w:b/>
        </w:rPr>
        <w:t xml:space="preserve"> 5</w:t>
      </w:r>
      <w:r w:rsidRPr="00E30EC3">
        <w:rPr>
          <w:b/>
        </w:rPr>
        <w:t xml:space="preserve">: Drug initiation sequence for </w:t>
      </w:r>
      <w:r w:rsidR="00B96568" w:rsidRPr="00E30EC3">
        <w:rPr>
          <w:b/>
        </w:rPr>
        <w:t>narcolepsy</w:t>
      </w:r>
      <w:r w:rsidRPr="00E30EC3">
        <w:rPr>
          <w:b/>
        </w:rPr>
        <w:t xml:space="preserve"> therapy</w:t>
      </w:r>
      <w:r w:rsidRPr="00E30EC3">
        <w:rPr>
          <w:b/>
        </w:rPr>
        <w:fldChar w:fldCharType="begin"/>
      </w:r>
      <w:r w:rsidRPr="00E30EC3">
        <w:rPr>
          <w:b/>
        </w:rPr>
        <w:instrText xml:space="preserve"> LINK Excel.Sheet.12 "\\\\central.health\\dfsuserenv\\Users\\User_01\\PETERN\\Desktop\\DUSC\\DUSC June 2019\\Armodafinil\\SEQ_INIT_FREQ - drug initiation sequence 080419.xlsx" "SEQ_INIT_FREQ!R3C1:R16C3" \a \f 5 \h  \* MERGEFORMAT </w:instrText>
      </w:r>
      <w:r w:rsidRPr="00E30EC3">
        <w:rPr>
          <w:b/>
        </w:rPr>
        <w:fldChar w:fldCharType="separate"/>
      </w:r>
    </w:p>
    <w:tbl>
      <w:tblPr>
        <w:tblStyle w:val="TableGrid"/>
        <w:tblpPr w:leftFromText="180" w:rightFromText="180" w:vertAnchor="text" w:tblpY="1"/>
        <w:tblOverlap w:val="never"/>
        <w:tblW w:w="6607" w:type="dxa"/>
        <w:tblLook w:val="04A0" w:firstRow="1" w:lastRow="0" w:firstColumn="1" w:lastColumn="0" w:noHBand="0" w:noVBand="1"/>
        <w:tblCaption w:val="Drug initiation sequence for narcolepsy therapy"/>
        <w:tblDescription w:val="Table 5 shows the drug initiating sequnce for narcolepsy therapy "/>
      </w:tblPr>
      <w:tblGrid>
        <w:gridCol w:w="5437"/>
        <w:gridCol w:w="1170"/>
      </w:tblGrid>
      <w:tr w:rsidR="005451CB" w:rsidRPr="00E30EC3" w14:paraId="6202F242" w14:textId="77777777" w:rsidTr="00BD7518">
        <w:trPr>
          <w:trHeight w:val="300"/>
          <w:tblHeader/>
        </w:trPr>
        <w:tc>
          <w:tcPr>
            <w:tcW w:w="5437" w:type="dxa"/>
            <w:noWrap/>
            <w:hideMark/>
          </w:tcPr>
          <w:p w14:paraId="553001A0" w14:textId="462D83DD" w:rsidR="005451CB" w:rsidRPr="00E30EC3" w:rsidRDefault="005451CB" w:rsidP="004D4699">
            <w:pPr>
              <w:spacing w:before="60" w:after="60"/>
              <w:rPr>
                <w:b/>
                <w:bCs/>
                <w:sz w:val="20"/>
                <w:szCs w:val="20"/>
              </w:rPr>
            </w:pPr>
            <w:r w:rsidRPr="00E30EC3">
              <w:rPr>
                <w:b/>
                <w:bCs/>
                <w:sz w:val="20"/>
                <w:szCs w:val="20"/>
              </w:rPr>
              <w:t>Drug initiation sequence</w:t>
            </w:r>
          </w:p>
        </w:tc>
        <w:tc>
          <w:tcPr>
            <w:tcW w:w="1170" w:type="dxa"/>
            <w:noWrap/>
            <w:hideMark/>
          </w:tcPr>
          <w:p w14:paraId="00A8AD09" w14:textId="77777777" w:rsidR="005451CB" w:rsidRPr="00E30EC3" w:rsidRDefault="005451CB" w:rsidP="004D4699">
            <w:pPr>
              <w:spacing w:before="60" w:after="60"/>
              <w:rPr>
                <w:b/>
                <w:bCs/>
                <w:sz w:val="20"/>
                <w:szCs w:val="20"/>
              </w:rPr>
            </w:pPr>
            <w:r w:rsidRPr="00E30EC3">
              <w:rPr>
                <w:b/>
                <w:bCs/>
                <w:sz w:val="20"/>
                <w:szCs w:val="20"/>
              </w:rPr>
              <w:t>PERCENT</w:t>
            </w:r>
          </w:p>
        </w:tc>
      </w:tr>
      <w:tr w:rsidR="005451CB" w:rsidRPr="00E30EC3" w14:paraId="09838088" w14:textId="77777777" w:rsidTr="005451CB">
        <w:trPr>
          <w:trHeight w:val="300"/>
        </w:trPr>
        <w:tc>
          <w:tcPr>
            <w:tcW w:w="5437" w:type="dxa"/>
            <w:noWrap/>
            <w:hideMark/>
          </w:tcPr>
          <w:p w14:paraId="2614AC77" w14:textId="77777777" w:rsidR="005451CB" w:rsidRPr="00E30EC3" w:rsidRDefault="005451CB" w:rsidP="004D4699">
            <w:pPr>
              <w:spacing w:before="60" w:after="60"/>
              <w:rPr>
                <w:sz w:val="20"/>
                <w:szCs w:val="20"/>
              </w:rPr>
            </w:pPr>
            <w:r w:rsidRPr="00E30EC3">
              <w:rPr>
                <w:sz w:val="20"/>
                <w:szCs w:val="20"/>
              </w:rPr>
              <w:t>DEXAMFETAMINE</w:t>
            </w:r>
          </w:p>
        </w:tc>
        <w:tc>
          <w:tcPr>
            <w:tcW w:w="1170" w:type="dxa"/>
            <w:noWrap/>
            <w:hideMark/>
          </w:tcPr>
          <w:p w14:paraId="7CA60E67" w14:textId="77777777" w:rsidR="005451CB" w:rsidRPr="00E30EC3" w:rsidRDefault="005451CB" w:rsidP="004D4699">
            <w:pPr>
              <w:spacing w:before="60" w:after="60"/>
              <w:rPr>
                <w:sz w:val="20"/>
                <w:szCs w:val="20"/>
              </w:rPr>
            </w:pPr>
            <w:r w:rsidRPr="00E30EC3">
              <w:rPr>
                <w:sz w:val="20"/>
                <w:szCs w:val="20"/>
              </w:rPr>
              <w:t>52.4</w:t>
            </w:r>
          </w:p>
        </w:tc>
      </w:tr>
      <w:tr w:rsidR="005451CB" w:rsidRPr="00E30EC3" w14:paraId="6CA257BD" w14:textId="77777777" w:rsidTr="005451CB">
        <w:trPr>
          <w:trHeight w:val="300"/>
        </w:trPr>
        <w:tc>
          <w:tcPr>
            <w:tcW w:w="5437" w:type="dxa"/>
            <w:noWrap/>
            <w:hideMark/>
          </w:tcPr>
          <w:p w14:paraId="14E6963C" w14:textId="77777777" w:rsidR="005451CB" w:rsidRPr="00E30EC3" w:rsidRDefault="005451CB" w:rsidP="004D4699">
            <w:pPr>
              <w:spacing w:before="60" w:after="60"/>
              <w:rPr>
                <w:sz w:val="20"/>
                <w:szCs w:val="20"/>
              </w:rPr>
            </w:pPr>
            <w:r w:rsidRPr="00E30EC3">
              <w:rPr>
                <w:sz w:val="20"/>
                <w:szCs w:val="20"/>
              </w:rPr>
              <w:t>MODAFINIL</w:t>
            </w:r>
          </w:p>
        </w:tc>
        <w:tc>
          <w:tcPr>
            <w:tcW w:w="1170" w:type="dxa"/>
            <w:noWrap/>
            <w:hideMark/>
          </w:tcPr>
          <w:p w14:paraId="3A5BBE5A" w14:textId="77777777" w:rsidR="005451CB" w:rsidRPr="00E30EC3" w:rsidRDefault="005451CB" w:rsidP="004D4699">
            <w:pPr>
              <w:spacing w:before="60" w:after="60"/>
              <w:rPr>
                <w:sz w:val="20"/>
                <w:szCs w:val="20"/>
              </w:rPr>
            </w:pPr>
            <w:r w:rsidRPr="00E30EC3">
              <w:rPr>
                <w:sz w:val="20"/>
                <w:szCs w:val="20"/>
              </w:rPr>
              <w:t>25.9</w:t>
            </w:r>
          </w:p>
        </w:tc>
      </w:tr>
      <w:tr w:rsidR="005451CB" w:rsidRPr="00E30EC3" w14:paraId="0613F5B7" w14:textId="77777777" w:rsidTr="005451CB">
        <w:trPr>
          <w:trHeight w:val="300"/>
        </w:trPr>
        <w:tc>
          <w:tcPr>
            <w:tcW w:w="5437" w:type="dxa"/>
            <w:noWrap/>
            <w:hideMark/>
          </w:tcPr>
          <w:p w14:paraId="2B0CCDB8" w14:textId="77777777" w:rsidR="005451CB" w:rsidRPr="00E30EC3" w:rsidRDefault="005451CB" w:rsidP="004D4699">
            <w:pPr>
              <w:spacing w:before="60" w:after="60"/>
              <w:rPr>
                <w:sz w:val="20"/>
                <w:szCs w:val="20"/>
              </w:rPr>
            </w:pPr>
            <w:r w:rsidRPr="00E30EC3">
              <w:rPr>
                <w:sz w:val="20"/>
                <w:szCs w:val="20"/>
              </w:rPr>
              <w:t>DEXAMFETAMINE -&gt; MODAFINIL</w:t>
            </w:r>
          </w:p>
        </w:tc>
        <w:tc>
          <w:tcPr>
            <w:tcW w:w="1170" w:type="dxa"/>
            <w:noWrap/>
            <w:hideMark/>
          </w:tcPr>
          <w:p w14:paraId="2B80C50B" w14:textId="77777777" w:rsidR="005451CB" w:rsidRPr="00E30EC3" w:rsidRDefault="005451CB" w:rsidP="004D4699">
            <w:pPr>
              <w:spacing w:before="60" w:after="60"/>
              <w:rPr>
                <w:sz w:val="20"/>
                <w:szCs w:val="20"/>
              </w:rPr>
            </w:pPr>
            <w:r w:rsidRPr="00E30EC3">
              <w:rPr>
                <w:sz w:val="20"/>
                <w:szCs w:val="20"/>
              </w:rPr>
              <w:t>5.7</w:t>
            </w:r>
          </w:p>
        </w:tc>
      </w:tr>
      <w:tr w:rsidR="005451CB" w:rsidRPr="00E30EC3" w14:paraId="5FCB9BD5" w14:textId="77777777" w:rsidTr="005451CB">
        <w:trPr>
          <w:trHeight w:val="300"/>
        </w:trPr>
        <w:tc>
          <w:tcPr>
            <w:tcW w:w="5437" w:type="dxa"/>
            <w:noWrap/>
            <w:hideMark/>
          </w:tcPr>
          <w:p w14:paraId="46C6223B" w14:textId="77777777" w:rsidR="005451CB" w:rsidRPr="00E30EC3" w:rsidRDefault="005451CB" w:rsidP="004D4699">
            <w:pPr>
              <w:spacing w:before="60" w:after="60"/>
              <w:rPr>
                <w:sz w:val="20"/>
                <w:szCs w:val="20"/>
              </w:rPr>
            </w:pPr>
            <w:r w:rsidRPr="00E30EC3">
              <w:rPr>
                <w:sz w:val="20"/>
                <w:szCs w:val="20"/>
              </w:rPr>
              <w:t>ARMODAFINIL</w:t>
            </w:r>
          </w:p>
        </w:tc>
        <w:tc>
          <w:tcPr>
            <w:tcW w:w="1170" w:type="dxa"/>
            <w:noWrap/>
            <w:hideMark/>
          </w:tcPr>
          <w:p w14:paraId="60315660" w14:textId="77777777" w:rsidR="005451CB" w:rsidRPr="00E30EC3" w:rsidRDefault="005451CB" w:rsidP="004D4699">
            <w:pPr>
              <w:spacing w:before="60" w:after="60"/>
              <w:rPr>
                <w:sz w:val="20"/>
                <w:szCs w:val="20"/>
              </w:rPr>
            </w:pPr>
            <w:r w:rsidRPr="00E30EC3">
              <w:rPr>
                <w:sz w:val="20"/>
                <w:szCs w:val="20"/>
              </w:rPr>
              <w:t>5.6</w:t>
            </w:r>
          </w:p>
        </w:tc>
      </w:tr>
      <w:tr w:rsidR="005451CB" w:rsidRPr="00E30EC3" w14:paraId="7FE6F831" w14:textId="77777777" w:rsidTr="005451CB">
        <w:trPr>
          <w:trHeight w:val="300"/>
        </w:trPr>
        <w:tc>
          <w:tcPr>
            <w:tcW w:w="5437" w:type="dxa"/>
            <w:noWrap/>
            <w:hideMark/>
          </w:tcPr>
          <w:p w14:paraId="212616FE" w14:textId="77777777" w:rsidR="005451CB" w:rsidRPr="00E30EC3" w:rsidRDefault="005451CB" w:rsidP="004D4699">
            <w:pPr>
              <w:spacing w:before="60" w:after="60"/>
              <w:rPr>
                <w:sz w:val="20"/>
                <w:szCs w:val="20"/>
              </w:rPr>
            </w:pPr>
            <w:r w:rsidRPr="00E30EC3">
              <w:rPr>
                <w:sz w:val="20"/>
                <w:szCs w:val="20"/>
              </w:rPr>
              <w:t>MODAFINIL -&gt; ARMODAFINIL</w:t>
            </w:r>
          </w:p>
        </w:tc>
        <w:tc>
          <w:tcPr>
            <w:tcW w:w="1170" w:type="dxa"/>
            <w:noWrap/>
            <w:hideMark/>
          </w:tcPr>
          <w:p w14:paraId="179D12CD" w14:textId="77777777" w:rsidR="005451CB" w:rsidRPr="00E30EC3" w:rsidRDefault="005451CB" w:rsidP="004D4699">
            <w:pPr>
              <w:spacing w:before="60" w:after="60"/>
              <w:rPr>
                <w:sz w:val="20"/>
                <w:szCs w:val="20"/>
              </w:rPr>
            </w:pPr>
            <w:r w:rsidRPr="00E30EC3">
              <w:rPr>
                <w:sz w:val="20"/>
                <w:szCs w:val="20"/>
              </w:rPr>
              <w:t>4.2</w:t>
            </w:r>
          </w:p>
        </w:tc>
      </w:tr>
      <w:tr w:rsidR="005451CB" w:rsidRPr="00E30EC3" w14:paraId="3F911C4E" w14:textId="77777777" w:rsidTr="005451CB">
        <w:trPr>
          <w:trHeight w:val="300"/>
        </w:trPr>
        <w:tc>
          <w:tcPr>
            <w:tcW w:w="5437" w:type="dxa"/>
            <w:noWrap/>
            <w:hideMark/>
          </w:tcPr>
          <w:p w14:paraId="5ACC7911" w14:textId="77777777" w:rsidR="005451CB" w:rsidRPr="00E30EC3" w:rsidRDefault="005451CB" w:rsidP="004D4699">
            <w:pPr>
              <w:spacing w:before="60" w:after="60"/>
              <w:rPr>
                <w:sz w:val="20"/>
                <w:szCs w:val="20"/>
              </w:rPr>
            </w:pPr>
            <w:r w:rsidRPr="00E30EC3">
              <w:rPr>
                <w:sz w:val="20"/>
                <w:szCs w:val="20"/>
              </w:rPr>
              <w:t>MODAFINIL -&gt; DEXAMFETAMINE</w:t>
            </w:r>
          </w:p>
        </w:tc>
        <w:tc>
          <w:tcPr>
            <w:tcW w:w="1170" w:type="dxa"/>
            <w:noWrap/>
            <w:hideMark/>
          </w:tcPr>
          <w:p w14:paraId="4410476E" w14:textId="77777777" w:rsidR="005451CB" w:rsidRPr="00E30EC3" w:rsidRDefault="005451CB" w:rsidP="004D4699">
            <w:pPr>
              <w:spacing w:before="60" w:after="60"/>
              <w:rPr>
                <w:sz w:val="20"/>
                <w:szCs w:val="20"/>
              </w:rPr>
            </w:pPr>
            <w:r w:rsidRPr="00E30EC3">
              <w:rPr>
                <w:sz w:val="20"/>
                <w:szCs w:val="20"/>
              </w:rPr>
              <w:t>3.1</w:t>
            </w:r>
          </w:p>
        </w:tc>
      </w:tr>
      <w:tr w:rsidR="005451CB" w:rsidRPr="00E30EC3" w14:paraId="147016ED" w14:textId="77777777" w:rsidTr="005451CB">
        <w:trPr>
          <w:trHeight w:val="300"/>
        </w:trPr>
        <w:tc>
          <w:tcPr>
            <w:tcW w:w="5437" w:type="dxa"/>
            <w:noWrap/>
            <w:hideMark/>
          </w:tcPr>
          <w:p w14:paraId="3CF7B1E8" w14:textId="77777777" w:rsidR="005451CB" w:rsidRPr="00E30EC3" w:rsidRDefault="005451CB" w:rsidP="004D4699">
            <w:pPr>
              <w:spacing w:before="60" w:after="60"/>
              <w:rPr>
                <w:sz w:val="20"/>
                <w:szCs w:val="20"/>
              </w:rPr>
            </w:pPr>
            <w:r w:rsidRPr="00E30EC3">
              <w:rPr>
                <w:sz w:val="20"/>
                <w:szCs w:val="20"/>
              </w:rPr>
              <w:t>DEXAMFETAMINE -&gt; ARMODAFINIL</w:t>
            </w:r>
          </w:p>
        </w:tc>
        <w:tc>
          <w:tcPr>
            <w:tcW w:w="1170" w:type="dxa"/>
            <w:noWrap/>
            <w:hideMark/>
          </w:tcPr>
          <w:p w14:paraId="54B73B70" w14:textId="77777777" w:rsidR="005451CB" w:rsidRPr="00E30EC3" w:rsidRDefault="005451CB" w:rsidP="004D4699">
            <w:pPr>
              <w:spacing w:before="60" w:after="60"/>
              <w:rPr>
                <w:sz w:val="20"/>
                <w:szCs w:val="20"/>
              </w:rPr>
            </w:pPr>
            <w:r w:rsidRPr="00E30EC3">
              <w:rPr>
                <w:sz w:val="20"/>
                <w:szCs w:val="20"/>
              </w:rPr>
              <w:t>1.3</w:t>
            </w:r>
          </w:p>
        </w:tc>
      </w:tr>
      <w:tr w:rsidR="005451CB" w:rsidRPr="00E30EC3" w14:paraId="607C817B" w14:textId="77777777" w:rsidTr="005451CB">
        <w:trPr>
          <w:trHeight w:val="300"/>
        </w:trPr>
        <w:tc>
          <w:tcPr>
            <w:tcW w:w="5437" w:type="dxa"/>
            <w:noWrap/>
            <w:hideMark/>
          </w:tcPr>
          <w:p w14:paraId="2B2C3068" w14:textId="77777777" w:rsidR="005451CB" w:rsidRPr="00E30EC3" w:rsidRDefault="005451CB" w:rsidP="004D4699">
            <w:pPr>
              <w:spacing w:before="60" w:after="60"/>
              <w:rPr>
                <w:sz w:val="20"/>
                <w:szCs w:val="20"/>
              </w:rPr>
            </w:pPr>
            <w:r w:rsidRPr="00E30EC3">
              <w:rPr>
                <w:sz w:val="20"/>
                <w:szCs w:val="20"/>
              </w:rPr>
              <w:t>DEXAMFETAMINE -&gt; MODAFINIL -&gt; ARMODAFINIL</w:t>
            </w:r>
          </w:p>
        </w:tc>
        <w:tc>
          <w:tcPr>
            <w:tcW w:w="1170" w:type="dxa"/>
            <w:noWrap/>
            <w:hideMark/>
          </w:tcPr>
          <w:p w14:paraId="7DCA99D5" w14:textId="77777777" w:rsidR="005451CB" w:rsidRPr="00E30EC3" w:rsidRDefault="005451CB" w:rsidP="004D4699">
            <w:pPr>
              <w:spacing w:before="60" w:after="60"/>
              <w:rPr>
                <w:sz w:val="20"/>
                <w:szCs w:val="20"/>
              </w:rPr>
            </w:pPr>
            <w:r w:rsidRPr="00E30EC3">
              <w:rPr>
                <w:sz w:val="20"/>
                <w:szCs w:val="20"/>
              </w:rPr>
              <w:t>0.9</w:t>
            </w:r>
          </w:p>
        </w:tc>
      </w:tr>
      <w:tr w:rsidR="005451CB" w:rsidRPr="00E30EC3" w14:paraId="25ABA3FA" w14:textId="77777777" w:rsidTr="005451CB">
        <w:trPr>
          <w:trHeight w:val="300"/>
        </w:trPr>
        <w:tc>
          <w:tcPr>
            <w:tcW w:w="5437" w:type="dxa"/>
            <w:noWrap/>
            <w:hideMark/>
          </w:tcPr>
          <w:p w14:paraId="23802453" w14:textId="77777777" w:rsidR="005451CB" w:rsidRPr="00E30EC3" w:rsidRDefault="005451CB" w:rsidP="004D4699">
            <w:pPr>
              <w:spacing w:before="60" w:after="60"/>
              <w:rPr>
                <w:sz w:val="20"/>
                <w:szCs w:val="20"/>
              </w:rPr>
            </w:pPr>
            <w:r w:rsidRPr="00E30EC3">
              <w:rPr>
                <w:sz w:val="20"/>
                <w:szCs w:val="20"/>
              </w:rPr>
              <w:t>MODAFINIL -&gt; DEXAMFETAMINE -&gt; ARMODAFINIL</w:t>
            </w:r>
          </w:p>
        </w:tc>
        <w:tc>
          <w:tcPr>
            <w:tcW w:w="1170" w:type="dxa"/>
            <w:noWrap/>
            <w:hideMark/>
          </w:tcPr>
          <w:p w14:paraId="09B952D6" w14:textId="77777777" w:rsidR="005451CB" w:rsidRPr="00E30EC3" w:rsidRDefault="005451CB" w:rsidP="004D4699">
            <w:pPr>
              <w:spacing w:before="60" w:after="60"/>
              <w:rPr>
                <w:sz w:val="20"/>
                <w:szCs w:val="20"/>
              </w:rPr>
            </w:pPr>
            <w:r w:rsidRPr="00E30EC3">
              <w:rPr>
                <w:sz w:val="20"/>
                <w:szCs w:val="20"/>
              </w:rPr>
              <w:t>0.5</w:t>
            </w:r>
          </w:p>
        </w:tc>
      </w:tr>
      <w:tr w:rsidR="005451CB" w:rsidRPr="00E30EC3" w14:paraId="78F41098" w14:textId="77777777" w:rsidTr="005451CB">
        <w:trPr>
          <w:trHeight w:val="300"/>
        </w:trPr>
        <w:tc>
          <w:tcPr>
            <w:tcW w:w="5437" w:type="dxa"/>
            <w:noWrap/>
            <w:hideMark/>
          </w:tcPr>
          <w:p w14:paraId="335C50B7" w14:textId="2A2CD10D" w:rsidR="005451CB" w:rsidRPr="00E30EC3" w:rsidRDefault="006C63A7" w:rsidP="004D4699">
            <w:pPr>
              <w:spacing w:before="60" w:after="60"/>
              <w:rPr>
                <w:sz w:val="20"/>
                <w:szCs w:val="20"/>
              </w:rPr>
            </w:pPr>
            <w:r>
              <w:rPr>
                <w:sz w:val="20"/>
                <w:szCs w:val="20"/>
              </w:rPr>
              <w:t>OTHER</w:t>
            </w:r>
          </w:p>
        </w:tc>
        <w:tc>
          <w:tcPr>
            <w:tcW w:w="1170" w:type="dxa"/>
            <w:noWrap/>
            <w:hideMark/>
          </w:tcPr>
          <w:p w14:paraId="1E27D3C6" w14:textId="68C00467" w:rsidR="005451CB" w:rsidRPr="00E30EC3" w:rsidRDefault="00F62655" w:rsidP="004D4699">
            <w:pPr>
              <w:spacing w:before="60" w:after="60"/>
              <w:rPr>
                <w:sz w:val="20"/>
                <w:szCs w:val="20"/>
              </w:rPr>
            </w:pPr>
            <w:r>
              <w:rPr>
                <w:sz w:val="20"/>
                <w:szCs w:val="20"/>
              </w:rPr>
              <w:t>0.5</w:t>
            </w:r>
          </w:p>
        </w:tc>
      </w:tr>
    </w:tbl>
    <w:p w14:paraId="6FB40DBB" w14:textId="530C3A5A" w:rsidR="00183B0A" w:rsidRPr="00183B0A" w:rsidRDefault="00E30EC3" w:rsidP="004D4699">
      <w:pPr>
        <w:pStyle w:val="Tablewriting"/>
        <w:spacing w:before="0" w:after="200"/>
      </w:pPr>
      <w:r w:rsidRPr="00E30EC3">
        <w:fldChar w:fldCharType="end"/>
      </w:r>
      <w:r>
        <w:br w:type="textWrapping" w:clear="all"/>
      </w:r>
      <w:r w:rsidR="00183B0A">
        <w:t xml:space="preserve">Source: DHS </w:t>
      </w:r>
      <w:r w:rsidR="00F276FE">
        <w:t xml:space="preserve">PBS </w:t>
      </w:r>
      <w:r w:rsidR="00183B0A">
        <w:t>prescription database, extracted April 2019</w:t>
      </w:r>
    </w:p>
    <w:p w14:paraId="36D2C04D" w14:textId="3AECB6C3" w:rsidR="001463A6" w:rsidRDefault="001463A6" w:rsidP="001463A6">
      <w:pPr>
        <w:rPr>
          <w:b/>
          <w:sz w:val="20"/>
          <w:szCs w:val="20"/>
        </w:rPr>
      </w:pPr>
    </w:p>
    <w:p w14:paraId="14A92049" w14:textId="1FDB5257" w:rsidR="005451CB" w:rsidRDefault="005451CB" w:rsidP="001463A6">
      <w:r>
        <w:t xml:space="preserve">The PBS </w:t>
      </w:r>
      <w:r w:rsidR="00B45286">
        <w:t>clinical criteria for initiating treatment with</w:t>
      </w:r>
      <w:r>
        <w:t xml:space="preserve"> </w:t>
      </w:r>
      <w:proofErr w:type="spellStart"/>
      <w:r>
        <w:t>modafinil</w:t>
      </w:r>
      <w:proofErr w:type="spellEnd"/>
      <w:r>
        <w:t xml:space="preserve"> or </w:t>
      </w:r>
      <w:proofErr w:type="spellStart"/>
      <w:r>
        <w:t>armodafinil</w:t>
      </w:r>
      <w:proofErr w:type="spellEnd"/>
      <w:r>
        <w:t xml:space="preserve"> restrict use </w:t>
      </w:r>
      <w:r w:rsidR="00B22B08">
        <w:t>to</w:t>
      </w:r>
      <w:r>
        <w:t xml:space="preserve"> patients where therapy with </w:t>
      </w:r>
      <w:proofErr w:type="spellStart"/>
      <w:r>
        <w:t>dexamfetamine</w:t>
      </w:r>
      <w:proofErr w:type="spellEnd"/>
      <w:r>
        <w:t xml:space="preserve"> </w:t>
      </w:r>
      <w:proofErr w:type="spellStart"/>
      <w:r>
        <w:t>sulfate</w:t>
      </w:r>
      <w:proofErr w:type="spellEnd"/>
      <w:r>
        <w:t xml:space="preserve"> poses an unacceptable medical risk or when intolerance to </w:t>
      </w:r>
      <w:proofErr w:type="spellStart"/>
      <w:r>
        <w:t>dexamfetamine</w:t>
      </w:r>
      <w:proofErr w:type="spellEnd"/>
      <w:r>
        <w:t xml:space="preserve"> </w:t>
      </w:r>
      <w:proofErr w:type="spellStart"/>
      <w:r>
        <w:t>sulfate</w:t>
      </w:r>
      <w:proofErr w:type="spellEnd"/>
      <w:r>
        <w:t xml:space="preserve"> is of a severity to necessitate treatment withdrawal. Table 5 shows the drug initiating sequence for narcolepsy therapy with a look back</w:t>
      </w:r>
      <w:r w:rsidR="0010077D">
        <w:t xml:space="preserve"> period</w:t>
      </w:r>
      <w:r>
        <w:t xml:space="preserve"> until </w:t>
      </w:r>
      <w:r w:rsidR="0010077D">
        <w:t xml:space="preserve">01 </w:t>
      </w:r>
      <w:r>
        <w:t>April 2005</w:t>
      </w:r>
      <w:r w:rsidR="0010077D">
        <w:t xml:space="preserve"> when </w:t>
      </w:r>
      <w:proofErr w:type="spellStart"/>
      <w:r w:rsidR="0010077D">
        <w:t>modafinil</w:t>
      </w:r>
      <w:proofErr w:type="spellEnd"/>
      <w:r w:rsidR="0010077D">
        <w:t xml:space="preserve"> was PBS listed for narcolepsy</w:t>
      </w:r>
      <w:r>
        <w:t xml:space="preserve">. </w:t>
      </w:r>
      <w:proofErr w:type="spellStart"/>
      <w:r>
        <w:t>Armodafinil</w:t>
      </w:r>
      <w:proofErr w:type="spellEnd"/>
      <w:r>
        <w:t xml:space="preserve"> has less chance to appear in the data presented</w:t>
      </w:r>
      <w:r w:rsidR="0010077D">
        <w:t xml:space="preserve"> as it was </w:t>
      </w:r>
      <w:r>
        <w:t>listed</w:t>
      </w:r>
      <w:r w:rsidR="0010077D">
        <w:t xml:space="preserve"> on the PBS on 1</w:t>
      </w:r>
      <w:r w:rsidR="007C68D4">
        <w:t> </w:t>
      </w:r>
      <w:r>
        <w:t>November</w:t>
      </w:r>
      <w:r w:rsidR="007C68D4">
        <w:t> </w:t>
      </w:r>
      <w:r>
        <w:t>2016.</w:t>
      </w:r>
    </w:p>
    <w:p w14:paraId="6FDFA0A9" w14:textId="47874174" w:rsidR="001463A6" w:rsidRDefault="0065094C" w:rsidP="00476AFD">
      <w:r>
        <w:t>The m</w:t>
      </w:r>
      <w:r w:rsidR="00B45286">
        <w:t>a</w:t>
      </w:r>
      <w:r w:rsidR="00833469">
        <w:t>jority of patients</w:t>
      </w:r>
      <w:r w:rsidR="00B22B08">
        <w:t xml:space="preserve"> (83.9%)</w:t>
      </w:r>
      <w:r w:rsidR="00833469">
        <w:t xml:space="preserve"> were only supplied one </w:t>
      </w:r>
      <w:r w:rsidR="00464AFB">
        <w:t>PB</w:t>
      </w:r>
      <w:r w:rsidR="009D090A">
        <w:t>S listed therapy for narcolepsy</w:t>
      </w:r>
      <w:r w:rsidR="00B22B08">
        <w:t xml:space="preserve"> in this period</w:t>
      </w:r>
      <w:r w:rsidR="00F32627">
        <w:t>.</w:t>
      </w:r>
      <w:r w:rsidR="005516B3">
        <w:t xml:space="preserve"> 39.8</w:t>
      </w:r>
      <w:r w:rsidR="009D090A">
        <w:t xml:space="preserve">% of patients were initiated treatment for narcolepsy with </w:t>
      </w:r>
      <w:proofErr w:type="spellStart"/>
      <w:r w:rsidR="009D090A">
        <w:t>modafinil</w:t>
      </w:r>
      <w:proofErr w:type="spellEnd"/>
      <w:r w:rsidR="009D090A">
        <w:t xml:space="preserve"> or </w:t>
      </w:r>
      <w:proofErr w:type="spellStart"/>
      <w:r w:rsidR="009D090A">
        <w:t>armodafinil</w:t>
      </w:r>
      <w:proofErr w:type="spellEnd"/>
      <w:r w:rsidR="009D090A">
        <w:t>.</w:t>
      </w:r>
      <w:r w:rsidR="00B22B08">
        <w:t xml:space="preserve"> 4.1</w:t>
      </w:r>
      <w:r w:rsidR="00E636FC">
        <w:t xml:space="preserve">% of patients were prescribed </w:t>
      </w:r>
      <w:proofErr w:type="spellStart"/>
      <w:r w:rsidR="00E636FC">
        <w:t>dexamf</w:t>
      </w:r>
      <w:bookmarkStart w:id="7" w:name="_GoBack"/>
      <w:bookmarkEnd w:id="7"/>
      <w:r w:rsidR="00E636FC">
        <w:t>etamine</w:t>
      </w:r>
      <w:proofErr w:type="spellEnd"/>
      <w:r w:rsidR="00E636FC">
        <w:t xml:space="preserve"> after </w:t>
      </w:r>
      <w:proofErr w:type="spellStart"/>
      <w:r w:rsidR="00E636FC">
        <w:t>modafinil</w:t>
      </w:r>
      <w:proofErr w:type="spellEnd"/>
      <w:r w:rsidR="00E636FC">
        <w:t xml:space="preserve"> or </w:t>
      </w:r>
      <w:proofErr w:type="spellStart"/>
      <w:r w:rsidR="00E636FC">
        <w:t>armodafinil</w:t>
      </w:r>
      <w:proofErr w:type="spellEnd"/>
      <w:r w:rsidR="00E636FC">
        <w:t>.</w:t>
      </w:r>
    </w:p>
    <w:p w14:paraId="615AD1EE" w14:textId="071C820F" w:rsidR="00E214B3" w:rsidRDefault="00E214B3" w:rsidP="00740C8F">
      <w:pPr>
        <w:spacing w:line="276" w:lineRule="auto"/>
      </w:pPr>
      <w:r>
        <w:br w:type="page"/>
      </w:r>
    </w:p>
    <w:p w14:paraId="26B90D93" w14:textId="2F005187" w:rsidR="005A0CD6" w:rsidRDefault="001B5D37" w:rsidP="00F81782">
      <w:pPr>
        <w:pStyle w:val="Heading2"/>
      </w:pPr>
      <w:r w:rsidRPr="005E22C2">
        <w:lastRenderedPageBreak/>
        <w:t xml:space="preserve">Analysis </w:t>
      </w:r>
      <w:r w:rsidR="00481108" w:rsidRPr="005E22C2">
        <w:t xml:space="preserve">of </w:t>
      </w:r>
      <w:r w:rsidR="0063631C">
        <w:t>e</w:t>
      </w:r>
      <w:r w:rsidR="00736041" w:rsidRPr="005E22C2">
        <w:t>xpenditure</w:t>
      </w:r>
      <w:r w:rsidR="005A49AC">
        <w:tab/>
      </w:r>
    </w:p>
    <w:p w14:paraId="2B49F1D9" w14:textId="2DD41501" w:rsidR="00F81782" w:rsidRPr="00F81782" w:rsidRDefault="00F81782" w:rsidP="00A35800"/>
    <w:p w14:paraId="53F3C4FB" w14:textId="3C5E7806" w:rsidR="00B61840" w:rsidRPr="00C20632" w:rsidRDefault="00B61840" w:rsidP="00A35800">
      <w:pPr>
        <w:rPr>
          <w:highlight w:val="black"/>
        </w:rPr>
      </w:pPr>
      <w:r>
        <w:rPr>
          <w:noProof/>
        </w:rPr>
        <w:drawing>
          <wp:inline distT="0" distB="0" distL="0" distR="0" wp14:anchorId="0F2F5972" wp14:editId="49107476">
            <wp:extent cx="5505450" cy="3371850"/>
            <wp:effectExtent l="0" t="0" r="0" b="0"/>
            <wp:docPr id="1" name="Chart 1" descr="Figure 9 presents PBS benefits for armodafinil, modafinil and dexamfetamine. The listing of armodafinil has increased the overall government expenditure for PBS-subsidised narcolepsy therapy." title="PBS benefit by drug by quarter for PBS subsidised narcolepsy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FFCB25" w14:textId="02B0605E" w:rsidR="00B61840" w:rsidRDefault="008C2238" w:rsidP="001323D3">
      <w:pPr>
        <w:pStyle w:val="Figuretitle"/>
      </w:pPr>
      <w:r>
        <w:t>Figure 9</w:t>
      </w:r>
      <w:r w:rsidR="00B61840">
        <w:t>:</w:t>
      </w:r>
      <w:r w:rsidR="00B4790F">
        <w:t xml:space="preserve"> PBS benefit by drug by quarter for PBS </w:t>
      </w:r>
      <w:proofErr w:type="spellStart"/>
      <w:r w:rsidR="00B4790F">
        <w:t>subsidi</w:t>
      </w:r>
      <w:r w:rsidR="00D845F5">
        <w:t>sed</w:t>
      </w:r>
      <w:proofErr w:type="spellEnd"/>
      <w:r w:rsidR="00D231DB">
        <w:t xml:space="preserve"> </w:t>
      </w:r>
      <w:r w:rsidR="00B4790F">
        <w:t>narcolepsy therapy</w:t>
      </w:r>
    </w:p>
    <w:p w14:paraId="613A1593" w14:textId="505A939A" w:rsidR="00183B0A" w:rsidRPr="00183B0A" w:rsidRDefault="00183B0A" w:rsidP="001323D3">
      <w:pPr>
        <w:pStyle w:val="Figurecaption"/>
      </w:pPr>
      <w:r>
        <w:t xml:space="preserve">Source: DHS </w:t>
      </w:r>
      <w:r w:rsidR="002F1AC1">
        <w:t xml:space="preserve">PBS </w:t>
      </w:r>
      <w:r>
        <w:t>prescription database, extracted April 2019</w:t>
      </w:r>
    </w:p>
    <w:p w14:paraId="55801440" w14:textId="77777777" w:rsidR="008C2238" w:rsidRDefault="008C2238" w:rsidP="00A35800"/>
    <w:p w14:paraId="52EA70C5" w14:textId="1D8E6FAE" w:rsidR="00495D28" w:rsidRPr="001507FE" w:rsidRDefault="008C2238" w:rsidP="00A35800">
      <w:r>
        <w:t>Figure 9</w:t>
      </w:r>
      <w:r w:rsidR="00B4790F">
        <w:t xml:space="preserve"> presents PBS benefits for </w:t>
      </w:r>
      <w:proofErr w:type="spellStart"/>
      <w:r w:rsidR="00B4790F">
        <w:t>armodafinil</w:t>
      </w:r>
      <w:proofErr w:type="spellEnd"/>
      <w:r w:rsidR="00D231DB">
        <w:t>,</w:t>
      </w:r>
      <w:r w:rsidR="00B4790F">
        <w:t xml:space="preserve"> </w:t>
      </w:r>
      <w:proofErr w:type="spellStart"/>
      <w:r w:rsidR="00B4790F">
        <w:t>modafinil</w:t>
      </w:r>
      <w:proofErr w:type="spellEnd"/>
      <w:r w:rsidR="00B4790F">
        <w:t xml:space="preserve"> and </w:t>
      </w:r>
      <w:proofErr w:type="spellStart"/>
      <w:r w:rsidR="00B4790F">
        <w:t>dexamfetamine</w:t>
      </w:r>
      <w:proofErr w:type="spellEnd"/>
      <w:r w:rsidR="00B4790F">
        <w:t xml:space="preserve">. The listing of </w:t>
      </w:r>
      <w:proofErr w:type="spellStart"/>
      <w:r w:rsidR="00B4790F">
        <w:t>armodafinil</w:t>
      </w:r>
      <w:proofErr w:type="spellEnd"/>
      <w:r w:rsidR="00B4790F">
        <w:t xml:space="preserve"> has increased the overall government expenditure for PBS-subsidised narcolepsy therapy.</w:t>
      </w:r>
    </w:p>
    <w:p w14:paraId="549F6679" w14:textId="69ACD943" w:rsidR="008C2238" w:rsidRPr="008C2238" w:rsidRDefault="00F25EB6" w:rsidP="008C2238">
      <w:pPr>
        <w:spacing w:line="276" w:lineRule="auto"/>
        <w:rPr>
          <w:b/>
        </w:rPr>
      </w:pPr>
      <w:r>
        <w:rPr>
          <w:noProof/>
        </w:rPr>
        <w:lastRenderedPageBreak/>
        <w:drawing>
          <wp:inline distT="0" distB="0" distL="0" distR="0" wp14:anchorId="2717C625" wp14:editId="3D2D975B">
            <wp:extent cx="5343525" cy="3158490"/>
            <wp:effectExtent l="0" t="0" r="9525" b="3810"/>
            <wp:docPr id="10" name="Chart 10" descr="The number of prescriptions for modafinil has remained moderately stable and the benefit paid for PBS subsidised modafinil for narcolepsy has decreased from 2016-2018. The number of prescriptions and PBS benefits paid for armodafinil have increased since its listing on the PBS." title="Total number of prescriptions and PBS benefit for PBS subsidised modafinil and armodafinil"/>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2B20BA" w14:textId="6B6ACD31" w:rsidR="008C2238" w:rsidRDefault="008C2238" w:rsidP="001323D3">
      <w:pPr>
        <w:pStyle w:val="Figuretitle"/>
      </w:pPr>
      <w:r w:rsidRPr="008C2238">
        <w:t>Figure</w:t>
      </w:r>
      <w:r>
        <w:t xml:space="preserve"> 10</w:t>
      </w:r>
      <w:r w:rsidRPr="008C2238">
        <w:t xml:space="preserve">: Total number of prescriptions and PBS benefit for PBS </w:t>
      </w:r>
      <w:proofErr w:type="spellStart"/>
      <w:r w:rsidRPr="008C2238">
        <w:t>subsidised</w:t>
      </w:r>
      <w:proofErr w:type="spellEnd"/>
      <w:r w:rsidRPr="008C2238">
        <w:t xml:space="preserve"> </w:t>
      </w:r>
      <w:proofErr w:type="spellStart"/>
      <w:r w:rsidRPr="008C2238">
        <w:t>modafinil</w:t>
      </w:r>
      <w:proofErr w:type="spellEnd"/>
      <w:r w:rsidRPr="008C2238">
        <w:t xml:space="preserve"> and </w:t>
      </w:r>
      <w:proofErr w:type="spellStart"/>
      <w:r w:rsidRPr="008C2238">
        <w:t>armodafinil</w:t>
      </w:r>
      <w:proofErr w:type="spellEnd"/>
    </w:p>
    <w:p w14:paraId="67D98980" w14:textId="1EE0A35B" w:rsidR="00183B0A" w:rsidRPr="00183B0A" w:rsidRDefault="00183B0A" w:rsidP="001323D3">
      <w:pPr>
        <w:pStyle w:val="Figurecaption"/>
      </w:pPr>
      <w:r>
        <w:t xml:space="preserve">Source: DHS </w:t>
      </w:r>
      <w:r w:rsidR="00621C44">
        <w:t xml:space="preserve">PBS </w:t>
      </w:r>
      <w:r>
        <w:t>prescription database, extracted April 2019</w:t>
      </w:r>
    </w:p>
    <w:p w14:paraId="7B4EB62D" w14:textId="77777777" w:rsidR="00183B0A" w:rsidRPr="008C2238" w:rsidRDefault="00183B0A" w:rsidP="008C2238">
      <w:pPr>
        <w:spacing w:line="276" w:lineRule="auto"/>
        <w:rPr>
          <w:b/>
        </w:rPr>
      </w:pPr>
    </w:p>
    <w:p w14:paraId="787B1AEC" w14:textId="7E94814F" w:rsidR="004F3B4A" w:rsidRPr="00237C61" w:rsidRDefault="008C2238" w:rsidP="00CE70A2">
      <w:pPr>
        <w:rPr>
          <w:rFonts w:cstheme="minorHAnsi"/>
        </w:rPr>
      </w:pPr>
      <w:proofErr w:type="spellStart"/>
      <w:r w:rsidRPr="00237C61">
        <w:rPr>
          <w:rFonts w:cstheme="minorHAnsi"/>
        </w:rPr>
        <w:t>Modafinil</w:t>
      </w:r>
      <w:proofErr w:type="spellEnd"/>
      <w:r w:rsidRPr="00237C61">
        <w:rPr>
          <w:rFonts w:cstheme="minorHAnsi"/>
        </w:rPr>
        <w:t xml:space="preserve"> was listed on the PB</w:t>
      </w:r>
      <w:r w:rsidR="00AB227C">
        <w:rPr>
          <w:rFonts w:cstheme="minorHAnsi"/>
        </w:rPr>
        <w:t>S for narcolepsy on 1 April</w:t>
      </w:r>
      <w:r w:rsidR="00AD42D9" w:rsidRPr="00237C61">
        <w:rPr>
          <w:rFonts w:cstheme="minorHAnsi"/>
        </w:rPr>
        <w:t xml:space="preserve"> 2</w:t>
      </w:r>
      <w:r w:rsidR="00AB227C">
        <w:rPr>
          <w:rFonts w:cstheme="minorHAnsi"/>
        </w:rPr>
        <w:t>005</w:t>
      </w:r>
      <w:r w:rsidRPr="00237C61">
        <w:rPr>
          <w:rFonts w:cstheme="minorHAnsi"/>
        </w:rPr>
        <w:t xml:space="preserve">. </w:t>
      </w:r>
      <w:proofErr w:type="spellStart"/>
      <w:r w:rsidRPr="00237C61">
        <w:rPr>
          <w:rFonts w:cstheme="minorHAnsi"/>
        </w:rPr>
        <w:t>Modafinil</w:t>
      </w:r>
      <w:proofErr w:type="spellEnd"/>
      <w:r w:rsidRPr="00237C61">
        <w:rPr>
          <w:rFonts w:cstheme="minorHAnsi"/>
        </w:rPr>
        <w:t xml:space="preserve"> received a 16% statutory price reduction</w:t>
      </w:r>
      <w:r w:rsidR="00AD42D9" w:rsidRPr="00237C61">
        <w:rPr>
          <w:rFonts w:cstheme="minorHAnsi"/>
        </w:rPr>
        <w:t xml:space="preserve"> (SPR)</w:t>
      </w:r>
      <w:r w:rsidRPr="00237C61">
        <w:rPr>
          <w:rFonts w:cstheme="minorHAnsi"/>
        </w:rPr>
        <w:t xml:space="preserve"> on the 1 April 2016</w:t>
      </w:r>
      <w:r w:rsidR="00F25EB6" w:rsidRPr="00237C61">
        <w:rPr>
          <w:rFonts w:cstheme="minorHAnsi"/>
        </w:rPr>
        <w:t xml:space="preserve"> (</w:t>
      </w:r>
      <w:r w:rsidR="009A2158" w:rsidRPr="00237C61">
        <w:rPr>
          <w:rFonts w:cstheme="minorHAnsi"/>
        </w:rPr>
        <w:t xml:space="preserve">beginning of </w:t>
      </w:r>
      <w:r w:rsidR="00F25EB6" w:rsidRPr="00237C61">
        <w:rPr>
          <w:rFonts w:cstheme="minorHAnsi"/>
        </w:rPr>
        <w:t>second quarter)</w:t>
      </w:r>
      <w:r w:rsidRPr="00237C61">
        <w:rPr>
          <w:rFonts w:cstheme="minorHAnsi"/>
        </w:rPr>
        <w:t xml:space="preserve"> with a listing of a new brand and a pr</w:t>
      </w:r>
      <w:r w:rsidR="00862B10">
        <w:rPr>
          <w:rFonts w:cstheme="minorHAnsi"/>
        </w:rPr>
        <w:t xml:space="preserve">ice disclosure </w:t>
      </w:r>
      <w:r w:rsidRPr="00237C61">
        <w:rPr>
          <w:rFonts w:cstheme="minorHAnsi"/>
        </w:rPr>
        <w:t>reduction</w:t>
      </w:r>
      <w:r w:rsidR="00D60CB7">
        <w:rPr>
          <w:rFonts w:cstheme="minorHAnsi"/>
        </w:rPr>
        <w:t xml:space="preserve"> of 13.5%</w:t>
      </w:r>
      <w:r w:rsidRPr="00237C61">
        <w:rPr>
          <w:rFonts w:cstheme="minorHAnsi"/>
        </w:rPr>
        <w:t xml:space="preserve"> on 1 October 2018</w:t>
      </w:r>
      <w:r w:rsidR="00F25EB6" w:rsidRPr="00237C61">
        <w:rPr>
          <w:rFonts w:cstheme="minorHAnsi"/>
        </w:rPr>
        <w:t xml:space="preserve"> (</w:t>
      </w:r>
      <w:r w:rsidR="00C778F0" w:rsidRPr="00237C61">
        <w:rPr>
          <w:rFonts w:cstheme="minorHAnsi"/>
        </w:rPr>
        <w:t>beginning</w:t>
      </w:r>
      <w:r w:rsidR="009A2158" w:rsidRPr="00237C61">
        <w:rPr>
          <w:rFonts w:cstheme="minorHAnsi"/>
        </w:rPr>
        <w:t xml:space="preserve"> of </w:t>
      </w:r>
      <w:r w:rsidR="00F25EB6" w:rsidRPr="00237C61">
        <w:rPr>
          <w:rFonts w:cstheme="minorHAnsi"/>
        </w:rPr>
        <w:t>fourth quarter)</w:t>
      </w:r>
      <w:r w:rsidRPr="00237C61">
        <w:rPr>
          <w:rFonts w:cstheme="minorHAnsi"/>
        </w:rPr>
        <w:t xml:space="preserve">. </w:t>
      </w:r>
      <w:proofErr w:type="spellStart"/>
      <w:r w:rsidRPr="00237C61">
        <w:rPr>
          <w:rFonts w:cstheme="minorHAnsi"/>
        </w:rPr>
        <w:t>Armodafinil</w:t>
      </w:r>
      <w:proofErr w:type="spellEnd"/>
      <w:r w:rsidRPr="00237C61">
        <w:rPr>
          <w:rFonts w:cstheme="minorHAnsi"/>
        </w:rPr>
        <w:t xml:space="preserve"> was listed on the 1 November 2016, on a cost-minimisation</w:t>
      </w:r>
      <w:r w:rsidR="00AD42D9" w:rsidRPr="00237C61">
        <w:rPr>
          <w:rFonts w:cstheme="minorHAnsi"/>
        </w:rPr>
        <w:t xml:space="preserve"> basis</w:t>
      </w:r>
      <w:r w:rsidRPr="00237C61">
        <w:rPr>
          <w:rFonts w:cstheme="minorHAnsi"/>
        </w:rPr>
        <w:t xml:space="preserve"> to the </w:t>
      </w:r>
      <w:proofErr w:type="spellStart"/>
      <w:r w:rsidRPr="00237C61">
        <w:rPr>
          <w:rFonts w:cstheme="minorHAnsi"/>
        </w:rPr>
        <w:t>modafinil</w:t>
      </w:r>
      <w:proofErr w:type="spellEnd"/>
      <w:r w:rsidRPr="00237C61">
        <w:rPr>
          <w:rFonts w:cstheme="minorHAnsi"/>
        </w:rPr>
        <w:t xml:space="preserve"> price after the 16% SPR. </w:t>
      </w:r>
      <w:proofErr w:type="spellStart"/>
      <w:r w:rsidRPr="00237C61">
        <w:rPr>
          <w:rFonts w:cstheme="minorHAnsi"/>
        </w:rPr>
        <w:t>Armodafinil</w:t>
      </w:r>
      <w:proofErr w:type="spellEnd"/>
      <w:r w:rsidRPr="00237C61">
        <w:rPr>
          <w:rFonts w:cstheme="minorHAnsi"/>
        </w:rPr>
        <w:t xml:space="preserve"> has not received any price reductions since listing. </w:t>
      </w:r>
    </w:p>
    <w:p w14:paraId="4D30F961" w14:textId="55E2E038" w:rsidR="008C2238" w:rsidRPr="00237C61" w:rsidRDefault="004F3B4A" w:rsidP="00CE70A2">
      <w:pPr>
        <w:rPr>
          <w:rFonts w:cstheme="minorHAnsi"/>
        </w:rPr>
      </w:pPr>
      <w:r w:rsidRPr="00237C61">
        <w:rPr>
          <w:rFonts w:cstheme="minorHAnsi"/>
        </w:rPr>
        <w:t>The number of prescriptions</w:t>
      </w:r>
      <w:r w:rsidR="002F27F8" w:rsidRPr="00237C61">
        <w:rPr>
          <w:rFonts w:cstheme="minorHAnsi"/>
        </w:rPr>
        <w:t xml:space="preserve"> for </w:t>
      </w:r>
      <w:proofErr w:type="spellStart"/>
      <w:r w:rsidR="002F27F8" w:rsidRPr="00237C61">
        <w:rPr>
          <w:rFonts w:cstheme="minorHAnsi"/>
        </w:rPr>
        <w:t>modafinil</w:t>
      </w:r>
      <w:proofErr w:type="spellEnd"/>
      <w:r w:rsidR="002F27F8" w:rsidRPr="00237C61">
        <w:rPr>
          <w:rFonts w:cstheme="minorHAnsi"/>
        </w:rPr>
        <w:t xml:space="preserve"> has remained </w:t>
      </w:r>
      <w:r w:rsidR="00873EFF" w:rsidRPr="00237C61">
        <w:rPr>
          <w:rFonts w:cstheme="minorHAnsi"/>
        </w:rPr>
        <w:t>moderately stable</w:t>
      </w:r>
      <w:r w:rsidRPr="00237C61">
        <w:rPr>
          <w:rFonts w:cstheme="minorHAnsi"/>
        </w:rPr>
        <w:t xml:space="preserve"> and the benefit paid for PBS subsidised </w:t>
      </w:r>
      <w:proofErr w:type="spellStart"/>
      <w:r w:rsidRPr="00237C61">
        <w:rPr>
          <w:rFonts w:cstheme="minorHAnsi"/>
        </w:rPr>
        <w:t>modafinil</w:t>
      </w:r>
      <w:proofErr w:type="spellEnd"/>
      <w:r w:rsidRPr="00237C61">
        <w:rPr>
          <w:rFonts w:cstheme="minorHAnsi"/>
        </w:rPr>
        <w:t xml:space="preserve"> for narcolepsy has decreased from 2016-2018</w:t>
      </w:r>
      <w:r w:rsidR="00345C2F">
        <w:rPr>
          <w:rFonts w:cstheme="minorHAnsi"/>
        </w:rPr>
        <w:t xml:space="preserve"> </w:t>
      </w:r>
      <w:r w:rsidR="0041315A">
        <w:rPr>
          <w:rFonts w:cstheme="minorHAnsi"/>
        </w:rPr>
        <w:t>due to the</w:t>
      </w:r>
      <w:r w:rsidR="00855AED">
        <w:rPr>
          <w:rFonts w:cstheme="minorHAnsi"/>
        </w:rPr>
        <w:t xml:space="preserve"> above-mentioned</w:t>
      </w:r>
      <w:r w:rsidR="0041315A">
        <w:rPr>
          <w:rFonts w:cstheme="minorHAnsi"/>
        </w:rPr>
        <w:t xml:space="preserve"> </w:t>
      </w:r>
      <w:r w:rsidR="00D60CB7">
        <w:rPr>
          <w:rFonts w:cstheme="minorHAnsi"/>
        </w:rPr>
        <w:t>price reductions</w:t>
      </w:r>
      <w:r w:rsidRPr="00237C61">
        <w:rPr>
          <w:rFonts w:cstheme="minorHAnsi"/>
        </w:rPr>
        <w:t>. The number of prescriptions and PBS benefit</w:t>
      </w:r>
      <w:r w:rsidR="00BF2EB6">
        <w:rPr>
          <w:rFonts w:cstheme="minorHAnsi"/>
        </w:rPr>
        <w:t>s</w:t>
      </w:r>
      <w:r w:rsidRPr="00237C61">
        <w:rPr>
          <w:rFonts w:cstheme="minorHAnsi"/>
        </w:rPr>
        <w:t xml:space="preserve"> paid for </w:t>
      </w:r>
      <w:proofErr w:type="spellStart"/>
      <w:r w:rsidRPr="00237C61">
        <w:rPr>
          <w:rFonts w:cstheme="minorHAnsi"/>
        </w:rPr>
        <w:t>armodafinil</w:t>
      </w:r>
      <w:proofErr w:type="spellEnd"/>
      <w:r w:rsidR="00855AED">
        <w:rPr>
          <w:rFonts w:cstheme="minorHAnsi"/>
        </w:rPr>
        <w:t xml:space="preserve"> have</w:t>
      </w:r>
      <w:r w:rsidR="007C68D4">
        <w:rPr>
          <w:rFonts w:cstheme="minorHAnsi"/>
        </w:rPr>
        <w:t xml:space="preserve"> </w:t>
      </w:r>
      <w:r w:rsidRPr="00237C61">
        <w:rPr>
          <w:rFonts w:cstheme="minorHAnsi"/>
        </w:rPr>
        <w:t>increased since</w:t>
      </w:r>
      <w:r w:rsidR="002F27F8" w:rsidRPr="00237C61">
        <w:rPr>
          <w:rFonts w:cstheme="minorHAnsi"/>
        </w:rPr>
        <w:t xml:space="preserve"> its listing </w:t>
      </w:r>
      <w:r w:rsidRPr="00237C61">
        <w:rPr>
          <w:rFonts w:cstheme="minorHAnsi"/>
        </w:rPr>
        <w:t>on the PBS (Figure 10).</w:t>
      </w:r>
    </w:p>
    <w:p w14:paraId="794B1029" w14:textId="0CF2A44F" w:rsidR="005E1993" w:rsidRPr="00237C61" w:rsidRDefault="005E1993" w:rsidP="00CE70A2">
      <w:pPr>
        <w:rPr>
          <w:rFonts w:cstheme="minorHAnsi"/>
        </w:rPr>
      </w:pPr>
      <w:r w:rsidRPr="00237C61">
        <w:rPr>
          <w:rFonts w:cstheme="minorHAnsi"/>
        </w:rPr>
        <w:t>As this analysis uses date of supply prescription data, there may be small differences compared with publicly available</w:t>
      </w:r>
      <w:r w:rsidR="00855AED">
        <w:rPr>
          <w:rFonts w:cstheme="minorHAnsi"/>
        </w:rPr>
        <w:t xml:space="preserve"> </w:t>
      </w:r>
      <w:r w:rsidRPr="00237C61">
        <w:rPr>
          <w:rFonts w:cstheme="minorHAnsi"/>
        </w:rPr>
        <w:t>DHS Medicare date of processing data.</w:t>
      </w:r>
    </w:p>
    <w:p w14:paraId="533A15DF" w14:textId="77777777" w:rsidR="008C2238" w:rsidRDefault="008C2238" w:rsidP="003222F0">
      <w:pPr>
        <w:spacing w:line="276" w:lineRule="auto"/>
      </w:pPr>
    </w:p>
    <w:p w14:paraId="6BCC6AFB" w14:textId="6CB4231B" w:rsidR="00B63FD7" w:rsidRPr="00C20632" w:rsidRDefault="00467984" w:rsidP="003222F0">
      <w:pPr>
        <w:spacing w:line="276" w:lineRule="auto"/>
        <w:rPr>
          <w:highlight w:val="black"/>
        </w:rPr>
      </w:pPr>
      <w:r w:rsidRPr="00C20632">
        <w:rPr>
          <w:highlight w:val="black"/>
        </w:rPr>
        <w:br w:type="page"/>
      </w:r>
    </w:p>
    <w:p w14:paraId="5F22B4D8" w14:textId="012C4601" w:rsidR="00736041" w:rsidRDefault="00D151EB" w:rsidP="00F73113">
      <w:pPr>
        <w:pStyle w:val="Heading2"/>
      </w:pPr>
      <w:r w:rsidRPr="00473B3F">
        <w:lastRenderedPageBreak/>
        <w:t xml:space="preserve">Analysis </w:t>
      </w:r>
      <w:r w:rsidR="00C0076F" w:rsidRPr="00473B3F">
        <w:t xml:space="preserve">of </w:t>
      </w:r>
      <w:r w:rsidR="0063631C" w:rsidRPr="00473B3F">
        <w:t>a</w:t>
      </w:r>
      <w:r w:rsidR="00C0076F" w:rsidRPr="00473B3F">
        <w:t xml:space="preserve">ctual versus </w:t>
      </w:r>
      <w:r w:rsidR="0063631C" w:rsidRPr="00473B3F">
        <w:t>p</w:t>
      </w:r>
      <w:r w:rsidR="00C0076F" w:rsidRPr="00473B3F">
        <w:t xml:space="preserve">redicted </w:t>
      </w:r>
      <w:r w:rsidR="0063631C" w:rsidRPr="00473B3F">
        <w:t>u</w:t>
      </w:r>
      <w:r w:rsidR="00C0076F" w:rsidRPr="00473B3F">
        <w:t>tilisation</w:t>
      </w:r>
    </w:p>
    <w:p w14:paraId="45A1523E" w14:textId="0006E4F0" w:rsidR="00CF5123" w:rsidRDefault="00CF5123" w:rsidP="00CF5123">
      <w:r>
        <w:t>A comparison of the</w:t>
      </w:r>
      <w:r w:rsidR="0014751B">
        <w:t xml:space="preserve"> predicted utilisation of </w:t>
      </w:r>
      <w:proofErr w:type="spellStart"/>
      <w:r w:rsidR="0014751B">
        <w:t>armodafinil</w:t>
      </w:r>
      <w:proofErr w:type="spellEnd"/>
      <w:r w:rsidR="0014751B">
        <w:t xml:space="preserve"> versus actual use is </w:t>
      </w:r>
      <w:r>
        <w:t>presented in Tabl</w:t>
      </w:r>
      <w:r w:rsidR="00683E1D">
        <w:t>e 6</w:t>
      </w:r>
      <w:r w:rsidR="00204E7C">
        <w:t>.</w:t>
      </w:r>
    </w:p>
    <w:p w14:paraId="498A3339" w14:textId="30CF6A27" w:rsidR="00CF5123" w:rsidRPr="00C20632" w:rsidRDefault="00E3204F" w:rsidP="00CF5123">
      <w:pPr>
        <w:spacing w:before="200" w:after="20"/>
        <w:rPr>
          <w:b/>
          <w:highlight w:val="black"/>
        </w:rPr>
      </w:pPr>
      <w:r w:rsidRPr="00E3204F">
        <w:rPr>
          <w:b/>
        </w:rPr>
        <w:t xml:space="preserve">Table 6: </w:t>
      </w:r>
      <w:proofErr w:type="spellStart"/>
      <w:r w:rsidRPr="00E3204F">
        <w:rPr>
          <w:b/>
        </w:rPr>
        <w:t>Armodafinil</w:t>
      </w:r>
      <w:proofErr w:type="spellEnd"/>
      <w:r w:rsidRPr="00E3204F">
        <w:rPr>
          <w:b/>
        </w:rPr>
        <w:t>: actual versus predicted utilisation</w:t>
      </w:r>
    </w:p>
    <w:tbl>
      <w:tblPr>
        <w:tblStyle w:val="TableGrid"/>
        <w:tblW w:w="8217" w:type="dxa"/>
        <w:tblInd w:w="10" w:type="dxa"/>
        <w:tblLook w:val="04A0" w:firstRow="1" w:lastRow="0" w:firstColumn="1" w:lastColumn="0" w:noHBand="0" w:noVBand="1"/>
        <w:tblCaption w:val="Armodafinil actual versus predicted utilisation "/>
        <w:tblDescription w:val="A comparison of the predicted utilisation of armodafinil versus actual use is presented in Table 6."/>
      </w:tblPr>
      <w:tblGrid>
        <w:gridCol w:w="1546"/>
        <w:gridCol w:w="2135"/>
        <w:gridCol w:w="2551"/>
        <w:gridCol w:w="1985"/>
      </w:tblGrid>
      <w:tr w:rsidR="00E3204F" w:rsidRPr="0021400E" w14:paraId="048A1CF0" w14:textId="77777777" w:rsidTr="00BD7518">
        <w:trPr>
          <w:trHeight w:val="300"/>
          <w:tblHeader/>
        </w:trPr>
        <w:tc>
          <w:tcPr>
            <w:tcW w:w="1546" w:type="dxa"/>
            <w:noWrap/>
            <w:hideMark/>
          </w:tcPr>
          <w:p w14:paraId="70666554" w14:textId="203A513A" w:rsidR="00E3204F" w:rsidRPr="00161210" w:rsidRDefault="00E3204F" w:rsidP="00161210">
            <w:pPr>
              <w:spacing w:before="60" w:after="60"/>
              <w:rPr>
                <w:rFonts w:cstheme="minorHAnsi"/>
                <w:sz w:val="20"/>
                <w:szCs w:val="20"/>
                <w:highlight w:val="black"/>
              </w:rPr>
            </w:pPr>
          </w:p>
        </w:tc>
        <w:tc>
          <w:tcPr>
            <w:tcW w:w="2135" w:type="dxa"/>
          </w:tcPr>
          <w:p w14:paraId="5B817E3D" w14:textId="77777777" w:rsidR="00E3204F" w:rsidRPr="00161210" w:rsidRDefault="00E3204F" w:rsidP="00161210">
            <w:pPr>
              <w:spacing w:before="60" w:after="60"/>
              <w:rPr>
                <w:rFonts w:cstheme="minorHAnsi"/>
                <w:b/>
                <w:bCs/>
                <w:sz w:val="20"/>
                <w:szCs w:val="20"/>
                <w:highlight w:val="yellow"/>
              </w:rPr>
            </w:pPr>
          </w:p>
        </w:tc>
        <w:tc>
          <w:tcPr>
            <w:tcW w:w="2551" w:type="dxa"/>
            <w:tcBorders>
              <w:top w:val="single" w:sz="2" w:space="0" w:color="auto"/>
              <w:left w:val="single" w:sz="2" w:space="0" w:color="auto"/>
              <w:bottom w:val="single" w:sz="2" w:space="0" w:color="auto"/>
              <w:right w:val="single" w:sz="2" w:space="0" w:color="auto"/>
            </w:tcBorders>
            <w:noWrap/>
            <w:hideMark/>
          </w:tcPr>
          <w:p w14:paraId="234A30CB" w14:textId="252615D9" w:rsidR="00E3204F" w:rsidRPr="00161210" w:rsidRDefault="00E3204F" w:rsidP="00161210">
            <w:pPr>
              <w:spacing w:before="60" w:after="60"/>
              <w:rPr>
                <w:rFonts w:cstheme="minorHAnsi"/>
                <w:b/>
                <w:bCs/>
                <w:sz w:val="20"/>
                <w:szCs w:val="20"/>
                <w:highlight w:val="black"/>
              </w:rPr>
            </w:pPr>
            <w:r w:rsidRPr="00161210">
              <w:rPr>
                <w:rFonts w:cstheme="minorHAnsi"/>
                <w:b/>
                <w:bCs/>
                <w:sz w:val="20"/>
                <w:szCs w:val="20"/>
              </w:rPr>
              <w:t>Year 1</w:t>
            </w:r>
          </w:p>
        </w:tc>
        <w:tc>
          <w:tcPr>
            <w:tcW w:w="1985" w:type="dxa"/>
            <w:tcBorders>
              <w:top w:val="single" w:sz="2" w:space="0" w:color="auto"/>
              <w:left w:val="single" w:sz="2" w:space="0" w:color="auto"/>
              <w:bottom w:val="single" w:sz="2" w:space="0" w:color="auto"/>
              <w:right w:val="single" w:sz="2" w:space="0" w:color="auto"/>
            </w:tcBorders>
            <w:noWrap/>
            <w:hideMark/>
          </w:tcPr>
          <w:p w14:paraId="703E9729" w14:textId="291FE51E" w:rsidR="00E3204F" w:rsidRPr="00161210" w:rsidRDefault="00E3204F" w:rsidP="00161210">
            <w:pPr>
              <w:spacing w:before="60" w:after="60"/>
              <w:rPr>
                <w:rFonts w:cstheme="minorHAnsi"/>
                <w:b/>
                <w:bCs/>
                <w:sz w:val="20"/>
                <w:szCs w:val="20"/>
                <w:highlight w:val="black"/>
              </w:rPr>
            </w:pPr>
            <w:r w:rsidRPr="00161210">
              <w:rPr>
                <w:rFonts w:cstheme="minorHAnsi"/>
                <w:b/>
                <w:bCs/>
                <w:sz w:val="20"/>
                <w:szCs w:val="20"/>
              </w:rPr>
              <w:t>Year 2</w:t>
            </w:r>
          </w:p>
        </w:tc>
      </w:tr>
      <w:tr w:rsidR="0047497D" w:rsidRPr="0021400E" w14:paraId="5FB0826C" w14:textId="77777777" w:rsidTr="00161210">
        <w:trPr>
          <w:trHeight w:val="180"/>
        </w:trPr>
        <w:tc>
          <w:tcPr>
            <w:tcW w:w="1546" w:type="dxa"/>
            <w:vMerge w:val="restart"/>
            <w:tcBorders>
              <w:top w:val="single" w:sz="2" w:space="0" w:color="auto"/>
              <w:left w:val="single" w:sz="2" w:space="0" w:color="auto"/>
              <w:bottom w:val="single" w:sz="2" w:space="0" w:color="auto"/>
              <w:right w:val="single" w:sz="2" w:space="0" w:color="auto"/>
            </w:tcBorders>
            <w:noWrap/>
            <w:hideMark/>
          </w:tcPr>
          <w:p w14:paraId="4184C50E" w14:textId="4FF6CBA5" w:rsidR="0047497D" w:rsidRPr="00161210" w:rsidRDefault="0047497D" w:rsidP="00161210">
            <w:pPr>
              <w:spacing w:before="60" w:after="60"/>
              <w:rPr>
                <w:rFonts w:cstheme="minorHAnsi"/>
                <w:b/>
                <w:bCs/>
                <w:sz w:val="20"/>
                <w:szCs w:val="20"/>
                <w:highlight w:val="black"/>
              </w:rPr>
            </w:pPr>
            <w:r w:rsidRPr="00161210">
              <w:rPr>
                <w:rFonts w:cstheme="minorHAnsi"/>
                <w:b/>
                <w:bCs/>
                <w:sz w:val="20"/>
                <w:szCs w:val="20"/>
              </w:rPr>
              <w:t>patients</w:t>
            </w:r>
          </w:p>
        </w:tc>
        <w:tc>
          <w:tcPr>
            <w:tcW w:w="2135" w:type="dxa"/>
          </w:tcPr>
          <w:p w14:paraId="2EF6718E" w14:textId="3551D56A" w:rsidR="0047497D" w:rsidRPr="00161210" w:rsidRDefault="0047497D" w:rsidP="00161210">
            <w:pPr>
              <w:spacing w:before="60" w:after="60"/>
              <w:rPr>
                <w:rFonts w:cstheme="minorHAnsi"/>
                <w:sz w:val="20"/>
                <w:szCs w:val="20"/>
                <w:highlight w:val="black"/>
              </w:rPr>
            </w:pPr>
            <w:r w:rsidRPr="00161210">
              <w:rPr>
                <w:rFonts w:cstheme="minorHAnsi"/>
                <w:sz w:val="20"/>
                <w:szCs w:val="20"/>
              </w:rPr>
              <w:t>Predicted</w:t>
            </w:r>
          </w:p>
        </w:tc>
        <w:tc>
          <w:tcPr>
            <w:tcW w:w="2551" w:type="dxa"/>
            <w:noWrap/>
            <w:hideMark/>
          </w:tcPr>
          <w:p w14:paraId="1D8887D3" w14:textId="381852CE" w:rsidR="0047497D" w:rsidRPr="00161210" w:rsidRDefault="0047497D" w:rsidP="00161210">
            <w:pPr>
              <w:spacing w:before="60" w:after="60"/>
              <w:rPr>
                <w:rFonts w:cstheme="minorHAnsi"/>
                <w:sz w:val="20"/>
                <w:szCs w:val="20"/>
                <w:highlight w:val="black"/>
              </w:rPr>
            </w:pPr>
            <w:r w:rsidRPr="00161210">
              <w:rPr>
                <w:rFonts w:cstheme="minorHAnsi"/>
                <w:sz w:val="20"/>
                <w:szCs w:val="20"/>
                <w:highlight w:val="black"/>
              </w:rPr>
              <w:t xml:space="preserve">xx </w:t>
            </w:r>
          </w:p>
        </w:tc>
        <w:tc>
          <w:tcPr>
            <w:tcW w:w="1985" w:type="dxa"/>
            <w:noWrap/>
            <w:hideMark/>
          </w:tcPr>
          <w:p w14:paraId="19CF660C" w14:textId="12C9D7A0" w:rsidR="0047497D" w:rsidRPr="00161210" w:rsidRDefault="0047497D" w:rsidP="00161210">
            <w:pPr>
              <w:spacing w:before="60" w:after="60"/>
              <w:rPr>
                <w:rFonts w:cstheme="minorHAnsi"/>
                <w:sz w:val="20"/>
                <w:szCs w:val="20"/>
                <w:highlight w:val="black"/>
              </w:rPr>
            </w:pPr>
            <w:r w:rsidRPr="00161210">
              <w:rPr>
                <w:rFonts w:cstheme="minorHAnsi"/>
                <w:sz w:val="20"/>
                <w:szCs w:val="20"/>
                <w:highlight w:val="black"/>
              </w:rPr>
              <w:t xml:space="preserve">xxx </w:t>
            </w:r>
          </w:p>
        </w:tc>
      </w:tr>
      <w:tr w:rsidR="00E3204F" w:rsidRPr="0021400E" w14:paraId="10E121B4" w14:textId="77777777" w:rsidTr="00161210">
        <w:trPr>
          <w:trHeight w:val="180"/>
        </w:trPr>
        <w:tc>
          <w:tcPr>
            <w:tcW w:w="1546" w:type="dxa"/>
            <w:vMerge/>
            <w:tcBorders>
              <w:top w:val="single" w:sz="2" w:space="0" w:color="auto"/>
              <w:left w:val="single" w:sz="2" w:space="0" w:color="auto"/>
              <w:bottom w:val="single" w:sz="2" w:space="0" w:color="auto"/>
              <w:right w:val="single" w:sz="2" w:space="0" w:color="auto"/>
            </w:tcBorders>
            <w:noWrap/>
            <w:vAlign w:val="center"/>
          </w:tcPr>
          <w:p w14:paraId="240F7FFC" w14:textId="77777777" w:rsidR="00E3204F" w:rsidRPr="00161210" w:rsidRDefault="00E3204F" w:rsidP="00161210">
            <w:pPr>
              <w:spacing w:before="60" w:after="60"/>
              <w:rPr>
                <w:rFonts w:cstheme="minorHAnsi"/>
                <w:b/>
                <w:bCs/>
                <w:sz w:val="20"/>
                <w:szCs w:val="20"/>
                <w:highlight w:val="yellow"/>
              </w:rPr>
            </w:pPr>
          </w:p>
        </w:tc>
        <w:tc>
          <w:tcPr>
            <w:tcW w:w="2135" w:type="dxa"/>
            <w:tcBorders>
              <w:top w:val="single" w:sz="2" w:space="0" w:color="auto"/>
              <w:left w:val="single" w:sz="2" w:space="0" w:color="auto"/>
              <w:bottom w:val="single" w:sz="2" w:space="0" w:color="auto"/>
              <w:right w:val="single" w:sz="2" w:space="0" w:color="auto"/>
            </w:tcBorders>
          </w:tcPr>
          <w:p w14:paraId="25975151" w14:textId="1FEDC240" w:rsidR="00E3204F" w:rsidRPr="00161210" w:rsidRDefault="00E3204F" w:rsidP="00161210">
            <w:pPr>
              <w:spacing w:before="60" w:after="60"/>
              <w:rPr>
                <w:rFonts w:cstheme="minorHAnsi"/>
                <w:sz w:val="20"/>
                <w:szCs w:val="20"/>
                <w:highlight w:val="black"/>
              </w:rPr>
            </w:pPr>
            <w:r w:rsidRPr="00161210">
              <w:rPr>
                <w:rFonts w:cstheme="minorHAnsi"/>
                <w:sz w:val="20"/>
                <w:szCs w:val="20"/>
              </w:rPr>
              <w:t>Actual</w:t>
            </w:r>
          </w:p>
        </w:tc>
        <w:tc>
          <w:tcPr>
            <w:tcW w:w="2551" w:type="dxa"/>
            <w:tcBorders>
              <w:top w:val="single" w:sz="2" w:space="0" w:color="auto"/>
              <w:left w:val="single" w:sz="2" w:space="0" w:color="auto"/>
              <w:bottom w:val="single" w:sz="2" w:space="0" w:color="auto"/>
              <w:right w:val="single" w:sz="2" w:space="0" w:color="auto"/>
            </w:tcBorders>
            <w:noWrap/>
          </w:tcPr>
          <w:p w14:paraId="01AD9A54" w14:textId="18AF0A8C" w:rsidR="00E3204F" w:rsidRPr="00161210" w:rsidRDefault="00E3204F" w:rsidP="00161210">
            <w:pPr>
              <w:spacing w:before="60" w:after="60"/>
              <w:rPr>
                <w:rFonts w:cstheme="minorHAnsi"/>
                <w:sz w:val="20"/>
                <w:szCs w:val="20"/>
                <w:highlight w:val="black"/>
              </w:rPr>
            </w:pPr>
            <w:r w:rsidRPr="00161210">
              <w:rPr>
                <w:rFonts w:cstheme="minorHAnsi"/>
                <w:sz w:val="20"/>
                <w:szCs w:val="20"/>
              </w:rPr>
              <w:t>883</w:t>
            </w:r>
          </w:p>
        </w:tc>
        <w:tc>
          <w:tcPr>
            <w:tcW w:w="1985" w:type="dxa"/>
            <w:tcBorders>
              <w:top w:val="single" w:sz="2" w:space="0" w:color="auto"/>
              <w:left w:val="single" w:sz="2" w:space="0" w:color="auto"/>
              <w:bottom w:val="single" w:sz="2" w:space="0" w:color="auto"/>
              <w:right w:val="single" w:sz="2" w:space="0" w:color="auto"/>
            </w:tcBorders>
            <w:noWrap/>
          </w:tcPr>
          <w:p w14:paraId="7C062955" w14:textId="0A3F6ACB" w:rsidR="00E3204F" w:rsidRPr="00161210" w:rsidRDefault="00E3204F" w:rsidP="00161210">
            <w:pPr>
              <w:spacing w:before="60" w:after="60"/>
              <w:rPr>
                <w:rFonts w:cstheme="minorHAnsi"/>
                <w:sz w:val="20"/>
                <w:szCs w:val="20"/>
                <w:highlight w:val="black"/>
              </w:rPr>
            </w:pPr>
            <w:r w:rsidRPr="00161210">
              <w:rPr>
                <w:rFonts w:cstheme="minorHAnsi"/>
                <w:sz w:val="20"/>
                <w:szCs w:val="20"/>
              </w:rPr>
              <w:t>1430</w:t>
            </w:r>
          </w:p>
        </w:tc>
      </w:tr>
      <w:tr w:rsidR="00E3204F" w:rsidRPr="0021400E" w14:paraId="4682CE9D" w14:textId="77777777" w:rsidTr="00161210">
        <w:trPr>
          <w:trHeight w:val="180"/>
        </w:trPr>
        <w:tc>
          <w:tcPr>
            <w:tcW w:w="1546" w:type="dxa"/>
            <w:vMerge/>
            <w:tcBorders>
              <w:top w:val="single" w:sz="2" w:space="0" w:color="auto"/>
              <w:left w:val="single" w:sz="2" w:space="0" w:color="auto"/>
              <w:bottom w:val="single" w:sz="2" w:space="0" w:color="auto"/>
              <w:right w:val="single" w:sz="2" w:space="0" w:color="auto"/>
            </w:tcBorders>
            <w:noWrap/>
            <w:vAlign w:val="center"/>
          </w:tcPr>
          <w:p w14:paraId="5012597F" w14:textId="77777777" w:rsidR="00E3204F" w:rsidRPr="00161210" w:rsidRDefault="00E3204F" w:rsidP="00161210">
            <w:pPr>
              <w:spacing w:before="60" w:after="60"/>
              <w:rPr>
                <w:rFonts w:cstheme="minorHAnsi"/>
                <w:b/>
                <w:bCs/>
                <w:sz w:val="20"/>
                <w:szCs w:val="20"/>
                <w:highlight w:val="yellow"/>
              </w:rPr>
            </w:pPr>
          </w:p>
        </w:tc>
        <w:tc>
          <w:tcPr>
            <w:tcW w:w="2135" w:type="dxa"/>
          </w:tcPr>
          <w:p w14:paraId="6B004630" w14:textId="769703A9" w:rsidR="00E3204F" w:rsidRPr="00161210" w:rsidRDefault="00E3204F" w:rsidP="00161210">
            <w:pPr>
              <w:spacing w:before="60" w:after="60"/>
              <w:rPr>
                <w:rFonts w:cstheme="minorHAnsi"/>
                <w:sz w:val="20"/>
                <w:szCs w:val="20"/>
                <w:highlight w:val="black"/>
              </w:rPr>
            </w:pPr>
            <w:r w:rsidRPr="00161210">
              <w:rPr>
                <w:rFonts w:cstheme="minorHAnsi"/>
                <w:sz w:val="20"/>
                <w:szCs w:val="20"/>
                <w:highlight w:val="black"/>
              </w:rPr>
              <w:t xml:space="preserve"> </w:t>
            </w:r>
            <w:r w:rsidR="0047497D" w:rsidRPr="00161210">
              <w:rPr>
                <w:rFonts w:cstheme="minorHAnsi"/>
                <w:sz w:val="20"/>
                <w:szCs w:val="20"/>
              </w:rPr>
              <w:t>%Difference</w:t>
            </w:r>
          </w:p>
        </w:tc>
        <w:tc>
          <w:tcPr>
            <w:tcW w:w="2551" w:type="dxa"/>
            <w:noWrap/>
          </w:tcPr>
          <w:p w14:paraId="0491833F" w14:textId="2646F815"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xxxxxx</w:t>
            </w:r>
            <w:proofErr w:type="spellEnd"/>
          </w:p>
        </w:tc>
        <w:tc>
          <w:tcPr>
            <w:tcW w:w="1985" w:type="dxa"/>
            <w:noWrap/>
          </w:tcPr>
          <w:p w14:paraId="5D64B943" w14:textId="3CF1BDBF"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p>
        </w:tc>
      </w:tr>
      <w:tr w:rsidR="00E3204F" w:rsidRPr="0021400E" w14:paraId="2403F39E" w14:textId="77777777" w:rsidTr="00161210">
        <w:trPr>
          <w:trHeight w:val="120"/>
        </w:trPr>
        <w:tc>
          <w:tcPr>
            <w:tcW w:w="1546" w:type="dxa"/>
            <w:vMerge w:val="restart"/>
            <w:tcBorders>
              <w:top w:val="single" w:sz="2" w:space="0" w:color="auto"/>
              <w:left w:val="single" w:sz="2" w:space="0" w:color="auto"/>
              <w:bottom w:val="single" w:sz="2" w:space="0" w:color="auto"/>
              <w:right w:val="single" w:sz="2" w:space="0" w:color="auto"/>
            </w:tcBorders>
            <w:noWrap/>
            <w:hideMark/>
          </w:tcPr>
          <w:p w14:paraId="118842DB" w14:textId="7FC5B79D" w:rsidR="00E3204F" w:rsidRPr="00161210" w:rsidRDefault="00E3204F" w:rsidP="00161210">
            <w:pPr>
              <w:spacing w:before="60" w:after="60"/>
              <w:rPr>
                <w:rFonts w:cstheme="minorHAnsi"/>
                <w:b/>
                <w:bCs/>
                <w:sz w:val="20"/>
                <w:szCs w:val="20"/>
                <w:highlight w:val="black"/>
              </w:rPr>
            </w:pPr>
            <w:r w:rsidRPr="00161210">
              <w:rPr>
                <w:rFonts w:cstheme="minorHAnsi"/>
                <w:b/>
                <w:bCs/>
                <w:sz w:val="20"/>
                <w:szCs w:val="20"/>
              </w:rPr>
              <w:t xml:space="preserve">prescriptions </w:t>
            </w:r>
          </w:p>
        </w:tc>
        <w:tc>
          <w:tcPr>
            <w:tcW w:w="2135" w:type="dxa"/>
          </w:tcPr>
          <w:p w14:paraId="5040BC4D" w14:textId="7E43DCA5" w:rsidR="00E3204F" w:rsidRPr="00161210" w:rsidRDefault="0047497D" w:rsidP="00161210">
            <w:pPr>
              <w:spacing w:before="60" w:after="60"/>
              <w:rPr>
                <w:rFonts w:cstheme="minorHAnsi"/>
                <w:sz w:val="20"/>
                <w:szCs w:val="20"/>
                <w:highlight w:val="black"/>
              </w:rPr>
            </w:pPr>
            <w:r w:rsidRPr="00161210">
              <w:rPr>
                <w:rFonts w:cstheme="minorHAnsi"/>
                <w:sz w:val="20"/>
                <w:szCs w:val="20"/>
              </w:rPr>
              <w:t>Predicted</w:t>
            </w:r>
          </w:p>
        </w:tc>
        <w:tc>
          <w:tcPr>
            <w:tcW w:w="2551" w:type="dxa"/>
            <w:noWrap/>
            <w:hideMark/>
          </w:tcPr>
          <w:p w14:paraId="337978F7" w14:textId="3801B1F6" w:rsidR="00E3204F" w:rsidRPr="00161210" w:rsidRDefault="00E3204F" w:rsidP="00161210">
            <w:pPr>
              <w:spacing w:before="60" w:after="60"/>
              <w:rPr>
                <w:rFonts w:cstheme="minorHAnsi"/>
                <w:sz w:val="20"/>
                <w:szCs w:val="20"/>
                <w:highlight w:val="black"/>
              </w:rPr>
            </w:pPr>
            <w:r w:rsidRPr="00161210">
              <w:rPr>
                <w:rFonts w:cstheme="minorHAnsi"/>
                <w:sz w:val="20"/>
                <w:szCs w:val="20"/>
                <w:highlight w:val="black"/>
              </w:rPr>
              <w:t xml:space="preserve">xxx </w:t>
            </w:r>
          </w:p>
        </w:tc>
        <w:tc>
          <w:tcPr>
            <w:tcW w:w="1985" w:type="dxa"/>
            <w:noWrap/>
            <w:hideMark/>
          </w:tcPr>
          <w:p w14:paraId="5622786A" w14:textId="3EACD262"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r w:rsidRPr="00161210">
              <w:rPr>
                <w:rFonts w:cstheme="minorHAnsi"/>
                <w:sz w:val="20"/>
                <w:szCs w:val="20"/>
                <w:highlight w:val="black"/>
              </w:rPr>
              <w:t xml:space="preserve"> </w:t>
            </w:r>
          </w:p>
        </w:tc>
      </w:tr>
      <w:tr w:rsidR="00E3204F" w:rsidRPr="0021400E" w14:paraId="329F7119" w14:textId="77777777" w:rsidTr="00161210">
        <w:trPr>
          <w:trHeight w:val="120"/>
        </w:trPr>
        <w:tc>
          <w:tcPr>
            <w:tcW w:w="1546" w:type="dxa"/>
            <w:vMerge/>
            <w:tcBorders>
              <w:top w:val="single" w:sz="2" w:space="0" w:color="auto"/>
              <w:left w:val="single" w:sz="2" w:space="0" w:color="auto"/>
              <w:bottom w:val="single" w:sz="2" w:space="0" w:color="auto"/>
              <w:right w:val="single" w:sz="2" w:space="0" w:color="auto"/>
            </w:tcBorders>
            <w:noWrap/>
            <w:vAlign w:val="center"/>
          </w:tcPr>
          <w:p w14:paraId="33679B4E" w14:textId="77777777" w:rsidR="00E3204F" w:rsidRPr="00161210" w:rsidRDefault="00E3204F" w:rsidP="00161210">
            <w:pPr>
              <w:spacing w:before="60" w:after="60"/>
              <w:rPr>
                <w:rFonts w:cstheme="minorHAnsi"/>
                <w:b/>
                <w:bCs/>
                <w:sz w:val="20"/>
                <w:szCs w:val="20"/>
                <w:highlight w:val="yellow"/>
              </w:rPr>
            </w:pPr>
          </w:p>
        </w:tc>
        <w:tc>
          <w:tcPr>
            <w:tcW w:w="2135" w:type="dxa"/>
            <w:tcBorders>
              <w:top w:val="single" w:sz="2" w:space="0" w:color="auto"/>
              <w:left w:val="single" w:sz="2" w:space="0" w:color="auto"/>
              <w:bottom w:val="single" w:sz="2" w:space="0" w:color="auto"/>
              <w:right w:val="single" w:sz="2" w:space="0" w:color="auto"/>
            </w:tcBorders>
          </w:tcPr>
          <w:p w14:paraId="28BDDB20" w14:textId="3C83551A" w:rsidR="00E3204F" w:rsidRPr="00161210" w:rsidRDefault="00E3204F" w:rsidP="00161210">
            <w:pPr>
              <w:spacing w:before="60" w:after="60"/>
              <w:rPr>
                <w:rFonts w:cstheme="minorHAnsi"/>
                <w:sz w:val="20"/>
                <w:szCs w:val="20"/>
                <w:highlight w:val="black"/>
              </w:rPr>
            </w:pPr>
            <w:r w:rsidRPr="00161210">
              <w:rPr>
                <w:rFonts w:cstheme="minorHAnsi"/>
                <w:sz w:val="20"/>
                <w:szCs w:val="20"/>
              </w:rPr>
              <w:t>Actual</w:t>
            </w:r>
          </w:p>
        </w:tc>
        <w:tc>
          <w:tcPr>
            <w:tcW w:w="2551" w:type="dxa"/>
            <w:tcBorders>
              <w:top w:val="single" w:sz="2" w:space="0" w:color="auto"/>
              <w:left w:val="single" w:sz="2" w:space="0" w:color="auto"/>
              <w:bottom w:val="single" w:sz="2" w:space="0" w:color="auto"/>
              <w:right w:val="single" w:sz="2" w:space="0" w:color="auto"/>
            </w:tcBorders>
            <w:noWrap/>
          </w:tcPr>
          <w:p w14:paraId="168C21A9" w14:textId="4EAB361B" w:rsidR="00E3204F" w:rsidRPr="00161210" w:rsidRDefault="00E3204F" w:rsidP="00161210">
            <w:pPr>
              <w:spacing w:before="60" w:after="60"/>
              <w:rPr>
                <w:rFonts w:cstheme="minorHAnsi"/>
                <w:sz w:val="20"/>
                <w:szCs w:val="20"/>
                <w:highlight w:val="black"/>
              </w:rPr>
            </w:pPr>
            <w:r w:rsidRPr="00161210">
              <w:rPr>
                <w:rFonts w:cstheme="minorHAnsi"/>
                <w:sz w:val="20"/>
                <w:szCs w:val="20"/>
              </w:rPr>
              <w:t>4,622</w:t>
            </w:r>
          </w:p>
        </w:tc>
        <w:tc>
          <w:tcPr>
            <w:tcW w:w="1985" w:type="dxa"/>
            <w:tcBorders>
              <w:top w:val="single" w:sz="2" w:space="0" w:color="auto"/>
              <w:left w:val="single" w:sz="2" w:space="0" w:color="auto"/>
              <w:bottom w:val="single" w:sz="2" w:space="0" w:color="auto"/>
              <w:right w:val="single" w:sz="2" w:space="0" w:color="auto"/>
            </w:tcBorders>
            <w:noWrap/>
          </w:tcPr>
          <w:p w14:paraId="18F40B5E" w14:textId="6AA025CC" w:rsidR="00E3204F" w:rsidRPr="00161210" w:rsidRDefault="00E3204F" w:rsidP="00161210">
            <w:pPr>
              <w:spacing w:before="60" w:after="60"/>
              <w:rPr>
                <w:rFonts w:cstheme="minorHAnsi"/>
                <w:sz w:val="20"/>
                <w:szCs w:val="20"/>
                <w:highlight w:val="black"/>
              </w:rPr>
            </w:pPr>
            <w:r w:rsidRPr="00161210">
              <w:rPr>
                <w:rFonts w:cstheme="minorHAnsi"/>
                <w:sz w:val="20"/>
                <w:szCs w:val="20"/>
              </w:rPr>
              <w:t>9,658</w:t>
            </w:r>
          </w:p>
        </w:tc>
      </w:tr>
      <w:tr w:rsidR="00E3204F" w:rsidRPr="0021400E" w14:paraId="7023132D" w14:textId="77777777" w:rsidTr="00161210">
        <w:trPr>
          <w:trHeight w:val="120"/>
        </w:trPr>
        <w:tc>
          <w:tcPr>
            <w:tcW w:w="1546" w:type="dxa"/>
            <w:vMerge/>
            <w:tcBorders>
              <w:top w:val="single" w:sz="2" w:space="0" w:color="auto"/>
              <w:left w:val="single" w:sz="2" w:space="0" w:color="auto"/>
              <w:bottom w:val="single" w:sz="2" w:space="0" w:color="auto"/>
              <w:right w:val="single" w:sz="2" w:space="0" w:color="auto"/>
            </w:tcBorders>
            <w:noWrap/>
            <w:vAlign w:val="center"/>
          </w:tcPr>
          <w:p w14:paraId="29C2A878" w14:textId="77777777" w:rsidR="00E3204F" w:rsidRPr="00161210" w:rsidRDefault="00E3204F" w:rsidP="00161210">
            <w:pPr>
              <w:spacing w:before="60" w:after="60"/>
              <w:rPr>
                <w:rFonts w:cstheme="minorHAnsi"/>
                <w:b/>
                <w:bCs/>
                <w:sz w:val="20"/>
                <w:szCs w:val="20"/>
                <w:highlight w:val="yellow"/>
              </w:rPr>
            </w:pPr>
          </w:p>
        </w:tc>
        <w:tc>
          <w:tcPr>
            <w:tcW w:w="2135" w:type="dxa"/>
          </w:tcPr>
          <w:p w14:paraId="2BC5DC03" w14:textId="2E2EFAAA" w:rsidR="00E3204F" w:rsidRPr="00161210" w:rsidRDefault="0047497D" w:rsidP="00161210">
            <w:pPr>
              <w:spacing w:before="60" w:after="60"/>
              <w:rPr>
                <w:rFonts w:cstheme="minorHAnsi"/>
                <w:sz w:val="20"/>
                <w:szCs w:val="20"/>
                <w:highlight w:val="black"/>
              </w:rPr>
            </w:pPr>
            <w:r w:rsidRPr="00161210">
              <w:rPr>
                <w:rFonts w:cstheme="minorHAnsi"/>
                <w:sz w:val="20"/>
                <w:szCs w:val="20"/>
              </w:rPr>
              <w:t>%Difference</w:t>
            </w:r>
          </w:p>
        </w:tc>
        <w:tc>
          <w:tcPr>
            <w:tcW w:w="2551" w:type="dxa"/>
            <w:noWrap/>
          </w:tcPr>
          <w:p w14:paraId="60961F74" w14:textId="2E89D9DD"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p>
        </w:tc>
        <w:tc>
          <w:tcPr>
            <w:tcW w:w="1985" w:type="dxa"/>
            <w:noWrap/>
          </w:tcPr>
          <w:p w14:paraId="7A41801A" w14:textId="5F8C2FA4"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p>
        </w:tc>
      </w:tr>
      <w:tr w:rsidR="00E3204F" w:rsidRPr="0021400E" w14:paraId="718E953D" w14:textId="77777777" w:rsidTr="00161210">
        <w:trPr>
          <w:trHeight w:val="120"/>
        </w:trPr>
        <w:tc>
          <w:tcPr>
            <w:tcW w:w="1546" w:type="dxa"/>
            <w:vMerge w:val="restart"/>
            <w:tcBorders>
              <w:top w:val="single" w:sz="2" w:space="0" w:color="auto"/>
              <w:left w:val="single" w:sz="2" w:space="0" w:color="auto"/>
              <w:bottom w:val="single" w:sz="2" w:space="0" w:color="auto"/>
              <w:right w:val="single" w:sz="2" w:space="0" w:color="auto"/>
            </w:tcBorders>
            <w:noWrap/>
            <w:hideMark/>
          </w:tcPr>
          <w:p w14:paraId="46A5A95F" w14:textId="378BA699" w:rsidR="00E3204F" w:rsidRPr="00161210" w:rsidRDefault="00E3204F" w:rsidP="00161210">
            <w:pPr>
              <w:spacing w:before="60" w:after="60"/>
              <w:rPr>
                <w:rFonts w:cstheme="minorHAnsi"/>
                <w:sz w:val="20"/>
                <w:szCs w:val="20"/>
                <w:highlight w:val="black"/>
              </w:rPr>
            </w:pPr>
            <w:r w:rsidRPr="00161210">
              <w:rPr>
                <w:rFonts w:cstheme="minorHAnsi"/>
                <w:sz w:val="20"/>
                <w:szCs w:val="20"/>
              </w:rPr>
              <w:t>Rx 50 mg</w:t>
            </w:r>
          </w:p>
        </w:tc>
        <w:tc>
          <w:tcPr>
            <w:tcW w:w="2135" w:type="dxa"/>
          </w:tcPr>
          <w:p w14:paraId="228D796B" w14:textId="0A5A8820" w:rsidR="00E3204F" w:rsidRPr="00161210" w:rsidRDefault="0047497D" w:rsidP="00161210">
            <w:pPr>
              <w:spacing w:before="60" w:after="60"/>
              <w:rPr>
                <w:rFonts w:cstheme="minorHAnsi"/>
                <w:sz w:val="20"/>
                <w:szCs w:val="20"/>
                <w:highlight w:val="black"/>
              </w:rPr>
            </w:pPr>
            <w:r w:rsidRPr="00161210">
              <w:rPr>
                <w:rFonts w:cstheme="minorHAnsi"/>
                <w:sz w:val="20"/>
                <w:szCs w:val="20"/>
              </w:rPr>
              <w:t>Predicted</w:t>
            </w:r>
          </w:p>
        </w:tc>
        <w:tc>
          <w:tcPr>
            <w:tcW w:w="2551" w:type="dxa"/>
            <w:noWrap/>
            <w:hideMark/>
          </w:tcPr>
          <w:p w14:paraId="5C5F8B75" w14:textId="414CA0D5" w:rsidR="00E3204F" w:rsidRPr="00161210" w:rsidRDefault="00E3204F" w:rsidP="00161210">
            <w:pPr>
              <w:spacing w:before="60" w:after="60"/>
              <w:rPr>
                <w:rFonts w:cstheme="minorHAnsi"/>
                <w:sz w:val="20"/>
                <w:szCs w:val="20"/>
                <w:highlight w:val="black"/>
              </w:rPr>
            </w:pPr>
            <w:r w:rsidRPr="00161210">
              <w:rPr>
                <w:rFonts w:cstheme="minorHAnsi"/>
                <w:sz w:val="20"/>
                <w:szCs w:val="20"/>
                <w:highlight w:val="black"/>
              </w:rPr>
              <w:t xml:space="preserve">xxx </w:t>
            </w:r>
          </w:p>
        </w:tc>
        <w:tc>
          <w:tcPr>
            <w:tcW w:w="1985" w:type="dxa"/>
            <w:noWrap/>
            <w:hideMark/>
          </w:tcPr>
          <w:p w14:paraId="58760190" w14:textId="3DE5A0B1" w:rsidR="00E3204F" w:rsidRPr="00161210" w:rsidRDefault="00E3204F" w:rsidP="00161210">
            <w:pPr>
              <w:spacing w:before="60" w:after="60"/>
              <w:rPr>
                <w:rFonts w:cstheme="minorHAnsi"/>
                <w:sz w:val="20"/>
                <w:szCs w:val="20"/>
                <w:highlight w:val="black"/>
              </w:rPr>
            </w:pPr>
            <w:r w:rsidRPr="00161210">
              <w:rPr>
                <w:rFonts w:cstheme="minorHAnsi"/>
                <w:sz w:val="20"/>
                <w:szCs w:val="20"/>
                <w:highlight w:val="black"/>
              </w:rPr>
              <w:t xml:space="preserve">xxx </w:t>
            </w:r>
          </w:p>
        </w:tc>
      </w:tr>
      <w:tr w:rsidR="00E3204F" w:rsidRPr="0021400E" w14:paraId="652FFDF4" w14:textId="77777777" w:rsidTr="00161210">
        <w:trPr>
          <w:trHeight w:val="120"/>
        </w:trPr>
        <w:tc>
          <w:tcPr>
            <w:tcW w:w="1546" w:type="dxa"/>
            <w:vMerge/>
            <w:tcBorders>
              <w:top w:val="single" w:sz="2" w:space="0" w:color="auto"/>
              <w:left w:val="single" w:sz="2" w:space="0" w:color="auto"/>
              <w:bottom w:val="single" w:sz="2" w:space="0" w:color="auto"/>
              <w:right w:val="single" w:sz="2" w:space="0" w:color="auto"/>
            </w:tcBorders>
            <w:noWrap/>
            <w:vAlign w:val="center"/>
          </w:tcPr>
          <w:p w14:paraId="12280A1F" w14:textId="77777777" w:rsidR="00E3204F" w:rsidRPr="00161210" w:rsidRDefault="00E3204F" w:rsidP="00161210">
            <w:pPr>
              <w:spacing w:before="60" w:after="60"/>
              <w:rPr>
                <w:rFonts w:cstheme="minorHAnsi"/>
                <w:sz w:val="20"/>
                <w:szCs w:val="20"/>
                <w:highlight w:val="yellow"/>
              </w:rPr>
            </w:pPr>
          </w:p>
        </w:tc>
        <w:tc>
          <w:tcPr>
            <w:tcW w:w="2135" w:type="dxa"/>
            <w:tcBorders>
              <w:top w:val="single" w:sz="2" w:space="0" w:color="auto"/>
              <w:left w:val="single" w:sz="2" w:space="0" w:color="auto"/>
              <w:bottom w:val="single" w:sz="2" w:space="0" w:color="auto"/>
              <w:right w:val="single" w:sz="2" w:space="0" w:color="auto"/>
            </w:tcBorders>
          </w:tcPr>
          <w:p w14:paraId="2518FC76" w14:textId="72554FD8" w:rsidR="00E3204F" w:rsidRPr="00161210" w:rsidRDefault="00E3204F" w:rsidP="00161210">
            <w:pPr>
              <w:spacing w:before="60" w:after="60"/>
              <w:rPr>
                <w:rFonts w:cstheme="minorHAnsi"/>
                <w:sz w:val="20"/>
                <w:szCs w:val="20"/>
                <w:highlight w:val="black"/>
              </w:rPr>
            </w:pPr>
            <w:r w:rsidRPr="00161210">
              <w:rPr>
                <w:rFonts w:cstheme="minorHAnsi"/>
                <w:sz w:val="20"/>
                <w:szCs w:val="20"/>
              </w:rPr>
              <w:t>Actual</w:t>
            </w:r>
          </w:p>
        </w:tc>
        <w:tc>
          <w:tcPr>
            <w:tcW w:w="2551" w:type="dxa"/>
            <w:tcBorders>
              <w:top w:val="single" w:sz="2" w:space="0" w:color="auto"/>
              <w:left w:val="single" w:sz="2" w:space="0" w:color="auto"/>
              <w:bottom w:val="single" w:sz="2" w:space="0" w:color="auto"/>
              <w:right w:val="single" w:sz="2" w:space="0" w:color="auto"/>
            </w:tcBorders>
            <w:noWrap/>
          </w:tcPr>
          <w:p w14:paraId="4A9A135B" w14:textId="66EF704C" w:rsidR="00E3204F" w:rsidRPr="00161210" w:rsidRDefault="00E3204F" w:rsidP="00161210">
            <w:pPr>
              <w:spacing w:before="60" w:after="60"/>
              <w:rPr>
                <w:rFonts w:cstheme="minorHAnsi"/>
                <w:sz w:val="20"/>
                <w:szCs w:val="20"/>
                <w:highlight w:val="black"/>
              </w:rPr>
            </w:pPr>
            <w:r w:rsidRPr="00161210">
              <w:rPr>
                <w:rFonts w:cstheme="minorHAnsi"/>
                <w:sz w:val="20"/>
                <w:szCs w:val="20"/>
              </w:rPr>
              <w:t>161</w:t>
            </w:r>
          </w:p>
        </w:tc>
        <w:tc>
          <w:tcPr>
            <w:tcW w:w="1985" w:type="dxa"/>
            <w:tcBorders>
              <w:top w:val="single" w:sz="2" w:space="0" w:color="auto"/>
              <w:left w:val="single" w:sz="2" w:space="0" w:color="auto"/>
              <w:bottom w:val="single" w:sz="2" w:space="0" w:color="auto"/>
              <w:right w:val="single" w:sz="2" w:space="0" w:color="auto"/>
            </w:tcBorders>
            <w:noWrap/>
          </w:tcPr>
          <w:p w14:paraId="13E577C2" w14:textId="366F2682" w:rsidR="00E3204F" w:rsidRPr="00161210" w:rsidRDefault="00E3204F" w:rsidP="00161210">
            <w:pPr>
              <w:spacing w:before="60" w:after="60"/>
              <w:rPr>
                <w:rFonts w:cstheme="minorHAnsi"/>
                <w:sz w:val="20"/>
                <w:szCs w:val="20"/>
                <w:highlight w:val="black"/>
              </w:rPr>
            </w:pPr>
            <w:r w:rsidRPr="00161210">
              <w:rPr>
                <w:rFonts w:cstheme="minorHAnsi"/>
                <w:sz w:val="20"/>
                <w:szCs w:val="20"/>
              </w:rPr>
              <w:t>379</w:t>
            </w:r>
          </w:p>
        </w:tc>
      </w:tr>
      <w:tr w:rsidR="00E3204F" w:rsidRPr="0021400E" w14:paraId="03A6DC67" w14:textId="77777777" w:rsidTr="00161210">
        <w:trPr>
          <w:trHeight w:val="120"/>
        </w:trPr>
        <w:tc>
          <w:tcPr>
            <w:tcW w:w="1546" w:type="dxa"/>
            <w:vMerge/>
            <w:tcBorders>
              <w:top w:val="single" w:sz="2" w:space="0" w:color="auto"/>
              <w:left w:val="single" w:sz="2" w:space="0" w:color="auto"/>
              <w:bottom w:val="single" w:sz="2" w:space="0" w:color="auto"/>
              <w:right w:val="single" w:sz="2" w:space="0" w:color="auto"/>
            </w:tcBorders>
            <w:noWrap/>
            <w:vAlign w:val="center"/>
          </w:tcPr>
          <w:p w14:paraId="7D2E677B" w14:textId="77777777" w:rsidR="00E3204F" w:rsidRPr="00161210" w:rsidRDefault="00E3204F" w:rsidP="00161210">
            <w:pPr>
              <w:spacing w:before="60" w:after="60"/>
              <w:rPr>
                <w:rFonts w:cstheme="minorHAnsi"/>
                <w:sz w:val="20"/>
                <w:szCs w:val="20"/>
                <w:highlight w:val="yellow"/>
              </w:rPr>
            </w:pPr>
          </w:p>
        </w:tc>
        <w:tc>
          <w:tcPr>
            <w:tcW w:w="2135" w:type="dxa"/>
          </w:tcPr>
          <w:p w14:paraId="7844E4D3" w14:textId="7DE624AC" w:rsidR="00E3204F" w:rsidRPr="00161210" w:rsidRDefault="0047497D" w:rsidP="00161210">
            <w:pPr>
              <w:spacing w:before="60" w:after="60"/>
              <w:rPr>
                <w:rFonts w:cstheme="minorHAnsi"/>
                <w:sz w:val="20"/>
                <w:szCs w:val="20"/>
                <w:highlight w:val="black"/>
              </w:rPr>
            </w:pPr>
            <w:r w:rsidRPr="00161210">
              <w:rPr>
                <w:rFonts w:cstheme="minorHAnsi"/>
                <w:sz w:val="20"/>
                <w:szCs w:val="20"/>
              </w:rPr>
              <w:t>%Difference</w:t>
            </w:r>
          </w:p>
        </w:tc>
        <w:tc>
          <w:tcPr>
            <w:tcW w:w="2551" w:type="dxa"/>
            <w:noWrap/>
          </w:tcPr>
          <w:p w14:paraId="060B5855" w14:textId="53EA6EB0"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w:t>
            </w:r>
            <w:proofErr w:type="spellEnd"/>
          </w:p>
        </w:tc>
        <w:tc>
          <w:tcPr>
            <w:tcW w:w="1985" w:type="dxa"/>
            <w:noWrap/>
          </w:tcPr>
          <w:p w14:paraId="7C487B15" w14:textId="0A9C411F"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w:t>
            </w:r>
            <w:proofErr w:type="spellEnd"/>
          </w:p>
        </w:tc>
      </w:tr>
      <w:tr w:rsidR="00E3204F" w:rsidRPr="0021400E" w14:paraId="78E0C664" w14:textId="77777777" w:rsidTr="00161210">
        <w:trPr>
          <w:trHeight w:val="120"/>
        </w:trPr>
        <w:tc>
          <w:tcPr>
            <w:tcW w:w="1546" w:type="dxa"/>
            <w:vMerge w:val="restart"/>
            <w:tcBorders>
              <w:top w:val="single" w:sz="2" w:space="0" w:color="auto"/>
              <w:left w:val="single" w:sz="2" w:space="0" w:color="auto"/>
              <w:bottom w:val="single" w:sz="2" w:space="0" w:color="auto"/>
              <w:right w:val="single" w:sz="2" w:space="0" w:color="auto"/>
            </w:tcBorders>
            <w:noWrap/>
            <w:hideMark/>
          </w:tcPr>
          <w:p w14:paraId="06004C42" w14:textId="539AE748" w:rsidR="00E3204F" w:rsidRPr="00161210" w:rsidRDefault="00E3204F" w:rsidP="00161210">
            <w:pPr>
              <w:spacing w:before="60" w:after="60"/>
              <w:rPr>
                <w:rFonts w:cstheme="minorHAnsi"/>
                <w:sz w:val="20"/>
                <w:szCs w:val="20"/>
                <w:highlight w:val="black"/>
              </w:rPr>
            </w:pPr>
            <w:r w:rsidRPr="00161210">
              <w:rPr>
                <w:rFonts w:cstheme="minorHAnsi"/>
                <w:sz w:val="20"/>
                <w:szCs w:val="20"/>
              </w:rPr>
              <w:t>Rx 150 mg</w:t>
            </w:r>
          </w:p>
        </w:tc>
        <w:tc>
          <w:tcPr>
            <w:tcW w:w="2135" w:type="dxa"/>
          </w:tcPr>
          <w:p w14:paraId="1664EC45" w14:textId="539E05AD" w:rsidR="00E3204F" w:rsidRPr="00161210" w:rsidRDefault="0047497D" w:rsidP="00161210">
            <w:pPr>
              <w:spacing w:before="60" w:after="60"/>
              <w:rPr>
                <w:rFonts w:cstheme="minorHAnsi"/>
                <w:sz w:val="20"/>
                <w:szCs w:val="20"/>
                <w:highlight w:val="black"/>
              </w:rPr>
            </w:pPr>
            <w:r w:rsidRPr="00161210">
              <w:rPr>
                <w:rFonts w:cstheme="minorHAnsi"/>
                <w:sz w:val="20"/>
                <w:szCs w:val="20"/>
              </w:rPr>
              <w:t>Predicted</w:t>
            </w:r>
          </w:p>
        </w:tc>
        <w:tc>
          <w:tcPr>
            <w:tcW w:w="2551" w:type="dxa"/>
            <w:noWrap/>
            <w:hideMark/>
          </w:tcPr>
          <w:p w14:paraId="547A46A2" w14:textId="54A29A44" w:rsidR="00E3204F" w:rsidRPr="00161210" w:rsidRDefault="00E3204F" w:rsidP="00161210">
            <w:pPr>
              <w:spacing w:before="60" w:after="60"/>
              <w:rPr>
                <w:rFonts w:cstheme="minorHAnsi"/>
                <w:sz w:val="20"/>
                <w:szCs w:val="20"/>
                <w:highlight w:val="black"/>
              </w:rPr>
            </w:pPr>
            <w:r w:rsidRPr="00161210">
              <w:rPr>
                <w:rFonts w:cstheme="minorHAnsi"/>
                <w:sz w:val="20"/>
                <w:szCs w:val="20"/>
                <w:highlight w:val="black"/>
              </w:rPr>
              <w:t xml:space="preserve">xxx </w:t>
            </w:r>
          </w:p>
        </w:tc>
        <w:tc>
          <w:tcPr>
            <w:tcW w:w="1985" w:type="dxa"/>
            <w:noWrap/>
            <w:hideMark/>
          </w:tcPr>
          <w:p w14:paraId="71F499B4" w14:textId="59BDF24B" w:rsidR="00E3204F" w:rsidRPr="00161210" w:rsidRDefault="00E3204F" w:rsidP="00161210">
            <w:pPr>
              <w:spacing w:before="60" w:after="60"/>
              <w:rPr>
                <w:rFonts w:cstheme="minorHAnsi"/>
                <w:sz w:val="20"/>
                <w:szCs w:val="20"/>
                <w:highlight w:val="black"/>
              </w:rPr>
            </w:pPr>
            <w:r w:rsidRPr="00161210">
              <w:rPr>
                <w:rFonts w:cstheme="minorHAnsi"/>
                <w:sz w:val="20"/>
                <w:szCs w:val="20"/>
                <w:highlight w:val="black"/>
              </w:rPr>
              <w:t xml:space="preserve">xxx </w:t>
            </w:r>
          </w:p>
        </w:tc>
      </w:tr>
      <w:tr w:rsidR="00E3204F" w:rsidRPr="0021400E" w14:paraId="6A1F317D" w14:textId="77777777" w:rsidTr="00161210">
        <w:trPr>
          <w:trHeight w:val="120"/>
        </w:trPr>
        <w:tc>
          <w:tcPr>
            <w:tcW w:w="1546" w:type="dxa"/>
            <w:vMerge/>
            <w:tcBorders>
              <w:top w:val="single" w:sz="2" w:space="0" w:color="auto"/>
              <w:left w:val="single" w:sz="2" w:space="0" w:color="auto"/>
              <w:bottom w:val="single" w:sz="2" w:space="0" w:color="auto"/>
              <w:right w:val="single" w:sz="2" w:space="0" w:color="auto"/>
            </w:tcBorders>
            <w:noWrap/>
            <w:vAlign w:val="center"/>
          </w:tcPr>
          <w:p w14:paraId="13ABCB60" w14:textId="77777777" w:rsidR="00E3204F" w:rsidRPr="00161210" w:rsidRDefault="00E3204F" w:rsidP="00161210">
            <w:pPr>
              <w:spacing w:before="60" w:after="60"/>
              <w:rPr>
                <w:rFonts w:cstheme="minorHAnsi"/>
                <w:sz w:val="20"/>
                <w:szCs w:val="20"/>
                <w:highlight w:val="yellow"/>
              </w:rPr>
            </w:pPr>
          </w:p>
        </w:tc>
        <w:tc>
          <w:tcPr>
            <w:tcW w:w="2135" w:type="dxa"/>
            <w:tcBorders>
              <w:top w:val="single" w:sz="2" w:space="0" w:color="auto"/>
              <w:left w:val="single" w:sz="2" w:space="0" w:color="auto"/>
              <w:bottom w:val="single" w:sz="2" w:space="0" w:color="auto"/>
              <w:right w:val="single" w:sz="2" w:space="0" w:color="auto"/>
            </w:tcBorders>
          </w:tcPr>
          <w:p w14:paraId="40A5D38E" w14:textId="0E4C8C22" w:rsidR="00E3204F" w:rsidRPr="00161210" w:rsidRDefault="00E3204F" w:rsidP="00161210">
            <w:pPr>
              <w:spacing w:before="60" w:after="60"/>
              <w:rPr>
                <w:rFonts w:cstheme="minorHAnsi"/>
                <w:sz w:val="20"/>
                <w:szCs w:val="20"/>
                <w:highlight w:val="black"/>
              </w:rPr>
            </w:pPr>
            <w:r w:rsidRPr="00161210">
              <w:rPr>
                <w:rFonts w:cstheme="minorHAnsi"/>
                <w:sz w:val="20"/>
                <w:szCs w:val="20"/>
              </w:rPr>
              <w:t>Actual</w:t>
            </w:r>
          </w:p>
        </w:tc>
        <w:tc>
          <w:tcPr>
            <w:tcW w:w="2551" w:type="dxa"/>
            <w:tcBorders>
              <w:top w:val="single" w:sz="2" w:space="0" w:color="auto"/>
              <w:left w:val="single" w:sz="2" w:space="0" w:color="auto"/>
              <w:bottom w:val="single" w:sz="2" w:space="0" w:color="auto"/>
              <w:right w:val="single" w:sz="2" w:space="0" w:color="auto"/>
            </w:tcBorders>
            <w:noWrap/>
          </w:tcPr>
          <w:p w14:paraId="34B1B279" w14:textId="4546ECAE" w:rsidR="00E3204F" w:rsidRPr="00161210" w:rsidRDefault="00E3204F" w:rsidP="00161210">
            <w:pPr>
              <w:spacing w:before="60" w:after="60"/>
              <w:rPr>
                <w:rFonts w:cstheme="minorHAnsi"/>
                <w:sz w:val="20"/>
                <w:szCs w:val="20"/>
                <w:highlight w:val="black"/>
              </w:rPr>
            </w:pPr>
            <w:r w:rsidRPr="00161210">
              <w:rPr>
                <w:rFonts w:cstheme="minorHAnsi"/>
                <w:sz w:val="20"/>
                <w:szCs w:val="20"/>
              </w:rPr>
              <w:t>1163</w:t>
            </w:r>
          </w:p>
        </w:tc>
        <w:tc>
          <w:tcPr>
            <w:tcW w:w="1985" w:type="dxa"/>
            <w:tcBorders>
              <w:top w:val="single" w:sz="2" w:space="0" w:color="auto"/>
              <w:left w:val="single" w:sz="2" w:space="0" w:color="auto"/>
              <w:bottom w:val="single" w:sz="2" w:space="0" w:color="auto"/>
              <w:right w:val="single" w:sz="2" w:space="0" w:color="auto"/>
            </w:tcBorders>
            <w:noWrap/>
          </w:tcPr>
          <w:p w14:paraId="2018952A" w14:textId="14FB8182" w:rsidR="00E3204F" w:rsidRPr="00161210" w:rsidRDefault="00E3204F" w:rsidP="00161210">
            <w:pPr>
              <w:spacing w:before="60" w:after="60"/>
              <w:rPr>
                <w:rFonts w:cstheme="minorHAnsi"/>
                <w:sz w:val="20"/>
                <w:szCs w:val="20"/>
                <w:highlight w:val="black"/>
              </w:rPr>
            </w:pPr>
            <w:r w:rsidRPr="00161210">
              <w:rPr>
                <w:rFonts w:cstheme="minorHAnsi"/>
                <w:sz w:val="20"/>
                <w:szCs w:val="20"/>
              </w:rPr>
              <w:t>2321</w:t>
            </w:r>
          </w:p>
        </w:tc>
      </w:tr>
      <w:tr w:rsidR="00E3204F" w:rsidRPr="0021400E" w14:paraId="4BEE56E1" w14:textId="77777777" w:rsidTr="00161210">
        <w:trPr>
          <w:trHeight w:val="120"/>
        </w:trPr>
        <w:tc>
          <w:tcPr>
            <w:tcW w:w="1546" w:type="dxa"/>
            <w:vMerge/>
            <w:tcBorders>
              <w:top w:val="single" w:sz="2" w:space="0" w:color="auto"/>
              <w:left w:val="single" w:sz="2" w:space="0" w:color="auto"/>
              <w:bottom w:val="single" w:sz="2" w:space="0" w:color="auto"/>
              <w:right w:val="single" w:sz="2" w:space="0" w:color="auto"/>
            </w:tcBorders>
            <w:noWrap/>
            <w:vAlign w:val="center"/>
          </w:tcPr>
          <w:p w14:paraId="49BA8251" w14:textId="77777777" w:rsidR="00E3204F" w:rsidRPr="00161210" w:rsidRDefault="00E3204F" w:rsidP="00161210">
            <w:pPr>
              <w:spacing w:before="60" w:after="60"/>
              <w:rPr>
                <w:rFonts w:cstheme="minorHAnsi"/>
                <w:sz w:val="20"/>
                <w:szCs w:val="20"/>
                <w:highlight w:val="yellow"/>
              </w:rPr>
            </w:pPr>
          </w:p>
        </w:tc>
        <w:tc>
          <w:tcPr>
            <w:tcW w:w="2135" w:type="dxa"/>
          </w:tcPr>
          <w:p w14:paraId="13264B93" w14:textId="06751318" w:rsidR="00E3204F" w:rsidRPr="00161210" w:rsidRDefault="0047497D" w:rsidP="00161210">
            <w:pPr>
              <w:spacing w:before="60" w:after="60"/>
              <w:rPr>
                <w:rFonts w:cstheme="minorHAnsi"/>
                <w:sz w:val="20"/>
                <w:szCs w:val="20"/>
                <w:highlight w:val="black"/>
              </w:rPr>
            </w:pPr>
            <w:r w:rsidRPr="00161210">
              <w:rPr>
                <w:rFonts w:cstheme="minorHAnsi"/>
                <w:sz w:val="20"/>
                <w:szCs w:val="20"/>
              </w:rPr>
              <w:t>%Difference</w:t>
            </w:r>
          </w:p>
        </w:tc>
        <w:tc>
          <w:tcPr>
            <w:tcW w:w="2551" w:type="dxa"/>
            <w:noWrap/>
          </w:tcPr>
          <w:p w14:paraId="3F2DFA54" w14:textId="7F9CB3C5"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p>
        </w:tc>
        <w:tc>
          <w:tcPr>
            <w:tcW w:w="1985" w:type="dxa"/>
            <w:noWrap/>
          </w:tcPr>
          <w:p w14:paraId="61E93DA2" w14:textId="17E2803E"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p>
        </w:tc>
      </w:tr>
      <w:tr w:rsidR="00E3204F" w:rsidRPr="0021400E" w14:paraId="59D763AE" w14:textId="77777777" w:rsidTr="00161210">
        <w:trPr>
          <w:trHeight w:val="120"/>
        </w:trPr>
        <w:tc>
          <w:tcPr>
            <w:tcW w:w="1546" w:type="dxa"/>
            <w:vMerge w:val="restart"/>
            <w:tcBorders>
              <w:top w:val="single" w:sz="2" w:space="0" w:color="auto"/>
              <w:left w:val="single" w:sz="2" w:space="0" w:color="auto"/>
              <w:bottom w:val="single" w:sz="2" w:space="0" w:color="auto"/>
              <w:right w:val="single" w:sz="2" w:space="0" w:color="auto"/>
            </w:tcBorders>
            <w:noWrap/>
            <w:hideMark/>
          </w:tcPr>
          <w:p w14:paraId="6227D579" w14:textId="4F567C1C" w:rsidR="00E3204F" w:rsidRPr="00161210" w:rsidRDefault="00E3204F" w:rsidP="00161210">
            <w:pPr>
              <w:spacing w:before="60" w:after="60"/>
              <w:rPr>
                <w:rFonts w:cstheme="minorHAnsi"/>
                <w:sz w:val="20"/>
                <w:szCs w:val="20"/>
                <w:highlight w:val="black"/>
              </w:rPr>
            </w:pPr>
            <w:r w:rsidRPr="00161210">
              <w:rPr>
                <w:rFonts w:cstheme="minorHAnsi"/>
                <w:sz w:val="20"/>
                <w:szCs w:val="20"/>
              </w:rPr>
              <w:t>Rx 250 mg</w:t>
            </w:r>
          </w:p>
        </w:tc>
        <w:tc>
          <w:tcPr>
            <w:tcW w:w="2135" w:type="dxa"/>
          </w:tcPr>
          <w:p w14:paraId="0A52EA37" w14:textId="33289DFD" w:rsidR="00E3204F" w:rsidRPr="00161210" w:rsidRDefault="0047497D" w:rsidP="00161210">
            <w:pPr>
              <w:spacing w:before="60" w:after="60"/>
              <w:rPr>
                <w:rFonts w:cstheme="minorHAnsi"/>
                <w:sz w:val="20"/>
                <w:szCs w:val="20"/>
                <w:highlight w:val="black"/>
              </w:rPr>
            </w:pPr>
            <w:r w:rsidRPr="00161210">
              <w:rPr>
                <w:rFonts w:cstheme="minorHAnsi"/>
                <w:sz w:val="20"/>
                <w:szCs w:val="20"/>
              </w:rPr>
              <w:t>Predicted</w:t>
            </w:r>
          </w:p>
        </w:tc>
        <w:tc>
          <w:tcPr>
            <w:tcW w:w="2551" w:type="dxa"/>
            <w:noWrap/>
            <w:hideMark/>
          </w:tcPr>
          <w:p w14:paraId="2D357992" w14:textId="77FCAF09" w:rsidR="00E3204F" w:rsidRPr="00161210" w:rsidRDefault="00E3204F" w:rsidP="00161210">
            <w:pPr>
              <w:spacing w:before="60" w:after="60"/>
              <w:rPr>
                <w:rFonts w:cstheme="minorHAnsi"/>
                <w:sz w:val="20"/>
                <w:szCs w:val="20"/>
                <w:highlight w:val="black"/>
              </w:rPr>
            </w:pPr>
            <w:r w:rsidRPr="00161210">
              <w:rPr>
                <w:rFonts w:cstheme="minorHAnsi"/>
                <w:sz w:val="20"/>
                <w:szCs w:val="20"/>
                <w:highlight w:val="black"/>
              </w:rPr>
              <w:t xml:space="preserve">xxx </w:t>
            </w:r>
          </w:p>
        </w:tc>
        <w:tc>
          <w:tcPr>
            <w:tcW w:w="1985" w:type="dxa"/>
            <w:noWrap/>
            <w:hideMark/>
          </w:tcPr>
          <w:p w14:paraId="77859E1E" w14:textId="45B53804"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r w:rsidRPr="00161210">
              <w:rPr>
                <w:rFonts w:cstheme="minorHAnsi"/>
                <w:sz w:val="20"/>
                <w:szCs w:val="20"/>
                <w:highlight w:val="black"/>
              </w:rPr>
              <w:t xml:space="preserve"> </w:t>
            </w:r>
          </w:p>
        </w:tc>
      </w:tr>
      <w:tr w:rsidR="00E3204F" w:rsidRPr="0021400E" w14:paraId="13D60674" w14:textId="77777777" w:rsidTr="00161210">
        <w:trPr>
          <w:trHeight w:val="120"/>
        </w:trPr>
        <w:tc>
          <w:tcPr>
            <w:tcW w:w="1546" w:type="dxa"/>
            <w:vMerge/>
            <w:tcBorders>
              <w:top w:val="single" w:sz="2" w:space="0" w:color="auto"/>
              <w:left w:val="single" w:sz="2" w:space="0" w:color="auto"/>
              <w:bottom w:val="single" w:sz="2" w:space="0" w:color="auto"/>
              <w:right w:val="single" w:sz="2" w:space="0" w:color="auto"/>
            </w:tcBorders>
            <w:noWrap/>
            <w:vAlign w:val="center"/>
          </w:tcPr>
          <w:p w14:paraId="147BED9F" w14:textId="77777777" w:rsidR="00E3204F" w:rsidRPr="00161210" w:rsidRDefault="00E3204F" w:rsidP="00161210">
            <w:pPr>
              <w:spacing w:before="60" w:after="60"/>
              <w:rPr>
                <w:rFonts w:cstheme="minorHAnsi"/>
                <w:sz w:val="20"/>
                <w:szCs w:val="20"/>
                <w:highlight w:val="yellow"/>
              </w:rPr>
            </w:pPr>
          </w:p>
        </w:tc>
        <w:tc>
          <w:tcPr>
            <w:tcW w:w="2135" w:type="dxa"/>
            <w:tcBorders>
              <w:top w:val="single" w:sz="2" w:space="0" w:color="auto"/>
              <w:left w:val="single" w:sz="2" w:space="0" w:color="auto"/>
              <w:bottom w:val="single" w:sz="2" w:space="0" w:color="auto"/>
              <w:right w:val="single" w:sz="2" w:space="0" w:color="auto"/>
            </w:tcBorders>
          </w:tcPr>
          <w:p w14:paraId="7157ACAC" w14:textId="01CAA208" w:rsidR="00E3204F" w:rsidRPr="00161210" w:rsidRDefault="00E3204F" w:rsidP="00161210">
            <w:pPr>
              <w:spacing w:before="60" w:after="60"/>
              <w:rPr>
                <w:rFonts w:cstheme="minorHAnsi"/>
                <w:sz w:val="20"/>
                <w:szCs w:val="20"/>
                <w:highlight w:val="black"/>
              </w:rPr>
            </w:pPr>
            <w:r w:rsidRPr="00161210">
              <w:rPr>
                <w:rFonts w:cstheme="minorHAnsi"/>
                <w:sz w:val="20"/>
                <w:szCs w:val="20"/>
              </w:rPr>
              <w:t>Actual</w:t>
            </w:r>
          </w:p>
        </w:tc>
        <w:tc>
          <w:tcPr>
            <w:tcW w:w="2551" w:type="dxa"/>
            <w:tcBorders>
              <w:top w:val="single" w:sz="2" w:space="0" w:color="auto"/>
              <w:left w:val="single" w:sz="2" w:space="0" w:color="auto"/>
              <w:bottom w:val="single" w:sz="2" w:space="0" w:color="auto"/>
              <w:right w:val="single" w:sz="2" w:space="0" w:color="auto"/>
            </w:tcBorders>
            <w:noWrap/>
          </w:tcPr>
          <w:p w14:paraId="4B88405D" w14:textId="5BE8C4D7" w:rsidR="00E3204F" w:rsidRPr="00161210" w:rsidRDefault="00E3204F" w:rsidP="00161210">
            <w:pPr>
              <w:spacing w:before="60" w:after="60"/>
              <w:rPr>
                <w:rFonts w:cstheme="minorHAnsi"/>
                <w:sz w:val="20"/>
                <w:szCs w:val="20"/>
                <w:highlight w:val="black"/>
              </w:rPr>
            </w:pPr>
            <w:r w:rsidRPr="00161210">
              <w:rPr>
                <w:rFonts w:cstheme="minorHAnsi"/>
                <w:sz w:val="20"/>
                <w:szCs w:val="20"/>
              </w:rPr>
              <w:t>3,298</w:t>
            </w:r>
          </w:p>
        </w:tc>
        <w:tc>
          <w:tcPr>
            <w:tcW w:w="1985" w:type="dxa"/>
            <w:tcBorders>
              <w:top w:val="single" w:sz="2" w:space="0" w:color="auto"/>
              <w:left w:val="single" w:sz="2" w:space="0" w:color="auto"/>
              <w:bottom w:val="single" w:sz="2" w:space="0" w:color="auto"/>
              <w:right w:val="single" w:sz="2" w:space="0" w:color="auto"/>
            </w:tcBorders>
            <w:noWrap/>
          </w:tcPr>
          <w:p w14:paraId="451A0F9E" w14:textId="6A49DE0C" w:rsidR="00E3204F" w:rsidRPr="00161210" w:rsidRDefault="00E3204F" w:rsidP="00161210">
            <w:pPr>
              <w:spacing w:before="60" w:after="60"/>
              <w:rPr>
                <w:rFonts w:cstheme="minorHAnsi"/>
                <w:sz w:val="20"/>
                <w:szCs w:val="20"/>
                <w:highlight w:val="black"/>
              </w:rPr>
            </w:pPr>
            <w:r w:rsidRPr="00161210">
              <w:rPr>
                <w:rFonts w:cstheme="minorHAnsi"/>
                <w:sz w:val="20"/>
                <w:szCs w:val="20"/>
              </w:rPr>
              <w:t>6,958</w:t>
            </w:r>
          </w:p>
        </w:tc>
      </w:tr>
      <w:tr w:rsidR="00E3204F" w:rsidRPr="0021400E" w14:paraId="09CEE51A" w14:textId="77777777" w:rsidTr="00161210">
        <w:trPr>
          <w:trHeight w:val="120"/>
        </w:trPr>
        <w:tc>
          <w:tcPr>
            <w:tcW w:w="1546" w:type="dxa"/>
            <w:vMerge/>
            <w:tcBorders>
              <w:top w:val="single" w:sz="2" w:space="0" w:color="auto"/>
              <w:left w:val="single" w:sz="2" w:space="0" w:color="auto"/>
              <w:bottom w:val="single" w:sz="2" w:space="0" w:color="auto"/>
              <w:right w:val="single" w:sz="2" w:space="0" w:color="auto"/>
            </w:tcBorders>
            <w:noWrap/>
            <w:vAlign w:val="center"/>
          </w:tcPr>
          <w:p w14:paraId="14C252C1" w14:textId="77777777" w:rsidR="00E3204F" w:rsidRPr="00161210" w:rsidRDefault="00E3204F" w:rsidP="00161210">
            <w:pPr>
              <w:spacing w:before="60" w:after="60"/>
              <w:rPr>
                <w:rFonts w:cstheme="minorHAnsi"/>
                <w:sz w:val="20"/>
                <w:szCs w:val="20"/>
                <w:highlight w:val="yellow"/>
              </w:rPr>
            </w:pPr>
          </w:p>
        </w:tc>
        <w:tc>
          <w:tcPr>
            <w:tcW w:w="2135" w:type="dxa"/>
          </w:tcPr>
          <w:p w14:paraId="7DED7BF1" w14:textId="378EBC79" w:rsidR="00E3204F" w:rsidRPr="00161210" w:rsidRDefault="0047497D" w:rsidP="00161210">
            <w:pPr>
              <w:spacing w:before="60" w:after="60"/>
              <w:rPr>
                <w:rFonts w:cstheme="minorHAnsi"/>
                <w:sz w:val="20"/>
                <w:szCs w:val="20"/>
                <w:highlight w:val="black"/>
              </w:rPr>
            </w:pPr>
            <w:r w:rsidRPr="00161210">
              <w:rPr>
                <w:rFonts w:cstheme="minorHAnsi"/>
                <w:sz w:val="20"/>
                <w:szCs w:val="20"/>
              </w:rPr>
              <w:t>%Difference</w:t>
            </w:r>
          </w:p>
        </w:tc>
        <w:tc>
          <w:tcPr>
            <w:tcW w:w="2551" w:type="dxa"/>
            <w:noWrap/>
          </w:tcPr>
          <w:p w14:paraId="1AB8D7D8" w14:textId="74133063"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p>
        </w:tc>
        <w:tc>
          <w:tcPr>
            <w:tcW w:w="1985" w:type="dxa"/>
            <w:noWrap/>
          </w:tcPr>
          <w:p w14:paraId="403D46B8" w14:textId="7CFA5C49"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p>
        </w:tc>
      </w:tr>
      <w:tr w:rsidR="00E3204F" w:rsidRPr="0021400E" w14:paraId="72D3C13D" w14:textId="77777777" w:rsidTr="00161210">
        <w:trPr>
          <w:trHeight w:val="205"/>
        </w:trPr>
        <w:tc>
          <w:tcPr>
            <w:tcW w:w="1546" w:type="dxa"/>
            <w:vMerge w:val="restart"/>
            <w:tcBorders>
              <w:top w:val="single" w:sz="2" w:space="0" w:color="auto"/>
              <w:left w:val="single" w:sz="2" w:space="0" w:color="auto"/>
              <w:bottom w:val="single" w:sz="2" w:space="0" w:color="auto"/>
              <w:right w:val="single" w:sz="2" w:space="0" w:color="auto"/>
            </w:tcBorders>
            <w:noWrap/>
            <w:hideMark/>
          </w:tcPr>
          <w:p w14:paraId="688ACEB1" w14:textId="216B71E7" w:rsidR="00E3204F" w:rsidRPr="00161210" w:rsidRDefault="00E3204F" w:rsidP="00161210">
            <w:pPr>
              <w:spacing w:before="60" w:after="60"/>
              <w:rPr>
                <w:rFonts w:cstheme="minorHAnsi"/>
                <w:b/>
                <w:bCs/>
                <w:sz w:val="20"/>
                <w:szCs w:val="20"/>
                <w:highlight w:val="black"/>
              </w:rPr>
            </w:pPr>
            <w:r w:rsidRPr="00161210">
              <w:rPr>
                <w:rFonts w:cstheme="minorHAnsi"/>
                <w:b/>
                <w:bCs/>
                <w:sz w:val="20"/>
                <w:szCs w:val="20"/>
              </w:rPr>
              <w:t>Expenditure</w:t>
            </w:r>
          </w:p>
        </w:tc>
        <w:tc>
          <w:tcPr>
            <w:tcW w:w="2135" w:type="dxa"/>
          </w:tcPr>
          <w:p w14:paraId="6545F77B" w14:textId="24D2A140" w:rsidR="00E3204F" w:rsidRPr="00161210" w:rsidRDefault="0047497D" w:rsidP="00161210">
            <w:pPr>
              <w:spacing w:before="60" w:after="60"/>
              <w:rPr>
                <w:rFonts w:cstheme="minorHAnsi"/>
                <w:sz w:val="20"/>
                <w:szCs w:val="20"/>
                <w:highlight w:val="black"/>
              </w:rPr>
            </w:pPr>
            <w:r w:rsidRPr="00161210">
              <w:rPr>
                <w:rFonts w:cstheme="minorHAnsi"/>
                <w:sz w:val="20"/>
                <w:szCs w:val="20"/>
              </w:rPr>
              <w:t>Predicted</w:t>
            </w:r>
          </w:p>
        </w:tc>
        <w:tc>
          <w:tcPr>
            <w:tcW w:w="2551" w:type="dxa"/>
            <w:noWrap/>
            <w:hideMark/>
          </w:tcPr>
          <w:p w14:paraId="30284760" w14:textId="138DC5F8"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xxxxxxxx</w:t>
            </w:r>
            <w:proofErr w:type="spellEnd"/>
            <w:r w:rsidRPr="00161210">
              <w:rPr>
                <w:rFonts w:cstheme="minorHAnsi"/>
                <w:sz w:val="20"/>
                <w:szCs w:val="20"/>
                <w:highlight w:val="black"/>
              </w:rPr>
              <w:t xml:space="preserve"> </w:t>
            </w:r>
          </w:p>
        </w:tc>
        <w:tc>
          <w:tcPr>
            <w:tcW w:w="1985" w:type="dxa"/>
            <w:noWrap/>
            <w:hideMark/>
          </w:tcPr>
          <w:p w14:paraId="1446F702" w14:textId="30B83006" w:rsidR="00E3204F" w:rsidRPr="00161210" w:rsidRDefault="00E3204F" w:rsidP="00161210">
            <w:pPr>
              <w:spacing w:before="60" w:after="60"/>
              <w:rPr>
                <w:rFonts w:cstheme="minorHAnsi"/>
                <w:sz w:val="20"/>
                <w:szCs w:val="20"/>
                <w:highlight w:val="black"/>
              </w:rPr>
            </w:pPr>
            <w:proofErr w:type="spellStart"/>
            <w:r w:rsidRPr="00161210">
              <w:rPr>
                <w:rFonts w:cstheme="minorHAnsi"/>
                <w:sz w:val="20"/>
                <w:szCs w:val="20"/>
                <w:highlight w:val="black"/>
              </w:rPr>
              <w:t>xxxxxxxx</w:t>
            </w:r>
            <w:proofErr w:type="spellEnd"/>
            <w:r w:rsidRPr="00161210">
              <w:rPr>
                <w:rFonts w:cstheme="minorHAnsi"/>
                <w:sz w:val="20"/>
                <w:szCs w:val="20"/>
                <w:highlight w:val="black"/>
              </w:rPr>
              <w:t xml:space="preserve"> </w:t>
            </w:r>
          </w:p>
        </w:tc>
      </w:tr>
      <w:tr w:rsidR="00E3204F" w:rsidRPr="0021400E" w14:paraId="71FBDE9C" w14:textId="77777777" w:rsidTr="00161210">
        <w:trPr>
          <w:trHeight w:val="205"/>
        </w:trPr>
        <w:tc>
          <w:tcPr>
            <w:tcW w:w="1546" w:type="dxa"/>
            <w:vMerge/>
            <w:noWrap/>
          </w:tcPr>
          <w:p w14:paraId="25F12AC5" w14:textId="77777777" w:rsidR="00E3204F" w:rsidRPr="00161210" w:rsidRDefault="00E3204F" w:rsidP="00161210">
            <w:pPr>
              <w:spacing w:before="60" w:after="60"/>
              <w:rPr>
                <w:rFonts w:cstheme="minorHAnsi"/>
                <w:b/>
                <w:bCs/>
                <w:sz w:val="20"/>
                <w:szCs w:val="20"/>
                <w:highlight w:val="yellow"/>
              </w:rPr>
            </w:pPr>
          </w:p>
        </w:tc>
        <w:tc>
          <w:tcPr>
            <w:tcW w:w="2135" w:type="dxa"/>
            <w:tcBorders>
              <w:top w:val="single" w:sz="2" w:space="0" w:color="auto"/>
              <w:left w:val="single" w:sz="2" w:space="0" w:color="auto"/>
              <w:bottom w:val="single" w:sz="2" w:space="0" w:color="auto"/>
              <w:right w:val="single" w:sz="2" w:space="0" w:color="auto"/>
            </w:tcBorders>
          </w:tcPr>
          <w:p w14:paraId="30029412" w14:textId="626915F3" w:rsidR="00E3204F" w:rsidRPr="00161210" w:rsidRDefault="00E3204F" w:rsidP="00161210">
            <w:pPr>
              <w:spacing w:before="60" w:after="60"/>
              <w:rPr>
                <w:rFonts w:cstheme="minorHAnsi"/>
                <w:sz w:val="20"/>
                <w:szCs w:val="20"/>
                <w:highlight w:val="black"/>
              </w:rPr>
            </w:pPr>
            <w:r w:rsidRPr="00161210">
              <w:rPr>
                <w:rFonts w:cstheme="minorHAnsi"/>
                <w:sz w:val="20"/>
                <w:szCs w:val="20"/>
              </w:rPr>
              <w:t>Actual</w:t>
            </w:r>
          </w:p>
        </w:tc>
        <w:tc>
          <w:tcPr>
            <w:tcW w:w="2551" w:type="dxa"/>
            <w:tcBorders>
              <w:top w:val="single" w:sz="2" w:space="0" w:color="auto"/>
              <w:left w:val="single" w:sz="2" w:space="0" w:color="auto"/>
              <w:bottom w:val="single" w:sz="2" w:space="0" w:color="auto"/>
              <w:right w:val="single" w:sz="2" w:space="0" w:color="auto"/>
            </w:tcBorders>
            <w:noWrap/>
          </w:tcPr>
          <w:p w14:paraId="6DF73B78" w14:textId="552D66BA" w:rsidR="00E3204F" w:rsidRPr="00161210" w:rsidRDefault="00E3204F" w:rsidP="00161210">
            <w:pPr>
              <w:spacing w:before="60" w:after="60"/>
              <w:rPr>
                <w:rFonts w:cstheme="minorHAnsi"/>
                <w:sz w:val="20"/>
                <w:szCs w:val="20"/>
                <w:highlight w:val="black"/>
              </w:rPr>
            </w:pPr>
            <w:r w:rsidRPr="00161210">
              <w:rPr>
                <w:rFonts w:cstheme="minorHAnsi"/>
                <w:sz w:val="20"/>
                <w:szCs w:val="20"/>
              </w:rPr>
              <w:t>$887,399</w:t>
            </w:r>
          </w:p>
        </w:tc>
        <w:tc>
          <w:tcPr>
            <w:tcW w:w="1985" w:type="dxa"/>
            <w:tcBorders>
              <w:top w:val="single" w:sz="2" w:space="0" w:color="auto"/>
              <w:left w:val="single" w:sz="2" w:space="0" w:color="auto"/>
              <w:bottom w:val="single" w:sz="2" w:space="0" w:color="auto"/>
              <w:right w:val="single" w:sz="2" w:space="0" w:color="auto"/>
            </w:tcBorders>
            <w:noWrap/>
          </w:tcPr>
          <w:p w14:paraId="40B16EFE" w14:textId="03F79152" w:rsidR="00E3204F" w:rsidRPr="00161210" w:rsidRDefault="00E3204F" w:rsidP="00161210">
            <w:pPr>
              <w:spacing w:before="60" w:after="60"/>
              <w:rPr>
                <w:rFonts w:cstheme="minorHAnsi"/>
                <w:sz w:val="20"/>
                <w:szCs w:val="20"/>
                <w:highlight w:val="black"/>
              </w:rPr>
            </w:pPr>
            <w:r w:rsidRPr="00161210">
              <w:rPr>
                <w:rFonts w:cstheme="minorHAnsi"/>
                <w:sz w:val="20"/>
                <w:szCs w:val="20"/>
              </w:rPr>
              <w:t>$1,863,483</w:t>
            </w:r>
          </w:p>
        </w:tc>
      </w:tr>
      <w:tr w:rsidR="00F85CCB" w:rsidRPr="0021400E" w14:paraId="6B76E1DE" w14:textId="77777777" w:rsidTr="00D36EF8">
        <w:trPr>
          <w:trHeight w:val="205"/>
        </w:trPr>
        <w:tc>
          <w:tcPr>
            <w:tcW w:w="1546" w:type="dxa"/>
            <w:vMerge/>
            <w:noWrap/>
          </w:tcPr>
          <w:p w14:paraId="66980CCB" w14:textId="77777777" w:rsidR="00F85CCB" w:rsidRPr="00161210" w:rsidRDefault="00F85CCB" w:rsidP="00161210">
            <w:pPr>
              <w:spacing w:before="60" w:after="60"/>
              <w:rPr>
                <w:rFonts w:cstheme="minorHAnsi"/>
                <w:b/>
                <w:bCs/>
                <w:sz w:val="20"/>
                <w:szCs w:val="20"/>
                <w:highlight w:val="yellow"/>
              </w:rPr>
            </w:pPr>
          </w:p>
        </w:tc>
        <w:tc>
          <w:tcPr>
            <w:tcW w:w="2135" w:type="dxa"/>
          </w:tcPr>
          <w:p w14:paraId="722FA6FA" w14:textId="3973E5A6" w:rsidR="00F85CCB" w:rsidRPr="00161210" w:rsidRDefault="0047497D" w:rsidP="00161210">
            <w:pPr>
              <w:spacing w:before="60" w:after="60"/>
              <w:rPr>
                <w:rFonts w:cstheme="minorHAnsi"/>
                <w:sz w:val="20"/>
                <w:szCs w:val="20"/>
                <w:highlight w:val="black"/>
              </w:rPr>
            </w:pPr>
            <w:r w:rsidRPr="00161210">
              <w:rPr>
                <w:rFonts w:cstheme="minorHAnsi"/>
                <w:sz w:val="20"/>
                <w:szCs w:val="20"/>
              </w:rPr>
              <w:t>%Difference</w:t>
            </w:r>
          </w:p>
        </w:tc>
        <w:tc>
          <w:tcPr>
            <w:tcW w:w="2551" w:type="dxa"/>
            <w:noWrap/>
          </w:tcPr>
          <w:p w14:paraId="2925BFDB" w14:textId="51777736" w:rsidR="00F85CCB" w:rsidRPr="00161210" w:rsidRDefault="00A4568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p>
        </w:tc>
        <w:tc>
          <w:tcPr>
            <w:tcW w:w="1985" w:type="dxa"/>
            <w:noWrap/>
          </w:tcPr>
          <w:p w14:paraId="283DF1ED" w14:textId="45B23B97" w:rsidR="00F85CCB" w:rsidRPr="00161210" w:rsidRDefault="00A4568F" w:rsidP="00161210">
            <w:pPr>
              <w:spacing w:before="60" w:after="60"/>
              <w:rPr>
                <w:rFonts w:cstheme="minorHAnsi"/>
                <w:sz w:val="20"/>
                <w:szCs w:val="20"/>
                <w:highlight w:val="black"/>
              </w:rPr>
            </w:pPr>
            <w:proofErr w:type="spellStart"/>
            <w:r w:rsidRPr="00161210">
              <w:rPr>
                <w:rFonts w:cstheme="minorHAnsi"/>
                <w:sz w:val="20"/>
                <w:szCs w:val="20"/>
                <w:highlight w:val="black"/>
              </w:rPr>
              <w:t>xxxxx</w:t>
            </w:r>
            <w:proofErr w:type="spellEnd"/>
          </w:p>
        </w:tc>
      </w:tr>
    </w:tbl>
    <w:p w14:paraId="4FFAEA4E" w14:textId="77777777" w:rsidR="005075C9" w:rsidRPr="005075C9" w:rsidRDefault="005075C9" w:rsidP="004D4699">
      <w:pPr>
        <w:autoSpaceDE w:val="0"/>
        <w:autoSpaceDN w:val="0"/>
        <w:adjustRightInd w:val="0"/>
        <w:rPr>
          <w:rFonts w:cs="Calibri"/>
          <w:color w:val="000000"/>
          <w:sz w:val="20"/>
          <w:szCs w:val="20"/>
        </w:rPr>
      </w:pPr>
      <w:r w:rsidRPr="005075C9">
        <w:rPr>
          <w:rFonts w:cs="Calibri"/>
          <w:color w:val="000000"/>
          <w:sz w:val="20"/>
          <w:szCs w:val="20"/>
        </w:rPr>
        <w:t xml:space="preserve">Source: </w:t>
      </w:r>
      <w:proofErr w:type="spellStart"/>
      <w:r w:rsidRPr="005075C9">
        <w:rPr>
          <w:rFonts w:cs="Calibri"/>
          <w:color w:val="000000"/>
          <w:sz w:val="20"/>
          <w:szCs w:val="20"/>
        </w:rPr>
        <w:t>Armodafinil</w:t>
      </w:r>
      <w:proofErr w:type="spellEnd"/>
      <w:r w:rsidRPr="005075C9">
        <w:rPr>
          <w:rFonts w:cs="Calibri"/>
          <w:color w:val="000000"/>
          <w:sz w:val="20"/>
          <w:szCs w:val="20"/>
        </w:rPr>
        <w:t xml:space="preserve"> Final Estimates (predicted), DHS prescription database (actual), extracted April 2019</w:t>
      </w:r>
    </w:p>
    <w:p w14:paraId="47818D86" w14:textId="15B48732" w:rsidR="007C68D4" w:rsidRDefault="007C68D4" w:rsidP="009C19EE"/>
    <w:p w14:paraId="0F72B976" w14:textId="3FDE20EA" w:rsidR="008F6C55" w:rsidRDefault="00CF5123" w:rsidP="009C19EE">
      <w:r>
        <w:t xml:space="preserve">In the first two years of </w:t>
      </w:r>
      <w:r w:rsidR="0014751B">
        <w:t>listing</w:t>
      </w:r>
      <w:r>
        <w:t>,</w:t>
      </w:r>
      <w:r w:rsidR="00B95795">
        <w:t xml:space="preserve"> </w:t>
      </w:r>
      <w:r>
        <w:t>the</w:t>
      </w:r>
      <w:r w:rsidR="00B95795">
        <w:t xml:space="preserve"> total</w:t>
      </w:r>
      <w:r>
        <w:t xml:space="preserve"> number of patients and prescriptions were underestimated</w:t>
      </w:r>
      <w:r w:rsidR="005D4492">
        <w:t xml:space="preserve"> resulting in a higher government expenditure than predicted in the submission. </w:t>
      </w:r>
    </w:p>
    <w:p w14:paraId="4F46E5DA" w14:textId="007A5D1F" w:rsidR="007844BB" w:rsidRPr="005E1993" w:rsidRDefault="008F6C55" w:rsidP="00591AE2">
      <w:pPr>
        <w:spacing w:line="276" w:lineRule="auto"/>
      </w:pPr>
      <w:r>
        <w:br w:type="page"/>
      </w:r>
    </w:p>
    <w:p w14:paraId="3555DFBA" w14:textId="0FA0A98B" w:rsidR="00591512" w:rsidRDefault="00B20D69" w:rsidP="004D4699">
      <w:pPr>
        <w:pStyle w:val="Heading1"/>
        <w:spacing w:before="240" w:after="200"/>
      </w:pPr>
      <w:r w:rsidRPr="00B20D69">
        <w:lastRenderedPageBreak/>
        <w:t>DUSC consideration</w:t>
      </w:r>
    </w:p>
    <w:p w14:paraId="535AD266" w14:textId="274C94AB" w:rsidR="000B3F6D" w:rsidRPr="00B20D69" w:rsidRDefault="00BC145B" w:rsidP="00314C4F">
      <w:r w:rsidRPr="00B20D69">
        <w:t>The number of patients on therapy for narcolepsy has increased over the last four-year period. There was also a 35.9% increase in patients new to therapy between 2017 and 2018. DUSC noted that there has been market growth in PBS sub</w:t>
      </w:r>
      <w:r w:rsidR="00B071DD">
        <w:t>sidised therapy for narcolepsy.</w:t>
      </w:r>
    </w:p>
    <w:p w14:paraId="7EC89BF8" w14:textId="314306ED" w:rsidR="00C823D2" w:rsidRPr="00B20D69" w:rsidRDefault="0048472F" w:rsidP="00476AFD">
      <w:r w:rsidRPr="00B20D69">
        <w:t xml:space="preserve">The listing of </w:t>
      </w:r>
      <w:proofErr w:type="spellStart"/>
      <w:r w:rsidRPr="00B20D69">
        <w:t>armodafinil</w:t>
      </w:r>
      <w:proofErr w:type="spellEnd"/>
      <w:r w:rsidRPr="00B20D69">
        <w:t xml:space="preserve"> has</w:t>
      </w:r>
      <w:r w:rsidR="00E731AF" w:rsidRPr="00B20D69">
        <w:t xml:space="preserve"> increased the total</w:t>
      </w:r>
      <w:r w:rsidR="000B3F6D" w:rsidRPr="00B20D69">
        <w:t xml:space="preserve"> narcolepsy</w:t>
      </w:r>
      <w:r w:rsidR="00E731AF" w:rsidRPr="00B20D69">
        <w:t xml:space="preserve"> market, with number of people starting</w:t>
      </w:r>
      <w:r w:rsidRPr="00B20D69">
        <w:t xml:space="preserve"> </w:t>
      </w:r>
      <w:r w:rsidR="000E3498" w:rsidRPr="00B20D69">
        <w:t xml:space="preserve">PBS subsidised </w:t>
      </w:r>
      <w:proofErr w:type="spellStart"/>
      <w:r w:rsidRPr="00B20D69">
        <w:t>armodafinil</w:t>
      </w:r>
      <w:proofErr w:type="spellEnd"/>
      <w:r w:rsidRPr="00B20D69">
        <w:t xml:space="preserve"> being higher than the number of patients starting </w:t>
      </w:r>
      <w:proofErr w:type="spellStart"/>
      <w:r w:rsidRPr="00B20D69">
        <w:t>modafinil</w:t>
      </w:r>
      <w:proofErr w:type="spellEnd"/>
      <w:r w:rsidR="000E3498" w:rsidRPr="00B20D69">
        <w:t xml:space="preserve"> since its listing in 2016</w:t>
      </w:r>
      <w:r w:rsidRPr="00B20D69">
        <w:t xml:space="preserve">. </w:t>
      </w:r>
      <w:r w:rsidR="009E6871" w:rsidRPr="00B20D69">
        <w:t xml:space="preserve">The number of patients starting initial therapy for narcolepsy with </w:t>
      </w:r>
      <w:proofErr w:type="spellStart"/>
      <w:r w:rsidR="009E6871" w:rsidRPr="00B20D69">
        <w:t>armodafinil</w:t>
      </w:r>
      <w:proofErr w:type="spellEnd"/>
      <w:r w:rsidR="00124FF0" w:rsidRPr="00B20D69">
        <w:t xml:space="preserve"> </w:t>
      </w:r>
      <w:r w:rsidR="009E6871" w:rsidRPr="00B20D69">
        <w:t xml:space="preserve">surpassed that for </w:t>
      </w:r>
      <w:proofErr w:type="spellStart"/>
      <w:r w:rsidR="009E6871" w:rsidRPr="00B20D69">
        <w:t>modafini</w:t>
      </w:r>
      <w:r w:rsidR="00124FF0" w:rsidRPr="00B20D69">
        <w:t>l</w:t>
      </w:r>
      <w:proofErr w:type="spellEnd"/>
      <w:r w:rsidR="00124FF0" w:rsidRPr="00B20D69">
        <w:t xml:space="preserve"> i</w:t>
      </w:r>
      <w:r w:rsidR="006464A5" w:rsidRPr="00B20D69">
        <w:t>n the fourth quarter of 2018</w:t>
      </w:r>
      <w:r w:rsidR="008C08B9" w:rsidRPr="00B20D69">
        <w:t>,</w:t>
      </w:r>
      <w:r w:rsidR="006464A5" w:rsidRPr="00B20D69">
        <w:t xml:space="preserve"> but</w:t>
      </w:r>
      <w:r w:rsidR="008C08B9" w:rsidRPr="00B20D69">
        <w:t xml:space="preserve"> did not appear to</w:t>
      </w:r>
      <w:r w:rsidR="00DA1A72" w:rsidRPr="00B20D69">
        <w:t xml:space="preserve"> affect </w:t>
      </w:r>
      <w:r w:rsidR="009E6871" w:rsidRPr="00B20D69">
        <w:t xml:space="preserve">the number of people initiating therapy for narcolepsy with </w:t>
      </w:r>
      <w:proofErr w:type="spellStart"/>
      <w:r w:rsidR="009E6871" w:rsidRPr="00B20D69">
        <w:t>dexamfetamine</w:t>
      </w:r>
      <w:proofErr w:type="spellEnd"/>
      <w:r w:rsidR="009E6871" w:rsidRPr="00B20D69">
        <w:t xml:space="preserve"> and </w:t>
      </w:r>
      <w:proofErr w:type="spellStart"/>
      <w:r w:rsidR="009E6871" w:rsidRPr="00B20D69">
        <w:t>modafinil</w:t>
      </w:r>
      <w:proofErr w:type="spellEnd"/>
      <w:r w:rsidR="009E6871" w:rsidRPr="00B20D69">
        <w:t xml:space="preserve">. </w:t>
      </w:r>
      <w:r w:rsidR="00BC145B" w:rsidRPr="00B20D69">
        <w:t xml:space="preserve">DUSC noted the listing of </w:t>
      </w:r>
      <w:proofErr w:type="spellStart"/>
      <w:r w:rsidR="00BC145B" w:rsidRPr="00B20D69">
        <w:t>armodafinil</w:t>
      </w:r>
      <w:proofErr w:type="spellEnd"/>
      <w:r w:rsidR="00BC145B" w:rsidRPr="00B20D69">
        <w:t xml:space="preserve"> has increased the total narcolepsy market to a greater extent than predicted. In the Pre-Sub Committee Response (PSCR), the Sponsor superimposed a line onto Figure 2 (number of PBS/RPBS </w:t>
      </w:r>
      <w:proofErr w:type="spellStart"/>
      <w:r w:rsidR="00BC145B" w:rsidRPr="00B20D69">
        <w:t>dexamfetamine</w:t>
      </w:r>
      <w:proofErr w:type="spellEnd"/>
      <w:r w:rsidR="00BC145B" w:rsidRPr="00B20D69">
        <w:t xml:space="preserve">, </w:t>
      </w:r>
      <w:proofErr w:type="spellStart"/>
      <w:r w:rsidR="00BC145B" w:rsidRPr="00B20D69">
        <w:t>modafinil</w:t>
      </w:r>
      <w:proofErr w:type="spellEnd"/>
      <w:r w:rsidR="00BC145B" w:rsidRPr="00B20D69">
        <w:t xml:space="preserve"> and </w:t>
      </w:r>
      <w:proofErr w:type="spellStart"/>
      <w:r w:rsidR="00BC145B" w:rsidRPr="00B20D69">
        <w:t>armodafinil</w:t>
      </w:r>
      <w:proofErr w:type="spellEnd"/>
      <w:r w:rsidR="00BC145B" w:rsidRPr="00B20D69">
        <w:t xml:space="preserve"> prescriptions supplied per quarter) of the DUSC report to demonstrate market growth. Based on this, </w:t>
      </w:r>
      <w:r w:rsidR="00D4233D">
        <w:t>t</w:t>
      </w:r>
      <w:r w:rsidR="00BE1921">
        <w:t>he sponsor considered</w:t>
      </w:r>
      <w:r w:rsidR="00D4233D" w:rsidRPr="00D4233D">
        <w:t xml:space="preserve"> that the data presented in Figure 2 for the number of prescriptions supplied indicates that growth in the overall narcolepsy market has only been marginally impacte</w:t>
      </w:r>
      <w:r w:rsidR="00BE1921">
        <w:t xml:space="preserve">d by the listing of </w:t>
      </w:r>
      <w:proofErr w:type="spellStart"/>
      <w:r w:rsidR="00BE1921">
        <w:t>armodafinil</w:t>
      </w:r>
      <w:proofErr w:type="spellEnd"/>
      <w:r w:rsidR="00D4233D" w:rsidRPr="00D4233D">
        <w:t>.</w:t>
      </w:r>
      <w:r w:rsidR="00BC145B" w:rsidRPr="00B20D69">
        <w:t xml:space="preserve"> DUSC acknowledged the Sponsor’s comments but noted no statistical analyses were provided to demonstrate the linear fit shown in the graph. DUSC also discussed that </w:t>
      </w:r>
      <w:proofErr w:type="spellStart"/>
      <w:r w:rsidR="00BC145B" w:rsidRPr="00B20D69">
        <w:t>armodafinil</w:t>
      </w:r>
      <w:proofErr w:type="spellEnd"/>
      <w:r w:rsidR="00BC145B" w:rsidRPr="00B20D69">
        <w:t xml:space="preserve"> is a more expensive drug than </w:t>
      </w:r>
      <w:proofErr w:type="spellStart"/>
      <w:r w:rsidR="00BC145B" w:rsidRPr="00B20D69">
        <w:t>modafinil</w:t>
      </w:r>
      <w:proofErr w:type="spellEnd"/>
      <w:r w:rsidR="00BC145B" w:rsidRPr="00B20D69">
        <w:t xml:space="preserve"> and has increased the market at a higher rate than predicted.</w:t>
      </w:r>
    </w:p>
    <w:p w14:paraId="1ECC3A89" w14:textId="2D391BD1" w:rsidR="00BC145B" w:rsidRPr="00B20D69" w:rsidRDefault="00BC145B" w:rsidP="00476AFD">
      <w:proofErr w:type="spellStart"/>
      <w:r w:rsidRPr="00B20D69">
        <w:t>Dexamfetamine</w:t>
      </w:r>
      <w:proofErr w:type="spellEnd"/>
      <w:r w:rsidRPr="00B20D69">
        <w:t xml:space="preserve"> remains the most supplied drug for narcolepsy by prescription volume and number of prevalent patients. DUSC was concerned with the increased use of </w:t>
      </w:r>
      <w:proofErr w:type="spellStart"/>
      <w:r w:rsidRPr="00B20D69">
        <w:t>dexamfetamine</w:t>
      </w:r>
      <w:proofErr w:type="spellEnd"/>
      <w:r w:rsidRPr="00B20D69">
        <w:t xml:space="preserve"> from the second quarter of 2018. DUSC discussed whether this is due to an increase in the overall narcolepsy market or if there was potential diversion of </w:t>
      </w:r>
      <w:proofErr w:type="spellStart"/>
      <w:r w:rsidRPr="00B20D69">
        <w:t>dexamfetamine</w:t>
      </w:r>
      <w:proofErr w:type="spellEnd"/>
      <w:r w:rsidRPr="00B20D69">
        <w:t xml:space="preserve">. DUSC noted that more general practitioners were initiating </w:t>
      </w:r>
      <w:proofErr w:type="spellStart"/>
      <w:r w:rsidRPr="00B20D69">
        <w:t>dexamfetamine</w:t>
      </w:r>
      <w:proofErr w:type="spellEnd"/>
      <w:r w:rsidRPr="00B20D69">
        <w:t xml:space="preserve"> compared to </w:t>
      </w:r>
      <w:proofErr w:type="spellStart"/>
      <w:r w:rsidRPr="00B20D69">
        <w:t>armodafinil</w:t>
      </w:r>
      <w:proofErr w:type="spellEnd"/>
      <w:r w:rsidRPr="00B20D69">
        <w:t xml:space="preserve"> or </w:t>
      </w:r>
      <w:proofErr w:type="spellStart"/>
      <w:r w:rsidRPr="00B20D69">
        <w:t>modafinil</w:t>
      </w:r>
      <w:proofErr w:type="spellEnd"/>
      <w:r w:rsidRPr="00B20D69">
        <w:t>.</w:t>
      </w:r>
    </w:p>
    <w:p w14:paraId="23CBB455" w14:textId="77777777" w:rsidR="00BC145B" w:rsidRPr="00B20D69" w:rsidRDefault="00BC145B" w:rsidP="00476AFD">
      <w:r w:rsidRPr="00B20D69">
        <w:t xml:space="preserve">DUSC noted a substantial number of patients were initiated treatment for narcolepsy with </w:t>
      </w:r>
      <w:proofErr w:type="spellStart"/>
      <w:r w:rsidRPr="00B20D69">
        <w:t>modafinil</w:t>
      </w:r>
      <w:proofErr w:type="spellEnd"/>
      <w:r w:rsidRPr="00B20D69">
        <w:t xml:space="preserve"> or </w:t>
      </w:r>
      <w:proofErr w:type="spellStart"/>
      <w:r w:rsidRPr="00B20D69">
        <w:t>armodafinil</w:t>
      </w:r>
      <w:proofErr w:type="spellEnd"/>
      <w:r w:rsidRPr="00B20D69">
        <w:t xml:space="preserve">. DUSC discussed possible reasons as to why </w:t>
      </w:r>
      <w:proofErr w:type="spellStart"/>
      <w:r w:rsidRPr="00B20D69">
        <w:t>dexamfetamine</w:t>
      </w:r>
      <w:proofErr w:type="spellEnd"/>
      <w:r w:rsidRPr="00B20D69">
        <w:t xml:space="preserve"> may not be used as first line therapy and questioned whether the difference in the treatment algorithm between the PBS restriction (</w:t>
      </w:r>
      <w:proofErr w:type="spellStart"/>
      <w:r w:rsidRPr="00B20D69">
        <w:t>dexamfetamine</w:t>
      </w:r>
      <w:proofErr w:type="spellEnd"/>
      <w:r w:rsidRPr="00B20D69">
        <w:t xml:space="preserve"> first line) and clinical guidelines (</w:t>
      </w:r>
      <w:proofErr w:type="spellStart"/>
      <w:r w:rsidRPr="00B20D69">
        <w:t>modafinil</w:t>
      </w:r>
      <w:proofErr w:type="spellEnd"/>
      <w:r w:rsidRPr="00B20D69">
        <w:t xml:space="preserve"> and </w:t>
      </w:r>
      <w:proofErr w:type="spellStart"/>
      <w:r w:rsidRPr="00B20D69">
        <w:t>armodafinil</w:t>
      </w:r>
      <w:proofErr w:type="spellEnd"/>
      <w:r w:rsidRPr="00B20D69">
        <w:t xml:space="preserve"> as first line) may be contributing to this. DUSC also noted generic brands of </w:t>
      </w:r>
      <w:proofErr w:type="spellStart"/>
      <w:r w:rsidRPr="00B20D69">
        <w:t>modafinil</w:t>
      </w:r>
      <w:proofErr w:type="spellEnd"/>
      <w:r w:rsidRPr="00B20D69">
        <w:t xml:space="preserve"> are now available in the market, possibly making it more affordable for patients than previously. DUSC noted </w:t>
      </w:r>
      <w:proofErr w:type="spellStart"/>
      <w:r w:rsidRPr="00B20D69">
        <w:t>dexamfetamine</w:t>
      </w:r>
      <w:proofErr w:type="spellEnd"/>
      <w:r w:rsidRPr="00B20D69">
        <w:t xml:space="preserve"> is a Schedule 8 medicine and as such has additional state and territory restrictions in prescribing compared to </w:t>
      </w:r>
      <w:proofErr w:type="spellStart"/>
      <w:r w:rsidRPr="00B20D69">
        <w:t>modafinil</w:t>
      </w:r>
      <w:proofErr w:type="spellEnd"/>
      <w:r w:rsidRPr="00B20D69">
        <w:t xml:space="preserve"> or </w:t>
      </w:r>
      <w:proofErr w:type="spellStart"/>
      <w:r w:rsidRPr="00B20D69">
        <w:t>armodafinil</w:t>
      </w:r>
      <w:proofErr w:type="spellEnd"/>
      <w:r w:rsidRPr="00B20D69">
        <w:t xml:space="preserve">. DUSC considered if this could be contributing to the increase use of </w:t>
      </w:r>
      <w:proofErr w:type="spellStart"/>
      <w:r w:rsidRPr="00B20D69">
        <w:t>modafinil</w:t>
      </w:r>
      <w:proofErr w:type="spellEnd"/>
      <w:r w:rsidRPr="00B20D69">
        <w:t xml:space="preserve"> and </w:t>
      </w:r>
      <w:proofErr w:type="spellStart"/>
      <w:r w:rsidRPr="00B20D69">
        <w:t>armodafinil</w:t>
      </w:r>
      <w:proofErr w:type="spellEnd"/>
      <w:r w:rsidRPr="00B20D69">
        <w:t xml:space="preserve"> in narcolepsy. DUSC discussed the PBS restriction in which psychiatric disorders are considered a potential unacceptable medical risk for initiating therapy with </w:t>
      </w:r>
      <w:proofErr w:type="spellStart"/>
      <w:r w:rsidRPr="00B20D69">
        <w:t>dexamfetamine</w:t>
      </w:r>
      <w:proofErr w:type="spellEnd"/>
      <w:r w:rsidRPr="00B20D69">
        <w:t xml:space="preserve"> but noted that people with narcolepsy often have comorbid psychiatric conditions.</w:t>
      </w:r>
    </w:p>
    <w:p w14:paraId="58D1D660" w14:textId="77777777" w:rsidR="00BC145B" w:rsidRPr="00B20D69" w:rsidRDefault="00BC145B" w:rsidP="00BC145B">
      <w:pPr>
        <w:jc w:val="both"/>
        <w:rPr>
          <w:rFonts w:cstheme="minorHAnsi"/>
        </w:rPr>
      </w:pPr>
    </w:p>
    <w:p w14:paraId="051A153E" w14:textId="77777777" w:rsidR="00BC145B" w:rsidRPr="00B20D69" w:rsidRDefault="00BC145B" w:rsidP="00476AFD">
      <w:r w:rsidRPr="00B20D69">
        <w:lastRenderedPageBreak/>
        <w:t xml:space="preserve">In the PSCR, the Sponsor considered it difficult to reconcile the visual presentation of the data in Figure 1 (number of incident and prevalent patients to narcolepsy therapy by quarter) and 2 (number of prescriptions supplied per quarter) with Table 4 of the DUSC report as there were inconsistencies. DUSC discussed that in the report, the number of patients per each time period (quarter or year) were calculated separately. It is not accurate to add the number of patients per each quarter (from Figure 1) to calculate the total number of patients per calendar year (Table 4) because there is potential to double count a patient if they appear in multiple quarters as they continue treatment. Table 4 is the total number of patients counted for the whole calendar year. Each patient is only counted once for the whole year even if they had received treatment across more than one quarter. Figure 2 illustrates the number of </w:t>
      </w:r>
      <w:r w:rsidRPr="00B20D69">
        <w:rPr>
          <w:bCs/>
        </w:rPr>
        <w:t>prescriptions</w:t>
      </w:r>
      <w:r w:rsidRPr="00B20D69">
        <w:rPr>
          <w:b/>
          <w:bCs/>
        </w:rPr>
        <w:t xml:space="preserve"> </w:t>
      </w:r>
      <w:r w:rsidRPr="00B20D69">
        <w:t>supplied per quarter and not the number of patients (Table 4). Therefore, the numbers from Figure 1 and Figure 2 are not intended to be comparable with Table 4.</w:t>
      </w:r>
    </w:p>
    <w:p w14:paraId="243AEEDB" w14:textId="5F540546" w:rsidR="00BC145B" w:rsidRPr="00B20D69" w:rsidRDefault="00BC145B" w:rsidP="00476AFD">
      <w:r w:rsidRPr="00B20D69">
        <w:t xml:space="preserve">DUSC acknowledged the error on page 22 of the report identified in the PSCR. The listing date of </w:t>
      </w:r>
      <w:proofErr w:type="spellStart"/>
      <w:r w:rsidRPr="00B20D69">
        <w:t>modafinil</w:t>
      </w:r>
      <w:proofErr w:type="spellEnd"/>
      <w:r w:rsidRPr="00B20D69">
        <w:t xml:space="preserve"> was 1 April 2005 not 1 August 2015.</w:t>
      </w:r>
    </w:p>
    <w:p w14:paraId="4849BFAD" w14:textId="499EB396" w:rsidR="00B20D69" w:rsidRPr="00B20D69" w:rsidRDefault="00BC145B" w:rsidP="00B20D69">
      <w:r w:rsidRPr="00B20D69">
        <w:t xml:space="preserve">In summary, the results of the 24 month predicted versus actual analysis show the total number of patients and prescriptions of </w:t>
      </w:r>
      <w:proofErr w:type="spellStart"/>
      <w:r w:rsidRPr="00B20D69">
        <w:t>armodafinil</w:t>
      </w:r>
      <w:proofErr w:type="spellEnd"/>
      <w:r w:rsidRPr="00B20D69">
        <w:t xml:space="preserve"> were underestimated, resulting in a higher government expenditure than predicted. DUSC considered that future reports of narcolepsy medicine use could attempt PBS/MBS linkage data analysis to compare utilisation of PBS/RPBS subsidised narcolepsy treatment with MBS r</w:t>
      </w:r>
      <w:r w:rsidR="00B20D69" w:rsidRPr="00B20D69">
        <w:t>eimbursement for sleep studies.</w:t>
      </w:r>
    </w:p>
    <w:p w14:paraId="718A1D8D" w14:textId="07BD72EA" w:rsidR="00B20D69" w:rsidRDefault="00B20D69" w:rsidP="00D15A28">
      <w:pPr>
        <w:pStyle w:val="Heading1"/>
        <w:spacing w:before="240" w:after="200"/>
      </w:pPr>
      <w:r>
        <w:t>DUSC Actions</w:t>
      </w:r>
    </w:p>
    <w:p w14:paraId="265ABD70" w14:textId="0DE0B487" w:rsidR="00BC145B" w:rsidRPr="00B20D69" w:rsidRDefault="00B20D69" w:rsidP="00B20D69">
      <w:r w:rsidRPr="00B20D69">
        <w:t>DUSC requested that the report b</w:t>
      </w:r>
      <w:r>
        <w:t>e provided to the PBAC</w:t>
      </w:r>
      <w:r w:rsidRPr="00B20D69">
        <w:t>.</w:t>
      </w:r>
    </w:p>
    <w:p w14:paraId="4D884D0C" w14:textId="3FBA063D" w:rsidR="00B20D69" w:rsidRPr="00B20D69" w:rsidRDefault="00B20D69" w:rsidP="00D15A28">
      <w:pPr>
        <w:pStyle w:val="Heading1"/>
        <w:spacing w:before="240" w:after="200"/>
      </w:pPr>
      <w:r w:rsidRPr="00B20D69">
        <w:t>Context for analysis</w:t>
      </w:r>
    </w:p>
    <w:p w14:paraId="0100A2B9" w14:textId="77777777" w:rsidR="00B20D69" w:rsidRPr="00B20D69" w:rsidRDefault="00B20D69" w:rsidP="00B20D69">
      <w:r w:rsidRPr="00B20D69">
        <w:t>The DUSC is a Sub Committee of the Pharmaceutical Benefits Advisory Committee (PBAC). The DUSC assesses estimates on projected usage and financial cost of medicines.</w:t>
      </w:r>
    </w:p>
    <w:p w14:paraId="106F5320" w14:textId="77777777" w:rsidR="00B20D69" w:rsidRPr="00B20D69" w:rsidRDefault="00B20D69" w:rsidP="00B20D69">
      <w:r w:rsidRPr="00B20D69">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19D4A3C8" w14:textId="77777777" w:rsidR="00B20D69" w:rsidRPr="00B20D69" w:rsidRDefault="00B20D69" w:rsidP="00B20D69">
      <w:r w:rsidRPr="00B20D69">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0D9BF4A2" w14:textId="77777777" w:rsidR="00B20D69" w:rsidRPr="00B20D69" w:rsidRDefault="00B20D69" w:rsidP="00B20D69">
      <w:r w:rsidRPr="00B20D69">
        <w:t>The utilisation analysis report was provided to the pharmaceutical sponsors of each drug and comments on the report were provided to DUSC prior to its consideration of the analysis.</w:t>
      </w:r>
    </w:p>
    <w:p w14:paraId="4429F2D8" w14:textId="0F4F882E" w:rsidR="00B20D69" w:rsidRPr="00B20D69" w:rsidRDefault="00B20D69" w:rsidP="00D15A28">
      <w:pPr>
        <w:pStyle w:val="Heading1"/>
        <w:spacing w:before="240" w:after="200"/>
      </w:pPr>
      <w:r w:rsidRPr="00B20D69">
        <w:lastRenderedPageBreak/>
        <w:t>Sponsor</w:t>
      </w:r>
      <w:r w:rsidR="003A3FDC">
        <w:t>’</w:t>
      </w:r>
      <w:r w:rsidRPr="00B20D69">
        <w:t>s comment</w:t>
      </w:r>
    </w:p>
    <w:p w14:paraId="13A2E022" w14:textId="78D8B7F9" w:rsidR="00BE1921" w:rsidRPr="00BE1921" w:rsidRDefault="005C25E9" w:rsidP="00BD7518">
      <w:pPr>
        <w:rPr>
          <w:bCs/>
        </w:rPr>
      </w:pPr>
      <w:proofErr w:type="spellStart"/>
      <w:r w:rsidRPr="005C25E9">
        <w:t>Teva</w:t>
      </w:r>
      <w:proofErr w:type="spellEnd"/>
      <w:r w:rsidRPr="005C25E9">
        <w:t xml:space="preserve"> Pharma Australia Pty Limited</w:t>
      </w:r>
      <w:r>
        <w:t xml:space="preserve">: </w:t>
      </w:r>
      <w:r w:rsidR="00BE1921" w:rsidRPr="00BE1921">
        <w:t xml:space="preserve">The Sponsor notes the DUSC commentary that “according to the Australian therapeutic guidelines, </w:t>
      </w:r>
      <w:proofErr w:type="spellStart"/>
      <w:r w:rsidR="00BE1921" w:rsidRPr="00BE1921">
        <w:t>modafinil</w:t>
      </w:r>
      <w:proofErr w:type="spellEnd"/>
      <w:r w:rsidR="00BE1921" w:rsidRPr="00BE1921">
        <w:t xml:space="preserve"> and </w:t>
      </w:r>
      <w:proofErr w:type="spellStart"/>
      <w:r w:rsidR="00BE1921" w:rsidRPr="00BE1921">
        <w:t>armodafinil</w:t>
      </w:r>
      <w:proofErr w:type="spellEnd"/>
      <w:r w:rsidR="00BE1921" w:rsidRPr="00BE1921">
        <w:t xml:space="preserve"> are first line drugs for the treatment of increasing alertness in narcolepsy</w:t>
      </w:r>
      <w:r w:rsidR="00FE353A">
        <w:t>.</w:t>
      </w:r>
      <w:r w:rsidR="00BE1921" w:rsidRPr="00BE1921">
        <w:t xml:space="preserve">” Despite this, most initiating occurs via </w:t>
      </w:r>
      <w:proofErr w:type="spellStart"/>
      <w:r w:rsidR="00BE1921" w:rsidRPr="00BE1921">
        <w:t>dexamfetamine</w:t>
      </w:r>
      <w:proofErr w:type="spellEnd"/>
      <w:r w:rsidR="00BE1921" w:rsidRPr="00BE1921">
        <w:t xml:space="preserve">. Although the use of </w:t>
      </w:r>
      <w:proofErr w:type="spellStart"/>
      <w:r w:rsidR="00BE1921" w:rsidRPr="00BE1921">
        <w:t>armodafinil</w:t>
      </w:r>
      <w:proofErr w:type="spellEnd"/>
      <w:r w:rsidR="00BE1921" w:rsidRPr="00BE1921">
        <w:t xml:space="preserve"> is growing, it is still the least used of the three available medications. </w:t>
      </w:r>
    </w:p>
    <w:p w14:paraId="3C000E32" w14:textId="42F0315F" w:rsidR="00B20D69" w:rsidRDefault="00B20D69" w:rsidP="00D15A28">
      <w:pPr>
        <w:pStyle w:val="Heading1"/>
        <w:spacing w:before="240" w:after="200"/>
      </w:pPr>
      <w:r w:rsidRPr="00A4020E">
        <w:t>Disclaimer</w:t>
      </w:r>
    </w:p>
    <w:p w14:paraId="3F8858AB" w14:textId="77777777" w:rsidR="00B20D69" w:rsidRPr="00B20D69" w:rsidRDefault="00B20D69" w:rsidP="00B20D69">
      <w:r>
        <w:t xml:space="preserve">The information provided in this report does not constitute medical advice and is not intended to take the place of professional medical advice or care.  It is not intended to </w:t>
      </w:r>
      <w:r w:rsidRPr="00B20D69">
        <w:t>define what constitutes reasonable, appropriate or best care for any individual for any given health issue.  The information should not be used as a substitute for the judgement and skill of a medical practitioner.</w:t>
      </w:r>
    </w:p>
    <w:p w14:paraId="6CBE5CE7" w14:textId="77777777" w:rsidR="00B20D69" w:rsidRPr="00B20D69" w:rsidRDefault="00B20D69" w:rsidP="00B20D69">
      <w:r w:rsidRPr="00B20D69">
        <w:t>The Department of Health (</w:t>
      </w:r>
      <w:proofErr w:type="spellStart"/>
      <w:r w:rsidRPr="00B20D69">
        <w:t>DoH</w:t>
      </w:r>
      <w:proofErr w:type="spellEnd"/>
      <w:r w:rsidRPr="00B20D69">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5DFF0061" w14:textId="74619968" w:rsidR="00B20D69" w:rsidRPr="00B20D69" w:rsidRDefault="00B20D69" w:rsidP="00B20D69">
      <w:r w:rsidRPr="00B20D69">
        <w:t xml:space="preserve">To the extent provided by law, </w:t>
      </w:r>
      <w:proofErr w:type="spellStart"/>
      <w:r w:rsidRPr="00B20D69">
        <w:t>DoH</w:t>
      </w:r>
      <w:proofErr w:type="spellEnd"/>
      <w:r w:rsidRPr="00B20D69">
        <w:t xml:space="preserve"> makes no warranties or representations as to accuracy</w:t>
      </w:r>
      <w:r w:rsidR="00B87F50">
        <w:t xml:space="preserve"> or completeness of information</w:t>
      </w:r>
      <w:r w:rsidR="00E811D0">
        <w:t xml:space="preserve"> </w:t>
      </w:r>
      <w:r w:rsidRPr="00B20D69">
        <w:t xml:space="preserve">contained in this report. </w:t>
      </w:r>
    </w:p>
    <w:p w14:paraId="4864A6CF" w14:textId="4F8566EB" w:rsidR="00B20D69" w:rsidRPr="0033504C" w:rsidRDefault="00B20D69" w:rsidP="00E72112">
      <w:r w:rsidRPr="00B20D69">
        <w:t xml:space="preserve">To the fullest extent permitted by law, neither the </w:t>
      </w:r>
      <w:proofErr w:type="spellStart"/>
      <w:r w:rsidRPr="00B20D69">
        <w:t>DoH</w:t>
      </w:r>
      <w:proofErr w:type="spellEnd"/>
      <w:r w:rsidRPr="00B20D69">
        <w:t xml:space="preserve"> nor any </w:t>
      </w:r>
      <w:proofErr w:type="spellStart"/>
      <w:r w:rsidRPr="00B20D69">
        <w:t>DoH</w:t>
      </w:r>
      <w:proofErr w:type="spellEnd"/>
      <w:r w:rsidRPr="00B20D69">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B20D69" w:rsidRPr="0033504C" w:rsidSect="00DD188C">
      <w:headerReference w:type="even" r:id="rId19"/>
      <w:headerReference w:type="default" r:id="rId20"/>
      <w:footerReference w:type="even" r:id="rId21"/>
      <w:footerReference w:type="default" r:id="rId22"/>
      <w:headerReference w:type="first" r:id="rId23"/>
      <w:footerReference w:type="first" r:id="rId24"/>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0FC2" w14:textId="77777777" w:rsidR="00A0111F" w:rsidRDefault="00A0111F" w:rsidP="00A35800">
      <w:r>
        <w:separator/>
      </w:r>
    </w:p>
  </w:endnote>
  <w:endnote w:type="continuationSeparator" w:id="0">
    <w:p w14:paraId="45A4A8C8" w14:textId="77777777" w:rsidR="00A0111F" w:rsidRDefault="00A0111F"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A0111F" w:rsidRDefault="00A0111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A0111F" w:rsidRDefault="00A0111F"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30682B98" w14:textId="44C0EEE9" w:rsidR="00A0111F" w:rsidRPr="00BC145B" w:rsidRDefault="00A0111F" w:rsidP="00BC145B">
            <w:pPr>
              <w:pStyle w:val="Footer"/>
              <w:jc w:val="center"/>
              <w:rPr>
                <w:i/>
                <w:sz w:val="20"/>
                <w:szCs w:val="20"/>
              </w:rPr>
            </w:pPr>
            <w:r w:rsidRPr="00BC145B">
              <w:rPr>
                <w:i/>
                <w:sz w:val="20"/>
                <w:szCs w:val="20"/>
              </w:rPr>
              <w:t>Pu</w:t>
            </w:r>
            <w:r>
              <w:rPr>
                <w:i/>
                <w:sz w:val="20"/>
                <w:szCs w:val="20"/>
              </w:rPr>
              <w:t>blic Release Document, June 2019 DUSC M</w:t>
            </w:r>
            <w:r w:rsidRPr="00BC145B">
              <w:rPr>
                <w:i/>
                <w:sz w:val="20"/>
                <w:szCs w:val="20"/>
              </w:rPr>
              <w:t>eeting</w:t>
            </w:r>
          </w:p>
          <w:p w14:paraId="10292A9A" w14:textId="27FDB4DA" w:rsidR="00A0111F" w:rsidRDefault="00A0111F" w:rsidP="000E72C6">
            <w:pPr>
              <w:pStyle w:val="Footer"/>
              <w:jc w:val="center"/>
              <w:rPr>
                <w:rStyle w:val="PageNumber"/>
              </w:rPr>
            </w:pPr>
            <w:r w:rsidRPr="00BC145B">
              <w:rPr>
                <w:i/>
                <w:sz w:val="20"/>
                <w:szCs w:val="20"/>
              </w:rPr>
              <w:t xml:space="preserve">Page </w:t>
            </w:r>
            <w:r w:rsidRPr="00BC145B">
              <w:rPr>
                <w:bCs/>
                <w:i/>
                <w:sz w:val="20"/>
                <w:szCs w:val="20"/>
              </w:rPr>
              <w:fldChar w:fldCharType="begin"/>
            </w:r>
            <w:r w:rsidRPr="00BC145B">
              <w:rPr>
                <w:bCs/>
                <w:i/>
                <w:sz w:val="20"/>
                <w:szCs w:val="20"/>
              </w:rPr>
              <w:instrText xml:space="preserve"> PAGE </w:instrText>
            </w:r>
            <w:r w:rsidRPr="00BC145B">
              <w:rPr>
                <w:bCs/>
                <w:i/>
                <w:sz w:val="20"/>
                <w:szCs w:val="20"/>
              </w:rPr>
              <w:fldChar w:fldCharType="separate"/>
            </w:r>
            <w:r w:rsidR="00476AFD">
              <w:rPr>
                <w:bCs/>
                <w:i/>
                <w:noProof/>
                <w:sz w:val="20"/>
                <w:szCs w:val="20"/>
              </w:rPr>
              <w:t>5</w:t>
            </w:r>
            <w:r w:rsidRPr="00BC145B">
              <w:rPr>
                <w:bCs/>
                <w:i/>
                <w:sz w:val="20"/>
                <w:szCs w:val="20"/>
              </w:rPr>
              <w:fldChar w:fldCharType="end"/>
            </w:r>
            <w:r w:rsidRPr="00BC145B">
              <w:rPr>
                <w:i/>
                <w:sz w:val="20"/>
                <w:szCs w:val="20"/>
              </w:rPr>
              <w:t xml:space="preserve"> of </w:t>
            </w:r>
            <w:r w:rsidRPr="00BC145B">
              <w:rPr>
                <w:bCs/>
                <w:i/>
                <w:sz w:val="20"/>
                <w:szCs w:val="20"/>
              </w:rPr>
              <w:fldChar w:fldCharType="begin"/>
            </w:r>
            <w:r w:rsidRPr="00BC145B">
              <w:rPr>
                <w:bCs/>
                <w:i/>
                <w:sz w:val="20"/>
                <w:szCs w:val="20"/>
              </w:rPr>
              <w:instrText xml:space="preserve"> NUMPAGES  </w:instrText>
            </w:r>
            <w:r w:rsidRPr="00BC145B">
              <w:rPr>
                <w:bCs/>
                <w:i/>
                <w:sz w:val="20"/>
                <w:szCs w:val="20"/>
              </w:rPr>
              <w:fldChar w:fldCharType="separate"/>
            </w:r>
            <w:r w:rsidR="00476AFD">
              <w:rPr>
                <w:bCs/>
                <w:i/>
                <w:noProof/>
                <w:sz w:val="20"/>
                <w:szCs w:val="20"/>
              </w:rPr>
              <w:t>24</w:t>
            </w:r>
            <w:r w:rsidRPr="00BC145B">
              <w:rPr>
                <w:bCs/>
                <w: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A0111F" w:rsidRDefault="00A0111F" w:rsidP="007A5733">
    <w:pPr>
      <w:pStyle w:val="Footer"/>
      <w:jc w:val="center"/>
      <w:rPr>
        <w:rStyle w:val="PageNumber"/>
      </w:rPr>
    </w:pPr>
    <w:r>
      <w:rPr>
        <w:rStyle w:val="PageNumber"/>
      </w:rPr>
      <w:t>Committee-in-Confidence</w:t>
    </w:r>
  </w:p>
  <w:p w14:paraId="3CE6880B" w14:textId="77777777" w:rsidR="00A0111F" w:rsidRDefault="00A0111F"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EDE" w14:textId="77777777" w:rsidR="00A0111F" w:rsidRDefault="00A0111F" w:rsidP="00A35800">
      <w:r>
        <w:separator/>
      </w:r>
    </w:p>
  </w:footnote>
  <w:footnote w:type="continuationSeparator" w:id="0">
    <w:p w14:paraId="7E2CA1E4" w14:textId="77777777" w:rsidR="00A0111F" w:rsidRDefault="00A0111F" w:rsidP="00A35800">
      <w:r>
        <w:continuationSeparator/>
      </w:r>
    </w:p>
  </w:footnote>
  <w:footnote w:id="1">
    <w:p w14:paraId="1AC9668B" w14:textId="30FBBBF7" w:rsidR="00A0111F" w:rsidRPr="00BD7F8D" w:rsidRDefault="00A0111F">
      <w:pPr>
        <w:pStyle w:val="FootnoteText"/>
        <w:rPr>
          <w:rFonts w:cstheme="minorHAnsi"/>
          <w:szCs w:val="18"/>
        </w:rPr>
      </w:pPr>
      <w:r>
        <w:rPr>
          <w:rStyle w:val="FootnoteReference"/>
        </w:rPr>
        <w:footnoteRef/>
      </w:r>
      <w:r>
        <w:t xml:space="preserve"> </w:t>
      </w:r>
      <w:r w:rsidRPr="00BD7F8D">
        <w:rPr>
          <w:rFonts w:cstheme="minorHAnsi"/>
          <w:szCs w:val="18"/>
        </w:rPr>
        <w:t xml:space="preserve">General information on idiopathic </w:t>
      </w:r>
      <w:proofErr w:type="spellStart"/>
      <w:r w:rsidRPr="00BD7F8D">
        <w:rPr>
          <w:rFonts w:cstheme="minorHAnsi"/>
          <w:szCs w:val="18"/>
        </w:rPr>
        <w:t>hypersomnolence</w:t>
      </w:r>
      <w:proofErr w:type="spellEnd"/>
      <w:r w:rsidRPr="00BD7F8D">
        <w:rPr>
          <w:rFonts w:cstheme="minorHAnsi"/>
          <w:szCs w:val="18"/>
        </w:rPr>
        <w:t xml:space="preserve"> and narcolepsy. [</w:t>
      </w:r>
      <w:proofErr w:type="gramStart"/>
      <w:r w:rsidRPr="00BD7F8D">
        <w:rPr>
          <w:rFonts w:cstheme="minorHAnsi"/>
          <w:szCs w:val="18"/>
        </w:rPr>
        <w:t>revised</w:t>
      </w:r>
      <w:proofErr w:type="gramEnd"/>
      <w:r w:rsidRPr="00BD7F8D">
        <w:rPr>
          <w:rFonts w:cstheme="minorHAnsi"/>
          <w:szCs w:val="18"/>
        </w:rPr>
        <w:t xml:space="preserve"> 2017 Nov]. In: </w:t>
      </w:r>
      <w:proofErr w:type="spellStart"/>
      <w:r w:rsidRPr="00BD7F8D">
        <w:rPr>
          <w:rFonts w:cstheme="minorHAnsi"/>
          <w:szCs w:val="18"/>
        </w:rPr>
        <w:t>eTG</w:t>
      </w:r>
      <w:proofErr w:type="spellEnd"/>
      <w:r w:rsidRPr="00BD7F8D">
        <w:rPr>
          <w:rFonts w:cstheme="minorHAnsi"/>
          <w:szCs w:val="18"/>
        </w:rPr>
        <w:t xml:space="preserve"> complete [Internet]. Melbourne: Therapeutic Guidelines Limited; 2019. </w:t>
      </w:r>
    </w:p>
  </w:footnote>
  <w:footnote w:id="2">
    <w:p w14:paraId="055A3968" w14:textId="60EE1486" w:rsidR="00A0111F" w:rsidRPr="00BD7F8D" w:rsidRDefault="00A0111F">
      <w:pPr>
        <w:pStyle w:val="FootnoteText"/>
        <w:rPr>
          <w:rFonts w:cstheme="minorHAnsi"/>
          <w:szCs w:val="18"/>
        </w:rPr>
      </w:pPr>
      <w:r w:rsidRPr="00BD7F8D">
        <w:rPr>
          <w:rStyle w:val="FootnoteReference"/>
          <w:rFonts w:cstheme="minorHAnsi"/>
          <w:szCs w:val="18"/>
        </w:rPr>
        <w:footnoteRef/>
      </w:r>
      <w:r w:rsidRPr="00BD7F8D">
        <w:rPr>
          <w:rFonts w:cstheme="minorHAnsi"/>
          <w:szCs w:val="18"/>
        </w:rPr>
        <w:t xml:space="preserve"> Billiard M, </w:t>
      </w:r>
      <w:proofErr w:type="spellStart"/>
      <w:r w:rsidRPr="00BD7F8D">
        <w:rPr>
          <w:rFonts w:cstheme="minorHAnsi"/>
          <w:szCs w:val="18"/>
        </w:rPr>
        <w:t>Dauvilliers</w:t>
      </w:r>
      <w:proofErr w:type="spellEnd"/>
      <w:r w:rsidRPr="00BD7F8D">
        <w:rPr>
          <w:rFonts w:cstheme="minorHAnsi"/>
          <w:szCs w:val="18"/>
        </w:rPr>
        <w:t xml:space="preserve"> Y, </w:t>
      </w:r>
      <w:proofErr w:type="spellStart"/>
      <w:r w:rsidRPr="00BD7F8D">
        <w:rPr>
          <w:rFonts w:cstheme="minorHAnsi"/>
          <w:szCs w:val="18"/>
        </w:rPr>
        <w:t>Dolenc-Groselj</w:t>
      </w:r>
      <w:proofErr w:type="spellEnd"/>
      <w:r w:rsidRPr="00BD7F8D">
        <w:rPr>
          <w:rFonts w:cstheme="minorHAnsi"/>
          <w:szCs w:val="18"/>
        </w:rPr>
        <w:t xml:space="preserve"> L et al. European Handbook of neurological management. 2</w:t>
      </w:r>
      <w:r w:rsidRPr="00BD7F8D">
        <w:rPr>
          <w:rFonts w:cstheme="minorHAnsi"/>
          <w:szCs w:val="18"/>
          <w:vertAlign w:val="superscript"/>
        </w:rPr>
        <w:t>nd</w:t>
      </w:r>
      <w:r w:rsidRPr="00BD7F8D">
        <w:rPr>
          <w:rFonts w:cstheme="minorHAnsi"/>
          <w:szCs w:val="18"/>
        </w:rPr>
        <w:t xml:space="preserve"> ed. Blackwell Publishing Ltd; 2011. Chapter 28, Management of narcolepsy in adults</w:t>
      </w:r>
      <w:proofErr w:type="gramStart"/>
      <w:r w:rsidRPr="00BD7F8D">
        <w:rPr>
          <w:rFonts w:cstheme="minorHAnsi"/>
          <w:szCs w:val="18"/>
        </w:rPr>
        <w:t>;p.513</w:t>
      </w:r>
      <w:proofErr w:type="gramEnd"/>
      <w:r w:rsidRPr="00BD7F8D">
        <w:rPr>
          <w:rFonts w:cstheme="minorHAnsi"/>
          <w:szCs w:val="18"/>
        </w:rPr>
        <w:t>-28.</w:t>
      </w:r>
    </w:p>
  </w:footnote>
  <w:footnote w:id="3">
    <w:p w14:paraId="2A665250" w14:textId="234F78CF" w:rsidR="00A0111F" w:rsidRDefault="00A0111F" w:rsidP="009656CF">
      <w:pPr>
        <w:pStyle w:val="FootnoteText"/>
      </w:pPr>
      <w:r w:rsidRPr="00BD7F8D">
        <w:rPr>
          <w:rStyle w:val="FootnoteReference"/>
          <w:rFonts w:cstheme="minorHAnsi"/>
          <w:szCs w:val="18"/>
        </w:rPr>
        <w:footnoteRef/>
      </w:r>
      <w:r w:rsidRPr="00BD7F8D">
        <w:rPr>
          <w:rFonts w:cstheme="minorHAnsi"/>
          <w:szCs w:val="18"/>
        </w:rPr>
        <w:t xml:space="preserve"> Scammell TE. </w:t>
      </w:r>
      <w:proofErr w:type="spellStart"/>
      <w:r w:rsidRPr="00BD7F8D">
        <w:rPr>
          <w:rFonts w:cstheme="minorHAnsi"/>
          <w:szCs w:val="18"/>
        </w:rPr>
        <w:t>Narcolespy</w:t>
      </w:r>
      <w:proofErr w:type="spellEnd"/>
      <w:r w:rsidRPr="00BD7F8D">
        <w:rPr>
          <w:rFonts w:cstheme="minorHAnsi"/>
          <w:szCs w:val="18"/>
        </w:rPr>
        <w:t xml:space="preserve">. N </w:t>
      </w:r>
      <w:proofErr w:type="spellStart"/>
      <w:r w:rsidRPr="00BD7F8D">
        <w:rPr>
          <w:rFonts w:cstheme="minorHAnsi"/>
          <w:szCs w:val="18"/>
        </w:rPr>
        <w:t>Engl</w:t>
      </w:r>
      <w:proofErr w:type="spellEnd"/>
      <w:r w:rsidRPr="00BD7F8D">
        <w:rPr>
          <w:rFonts w:cstheme="minorHAnsi"/>
          <w:szCs w:val="18"/>
        </w:rPr>
        <w:t xml:space="preserve"> J Med 2015</w:t>
      </w:r>
      <w:proofErr w:type="gramStart"/>
      <w:r w:rsidRPr="00BD7F8D">
        <w:rPr>
          <w:rFonts w:cstheme="minorHAnsi"/>
          <w:szCs w:val="18"/>
        </w:rPr>
        <w:t>;373:2654</w:t>
      </w:r>
      <w:proofErr w:type="gramEnd"/>
      <w:r w:rsidRPr="00BD7F8D">
        <w:rPr>
          <w:rFonts w:cstheme="minorHAnsi"/>
          <w:szCs w:val="18"/>
        </w:rPr>
        <w:t>-62.</w:t>
      </w:r>
    </w:p>
  </w:footnote>
  <w:footnote w:id="4">
    <w:p w14:paraId="34D18A22" w14:textId="6082C1BE" w:rsidR="00A0111F" w:rsidRDefault="00A0111F">
      <w:pPr>
        <w:pStyle w:val="FootnoteText"/>
      </w:pPr>
      <w:r>
        <w:rPr>
          <w:rStyle w:val="FootnoteReference"/>
        </w:rPr>
        <w:footnoteRef/>
      </w:r>
      <w:r>
        <w:t xml:space="preserve"> </w:t>
      </w:r>
      <w:proofErr w:type="spellStart"/>
      <w:r>
        <w:rPr>
          <w:szCs w:val="18"/>
        </w:rPr>
        <w:t>Nuvigil</w:t>
      </w:r>
      <w:proofErr w:type="spellEnd"/>
      <w:r>
        <w:rPr>
          <w:szCs w:val="18"/>
        </w:rPr>
        <w:t xml:space="preserve"> (</w:t>
      </w:r>
      <w:proofErr w:type="spellStart"/>
      <w:r>
        <w:rPr>
          <w:szCs w:val="18"/>
        </w:rPr>
        <w:t>Armodafinil</w:t>
      </w:r>
      <w:proofErr w:type="spellEnd"/>
      <w:r>
        <w:rPr>
          <w:szCs w:val="18"/>
        </w:rPr>
        <w:t xml:space="preserve">). Australian Approved Product Information. NSW: TEVA Pharma Australia Pty Ltd. Approved 26 November 2015. Most recent revision 17 July 2018. Available from </w:t>
      </w:r>
      <w:r w:rsidRPr="001311C9">
        <w:rPr>
          <w:szCs w:val="18"/>
        </w:rPr>
        <w:t>https://www.ebs.tga.gov.au/ebs/picmi/picmirepository.nsf/pdf</w:t>
      </w:r>
      <w:proofErr w:type="gramStart"/>
      <w:r w:rsidRPr="001311C9">
        <w:rPr>
          <w:szCs w:val="18"/>
        </w:rPr>
        <w:t>?OpenAgent</w:t>
      </w:r>
      <w:proofErr w:type="gramEnd"/>
      <w:r w:rsidRPr="001311C9">
        <w:rPr>
          <w:szCs w:val="18"/>
        </w:rPr>
        <w:t>&amp;id=CP-2015-PI-02888-1&amp;d=201904011016933</w:t>
      </w:r>
      <w:r>
        <w:rPr>
          <w:szCs w:val="18"/>
        </w:rPr>
        <w:t>.&gt;</w:t>
      </w:r>
    </w:p>
  </w:footnote>
  <w:footnote w:id="5">
    <w:p w14:paraId="502EE938" w14:textId="2179EC35" w:rsidR="00A0111F" w:rsidRDefault="00A0111F">
      <w:pPr>
        <w:pStyle w:val="FootnoteText"/>
      </w:pPr>
      <w:r>
        <w:rPr>
          <w:rStyle w:val="FootnoteReference"/>
        </w:rPr>
        <w:footnoteRef/>
      </w:r>
      <w:r>
        <w:t xml:space="preserve"> Department of Health (2015), PBAC Meeting Public Summary Documents: </w:t>
      </w:r>
      <w:proofErr w:type="spellStart"/>
      <w:r>
        <w:t>Armodafinil</w:t>
      </w:r>
      <w:proofErr w:type="spellEnd"/>
      <w:r>
        <w:t xml:space="preserve">, Updated 10 April 2016. Accessed on 2 April 2019, at: </w:t>
      </w:r>
      <w:hyperlink r:id="rId1" w:history="1">
        <w:r w:rsidRPr="00ED0B28">
          <w:rPr>
            <w:rStyle w:val="Hyperlink"/>
          </w:rPr>
          <w:t>http://www.pbs.gov.au/industry/listing/elements/pbac-meetings/psd/2015-11/files/armodafinil-psd-november-2015.pdf</w:t>
        </w:r>
      </w:hyperlink>
    </w:p>
  </w:footnote>
  <w:footnote w:id="6">
    <w:p w14:paraId="7147192C" w14:textId="51ABDFAB" w:rsidR="00A0111F" w:rsidRDefault="00A0111F">
      <w:pPr>
        <w:pStyle w:val="FootnoteText"/>
      </w:pPr>
      <w:r>
        <w:rPr>
          <w:rStyle w:val="FootnoteReference"/>
        </w:rPr>
        <w:footnoteRef/>
      </w:r>
      <w:r>
        <w:t xml:space="preserve"> Department of Health (2016), PBAC Meeting Public Summary Documents: </w:t>
      </w:r>
      <w:proofErr w:type="spellStart"/>
      <w:r>
        <w:t>Armodafinil</w:t>
      </w:r>
      <w:proofErr w:type="spellEnd"/>
      <w:r>
        <w:t>, Updated 01 July 2016. Accessed on 2 April 2019, at:</w:t>
      </w:r>
      <w:r w:rsidRPr="008A0A50">
        <w:t xml:space="preserve"> http://www.pbs.gov.au/industry/listing/elements/pbac-meetings/psd/2016-03/files/armodafinil-psd-march-2016.pdf</w:t>
      </w:r>
      <w:r>
        <w:t xml:space="preserve"> </w:t>
      </w:r>
    </w:p>
  </w:footnote>
  <w:footnote w:id="7">
    <w:p w14:paraId="4F382D86" w14:textId="12B90A67" w:rsidR="00A0111F" w:rsidRPr="00314140" w:rsidRDefault="00A0111F" w:rsidP="00314140">
      <w:pPr>
        <w:pStyle w:val="FootnoteText"/>
      </w:pPr>
      <w:r>
        <w:rPr>
          <w:rStyle w:val="FootnoteReference"/>
        </w:rPr>
        <w:footnoteRef/>
      </w:r>
      <w:r>
        <w:t xml:space="preserve"> Department of Health (2008</w:t>
      </w:r>
      <w:r w:rsidRPr="00314140">
        <w:t>), PBAC Meeting Publi</w:t>
      </w:r>
      <w:r>
        <w:t xml:space="preserve">c Summary Documents: </w:t>
      </w:r>
      <w:proofErr w:type="spellStart"/>
      <w:r>
        <w:t>Modafinil</w:t>
      </w:r>
      <w:proofErr w:type="spellEnd"/>
      <w:r>
        <w:t>, Updated 19 MAR 2009</w:t>
      </w:r>
      <w:r w:rsidRPr="00314140">
        <w:t>. Accessed on: 02 April 2019, at: http://www.pbs.gov.au/industry/listing/elements/pbac-meetings/psd/2008-11/pbac-psd-modafinil-nov08.pdf</w:t>
      </w:r>
    </w:p>
  </w:footnote>
  <w:footnote w:id="8">
    <w:p w14:paraId="143019C1" w14:textId="2939CCD0" w:rsidR="00A0111F" w:rsidRDefault="00A0111F">
      <w:pPr>
        <w:pStyle w:val="FootnoteText"/>
      </w:pPr>
      <w:r>
        <w:rPr>
          <w:rStyle w:val="FootnoteReference"/>
        </w:rPr>
        <w:footnoteRef/>
      </w:r>
      <w:r>
        <w:t xml:space="preserve"> Drug Utilisation Sub-Committee. DUSC predicted versus actual analysis of </w:t>
      </w:r>
      <w:proofErr w:type="spellStart"/>
      <w:r>
        <w:t>modafinil</w:t>
      </w:r>
      <w:proofErr w:type="spellEnd"/>
      <w:r>
        <w:t xml:space="preserve">. Canberra: Australian Department of Health: 2006. Unpublished. </w:t>
      </w:r>
    </w:p>
  </w:footnote>
  <w:footnote w:id="9">
    <w:p w14:paraId="1111B1FB" w14:textId="2F6A4769" w:rsidR="00A0111F" w:rsidRDefault="00A0111F">
      <w:pPr>
        <w:pStyle w:val="FootnoteText"/>
      </w:pPr>
      <w:r>
        <w:rPr>
          <w:rStyle w:val="FootnoteReference"/>
        </w:rPr>
        <w:footnoteRef/>
      </w:r>
      <w:r>
        <w:t xml:space="preserve"> Department of Health. Standard for the Uniform Scheduling of Medicines and Poisons February 2019. Available from</w:t>
      </w:r>
      <w:r w:rsidRPr="009957D8">
        <w:t xml:space="preserve"> https://www.legislation.gov.au/Details/F2019L00032/Html/Text#_Toc532805033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8861" w14:textId="77777777" w:rsidR="003A3FDC" w:rsidRDefault="003A3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FB57C" w14:textId="77777777" w:rsidR="003A3FDC" w:rsidRDefault="003A3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6AB0" w14:textId="77777777" w:rsidR="003A3FDC" w:rsidRDefault="003A3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B42C5A"/>
    <w:multiLevelType w:val="hybridMultilevel"/>
    <w:tmpl w:val="7D24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CC6C45"/>
    <w:multiLevelType w:val="hybridMultilevel"/>
    <w:tmpl w:val="79D69CFA"/>
    <w:lvl w:ilvl="0" w:tplc="59C8AA9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84D033C"/>
    <w:multiLevelType w:val="multilevel"/>
    <w:tmpl w:val="69960D9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7E85"/>
    <w:rsid w:val="00013465"/>
    <w:rsid w:val="000226B3"/>
    <w:rsid w:val="00023B94"/>
    <w:rsid w:val="00024549"/>
    <w:rsid w:val="0002635D"/>
    <w:rsid w:val="00026CC9"/>
    <w:rsid w:val="000270F8"/>
    <w:rsid w:val="00034B9E"/>
    <w:rsid w:val="00036927"/>
    <w:rsid w:val="00051680"/>
    <w:rsid w:val="000544B6"/>
    <w:rsid w:val="00055CE1"/>
    <w:rsid w:val="00057B71"/>
    <w:rsid w:val="000604AF"/>
    <w:rsid w:val="000652B2"/>
    <w:rsid w:val="00065A1D"/>
    <w:rsid w:val="00066118"/>
    <w:rsid w:val="000662F7"/>
    <w:rsid w:val="000708B0"/>
    <w:rsid w:val="00070CB0"/>
    <w:rsid w:val="000761E4"/>
    <w:rsid w:val="0007709D"/>
    <w:rsid w:val="00081BEE"/>
    <w:rsid w:val="00086C11"/>
    <w:rsid w:val="00094DCF"/>
    <w:rsid w:val="000A6CFD"/>
    <w:rsid w:val="000A7E0D"/>
    <w:rsid w:val="000B0982"/>
    <w:rsid w:val="000B1401"/>
    <w:rsid w:val="000B3F6D"/>
    <w:rsid w:val="000B434D"/>
    <w:rsid w:val="000B796C"/>
    <w:rsid w:val="000C46BB"/>
    <w:rsid w:val="000C4D9D"/>
    <w:rsid w:val="000C7C4B"/>
    <w:rsid w:val="000C7D8B"/>
    <w:rsid w:val="000D1AF3"/>
    <w:rsid w:val="000D2810"/>
    <w:rsid w:val="000D45B4"/>
    <w:rsid w:val="000D5096"/>
    <w:rsid w:val="000D6C9B"/>
    <w:rsid w:val="000E3498"/>
    <w:rsid w:val="000E485D"/>
    <w:rsid w:val="000E5495"/>
    <w:rsid w:val="000E72C6"/>
    <w:rsid w:val="000F1893"/>
    <w:rsid w:val="000F2F51"/>
    <w:rsid w:val="0010077D"/>
    <w:rsid w:val="001031E2"/>
    <w:rsid w:val="00104F83"/>
    <w:rsid w:val="00107C7E"/>
    <w:rsid w:val="00113CF8"/>
    <w:rsid w:val="00113D74"/>
    <w:rsid w:val="00117C5C"/>
    <w:rsid w:val="00121ABB"/>
    <w:rsid w:val="00122C12"/>
    <w:rsid w:val="00124FF0"/>
    <w:rsid w:val="001264E1"/>
    <w:rsid w:val="001310AE"/>
    <w:rsid w:val="001311C9"/>
    <w:rsid w:val="0013189C"/>
    <w:rsid w:val="001323D3"/>
    <w:rsid w:val="00136902"/>
    <w:rsid w:val="001420B3"/>
    <w:rsid w:val="001458E7"/>
    <w:rsid w:val="001460C4"/>
    <w:rsid w:val="001463A6"/>
    <w:rsid w:val="0014751B"/>
    <w:rsid w:val="001507FE"/>
    <w:rsid w:val="00155A0D"/>
    <w:rsid w:val="0015691C"/>
    <w:rsid w:val="001579E8"/>
    <w:rsid w:val="00161210"/>
    <w:rsid w:val="001621F7"/>
    <w:rsid w:val="001624D7"/>
    <w:rsid w:val="00163F75"/>
    <w:rsid w:val="001677EA"/>
    <w:rsid w:val="00177B86"/>
    <w:rsid w:val="00182585"/>
    <w:rsid w:val="00183B0A"/>
    <w:rsid w:val="00191182"/>
    <w:rsid w:val="0019664D"/>
    <w:rsid w:val="001A6103"/>
    <w:rsid w:val="001B4D36"/>
    <w:rsid w:val="001B5D37"/>
    <w:rsid w:val="001C2940"/>
    <w:rsid w:val="001C4016"/>
    <w:rsid w:val="001C548D"/>
    <w:rsid w:val="001C5D6B"/>
    <w:rsid w:val="001C6A5D"/>
    <w:rsid w:val="001D5933"/>
    <w:rsid w:val="001D7957"/>
    <w:rsid w:val="001E31A6"/>
    <w:rsid w:val="001E4038"/>
    <w:rsid w:val="001E42C7"/>
    <w:rsid w:val="001E4CAB"/>
    <w:rsid w:val="001E79F5"/>
    <w:rsid w:val="001F0A4E"/>
    <w:rsid w:val="001F1531"/>
    <w:rsid w:val="001F24BB"/>
    <w:rsid w:val="001F2F3E"/>
    <w:rsid w:val="001F4906"/>
    <w:rsid w:val="001F7C4A"/>
    <w:rsid w:val="00204E7C"/>
    <w:rsid w:val="0020578A"/>
    <w:rsid w:val="00207631"/>
    <w:rsid w:val="00211F0A"/>
    <w:rsid w:val="0021400E"/>
    <w:rsid w:val="00214013"/>
    <w:rsid w:val="00214F28"/>
    <w:rsid w:val="00220FC1"/>
    <w:rsid w:val="002227FF"/>
    <w:rsid w:val="00222E9A"/>
    <w:rsid w:val="00226FAC"/>
    <w:rsid w:val="0023179D"/>
    <w:rsid w:val="00231E7A"/>
    <w:rsid w:val="00237C61"/>
    <w:rsid w:val="0025389D"/>
    <w:rsid w:val="00254A06"/>
    <w:rsid w:val="00254E02"/>
    <w:rsid w:val="00254E1A"/>
    <w:rsid w:val="0025704D"/>
    <w:rsid w:val="00260F55"/>
    <w:rsid w:val="0026265F"/>
    <w:rsid w:val="002636CD"/>
    <w:rsid w:val="00267D12"/>
    <w:rsid w:val="002737AF"/>
    <w:rsid w:val="00284128"/>
    <w:rsid w:val="00286C3A"/>
    <w:rsid w:val="00287407"/>
    <w:rsid w:val="00287BF7"/>
    <w:rsid w:val="00290AFA"/>
    <w:rsid w:val="002918D8"/>
    <w:rsid w:val="002930F5"/>
    <w:rsid w:val="002A06B7"/>
    <w:rsid w:val="002A7FA6"/>
    <w:rsid w:val="002B17A8"/>
    <w:rsid w:val="002B2149"/>
    <w:rsid w:val="002B3344"/>
    <w:rsid w:val="002B5B50"/>
    <w:rsid w:val="002C26DA"/>
    <w:rsid w:val="002C6E0C"/>
    <w:rsid w:val="002D0147"/>
    <w:rsid w:val="002D144A"/>
    <w:rsid w:val="002D2F61"/>
    <w:rsid w:val="002D583B"/>
    <w:rsid w:val="002D6922"/>
    <w:rsid w:val="002E19A3"/>
    <w:rsid w:val="002E212B"/>
    <w:rsid w:val="002E3337"/>
    <w:rsid w:val="002E3857"/>
    <w:rsid w:val="002E463E"/>
    <w:rsid w:val="002E5E2F"/>
    <w:rsid w:val="002E6D03"/>
    <w:rsid w:val="002F1AC1"/>
    <w:rsid w:val="002F27F8"/>
    <w:rsid w:val="002F49A8"/>
    <w:rsid w:val="002F5E66"/>
    <w:rsid w:val="002F61CA"/>
    <w:rsid w:val="0030010D"/>
    <w:rsid w:val="00302725"/>
    <w:rsid w:val="00306EB4"/>
    <w:rsid w:val="00314140"/>
    <w:rsid w:val="00314C4F"/>
    <w:rsid w:val="003172E3"/>
    <w:rsid w:val="003173AA"/>
    <w:rsid w:val="003222F0"/>
    <w:rsid w:val="0033504C"/>
    <w:rsid w:val="00336816"/>
    <w:rsid w:val="003370D0"/>
    <w:rsid w:val="00337355"/>
    <w:rsid w:val="003402E4"/>
    <w:rsid w:val="00340F95"/>
    <w:rsid w:val="003419EB"/>
    <w:rsid w:val="00345AC5"/>
    <w:rsid w:val="00345C2F"/>
    <w:rsid w:val="003531ED"/>
    <w:rsid w:val="00360B9A"/>
    <w:rsid w:val="00365C23"/>
    <w:rsid w:val="00365F4F"/>
    <w:rsid w:val="003674C0"/>
    <w:rsid w:val="0037286B"/>
    <w:rsid w:val="00382EFB"/>
    <w:rsid w:val="00387EAF"/>
    <w:rsid w:val="0039017F"/>
    <w:rsid w:val="00390E58"/>
    <w:rsid w:val="00391A51"/>
    <w:rsid w:val="00394AEE"/>
    <w:rsid w:val="003A1348"/>
    <w:rsid w:val="003A3FDC"/>
    <w:rsid w:val="003B5E94"/>
    <w:rsid w:val="003C0BE1"/>
    <w:rsid w:val="003C1373"/>
    <w:rsid w:val="003C2D98"/>
    <w:rsid w:val="003C7EC2"/>
    <w:rsid w:val="003D3A96"/>
    <w:rsid w:val="003D3B9C"/>
    <w:rsid w:val="003D7DF4"/>
    <w:rsid w:val="003E07A9"/>
    <w:rsid w:val="003F7571"/>
    <w:rsid w:val="00403E18"/>
    <w:rsid w:val="0040419F"/>
    <w:rsid w:val="00404414"/>
    <w:rsid w:val="00404F03"/>
    <w:rsid w:val="00405E34"/>
    <w:rsid w:val="004100B2"/>
    <w:rsid w:val="00412051"/>
    <w:rsid w:val="00412175"/>
    <w:rsid w:val="0041315A"/>
    <w:rsid w:val="00416334"/>
    <w:rsid w:val="00423B94"/>
    <w:rsid w:val="00423C89"/>
    <w:rsid w:val="0043412D"/>
    <w:rsid w:val="0044388B"/>
    <w:rsid w:val="0045423B"/>
    <w:rsid w:val="00454DCE"/>
    <w:rsid w:val="004573E6"/>
    <w:rsid w:val="00463731"/>
    <w:rsid w:val="00463841"/>
    <w:rsid w:val="0046400A"/>
    <w:rsid w:val="00464AFB"/>
    <w:rsid w:val="00467984"/>
    <w:rsid w:val="00467B25"/>
    <w:rsid w:val="00471DCB"/>
    <w:rsid w:val="00473B3F"/>
    <w:rsid w:val="0047497D"/>
    <w:rsid w:val="00476AFD"/>
    <w:rsid w:val="00477384"/>
    <w:rsid w:val="00481108"/>
    <w:rsid w:val="0048472F"/>
    <w:rsid w:val="0049042B"/>
    <w:rsid w:val="00490590"/>
    <w:rsid w:val="00495473"/>
    <w:rsid w:val="00495D28"/>
    <w:rsid w:val="004A2E2F"/>
    <w:rsid w:val="004A458E"/>
    <w:rsid w:val="004A4F79"/>
    <w:rsid w:val="004A612F"/>
    <w:rsid w:val="004B23E7"/>
    <w:rsid w:val="004B306F"/>
    <w:rsid w:val="004B3513"/>
    <w:rsid w:val="004C056F"/>
    <w:rsid w:val="004C1B8F"/>
    <w:rsid w:val="004C3186"/>
    <w:rsid w:val="004C5042"/>
    <w:rsid w:val="004D1FCD"/>
    <w:rsid w:val="004D4699"/>
    <w:rsid w:val="004D5C79"/>
    <w:rsid w:val="004D7A4B"/>
    <w:rsid w:val="004E4422"/>
    <w:rsid w:val="004E5592"/>
    <w:rsid w:val="004F3B4A"/>
    <w:rsid w:val="00503998"/>
    <w:rsid w:val="0050623B"/>
    <w:rsid w:val="005075C9"/>
    <w:rsid w:val="00516150"/>
    <w:rsid w:val="00516DEC"/>
    <w:rsid w:val="00521F2A"/>
    <w:rsid w:val="00522F9B"/>
    <w:rsid w:val="00523181"/>
    <w:rsid w:val="00524D13"/>
    <w:rsid w:val="005339F6"/>
    <w:rsid w:val="0054247D"/>
    <w:rsid w:val="00543711"/>
    <w:rsid w:val="005451CB"/>
    <w:rsid w:val="00550A04"/>
    <w:rsid w:val="005516B3"/>
    <w:rsid w:val="00557299"/>
    <w:rsid w:val="00564C5F"/>
    <w:rsid w:val="005653BF"/>
    <w:rsid w:val="00571CE0"/>
    <w:rsid w:val="00576B18"/>
    <w:rsid w:val="00584E26"/>
    <w:rsid w:val="00587724"/>
    <w:rsid w:val="00591512"/>
    <w:rsid w:val="00591AE2"/>
    <w:rsid w:val="005929EA"/>
    <w:rsid w:val="00593103"/>
    <w:rsid w:val="0059346D"/>
    <w:rsid w:val="005951E8"/>
    <w:rsid w:val="005A06D4"/>
    <w:rsid w:val="005A0CD6"/>
    <w:rsid w:val="005A2124"/>
    <w:rsid w:val="005A49AC"/>
    <w:rsid w:val="005B2D91"/>
    <w:rsid w:val="005B3860"/>
    <w:rsid w:val="005B48B4"/>
    <w:rsid w:val="005C0F22"/>
    <w:rsid w:val="005C25E9"/>
    <w:rsid w:val="005C28B6"/>
    <w:rsid w:val="005C4640"/>
    <w:rsid w:val="005C6661"/>
    <w:rsid w:val="005C6741"/>
    <w:rsid w:val="005C6E3B"/>
    <w:rsid w:val="005C7F8B"/>
    <w:rsid w:val="005D4492"/>
    <w:rsid w:val="005D474B"/>
    <w:rsid w:val="005D5AD3"/>
    <w:rsid w:val="005D6608"/>
    <w:rsid w:val="005D7F62"/>
    <w:rsid w:val="005E085C"/>
    <w:rsid w:val="005E147D"/>
    <w:rsid w:val="005E1779"/>
    <w:rsid w:val="005E1993"/>
    <w:rsid w:val="005E22C2"/>
    <w:rsid w:val="005E57BB"/>
    <w:rsid w:val="005F0017"/>
    <w:rsid w:val="006014F1"/>
    <w:rsid w:val="00606823"/>
    <w:rsid w:val="0061021F"/>
    <w:rsid w:val="0061357B"/>
    <w:rsid w:val="00614A7D"/>
    <w:rsid w:val="00616437"/>
    <w:rsid w:val="00620B42"/>
    <w:rsid w:val="00621C44"/>
    <w:rsid w:val="0063631C"/>
    <w:rsid w:val="00636D2F"/>
    <w:rsid w:val="0063757B"/>
    <w:rsid w:val="006377CE"/>
    <w:rsid w:val="006464A5"/>
    <w:rsid w:val="00647564"/>
    <w:rsid w:val="0065094C"/>
    <w:rsid w:val="00651DC7"/>
    <w:rsid w:val="006537D9"/>
    <w:rsid w:val="00655F4B"/>
    <w:rsid w:val="00660FAE"/>
    <w:rsid w:val="00664A48"/>
    <w:rsid w:val="00665DEF"/>
    <w:rsid w:val="00673937"/>
    <w:rsid w:val="00675BB1"/>
    <w:rsid w:val="006762F5"/>
    <w:rsid w:val="00676330"/>
    <w:rsid w:val="006775F1"/>
    <w:rsid w:val="00683E1D"/>
    <w:rsid w:val="00685392"/>
    <w:rsid w:val="00690D20"/>
    <w:rsid w:val="006917EF"/>
    <w:rsid w:val="00692AA7"/>
    <w:rsid w:val="00697FEC"/>
    <w:rsid w:val="006A175F"/>
    <w:rsid w:val="006A44F5"/>
    <w:rsid w:val="006A5458"/>
    <w:rsid w:val="006B3013"/>
    <w:rsid w:val="006B3B18"/>
    <w:rsid w:val="006B3F9F"/>
    <w:rsid w:val="006B4537"/>
    <w:rsid w:val="006B5F85"/>
    <w:rsid w:val="006B6929"/>
    <w:rsid w:val="006B709B"/>
    <w:rsid w:val="006C54AF"/>
    <w:rsid w:val="006C63A7"/>
    <w:rsid w:val="006D0735"/>
    <w:rsid w:val="006D77DF"/>
    <w:rsid w:val="006E0181"/>
    <w:rsid w:val="006E0819"/>
    <w:rsid w:val="006E122F"/>
    <w:rsid w:val="006E3A95"/>
    <w:rsid w:val="006F2A5E"/>
    <w:rsid w:val="006F3BBF"/>
    <w:rsid w:val="00700C0E"/>
    <w:rsid w:val="00705DAD"/>
    <w:rsid w:val="00712A4F"/>
    <w:rsid w:val="007140A7"/>
    <w:rsid w:val="0071796B"/>
    <w:rsid w:val="00720A2B"/>
    <w:rsid w:val="00723689"/>
    <w:rsid w:val="007247B9"/>
    <w:rsid w:val="00727D85"/>
    <w:rsid w:val="007346C7"/>
    <w:rsid w:val="00736041"/>
    <w:rsid w:val="00736528"/>
    <w:rsid w:val="007408C7"/>
    <w:rsid w:val="00740C8F"/>
    <w:rsid w:val="007465DA"/>
    <w:rsid w:val="00752C7F"/>
    <w:rsid w:val="00753879"/>
    <w:rsid w:val="00755EA0"/>
    <w:rsid w:val="007577E0"/>
    <w:rsid w:val="0076190F"/>
    <w:rsid w:val="00763407"/>
    <w:rsid w:val="00763D6A"/>
    <w:rsid w:val="0077129F"/>
    <w:rsid w:val="00774573"/>
    <w:rsid w:val="007748B5"/>
    <w:rsid w:val="0077544D"/>
    <w:rsid w:val="00776598"/>
    <w:rsid w:val="007844BB"/>
    <w:rsid w:val="0078587A"/>
    <w:rsid w:val="00792948"/>
    <w:rsid w:val="00796E84"/>
    <w:rsid w:val="007A0F0F"/>
    <w:rsid w:val="007A3ADE"/>
    <w:rsid w:val="007A41A1"/>
    <w:rsid w:val="007A5733"/>
    <w:rsid w:val="007A5774"/>
    <w:rsid w:val="007A6386"/>
    <w:rsid w:val="007B244D"/>
    <w:rsid w:val="007C1A7C"/>
    <w:rsid w:val="007C68D4"/>
    <w:rsid w:val="007D15AD"/>
    <w:rsid w:val="007E1473"/>
    <w:rsid w:val="007E32E3"/>
    <w:rsid w:val="007F2151"/>
    <w:rsid w:val="00801E74"/>
    <w:rsid w:val="0080485E"/>
    <w:rsid w:val="008142B4"/>
    <w:rsid w:val="00821ACE"/>
    <w:rsid w:val="008307FE"/>
    <w:rsid w:val="00832324"/>
    <w:rsid w:val="00833469"/>
    <w:rsid w:val="008339C2"/>
    <w:rsid w:val="00834E9B"/>
    <w:rsid w:val="00835337"/>
    <w:rsid w:val="008404FA"/>
    <w:rsid w:val="008406BC"/>
    <w:rsid w:val="008406DD"/>
    <w:rsid w:val="00846DCD"/>
    <w:rsid w:val="00851294"/>
    <w:rsid w:val="00851966"/>
    <w:rsid w:val="00851D85"/>
    <w:rsid w:val="008520AB"/>
    <w:rsid w:val="008551B4"/>
    <w:rsid w:val="00855AED"/>
    <w:rsid w:val="00860CCB"/>
    <w:rsid w:val="00861A4D"/>
    <w:rsid w:val="00862B10"/>
    <w:rsid w:val="00873EFF"/>
    <w:rsid w:val="008740A3"/>
    <w:rsid w:val="00890FD0"/>
    <w:rsid w:val="0089297B"/>
    <w:rsid w:val="00893A76"/>
    <w:rsid w:val="00894074"/>
    <w:rsid w:val="0089500A"/>
    <w:rsid w:val="008A0A50"/>
    <w:rsid w:val="008A7EDE"/>
    <w:rsid w:val="008B4C7E"/>
    <w:rsid w:val="008B7937"/>
    <w:rsid w:val="008C08B9"/>
    <w:rsid w:val="008C2238"/>
    <w:rsid w:val="008C36CA"/>
    <w:rsid w:val="008D0865"/>
    <w:rsid w:val="008D5088"/>
    <w:rsid w:val="008E06BB"/>
    <w:rsid w:val="008E3F8C"/>
    <w:rsid w:val="008F329B"/>
    <w:rsid w:val="008F6C55"/>
    <w:rsid w:val="00902AA3"/>
    <w:rsid w:val="00902FD0"/>
    <w:rsid w:val="009037E9"/>
    <w:rsid w:val="00903D94"/>
    <w:rsid w:val="009053D3"/>
    <w:rsid w:val="0090691F"/>
    <w:rsid w:val="00911DF7"/>
    <w:rsid w:val="00913C36"/>
    <w:rsid w:val="00914BFA"/>
    <w:rsid w:val="0093040B"/>
    <w:rsid w:val="0093111F"/>
    <w:rsid w:val="00933842"/>
    <w:rsid w:val="00935689"/>
    <w:rsid w:val="0095303B"/>
    <w:rsid w:val="0095368A"/>
    <w:rsid w:val="009656CF"/>
    <w:rsid w:val="009663B6"/>
    <w:rsid w:val="009673DE"/>
    <w:rsid w:val="009704EC"/>
    <w:rsid w:val="0097117D"/>
    <w:rsid w:val="00974A47"/>
    <w:rsid w:val="0097582A"/>
    <w:rsid w:val="00980286"/>
    <w:rsid w:val="009810D1"/>
    <w:rsid w:val="00990DCF"/>
    <w:rsid w:val="00991C7B"/>
    <w:rsid w:val="009957D8"/>
    <w:rsid w:val="009A2158"/>
    <w:rsid w:val="009A4CD6"/>
    <w:rsid w:val="009A537C"/>
    <w:rsid w:val="009A7AB1"/>
    <w:rsid w:val="009B2CCB"/>
    <w:rsid w:val="009B7491"/>
    <w:rsid w:val="009C0886"/>
    <w:rsid w:val="009C1658"/>
    <w:rsid w:val="009C19EE"/>
    <w:rsid w:val="009C28D0"/>
    <w:rsid w:val="009C35F2"/>
    <w:rsid w:val="009C6594"/>
    <w:rsid w:val="009C7782"/>
    <w:rsid w:val="009C7F4A"/>
    <w:rsid w:val="009D0517"/>
    <w:rsid w:val="009D090A"/>
    <w:rsid w:val="009D1ED5"/>
    <w:rsid w:val="009D4C13"/>
    <w:rsid w:val="009E21A7"/>
    <w:rsid w:val="009E37EE"/>
    <w:rsid w:val="009E48CA"/>
    <w:rsid w:val="009E6871"/>
    <w:rsid w:val="009E7B3B"/>
    <w:rsid w:val="009F19C5"/>
    <w:rsid w:val="00A0111F"/>
    <w:rsid w:val="00A01B2E"/>
    <w:rsid w:val="00A04E1F"/>
    <w:rsid w:val="00A103ED"/>
    <w:rsid w:val="00A11E8C"/>
    <w:rsid w:val="00A13C60"/>
    <w:rsid w:val="00A14703"/>
    <w:rsid w:val="00A15134"/>
    <w:rsid w:val="00A207FD"/>
    <w:rsid w:val="00A232E1"/>
    <w:rsid w:val="00A2341D"/>
    <w:rsid w:val="00A341A3"/>
    <w:rsid w:val="00A35800"/>
    <w:rsid w:val="00A4431E"/>
    <w:rsid w:val="00A4568F"/>
    <w:rsid w:val="00A461A9"/>
    <w:rsid w:val="00A52918"/>
    <w:rsid w:val="00A547B3"/>
    <w:rsid w:val="00A67D46"/>
    <w:rsid w:val="00A70E82"/>
    <w:rsid w:val="00A73DE2"/>
    <w:rsid w:val="00A75534"/>
    <w:rsid w:val="00A76313"/>
    <w:rsid w:val="00A80D30"/>
    <w:rsid w:val="00A84CAD"/>
    <w:rsid w:val="00A85CAA"/>
    <w:rsid w:val="00A870F5"/>
    <w:rsid w:val="00A8784B"/>
    <w:rsid w:val="00A90E50"/>
    <w:rsid w:val="00A95C7D"/>
    <w:rsid w:val="00A95FA5"/>
    <w:rsid w:val="00A96D92"/>
    <w:rsid w:val="00AA27B9"/>
    <w:rsid w:val="00AA7770"/>
    <w:rsid w:val="00AA7E1C"/>
    <w:rsid w:val="00AB199C"/>
    <w:rsid w:val="00AB227C"/>
    <w:rsid w:val="00AB34AF"/>
    <w:rsid w:val="00AB3733"/>
    <w:rsid w:val="00AB588C"/>
    <w:rsid w:val="00AB7897"/>
    <w:rsid w:val="00AC11A7"/>
    <w:rsid w:val="00AC2CA1"/>
    <w:rsid w:val="00AC5054"/>
    <w:rsid w:val="00AD42D9"/>
    <w:rsid w:val="00AD44F6"/>
    <w:rsid w:val="00AE4BAC"/>
    <w:rsid w:val="00AE50D0"/>
    <w:rsid w:val="00AF6250"/>
    <w:rsid w:val="00B034FC"/>
    <w:rsid w:val="00B05310"/>
    <w:rsid w:val="00B06DF6"/>
    <w:rsid w:val="00B071DD"/>
    <w:rsid w:val="00B10A0B"/>
    <w:rsid w:val="00B10B83"/>
    <w:rsid w:val="00B12C04"/>
    <w:rsid w:val="00B12DC5"/>
    <w:rsid w:val="00B132BB"/>
    <w:rsid w:val="00B14B89"/>
    <w:rsid w:val="00B16A56"/>
    <w:rsid w:val="00B20D69"/>
    <w:rsid w:val="00B22B08"/>
    <w:rsid w:val="00B231EB"/>
    <w:rsid w:val="00B2399B"/>
    <w:rsid w:val="00B30C0B"/>
    <w:rsid w:val="00B30D85"/>
    <w:rsid w:val="00B327DE"/>
    <w:rsid w:val="00B35A4A"/>
    <w:rsid w:val="00B370CF"/>
    <w:rsid w:val="00B41B5B"/>
    <w:rsid w:val="00B45286"/>
    <w:rsid w:val="00B453CF"/>
    <w:rsid w:val="00B4631D"/>
    <w:rsid w:val="00B4790F"/>
    <w:rsid w:val="00B61840"/>
    <w:rsid w:val="00B618B2"/>
    <w:rsid w:val="00B63FD7"/>
    <w:rsid w:val="00B71BC7"/>
    <w:rsid w:val="00B816D9"/>
    <w:rsid w:val="00B818CF"/>
    <w:rsid w:val="00B844C4"/>
    <w:rsid w:val="00B87F50"/>
    <w:rsid w:val="00B911F3"/>
    <w:rsid w:val="00B9120F"/>
    <w:rsid w:val="00B9216C"/>
    <w:rsid w:val="00B924A4"/>
    <w:rsid w:val="00B92DFF"/>
    <w:rsid w:val="00B95795"/>
    <w:rsid w:val="00B95AD6"/>
    <w:rsid w:val="00B96568"/>
    <w:rsid w:val="00BA1628"/>
    <w:rsid w:val="00BB0D1A"/>
    <w:rsid w:val="00BB1D3B"/>
    <w:rsid w:val="00BB4DC4"/>
    <w:rsid w:val="00BB536A"/>
    <w:rsid w:val="00BB5F81"/>
    <w:rsid w:val="00BC0D31"/>
    <w:rsid w:val="00BC145B"/>
    <w:rsid w:val="00BC1DCA"/>
    <w:rsid w:val="00BC35ED"/>
    <w:rsid w:val="00BC4055"/>
    <w:rsid w:val="00BC4418"/>
    <w:rsid w:val="00BC66E5"/>
    <w:rsid w:val="00BD05CB"/>
    <w:rsid w:val="00BD7221"/>
    <w:rsid w:val="00BD7518"/>
    <w:rsid w:val="00BD7F8D"/>
    <w:rsid w:val="00BE00CF"/>
    <w:rsid w:val="00BE1921"/>
    <w:rsid w:val="00BE205A"/>
    <w:rsid w:val="00BE3802"/>
    <w:rsid w:val="00BE4E22"/>
    <w:rsid w:val="00BF21C3"/>
    <w:rsid w:val="00BF238E"/>
    <w:rsid w:val="00BF2EB6"/>
    <w:rsid w:val="00BF2F4A"/>
    <w:rsid w:val="00BF4346"/>
    <w:rsid w:val="00BF544D"/>
    <w:rsid w:val="00BF6466"/>
    <w:rsid w:val="00C0076F"/>
    <w:rsid w:val="00C00DFC"/>
    <w:rsid w:val="00C0301C"/>
    <w:rsid w:val="00C050B6"/>
    <w:rsid w:val="00C10AA8"/>
    <w:rsid w:val="00C10F12"/>
    <w:rsid w:val="00C20632"/>
    <w:rsid w:val="00C245EA"/>
    <w:rsid w:val="00C24A42"/>
    <w:rsid w:val="00C256F6"/>
    <w:rsid w:val="00C2615B"/>
    <w:rsid w:val="00C3097E"/>
    <w:rsid w:val="00C31273"/>
    <w:rsid w:val="00C31900"/>
    <w:rsid w:val="00C35ECC"/>
    <w:rsid w:val="00C361A8"/>
    <w:rsid w:val="00C41246"/>
    <w:rsid w:val="00C44591"/>
    <w:rsid w:val="00C45E5F"/>
    <w:rsid w:val="00C46291"/>
    <w:rsid w:val="00C53EDF"/>
    <w:rsid w:val="00C63412"/>
    <w:rsid w:val="00C648C0"/>
    <w:rsid w:val="00C70384"/>
    <w:rsid w:val="00C712A4"/>
    <w:rsid w:val="00C714D0"/>
    <w:rsid w:val="00C733C4"/>
    <w:rsid w:val="00C75DD9"/>
    <w:rsid w:val="00C778F0"/>
    <w:rsid w:val="00C823D2"/>
    <w:rsid w:val="00C87C43"/>
    <w:rsid w:val="00C90EF4"/>
    <w:rsid w:val="00C933C0"/>
    <w:rsid w:val="00C93B7D"/>
    <w:rsid w:val="00C944E2"/>
    <w:rsid w:val="00CA015A"/>
    <w:rsid w:val="00CA5A2B"/>
    <w:rsid w:val="00CC1AA3"/>
    <w:rsid w:val="00CD3E07"/>
    <w:rsid w:val="00CD4486"/>
    <w:rsid w:val="00CD5A71"/>
    <w:rsid w:val="00CE70A2"/>
    <w:rsid w:val="00CF27DC"/>
    <w:rsid w:val="00CF5123"/>
    <w:rsid w:val="00CF5E22"/>
    <w:rsid w:val="00D05FB9"/>
    <w:rsid w:val="00D06A44"/>
    <w:rsid w:val="00D151EB"/>
    <w:rsid w:val="00D15A28"/>
    <w:rsid w:val="00D231DB"/>
    <w:rsid w:val="00D265C2"/>
    <w:rsid w:val="00D300E0"/>
    <w:rsid w:val="00D30A46"/>
    <w:rsid w:val="00D360D2"/>
    <w:rsid w:val="00D36EF8"/>
    <w:rsid w:val="00D374CD"/>
    <w:rsid w:val="00D37FED"/>
    <w:rsid w:val="00D4233D"/>
    <w:rsid w:val="00D468DF"/>
    <w:rsid w:val="00D47F96"/>
    <w:rsid w:val="00D52390"/>
    <w:rsid w:val="00D54CCD"/>
    <w:rsid w:val="00D60CB7"/>
    <w:rsid w:val="00D619AC"/>
    <w:rsid w:val="00D64CC6"/>
    <w:rsid w:val="00D650CE"/>
    <w:rsid w:val="00D6753C"/>
    <w:rsid w:val="00D7032A"/>
    <w:rsid w:val="00D71719"/>
    <w:rsid w:val="00D7274F"/>
    <w:rsid w:val="00D74637"/>
    <w:rsid w:val="00D75BD5"/>
    <w:rsid w:val="00D776DA"/>
    <w:rsid w:val="00D8167D"/>
    <w:rsid w:val="00D81FC5"/>
    <w:rsid w:val="00D845F5"/>
    <w:rsid w:val="00D84B63"/>
    <w:rsid w:val="00D8758B"/>
    <w:rsid w:val="00D940E2"/>
    <w:rsid w:val="00D942B3"/>
    <w:rsid w:val="00D94863"/>
    <w:rsid w:val="00D95412"/>
    <w:rsid w:val="00DA1A72"/>
    <w:rsid w:val="00DA2792"/>
    <w:rsid w:val="00DA37BF"/>
    <w:rsid w:val="00DA5056"/>
    <w:rsid w:val="00DA7D09"/>
    <w:rsid w:val="00DB3B74"/>
    <w:rsid w:val="00DC1588"/>
    <w:rsid w:val="00DC2630"/>
    <w:rsid w:val="00DC2E7A"/>
    <w:rsid w:val="00DC415B"/>
    <w:rsid w:val="00DC49E9"/>
    <w:rsid w:val="00DC55E4"/>
    <w:rsid w:val="00DC7CAE"/>
    <w:rsid w:val="00DC7D71"/>
    <w:rsid w:val="00DD188C"/>
    <w:rsid w:val="00DD25EA"/>
    <w:rsid w:val="00DD29A3"/>
    <w:rsid w:val="00DD48EE"/>
    <w:rsid w:val="00DE0B96"/>
    <w:rsid w:val="00DE10B9"/>
    <w:rsid w:val="00DF0B13"/>
    <w:rsid w:val="00DF2EB8"/>
    <w:rsid w:val="00DF4A94"/>
    <w:rsid w:val="00DF4E3A"/>
    <w:rsid w:val="00DF54A8"/>
    <w:rsid w:val="00DF6003"/>
    <w:rsid w:val="00DF788C"/>
    <w:rsid w:val="00E00095"/>
    <w:rsid w:val="00E02695"/>
    <w:rsid w:val="00E04029"/>
    <w:rsid w:val="00E04AE8"/>
    <w:rsid w:val="00E0572F"/>
    <w:rsid w:val="00E05A31"/>
    <w:rsid w:val="00E063F9"/>
    <w:rsid w:val="00E066C3"/>
    <w:rsid w:val="00E0732E"/>
    <w:rsid w:val="00E10D8C"/>
    <w:rsid w:val="00E11C72"/>
    <w:rsid w:val="00E1353A"/>
    <w:rsid w:val="00E1564B"/>
    <w:rsid w:val="00E208A0"/>
    <w:rsid w:val="00E20B16"/>
    <w:rsid w:val="00E214B3"/>
    <w:rsid w:val="00E25B49"/>
    <w:rsid w:val="00E272AA"/>
    <w:rsid w:val="00E27C3A"/>
    <w:rsid w:val="00E30EC3"/>
    <w:rsid w:val="00E3204F"/>
    <w:rsid w:val="00E371EA"/>
    <w:rsid w:val="00E41582"/>
    <w:rsid w:val="00E428D1"/>
    <w:rsid w:val="00E4323B"/>
    <w:rsid w:val="00E45C5F"/>
    <w:rsid w:val="00E470BA"/>
    <w:rsid w:val="00E508C4"/>
    <w:rsid w:val="00E5184F"/>
    <w:rsid w:val="00E526C4"/>
    <w:rsid w:val="00E52A41"/>
    <w:rsid w:val="00E52AFC"/>
    <w:rsid w:val="00E60C46"/>
    <w:rsid w:val="00E62308"/>
    <w:rsid w:val="00E636FC"/>
    <w:rsid w:val="00E64429"/>
    <w:rsid w:val="00E677DD"/>
    <w:rsid w:val="00E72112"/>
    <w:rsid w:val="00E731AF"/>
    <w:rsid w:val="00E7594B"/>
    <w:rsid w:val="00E76632"/>
    <w:rsid w:val="00E766FE"/>
    <w:rsid w:val="00E77B84"/>
    <w:rsid w:val="00E811D0"/>
    <w:rsid w:val="00E84249"/>
    <w:rsid w:val="00E84B57"/>
    <w:rsid w:val="00E904A1"/>
    <w:rsid w:val="00EA3F2E"/>
    <w:rsid w:val="00EB1422"/>
    <w:rsid w:val="00EB1553"/>
    <w:rsid w:val="00EB161A"/>
    <w:rsid w:val="00EB1BF4"/>
    <w:rsid w:val="00EB4688"/>
    <w:rsid w:val="00EB49A3"/>
    <w:rsid w:val="00EB6950"/>
    <w:rsid w:val="00EB6C07"/>
    <w:rsid w:val="00EC028D"/>
    <w:rsid w:val="00EC13FC"/>
    <w:rsid w:val="00EC180E"/>
    <w:rsid w:val="00EC718F"/>
    <w:rsid w:val="00ED11F9"/>
    <w:rsid w:val="00ED633B"/>
    <w:rsid w:val="00EE2BBB"/>
    <w:rsid w:val="00EE478C"/>
    <w:rsid w:val="00EE498D"/>
    <w:rsid w:val="00EF2C64"/>
    <w:rsid w:val="00EF6720"/>
    <w:rsid w:val="00F1132C"/>
    <w:rsid w:val="00F13A2D"/>
    <w:rsid w:val="00F15043"/>
    <w:rsid w:val="00F158F0"/>
    <w:rsid w:val="00F15DD5"/>
    <w:rsid w:val="00F17D4B"/>
    <w:rsid w:val="00F21675"/>
    <w:rsid w:val="00F22D23"/>
    <w:rsid w:val="00F23139"/>
    <w:rsid w:val="00F25047"/>
    <w:rsid w:val="00F25EB6"/>
    <w:rsid w:val="00F276FE"/>
    <w:rsid w:val="00F27FAB"/>
    <w:rsid w:val="00F32627"/>
    <w:rsid w:val="00F34723"/>
    <w:rsid w:val="00F4068C"/>
    <w:rsid w:val="00F430E3"/>
    <w:rsid w:val="00F46DEC"/>
    <w:rsid w:val="00F50F84"/>
    <w:rsid w:val="00F61B16"/>
    <w:rsid w:val="00F62655"/>
    <w:rsid w:val="00F66CD5"/>
    <w:rsid w:val="00F67A9A"/>
    <w:rsid w:val="00F70F4E"/>
    <w:rsid w:val="00F73113"/>
    <w:rsid w:val="00F73D08"/>
    <w:rsid w:val="00F75FC4"/>
    <w:rsid w:val="00F81782"/>
    <w:rsid w:val="00F85981"/>
    <w:rsid w:val="00F85CCB"/>
    <w:rsid w:val="00F87263"/>
    <w:rsid w:val="00F93725"/>
    <w:rsid w:val="00F9766E"/>
    <w:rsid w:val="00F976E0"/>
    <w:rsid w:val="00FA4890"/>
    <w:rsid w:val="00FB01BB"/>
    <w:rsid w:val="00FB3DC2"/>
    <w:rsid w:val="00FB77FA"/>
    <w:rsid w:val="00FC1C6F"/>
    <w:rsid w:val="00FC3C70"/>
    <w:rsid w:val="00FC4A73"/>
    <w:rsid w:val="00FC559C"/>
    <w:rsid w:val="00FC7F0D"/>
    <w:rsid w:val="00FD0532"/>
    <w:rsid w:val="00FD154D"/>
    <w:rsid w:val="00FD1F92"/>
    <w:rsid w:val="00FE353A"/>
    <w:rsid w:val="00FE645A"/>
    <w:rsid w:val="00FF2826"/>
    <w:rsid w:val="00FF6102"/>
    <w:rsid w:val="00FF69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9265"/>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9AC"/>
    <w:pPr>
      <w:spacing w:line="240" w:lineRule="auto"/>
    </w:pPr>
    <w:rPr>
      <w:sz w:val="24"/>
      <w:szCs w:val="24"/>
    </w:rPr>
  </w:style>
  <w:style w:type="paragraph" w:styleId="Heading1">
    <w:name w:val="heading 1"/>
    <w:basedOn w:val="Normal"/>
    <w:next w:val="Normal"/>
    <w:link w:val="Heading1Char"/>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72"/>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EndnoteText">
    <w:name w:val="endnote text"/>
    <w:basedOn w:val="Normal"/>
    <w:link w:val="EndnoteTextChar"/>
    <w:uiPriority w:val="99"/>
    <w:semiHidden/>
    <w:unhideWhenUsed/>
    <w:rsid w:val="007577E0"/>
    <w:pPr>
      <w:spacing w:after="0"/>
    </w:pPr>
    <w:rPr>
      <w:sz w:val="20"/>
      <w:szCs w:val="20"/>
    </w:rPr>
  </w:style>
  <w:style w:type="character" w:customStyle="1" w:styleId="EndnoteTextChar">
    <w:name w:val="Endnote Text Char"/>
    <w:basedOn w:val="DefaultParagraphFont"/>
    <w:link w:val="EndnoteText"/>
    <w:uiPriority w:val="99"/>
    <w:semiHidden/>
    <w:rsid w:val="007577E0"/>
    <w:rPr>
      <w:sz w:val="20"/>
      <w:szCs w:val="20"/>
    </w:rPr>
  </w:style>
  <w:style w:type="character" w:styleId="EndnoteReference">
    <w:name w:val="endnote reference"/>
    <w:basedOn w:val="DefaultParagraphFont"/>
    <w:uiPriority w:val="99"/>
    <w:semiHidden/>
    <w:unhideWhenUsed/>
    <w:rsid w:val="007577E0"/>
    <w:rPr>
      <w:vertAlign w:val="superscript"/>
    </w:rPr>
  </w:style>
  <w:style w:type="table" w:customStyle="1" w:styleId="TableGrid1">
    <w:name w:val="Table Grid1"/>
    <w:basedOn w:val="TableNormal"/>
    <w:next w:val="TableGrid"/>
    <w:uiPriority w:val="39"/>
    <w:rsid w:val="00D54CCD"/>
    <w:pPr>
      <w:spacing w:after="0" w:line="240" w:lineRule="auto"/>
      <w:jc w:val="both"/>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72"/>
    <w:rsid w:val="0089500A"/>
    <w:rPr>
      <w:sz w:val="24"/>
      <w:szCs w:val="24"/>
    </w:rPr>
  </w:style>
  <w:style w:type="paragraph" w:styleId="Caption">
    <w:name w:val="caption"/>
    <w:aliases w:val="CSR Caption,Char,Caption-FUSA,Bayer Caption Char Char Char Char,Bayer Caption Char,Bayer Caption Char Char Char,Bayer Caption Char Char,Bayer Caption"/>
    <w:basedOn w:val="PBSNormal"/>
    <w:next w:val="Normal"/>
    <w:link w:val="CaptionChar"/>
    <w:uiPriority w:val="35"/>
    <w:qFormat/>
    <w:rsid w:val="00260F55"/>
    <w:pPr>
      <w:keepNext/>
      <w:spacing w:line="240" w:lineRule="auto"/>
      <w:ind w:left="1418" w:hanging="1418"/>
    </w:pPr>
    <w:rPr>
      <w:rFonts w:cs="Arial"/>
      <w:b/>
      <w:bCs/>
      <w:noProof/>
      <w:sz w:val="20"/>
    </w:rPr>
  </w:style>
  <w:style w:type="character" w:customStyle="1" w:styleId="CaptionChar">
    <w:name w:val="Caption Char"/>
    <w:aliases w:val="CSR Caption Char,Char Char,Caption-FUSA Char,Bayer Caption Char Char Char Char Char,Bayer Caption Char Char1,Bayer Caption Char Char Char Char1,Bayer Caption Char Char Char1,Bayer Caption Char1"/>
    <w:basedOn w:val="DefaultParagraphFont"/>
    <w:link w:val="Caption"/>
    <w:uiPriority w:val="35"/>
    <w:rsid w:val="00260F55"/>
    <w:rPr>
      <w:rFonts w:ascii="Arial" w:eastAsia="Times New Roman" w:hAnsi="Arial" w:cs="Arial"/>
      <w:b/>
      <w:bCs/>
      <w:noProof/>
      <w:sz w:val="20"/>
      <w:szCs w:val="20"/>
    </w:rPr>
  </w:style>
  <w:style w:type="paragraph" w:customStyle="1" w:styleId="PBSNormal">
    <w:name w:val="PBS Normal"/>
    <w:basedOn w:val="Normal"/>
    <w:link w:val="PBSNormalChar1"/>
    <w:rsid w:val="00260F55"/>
    <w:pPr>
      <w:spacing w:before="120" w:after="120" w:line="360" w:lineRule="auto"/>
      <w:jc w:val="both"/>
    </w:pPr>
    <w:rPr>
      <w:rFonts w:ascii="Arial" w:eastAsia="Times New Roman" w:hAnsi="Arial" w:cs="Times New Roman"/>
      <w:sz w:val="22"/>
      <w:szCs w:val="20"/>
    </w:rPr>
  </w:style>
  <w:style w:type="character" w:customStyle="1" w:styleId="PBSNormalChar1">
    <w:name w:val="PBS Normal Char1"/>
    <w:link w:val="PBSNormal"/>
    <w:rsid w:val="00260F55"/>
    <w:rPr>
      <w:rFonts w:ascii="Arial" w:eastAsia="Times New Roman" w:hAnsi="Arial" w:cs="Times New Roman"/>
      <w:szCs w:val="20"/>
    </w:rPr>
  </w:style>
  <w:style w:type="paragraph" w:customStyle="1" w:styleId="DepartmentalNormal">
    <w:name w:val="Departmental Normal"/>
    <w:basedOn w:val="Normal"/>
    <w:rsid w:val="00522F9B"/>
    <w:pPr>
      <w:spacing w:after="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9052">
      <w:bodyDiv w:val="1"/>
      <w:marLeft w:val="0"/>
      <w:marRight w:val="0"/>
      <w:marTop w:val="0"/>
      <w:marBottom w:val="0"/>
      <w:divBdr>
        <w:top w:val="none" w:sz="0" w:space="0" w:color="auto"/>
        <w:left w:val="none" w:sz="0" w:space="0" w:color="auto"/>
        <w:bottom w:val="none" w:sz="0" w:space="0" w:color="auto"/>
        <w:right w:val="none" w:sz="0" w:space="0" w:color="auto"/>
      </w:divBdr>
    </w:div>
    <w:div w:id="13476008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58369917">
      <w:bodyDiv w:val="1"/>
      <w:marLeft w:val="0"/>
      <w:marRight w:val="0"/>
      <w:marTop w:val="0"/>
      <w:marBottom w:val="0"/>
      <w:divBdr>
        <w:top w:val="none" w:sz="0" w:space="0" w:color="auto"/>
        <w:left w:val="none" w:sz="0" w:space="0" w:color="auto"/>
        <w:bottom w:val="none" w:sz="0" w:space="0" w:color="auto"/>
        <w:right w:val="none" w:sz="0" w:space="0" w:color="auto"/>
      </w:divBdr>
    </w:div>
    <w:div w:id="1063409438">
      <w:bodyDiv w:val="1"/>
      <w:marLeft w:val="0"/>
      <w:marRight w:val="0"/>
      <w:marTop w:val="0"/>
      <w:marBottom w:val="0"/>
      <w:divBdr>
        <w:top w:val="none" w:sz="0" w:space="0" w:color="auto"/>
        <w:left w:val="none" w:sz="0" w:space="0" w:color="auto"/>
        <w:bottom w:val="none" w:sz="0" w:space="0" w:color="auto"/>
        <w:right w:val="none" w:sz="0" w:space="0" w:color="auto"/>
      </w:divBdr>
    </w:div>
    <w:div w:id="1099791376">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67137586">
      <w:bodyDiv w:val="1"/>
      <w:marLeft w:val="0"/>
      <w:marRight w:val="0"/>
      <w:marTop w:val="0"/>
      <w:marBottom w:val="0"/>
      <w:divBdr>
        <w:top w:val="none" w:sz="0" w:space="0" w:color="auto"/>
        <w:left w:val="none" w:sz="0" w:space="0" w:color="auto"/>
        <w:bottom w:val="none" w:sz="0" w:space="0" w:color="auto"/>
        <w:right w:val="none" w:sz="0" w:space="0" w:color="auto"/>
      </w:divBdr>
    </w:div>
    <w:div w:id="1271430926">
      <w:bodyDiv w:val="1"/>
      <w:marLeft w:val="0"/>
      <w:marRight w:val="0"/>
      <w:marTop w:val="0"/>
      <w:marBottom w:val="0"/>
      <w:divBdr>
        <w:top w:val="none" w:sz="0" w:space="0" w:color="auto"/>
        <w:left w:val="none" w:sz="0" w:space="0" w:color="auto"/>
        <w:bottom w:val="none" w:sz="0" w:space="0" w:color="auto"/>
        <w:right w:val="none" w:sz="0" w:space="0" w:color="auto"/>
      </w:divBdr>
    </w:div>
    <w:div w:id="1337346106">
      <w:bodyDiv w:val="1"/>
      <w:marLeft w:val="0"/>
      <w:marRight w:val="0"/>
      <w:marTop w:val="0"/>
      <w:marBottom w:val="0"/>
      <w:divBdr>
        <w:top w:val="none" w:sz="0" w:space="0" w:color="auto"/>
        <w:left w:val="none" w:sz="0" w:space="0" w:color="auto"/>
        <w:bottom w:val="none" w:sz="0" w:space="0" w:color="auto"/>
        <w:right w:val="none" w:sz="0" w:space="0" w:color="auto"/>
      </w:divBdr>
    </w:div>
    <w:div w:id="1980838954">
      <w:bodyDiv w:val="1"/>
      <w:marLeft w:val="0"/>
      <w:marRight w:val="0"/>
      <w:marTop w:val="0"/>
      <w:marBottom w:val="0"/>
      <w:divBdr>
        <w:top w:val="none" w:sz="0" w:space="0" w:color="auto"/>
        <w:left w:val="none" w:sz="0" w:space="0" w:color="auto"/>
        <w:bottom w:val="none" w:sz="0" w:space="0" w:color="auto"/>
        <w:right w:val="none" w:sz="0" w:space="0" w:color="auto"/>
      </w:divBdr>
    </w:div>
    <w:div w:id="207165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ntral.health\DFSGroupData\Sites\CO1\CO\PBD\PEB\EVAL\DUSC\DUSC%20Documents\Predicted%20vs%20actual%20usage\pbs.gov.au"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dustry/listing/elements/pbac-meetings/psd/2015-11/files/armodafinil-psd-november-2015.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entral.health\dfsuserenv\Users\User_01\PETERN\Desktop\DUSC\DUSC%20June%202019\Armodafinil\Data\PATCNT%20by%20quarter%20init%20prev%20to%20therapy%20therapy%20init%20drug%20%20drug%20_%20(002).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entral.health\dfsuserenv\Users\User_01\PETERN\Desktop\DUSC\DUSC%20June%202019\Armodafinil\Data\SCRPT_SUM%20-%20from%201%20November%202014%20narcolepsy%20only%200804201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entral.health\dfsuserenv\Users\User_01\PETERN\Desktop\DUSC\DUSC%20June%202019\Armodafinil\Data\SCRPT_SUM%20-%20from%201%20November%202014%20narcolepsy%20only%200804201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entral.health\dfsuserenv\Users\User_01\PETERN\Documents\D1150_PATCNT%20by%20quarter%20init%20prev%20to%20therapy%20therapy%20init%20drug%20%20drug%20_.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entral.health\dfsuserenv\Users\User_01\PETERN\Documents\D1150_PATCNT%20by%20quarter%20init%20prev%20to%20therapy%20therapy%20init%20drug%20%20drug%20_.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entral.health\dfsuserenv\Users\User_01\PETERN\Desktop\DUSC\DUSC%20June%202019\Armodafinil\Data\PATCNT%20by%20quarter%20init%20prev%20to%20therapy%20therapy%20init%20drug%20%20drug%20_%20(00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entral.health\dfsuserenv\Users\User_01\PETERN\Documents\D1150%20-%20SCRPT_SUM.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entral.health\dfsuserenv\Users\User_01\PETERN\Desktop\DUSC\DUSC%20June%202019\Armodafinil\Data\PATCNT%20by%20prescriber%20type%20and%20patient%20state%2008041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entral.health\dfsuserenv\Users\User_01\PETERN\Desktop\DUSC\DUSC%20June%202019\Armodafinil\Data\PATCNT%20by%20prescriber%20type%20and%20patient%20state%20080419.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entral.health\dfsuserenv\Users\User_01\PETERN\Desktop\DUSC\DUSC%20June%202019\Armodafinil\Data\SCRPT_SUM%20-%20from%201%20November%202014%20narcolepsy%20only%200804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[PATCNT by quarter init prev to therapy therapy init drug  drug _ (002).xlsx]Sheet2!PivotTable17</c:name>
    <c:fmtId val="31"/>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pivotFmt>
      <c:pivotFmt>
        <c:idx val="2"/>
        <c:spPr>
          <a:solidFill>
            <a:schemeClr val="accent1"/>
          </a:solidFill>
          <a:ln w="28575" cap="rnd">
            <a:solidFill>
              <a:schemeClr val="accent1"/>
            </a:solidFill>
            <a:round/>
          </a:ln>
          <a:effectLst/>
        </c:spPr>
      </c:pivotFmt>
      <c:pivotFmt>
        <c:idx val="3"/>
        <c:spPr>
          <a:solidFill>
            <a:schemeClr val="accent1"/>
          </a:solidFill>
          <a:ln w="28575" cap="rnd">
            <a:solidFill>
              <a:schemeClr val="accent1"/>
            </a:solidFill>
            <a:round/>
          </a:ln>
          <a:effectLst/>
        </c:spPr>
      </c:pivotFmt>
      <c:pivotFmt>
        <c:idx val="4"/>
        <c:spPr>
          <a:solidFill>
            <a:schemeClr val="accent1"/>
          </a:solidFill>
          <a:ln w="28575" cap="rnd">
            <a:solidFill>
              <a:schemeClr val="accent1"/>
            </a:solidFill>
            <a:round/>
          </a:ln>
          <a:effectLst/>
        </c:spPr>
      </c:pivotFmt>
      <c:pivotFmt>
        <c:idx val="5"/>
        <c:spPr>
          <a:solidFill>
            <a:schemeClr val="accent1"/>
          </a:solidFill>
          <a:ln w="28575" cap="rnd">
            <a:solidFill>
              <a:schemeClr val="accent1"/>
            </a:solidFill>
            <a:round/>
          </a:ln>
          <a:effectLst/>
        </c:spPr>
      </c:pivotFmt>
      <c:pivotFmt>
        <c:idx val="6"/>
        <c:spPr>
          <a:solidFill>
            <a:schemeClr val="accent1"/>
          </a:solidFill>
          <a:ln w="28575" cap="rnd">
            <a:solidFill>
              <a:schemeClr val="accent1"/>
            </a:solidFill>
            <a:round/>
          </a:ln>
          <a:effectLst/>
        </c:spPr>
      </c:pivotFmt>
      <c:pivotFmt>
        <c:idx val="7"/>
        <c:spPr>
          <a:solidFill>
            <a:schemeClr val="accent1"/>
          </a:solidFill>
          <a:ln w="28575" cap="rnd">
            <a:solidFill>
              <a:schemeClr val="accent1"/>
            </a:solidFill>
            <a:round/>
          </a:ln>
          <a:effectLst/>
        </c:spPr>
      </c:pivotFmt>
      <c:pivotFmt>
        <c:idx val="8"/>
        <c:spPr>
          <a:solidFill>
            <a:schemeClr val="accent1"/>
          </a:solidFill>
          <a:ln w="28575" cap="rnd">
            <a:solidFill>
              <a:schemeClr val="accent1"/>
            </a:solidFill>
            <a:round/>
          </a:ln>
          <a:effectLst/>
        </c:spPr>
      </c:pivotFmt>
      <c:pivotFmt>
        <c:idx val="9"/>
        <c:spPr>
          <a:solidFill>
            <a:schemeClr val="accent1"/>
          </a:solidFill>
          <a:ln w="28575" cap="rnd">
            <a:solidFill>
              <a:schemeClr val="accent1"/>
            </a:solidFill>
            <a:round/>
          </a:ln>
          <a:effectLst/>
        </c:spP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s>
    <c:plotArea>
      <c:layout>
        <c:manualLayout>
          <c:layoutTarget val="inner"/>
          <c:xMode val="edge"/>
          <c:yMode val="edge"/>
          <c:x val="0.10013638247372189"/>
          <c:y val="0.11312820512820515"/>
          <c:w val="0.86389280287332504"/>
          <c:h val="0.65991654889292672"/>
        </c:manualLayout>
      </c:layout>
      <c:lineChart>
        <c:grouping val="standard"/>
        <c:varyColors val="0"/>
        <c:ser>
          <c:idx val="0"/>
          <c:order val="0"/>
          <c:tx>
            <c:strRef>
              <c:f>Sheet2!$B$3:$B$4</c:f>
              <c:strCache>
                <c:ptCount val="1"/>
                <c:pt idx="0">
                  <c:v>incident patients</c:v>
                </c:pt>
              </c:strCache>
            </c:strRef>
          </c:tx>
          <c:spPr>
            <a:ln w="28575" cap="rnd">
              <a:solidFill>
                <a:srgbClr val="92D050"/>
              </a:solidFill>
              <a:round/>
            </a:ln>
            <a:effectLst/>
          </c:spPr>
          <c:marker>
            <c:symbol val="circle"/>
            <c:size val="5"/>
            <c:spPr>
              <a:solidFill>
                <a:srgbClr val="92D050"/>
              </a:solidFill>
              <a:ln w="9525">
                <a:solidFill>
                  <a:srgbClr val="92D050"/>
                </a:solidFill>
              </a:ln>
              <a:effectLst/>
            </c:spPr>
          </c:marker>
          <c:cat>
            <c:strRef>
              <c:f>Sheet2!$A$5:$A$21</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Sheet2!$B$5:$B$21</c:f>
              <c:numCache>
                <c:formatCode>General</c:formatCode>
                <c:ptCount val="16"/>
                <c:pt idx="0">
                  <c:v>262</c:v>
                </c:pt>
                <c:pt idx="1">
                  <c:v>279</c:v>
                </c:pt>
                <c:pt idx="2">
                  <c:v>318</c:v>
                </c:pt>
                <c:pt idx="3">
                  <c:v>351</c:v>
                </c:pt>
                <c:pt idx="4">
                  <c:v>294</c:v>
                </c:pt>
                <c:pt idx="5">
                  <c:v>354</c:v>
                </c:pt>
                <c:pt idx="6">
                  <c:v>309</c:v>
                </c:pt>
                <c:pt idx="7">
                  <c:v>336</c:v>
                </c:pt>
                <c:pt idx="8">
                  <c:v>306</c:v>
                </c:pt>
                <c:pt idx="9">
                  <c:v>383</c:v>
                </c:pt>
                <c:pt idx="10">
                  <c:v>436</c:v>
                </c:pt>
                <c:pt idx="11">
                  <c:v>381</c:v>
                </c:pt>
                <c:pt idx="12">
                  <c:v>301</c:v>
                </c:pt>
                <c:pt idx="13">
                  <c:v>398</c:v>
                </c:pt>
                <c:pt idx="14">
                  <c:v>644</c:v>
                </c:pt>
                <c:pt idx="15">
                  <c:v>704</c:v>
                </c:pt>
              </c:numCache>
            </c:numRef>
          </c:val>
          <c:smooth val="0"/>
          <c:extLst>
            <c:ext xmlns:c16="http://schemas.microsoft.com/office/drawing/2014/chart" uri="{C3380CC4-5D6E-409C-BE32-E72D297353CC}">
              <c16:uniqueId val="{00000000-FD1D-4DC8-B974-1C5492722438}"/>
            </c:ext>
          </c:extLst>
        </c:ser>
        <c:ser>
          <c:idx val="1"/>
          <c:order val="1"/>
          <c:tx>
            <c:strRef>
              <c:f>Sheet2!$C$3:$C$4</c:f>
              <c:strCache>
                <c:ptCount val="1"/>
                <c:pt idx="0">
                  <c:v>prevalent patients</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strRef>
              <c:f>Sheet2!$A$5:$A$21</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Sheet2!$C$5:$C$21</c:f>
              <c:numCache>
                <c:formatCode>General</c:formatCode>
                <c:ptCount val="16"/>
                <c:pt idx="0">
                  <c:v>4130</c:v>
                </c:pt>
                <c:pt idx="1">
                  <c:v>4291</c:v>
                </c:pt>
                <c:pt idx="2">
                  <c:v>4405</c:v>
                </c:pt>
                <c:pt idx="3">
                  <c:v>4604</c:v>
                </c:pt>
                <c:pt idx="4">
                  <c:v>4607</c:v>
                </c:pt>
                <c:pt idx="5">
                  <c:v>4776</c:v>
                </c:pt>
                <c:pt idx="6">
                  <c:v>4850</c:v>
                </c:pt>
                <c:pt idx="7">
                  <c:v>5012</c:v>
                </c:pt>
                <c:pt idx="8">
                  <c:v>5114</c:v>
                </c:pt>
                <c:pt idx="9">
                  <c:v>5292</c:v>
                </c:pt>
                <c:pt idx="10">
                  <c:v>5507</c:v>
                </c:pt>
                <c:pt idx="11">
                  <c:v>5710</c:v>
                </c:pt>
                <c:pt idx="12">
                  <c:v>5638</c:v>
                </c:pt>
                <c:pt idx="13">
                  <c:v>5825</c:v>
                </c:pt>
                <c:pt idx="14">
                  <c:v>6274</c:v>
                </c:pt>
                <c:pt idx="15">
                  <c:v>6645</c:v>
                </c:pt>
              </c:numCache>
            </c:numRef>
          </c:val>
          <c:smooth val="0"/>
          <c:extLst>
            <c:ext xmlns:c16="http://schemas.microsoft.com/office/drawing/2014/chart" uri="{C3380CC4-5D6E-409C-BE32-E72D297353CC}">
              <c16:uniqueId val="{00000001-FD1D-4DC8-B974-1C5492722438}"/>
            </c:ext>
          </c:extLst>
        </c:ser>
        <c:dLbls>
          <c:showLegendKey val="0"/>
          <c:showVal val="0"/>
          <c:showCatName val="0"/>
          <c:showSerName val="0"/>
          <c:showPercent val="0"/>
          <c:showBubbleSize val="0"/>
        </c:dLbls>
        <c:marker val="1"/>
        <c:smooth val="0"/>
        <c:axId val="938018336"/>
        <c:axId val="938013088"/>
      </c:lineChart>
      <c:catAx>
        <c:axId val="938018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013088"/>
        <c:crosses val="autoZero"/>
        <c:auto val="1"/>
        <c:lblAlgn val="ctr"/>
        <c:lblOffset val="100"/>
        <c:noMultiLvlLbl val="0"/>
      </c:catAx>
      <c:valAx>
        <c:axId val="93801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Number of patients</a:t>
                </a:r>
              </a:p>
            </c:rich>
          </c:tx>
          <c:layout>
            <c:manualLayout>
              <c:xMode val="edge"/>
              <c:yMode val="edge"/>
              <c:x val="1.6905063900505258E-3"/>
              <c:y val="0.266718890907867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018336"/>
        <c:crosses val="autoZero"/>
        <c:crossBetween val="between"/>
      </c:valAx>
      <c:spPr>
        <a:noFill/>
        <a:ln>
          <a:noFill/>
        </a:ln>
        <a:effectLst/>
      </c:spPr>
    </c:plotArea>
    <c:legend>
      <c:legendPos val="r"/>
      <c:layout>
        <c:manualLayout>
          <c:xMode val="edge"/>
          <c:yMode val="edge"/>
          <c:x val="0.10491169465060889"/>
          <c:y val="0.93818749579379501"/>
          <c:w val="0.78663535479117741"/>
          <c:h val="6.06845682751194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[SCRPT_SUM - from 1 November 2014 narcolepsy only 08042019.xlsx]Sheet4!PivotTable1</c:name>
    <c:fmtId val="1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s>
    <c:plotArea>
      <c:layout>
        <c:manualLayout>
          <c:layoutTarget val="inner"/>
          <c:xMode val="edge"/>
          <c:yMode val="edge"/>
          <c:x val="0.1420537940778793"/>
          <c:y val="6.0313630880579013E-2"/>
          <c:w val="0.71704389892439913"/>
          <c:h val="0.60165553793109994"/>
        </c:manualLayout>
      </c:layout>
      <c:lineChart>
        <c:grouping val="standard"/>
        <c:varyColors val="0"/>
        <c:ser>
          <c:idx val="0"/>
          <c:order val="0"/>
          <c:tx>
            <c:strRef>
              <c:f>Sheet4!$B$3:$B$5</c:f>
              <c:strCache>
                <c:ptCount val="1"/>
                <c:pt idx="0">
                  <c:v>ARMODAFINIL - Expenditure</c:v>
                </c:pt>
              </c:strCache>
            </c:strRef>
          </c:tx>
          <c:spPr>
            <a:ln w="28575" cap="rnd">
              <a:solidFill>
                <a:schemeClr val="accent1"/>
              </a:solidFill>
              <a:round/>
            </a:ln>
            <a:effectLst/>
          </c:spPr>
          <c:marker>
            <c:symbol val="none"/>
          </c:marker>
          <c:cat>
            <c:strRef>
              <c:f>Sheet4!$A$6:$A$22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Sheet4!$B$6:$B$22</c:f>
              <c:numCache>
                <c:formatCode>General</c:formatCode>
                <c:ptCount val="16"/>
                <c:pt idx="7">
                  <c:v>36244.630000000012</c:v>
                </c:pt>
                <c:pt idx="8">
                  <c:v>155083.68</c:v>
                </c:pt>
                <c:pt idx="9">
                  <c:v>250931.46</c:v>
                </c:pt>
                <c:pt idx="10">
                  <c:v>322926.19</c:v>
                </c:pt>
                <c:pt idx="11">
                  <c:v>393908.89000000007</c:v>
                </c:pt>
                <c:pt idx="12">
                  <c:v>396697.76</c:v>
                </c:pt>
                <c:pt idx="13">
                  <c:v>471210.42000000016</c:v>
                </c:pt>
                <c:pt idx="14">
                  <c:v>526389.62999999989</c:v>
                </c:pt>
                <c:pt idx="15">
                  <c:v>605342.31999999995</c:v>
                </c:pt>
              </c:numCache>
            </c:numRef>
          </c:val>
          <c:smooth val="0"/>
          <c:extLst>
            <c:ext xmlns:c16="http://schemas.microsoft.com/office/drawing/2014/chart" uri="{C3380CC4-5D6E-409C-BE32-E72D297353CC}">
              <c16:uniqueId val="{00000000-C370-4D77-9A01-C10B6A5CAA3B}"/>
            </c:ext>
          </c:extLst>
        </c:ser>
        <c:ser>
          <c:idx val="2"/>
          <c:order val="2"/>
          <c:tx>
            <c:strRef>
              <c:f>Sheet4!$D$3:$D$5</c:f>
              <c:strCache>
                <c:ptCount val="1"/>
                <c:pt idx="0">
                  <c:v>MODAFINIL - Expenditure</c:v>
                </c:pt>
              </c:strCache>
            </c:strRef>
          </c:tx>
          <c:spPr>
            <a:ln w="28575" cap="rnd">
              <a:solidFill>
                <a:schemeClr val="accent3"/>
              </a:solidFill>
              <a:round/>
            </a:ln>
            <a:effectLst/>
          </c:spPr>
          <c:marker>
            <c:symbol val="none"/>
          </c:marker>
          <c:cat>
            <c:strRef>
              <c:f>Sheet4!$A$6:$A$22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Sheet4!$D$6:$D$22</c:f>
              <c:numCache>
                <c:formatCode>General</c:formatCode>
                <c:ptCount val="16"/>
                <c:pt idx="0">
                  <c:v>939750.47999999986</c:v>
                </c:pt>
                <c:pt idx="1">
                  <c:v>1031188.1399999999</c:v>
                </c:pt>
                <c:pt idx="2">
                  <c:v>1057478.99</c:v>
                </c:pt>
                <c:pt idx="3">
                  <c:v>1190858.7200000002</c:v>
                </c:pt>
                <c:pt idx="4">
                  <c:v>1124277.92</c:v>
                </c:pt>
                <c:pt idx="5">
                  <c:v>997765.48</c:v>
                </c:pt>
                <c:pt idx="6">
                  <c:v>1015964.5899999999</c:v>
                </c:pt>
                <c:pt idx="7">
                  <c:v>1109188.1299999999</c:v>
                </c:pt>
                <c:pt idx="8">
                  <c:v>961000.1</c:v>
                </c:pt>
                <c:pt idx="9">
                  <c:v>989913.39</c:v>
                </c:pt>
                <c:pt idx="10">
                  <c:v>1015887.8200000001</c:v>
                </c:pt>
                <c:pt idx="11">
                  <c:v>1074586.3700000001</c:v>
                </c:pt>
                <c:pt idx="12">
                  <c:v>962612.89999999991</c:v>
                </c:pt>
                <c:pt idx="13">
                  <c:v>1000897.7499999999</c:v>
                </c:pt>
                <c:pt idx="14">
                  <c:v>1023966.75</c:v>
                </c:pt>
                <c:pt idx="15">
                  <c:v>917552.89</c:v>
                </c:pt>
              </c:numCache>
            </c:numRef>
          </c:val>
          <c:smooth val="0"/>
          <c:extLst>
            <c:ext xmlns:c16="http://schemas.microsoft.com/office/drawing/2014/chart" uri="{C3380CC4-5D6E-409C-BE32-E72D297353CC}">
              <c16:uniqueId val="{00000001-C370-4D77-9A01-C10B6A5CAA3B}"/>
            </c:ext>
          </c:extLst>
        </c:ser>
        <c:dLbls>
          <c:showLegendKey val="0"/>
          <c:showVal val="0"/>
          <c:showCatName val="0"/>
          <c:showSerName val="0"/>
          <c:showPercent val="0"/>
          <c:showBubbleSize val="0"/>
        </c:dLbls>
        <c:marker val="1"/>
        <c:smooth val="0"/>
        <c:axId val="602917368"/>
        <c:axId val="602918352"/>
      </c:lineChart>
      <c:lineChart>
        <c:grouping val="standard"/>
        <c:varyColors val="0"/>
        <c:ser>
          <c:idx val="1"/>
          <c:order val="1"/>
          <c:tx>
            <c:strRef>
              <c:f>Sheet4!$C$3:$C$5</c:f>
              <c:strCache>
                <c:ptCount val="1"/>
                <c:pt idx="0">
                  <c:v>ARMODAFINIL - Prescriptions</c:v>
                </c:pt>
              </c:strCache>
            </c:strRef>
          </c:tx>
          <c:spPr>
            <a:ln w="28575" cap="rnd">
              <a:solidFill>
                <a:schemeClr val="accent2"/>
              </a:solidFill>
              <a:round/>
            </a:ln>
            <a:effectLst/>
          </c:spPr>
          <c:marker>
            <c:symbol val="none"/>
          </c:marker>
          <c:cat>
            <c:strRef>
              <c:f>Sheet4!$A$6:$A$22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Sheet4!$C$6:$C$22</c:f>
              <c:numCache>
                <c:formatCode>General</c:formatCode>
                <c:ptCount val="16"/>
                <c:pt idx="7">
                  <c:v>183</c:v>
                </c:pt>
                <c:pt idx="8">
                  <c:v>808</c:v>
                </c:pt>
                <c:pt idx="9">
                  <c:v>1307</c:v>
                </c:pt>
                <c:pt idx="10">
                  <c:v>1685</c:v>
                </c:pt>
                <c:pt idx="11">
                  <c:v>2043</c:v>
                </c:pt>
                <c:pt idx="12">
                  <c:v>2077</c:v>
                </c:pt>
                <c:pt idx="13">
                  <c:v>2454</c:v>
                </c:pt>
                <c:pt idx="14">
                  <c:v>2708</c:v>
                </c:pt>
                <c:pt idx="15">
                  <c:v>3114</c:v>
                </c:pt>
              </c:numCache>
            </c:numRef>
          </c:val>
          <c:smooth val="0"/>
          <c:extLst>
            <c:ext xmlns:c16="http://schemas.microsoft.com/office/drawing/2014/chart" uri="{C3380CC4-5D6E-409C-BE32-E72D297353CC}">
              <c16:uniqueId val="{00000002-C370-4D77-9A01-C10B6A5CAA3B}"/>
            </c:ext>
          </c:extLst>
        </c:ser>
        <c:ser>
          <c:idx val="3"/>
          <c:order val="3"/>
          <c:tx>
            <c:strRef>
              <c:f>Sheet4!$E$3:$E$5</c:f>
              <c:strCache>
                <c:ptCount val="1"/>
                <c:pt idx="0">
                  <c:v>MODAFINIL - Prescriptions</c:v>
                </c:pt>
              </c:strCache>
            </c:strRef>
          </c:tx>
          <c:spPr>
            <a:ln w="28575" cap="rnd">
              <a:solidFill>
                <a:schemeClr val="accent4"/>
              </a:solidFill>
              <a:round/>
            </a:ln>
            <a:effectLst/>
          </c:spPr>
          <c:marker>
            <c:symbol val="none"/>
          </c:marker>
          <c:cat>
            <c:strRef>
              <c:f>Sheet4!$A$6:$A$22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Sheet4!$E$6:$E$22</c:f>
              <c:numCache>
                <c:formatCode>General</c:formatCode>
                <c:ptCount val="16"/>
                <c:pt idx="0">
                  <c:v>3276</c:v>
                </c:pt>
                <c:pt idx="1">
                  <c:v>3562</c:v>
                </c:pt>
                <c:pt idx="2">
                  <c:v>3803</c:v>
                </c:pt>
                <c:pt idx="3">
                  <c:v>4203</c:v>
                </c:pt>
                <c:pt idx="4">
                  <c:v>3990</c:v>
                </c:pt>
                <c:pt idx="5">
                  <c:v>4275</c:v>
                </c:pt>
                <c:pt idx="6">
                  <c:v>4307</c:v>
                </c:pt>
                <c:pt idx="7">
                  <c:v>4675</c:v>
                </c:pt>
                <c:pt idx="8">
                  <c:v>4111</c:v>
                </c:pt>
                <c:pt idx="9">
                  <c:v>4241</c:v>
                </c:pt>
                <c:pt idx="10">
                  <c:v>4318</c:v>
                </c:pt>
                <c:pt idx="11">
                  <c:v>4533</c:v>
                </c:pt>
                <c:pt idx="12">
                  <c:v>4113</c:v>
                </c:pt>
                <c:pt idx="13">
                  <c:v>4260</c:v>
                </c:pt>
                <c:pt idx="14">
                  <c:v>4376</c:v>
                </c:pt>
                <c:pt idx="15">
                  <c:v>4534</c:v>
                </c:pt>
              </c:numCache>
            </c:numRef>
          </c:val>
          <c:smooth val="0"/>
          <c:extLst>
            <c:ext xmlns:c16="http://schemas.microsoft.com/office/drawing/2014/chart" uri="{C3380CC4-5D6E-409C-BE32-E72D297353CC}">
              <c16:uniqueId val="{00000003-C370-4D77-9A01-C10B6A5CAA3B}"/>
            </c:ext>
          </c:extLst>
        </c:ser>
        <c:dLbls>
          <c:showLegendKey val="0"/>
          <c:showVal val="0"/>
          <c:showCatName val="0"/>
          <c:showSerName val="0"/>
          <c:showPercent val="0"/>
          <c:showBubbleSize val="0"/>
        </c:dLbls>
        <c:marker val="1"/>
        <c:smooth val="0"/>
        <c:axId val="602901624"/>
        <c:axId val="602900640"/>
      </c:lineChart>
      <c:catAx>
        <c:axId val="602917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Quarter of supply</a:t>
                </a:r>
              </a:p>
            </c:rich>
          </c:tx>
          <c:layout>
            <c:manualLayout>
              <c:xMode val="edge"/>
              <c:yMode val="edge"/>
              <c:x val="0.39912585793086025"/>
              <c:y val="0.8002257407811962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918352"/>
        <c:crosses val="autoZero"/>
        <c:auto val="1"/>
        <c:lblAlgn val="ctr"/>
        <c:lblOffset val="100"/>
        <c:noMultiLvlLbl val="0"/>
      </c:catAx>
      <c:valAx>
        <c:axId val="602918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Expenditure</a:t>
                </a:r>
              </a:p>
            </c:rich>
          </c:tx>
          <c:layout>
            <c:manualLayout>
              <c:xMode val="edge"/>
              <c:yMode val="edge"/>
              <c:x val="6.6428060128847534E-3"/>
              <c:y val="0.227707543794661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917368"/>
        <c:crosses val="autoZero"/>
        <c:crossBetween val="between"/>
      </c:valAx>
      <c:valAx>
        <c:axId val="60290064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Number</a:t>
                </a:r>
                <a:r>
                  <a:rPr lang="en-AU" b="1" baseline="0"/>
                  <a:t> of prescriptions</a:t>
                </a:r>
                <a:endParaRPr lang="en-AU" b="1"/>
              </a:p>
            </c:rich>
          </c:tx>
          <c:layout>
            <c:manualLayout>
              <c:xMode val="edge"/>
              <c:yMode val="edge"/>
              <c:x val="0.94011761898746615"/>
              <c:y val="0.133487520935636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901624"/>
        <c:crosses val="max"/>
        <c:crossBetween val="between"/>
      </c:valAx>
      <c:catAx>
        <c:axId val="602901624"/>
        <c:scaling>
          <c:orientation val="minMax"/>
        </c:scaling>
        <c:delete val="1"/>
        <c:axPos val="b"/>
        <c:numFmt formatCode="General" sourceLinked="1"/>
        <c:majorTickMark val="out"/>
        <c:minorTickMark val="none"/>
        <c:tickLblPos val="nextTo"/>
        <c:crossAx val="602900640"/>
        <c:crosses val="autoZero"/>
        <c:auto val="1"/>
        <c:lblAlgn val="ctr"/>
        <c:lblOffset val="100"/>
        <c:noMultiLvlLbl val="0"/>
      </c:catAx>
      <c:spPr>
        <a:noFill/>
        <a:ln>
          <a:noFill/>
        </a:ln>
        <a:effectLst/>
      </c:spPr>
    </c:plotArea>
    <c:legend>
      <c:legendPos val="r"/>
      <c:layout>
        <c:manualLayout>
          <c:xMode val="edge"/>
          <c:yMode val="edge"/>
          <c:x val="0.10351631179792366"/>
          <c:y val="0.86690697136923023"/>
          <c:w val="0.73249081832685348"/>
          <c:h val="0.130681433216505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[SCRPT_SUM - from 1 November 2014 narcolepsy only 08042019.xlsx]Sheet1!PivotTable1</c:name>
    <c:fmtId val="35"/>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s>
    <c:plotArea>
      <c:layout>
        <c:manualLayout>
          <c:layoutTarget val="inner"/>
          <c:xMode val="edge"/>
          <c:yMode val="edge"/>
          <c:x val="0.11755974959979394"/>
          <c:y val="5.8119658119658121E-2"/>
          <c:w val="0.8077402181375759"/>
          <c:h val="0.66364304461942258"/>
        </c:manualLayout>
      </c:layout>
      <c:areaChart>
        <c:grouping val="stacked"/>
        <c:varyColors val="0"/>
        <c:ser>
          <c:idx val="0"/>
          <c:order val="0"/>
          <c:tx>
            <c:strRef>
              <c:f>Sheet1!$B$1:$B$2</c:f>
              <c:strCache>
                <c:ptCount val="1"/>
                <c:pt idx="0">
                  <c:v>DEXAMFETAMINE</c:v>
                </c:pt>
              </c:strCache>
            </c:strRef>
          </c:tx>
          <c:spPr>
            <a:solidFill>
              <a:srgbClr val="4F81BD"/>
            </a:solidFill>
            <a:ln>
              <a:solidFill>
                <a:srgbClr val="4F81BD"/>
              </a:solidFill>
            </a:ln>
            <a:effectLst/>
          </c:spPr>
          <c:cat>
            <c:strRef>
              <c:f>Sheet1!$A$3:$A$19</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Sheet1!$B$3:$B$19</c:f>
              <c:numCache>
                <c:formatCode>General</c:formatCode>
                <c:ptCount val="16"/>
                <c:pt idx="0">
                  <c:v>5356</c:v>
                </c:pt>
                <c:pt idx="1">
                  <c:v>5481</c:v>
                </c:pt>
                <c:pt idx="2">
                  <c:v>5651</c:v>
                </c:pt>
                <c:pt idx="3">
                  <c:v>5889</c:v>
                </c:pt>
                <c:pt idx="4">
                  <c:v>5610</c:v>
                </c:pt>
                <c:pt idx="5">
                  <c:v>5863</c:v>
                </c:pt>
                <c:pt idx="6">
                  <c:v>5911</c:v>
                </c:pt>
                <c:pt idx="7">
                  <c:v>6164</c:v>
                </c:pt>
                <c:pt idx="8">
                  <c:v>5837</c:v>
                </c:pt>
                <c:pt idx="9">
                  <c:v>5799</c:v>
                </c:pt>
                <c:pt idx="10">
                  <c:v>5772</c:v>
                </c:pt>
                <c:pt idx="11">
                  <c:v>6200</c:v>
                </c:pt>
                <c:pt idx="12">
                  <c:v>5809</c:v>
                </c:pt>
                <c:pt idx="13">
                  <c:v>6016</c:v>
                </c:pt>
                <c:pt idx="14">
                  <c:v>6403</c:v>
                </c:pt>
                <c:pt idx="15">
                  <c:v>7159</c:v>
                </c:pt>
              </c:numCache>
            </c:numRef>
          </c:val>
          <c:extLst>
            <c:ext xmlns:c16="http://schemas.microsoft.com/office/drawing/2014/chart" uri="{C3380CC4-5D6E-409C-BE32-E72D297353CC}">
              <c16:uniqueId val="{00000000-EEC3-42CB-B452-CCC14C1B8A1C}"/>
            </c:ext>
          </c:extLst>
        </c:ser>
        <c:ser>
          <c:idx val="1"/>
          <c:order val="1"/>
          <c:tx>
            <c:strRef>
              <c:f>Sheet1!$C$1:$C$2</c:f>
              <c:strCache>
                <c:ptCount val="1"/>
                <c:pt idx="0">
                  <c:v>MODAFINIL</c:v>
                </c:pt>
              </c:strCache>
            </c:strRef>
          </c:tx>
          <c:spPr>
            <a:solidFill>
              <a:srgbClr val="F79646">
                <a:lumMod val="75000"/>
              </a:srgbClr>
            </a:solidFill>
            <a:ln>
              <a:solidFill>
                <a:srgbClr val="F79646">
                  <a:lumMod val="75000"/>
                </a:srgbClr>
              </a:solidFill>
            </a:ln>
            <a:effectLst/>
          </c:spPr>
          <c:cat>
            <c:strRef>
              <c:f>Sheet1!$A$3:$A$19</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Sheet1!$C$3:$C$19</c:f>
              <c:numCache>
                <c:formatCode>General</c:formatCode>
                <c:ptCount val="16"/>
                <c:pt idx="0">
                  <c:v>3276</c:v>
                </c:pt>
                <c:pt idx="1">
                  <c:v>3562</c:v>
                </c:pt>
                <c:pt idx="2">
                  <c:v>3803</c:v>
                </c:pt>
                <c:pt idx="3">
                  <c:v>4203</c:v>
                </c:pt>
                <c:pt idx="4">
                  <c:v>3990</c:v>
                </c:pt>
                <c:pt idx="5">
                  <c:v>4275</c:v>
                </c:pt>
                <c:pt idx="6">
                  <c:v>4307</c:v>
                </c:pt>
                <c:pt idx="7">
                  <c:v>4675</c:v>
                </c:pt>
                <c:pt idx="8">
                  <c:v>4111</c:v>
                </c:pt>
                <c:pt idx="9">
                  <c:v>4241</c:v>
                </c:pt>
                <c:pt idx="10">
                  <c:v>4318</c:v>
                </c:pt>
                <c:pt idx="11">
                  <c:v>4533</c:v>
                </c:pt>
                <c:pt idx="12">
                  <c:v>4113</c:v>
                </c:pt>
                <c:pt idx="13">
                  <c:v>4260</c:v>
                </c:pt>
                <c:pt idx="14">
                  <c:v>4376</c:v>
                </c:pt>
                <c:pt idx="15">
                  <c:v>4534</c:v>
                </c:pt>
              </c:numCache>
            </c:numRef>
          </c:val>
          <c:extLst>
            <c:ext xmlns:c16="http://schemas.microsoft.com/office/drawing/2014/chart" uri="{C3380CC4-5D6E-409C-BE32-E72D297353CC}">
              <c16:uniqueId val="{00000001-EEC3-42CB-B452-CCC14C1B8A1C}"/>
            </c:ext>
          </c:extLst>
        </c:ser>
        <c:ser>
          <c:idx val="2"/>
          <c:order val="2"/>
          <c:tx>
            <c:strRef>
              <c:f>Sheet1!$D$1:$D$2</c:f>
              <c:strCache>
                <c:ptCount val="1"/>
                <c:pt idx="0">
                  <c:v>ARMODAFINIL</c:v>
                </c:pt>
              </c:strCache>
            </c:strRef>
          </c:tx>
          <c:spPr>
            <a:solidFill>
              <a:sysClr val="window" lastClr="FFFFFF">
                <a:lumMod val="50000"/>
              </a:sysClr>
            </a:solidFill>
            <a:ln>
              <a:solidFill>
                <a:sysClr val="window" lastClr="FFFFFF">
                  <a:lumMod val="50000"/>
                </a:sysClr>
              </a:solidFill>
            </a:ln>
            <a:effectLst/>
          </c:spPr>
          <c:cat>
            <c:strRef>
              <c:f>Sheet1!$A$3:$A$19</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Sheet1!$D$3:$D$19</c:f>
              <c:numCache>
                <c:formatCode>General</c:formatCode>
                <c:ptCount val="16"/>
                <c:pt idx="7">
                  <c:v>183</c:v>
                </c:pt>
                <c:pt idx="8">
                  <c:v>808</c:v>
                </c:pt>
                <c:pt idx="9">
                  <c:v>1307</c:v>
                </c:pt>
                <c:pt idx="10">
                  <c:v>1685</c:v>
                </c:pt>
                <c:pt idx="11">
                  <c:v>2043</c:v>
                </c:pt>
                <c:pt idx="12">
                  <c:v>2077</c:v>
                </c:pt>
                <c:pt idx="13">
                  <c:v>2454</c:v>
                </c:pt>
                <c:pt idx="14">
                  <c:v>2708</c:v>
                </c:pt>
                <c:pt idx="15">
                  <c:v>3114</c:v>
                </c:pt>
              </c:numCache>
            </c:numRef>
          </c:val>
          <c:extLst>
            <c:ext xmlns:c16="http://schemas.microsoft.com/office/drawing/2014/chart" uri="{C3380CC4-5D6E-409C-BE32-E72D297353CC}">
              <c16:uniqueId val="{00000002-EEC3-42CB-B452-CCC14C1B8A1C}"/>
            </c:ext>
          </c:extLst>
        </c:ser>
        <c:dLbls>
          <c:showLegendKey val="0"/>
          <c:showVal val="0"/>
          <c:showCatName val="0"/>
          <c:showSerName val="0"/>
          <c:showPercent val="0"/>
          <c:showBubbleSize val="0"/>
        </c:dLbls>
        <c:axId val="940767224"/>
        <c:axId val="940765912"/>
      </c:areaChart>
      <c:catAx>
        <c:axId val="940767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765912"/>
        <c:crosses val="autoZero"/>
        <c:auto val="1"/>
        <c:lblAlgn val="ctr"/>
        <c:lblOffset val="100"/>
        <c:noMultiLvlLbl val="0"/>
      </c:catAx>
      <c:valAx>
        <c:axId val="940765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Number</a:t>
                </a:r>
                <a:r>
                  <a:rPr lang="en-AU" b="1" baseline="0"/>
                  <a:t> of prescriptions</a:t>
                </a:r>
                <a:endParaRPr lang="en-AU" b="1"/>
              </a:p>
            </c:rich>
          </c:tx>
          <c:layout>
            <c:manualLayout>
              <c:xMode val="edge"/>
              <c:yMode val="edge"/>
              <c:x val="4.0079504966423129E-3"/>
              <c:y val="0.206599098189649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767224"/>
        <c:crosses val="autoZero"/>
        <c:crossBetween val="midCat"/>
      </c:valAx>
      <c:spPr>
        <a:noFill/>
        <a:ln>
          <a:noFill/>
        </a:ln>
        <a:effectLst/>
      </c:spPr>
    </c:plotArea>
    <c:legend>
      <c:legendPos val="r"/>
      <c:layout>
        <c:manualLayout>
          <c:xMode val="edge"/>
          <c:yMode val="edge"/>
          <c:x val="0.11756836468903482"/>
          <c:y val="0.90905632949727433"/>
          <c:w val="0.80798794590778844"/>
          <c:h val="7.80598963591089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[D1150_PATCNT by quarter init prev to therapy therapy init drug  drug _.xlsx]Sheet2 (4)!PivotTable17</c:name>
    <c:fmtId val="8"/>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pivotFmt>
      <c:pivotFmt>
        <c:idx val="2"/>
        <c:spPr>
          <a:solidFill>
            <a:schemeClr val="accent1"/>
          </a:solidFill>
          <a:ln w="28575" cap="rnd">
            <a:solidFill>
              <a:schemeClr val="accent1"/>
            </a:solidFill>
            <a:round/>
          </a:ln>
          <a:effectLst/>
        </c:spPr>
      </c:pivotFmt>
      <c:pivotFmt>
        <c:idx val="3"/>
        <c:spPr>
          <a:solidFill>
            <a:schemeClr val="accent1"/>
          </a:solidFill>
          <a:ln w="28575" cap="rnd">
            <a:solidFill>
              <a:schemeClr val="accent1"/>
            </a:solidFill>
            <a:round/>
          </a:ln>
          <a:effectLst/>
        </c:spPr>
      </c:pivotFmt>
      <c:pivotFmt>
        <c:idx val="4"/>
        <c:spPr>
          <a:solidFill>
            <a:schemeClr val="accent1"/>
          </a:solidFill>
          <a:ln w="28575" cap="rnd">
            <a:solidFill>
              <a:schemeClr val="accent1"/>
            </a:solidFill>
            <a:round/>
          </a:ln>
          <a:effectLst/>
        </c:spPr>
      </c:pivotFmt>
      <c:pivotFmt>
        <c:idx val="5"/>
        <c:spPr>
          <a:solidFill>
            <a:schemeClr val="accent1"/>
          </a:solidFill>
          <a:ln w="28575" cap="rnd">
            <a:solidFill>
              <a:schemeClr val="accent1"/>
            </a:solidFill>
            <a:round/>
          </a:ln>
          <a:effectLst/>
        </c:spPr>
      </c:pivotFmt>
      <c:pivotFmt>
        <c:idx val="6"/>
        <c:spPr>
          <a:solidFill>
            <a:schemeClr val="accent1"/>
          </a:solidFill>
          <a:ln w="28575" cap="rnd">
            <a:solidFill>
              <a:schemeClr val="accent1"/>
            </a:solidFill>
            <a:round/>
          </a:ln>
          <a:effectLst/>
        </c:spPr>
      </c:pivotFmt>
      <c:pivotFmt>
        <c:idx val="7"/>
        <c:spPr>
          <a:solidFill>
            <a:schemeClr val="accent1"/>
          </a:solidFill>
          <a:ln w="28575" cap="rnd">
            <a:solidFill>
              <a:schemeClr val="accent1"/>
            </a:solidFill>
            <a:round/>
          </a:ln>
          <a:effectLst/>
        </c:spPr>
      </c:pivotFmt>
      <c:pivotFmt>
        <c:idx val="8"/>
        <c:spPr>
          <a:solidFill>
            <a:schemeClr val="accent1"/>
          </a:solidFill>
          <a:ln w="28575" cap="rnd">
            <a:solidFill>
              <a:schemeClr val="accent1"/>
            </a:solidFill>
            <a:round/>
          </a:ln>
          <a:effectLst/>
        </c:spPr>
      </c:pivotFmt>
      <c:pivotFmt>
        <c:idx val="9"/>
        <c:spPr>
          <a:solidFill>
            <a:schemeClr val="accent1"/>
          </a:solidFill>
          <a:ln w="28575" cap="rnd">
            <a:solidFill>
              <a:schemeClr val="accent1"/>
            </a:solidFill>
            <a:round/>
          </a:ln>
          <a:effectLst/>
        </c:spP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s>
    <c:plotArea>
      <c:layout>
        <c:manualLayout>
          <c:layoutTarget val="inner"/>
          <c:xMode val="edge"/>
          <c:yMode val="edge"/>
          <c:x val="0.13640534522332862"/>
          <c:y val="7.521367521367521E-2"/>
          <c:w val="0.80151959625120528"/>
          <c:h val="0.61236099333737126"/>
        </c:manualLayout>
      </c:layout>
      <c:lineChart>
        <c:grouping val="standard"/>
        <c:varyColors val="0"/>
        <c:ser>
          <c:idx val="0"/>
          <c:order val="0"/>
          <c:tx>
            <c:strRef>
              <c:f>'Sheet2 (4)'!$B$4:$B$5</c:f>
              <c:strCache>
                <c:ptCount val="1"/>
                <c:pt idx="0">
                  <c:v>DEXAMFETAMINE</c:v>
                </c:pt>
              </c:strCache>
            </c:strRef>
          </c:tx>
          <c:spPr>
            <a:ln w="28575" cap="rnd">
              <a:solidFill>
                <a:srgbClr val="4F81BD"/>
              </a:solidFill>
              <a:round/>
            </a:ln>
            <a:effectLst/>
          </c:spPr>
          <c:marker>
            <c:symbol val="circle"/>
            <c:size val="5"/>
            <c:spPr>
              <a:solidFill>
                <a:srgbClr val="4F81BD"/>
              </a:solidFill>
              <a:ln w="9525">
                <a:solidFill>
                  <a:srgbClr val="4F81BD"/>
                </a:solidFill>
              </a:ln>
              <a:effectLst/>
            </c:spPr>
          </c:marker>
          <c:cat>
            <c:strRef>
              <c:f>'Sheet2 (4)'!$A$6:$A$22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 (4)'!$B$6:$B$22</c:f>
              <c:numCache>
                <c:formatCode>General</c:formatCode>
                <c:ptCount val="16"/>
                <c:pt idx="0">
                  <c:v>2495</c:v>
                </c:pt>
                <c:pt idx="1">
                  <c:v>2549</c:v>
                </c:pt>
                <c:pt idx="2">
                  <c:v>2577</c:v>
                </c:pt>
                <c:pt idx="3">
                  <c:v>2659</c:v>
                </c:pt>
                <c:pt idx="4">
                  <c:v>2663</c:v>
                </c:pt>
                <c:pt idx="5">
                  <c:v>2710</c:v>
                </c:pt>
                <c:pt idx="6">
                  <c:v>2731</c:v>
                </c:pt>
                <c:pt idx="7">
                  <c:v>2771</c:v>
                </c:pt>
                <c:pt idx="8">
                  <c:v>2758</c:v>
                </c:pt>
                <c:pt idx="9">
                  <c:v>2737</c:v>
                </c:pt>
                <c:pt idx="10">
                  <c:v>2795</c:v>
                </c:pt>
                <c:pt idx="11">
                  <c:v>2835</c:v>
                </c:pt>
                <c:pt idx="12">
                  <c:v>2785</c:v>
                </c:pt>
                <c:pt idx="13">
                  <c:v>2833</c:v>
                </c:pt>
                <c:pt idx="14">
                  <c:v>3133</c:v>
                </c:pt>
                <c:pt idx="15">
                  <c:v>3356</c:v>
                </c:pt>
              </c:numCache>
            </c:numRef>
          </c:val>
          <c:smooth val="0"/>
          <c:extLst>
            <c:ext xmlns:c16="http://schemas.microsoft.com/office/drawing/2014/chart" uri="{C3380CC4-5D6E-409C-BE32-E72D297353CC}">
              <c16:uniqueId val="{00000000-89DB-49D9-923E-82EE4D437109}"/>
            </c:ext>
          </c:extLst>
        </c:ser>
        <c:ser>
          <c:idx val="1"/>
          <c:order val="1"/>
          <c:tx>
            <c:strRef>
              <c:f>'Sheet2 (4)'!$C$4:$C$5</c:f>
              <c:strCache>
                <c:ptCount val="1"/>
                <c:pt idx="0">
                  <c:v>MODAFINIL</c:v>
                </c:pt>
              </c:strCache>
            </c:strRef>
          </c:tx>
          <c:spPr>
            <a:ln w="28575" cap="rnd">
              <a:solidFill>
                <a:srgbClr val="F79646">
                  <a:lumMod val="75000"/>
                </a:srgbClr>
              </a:solidFill>
              <a:round/>
            </a:ln>
            <a:effectLst/>
          </c:spPr>
          <c:marker>
            <c:symbol val="circle"/>
            <c:size val="5"/>
            <c:spPr>
              <a:solidFill>
                <a:srgbClr val="F79646">
                  <a:lumMod val="75000"/>
                </a:srgbClr>
              </a:solidFill>
              <a:ln w="9525">
                <a:solidFill>
                  <a:srgbClr val="F79646">
                    <a:lumMod val="75000"/>
                  </a:srgbClr>
                </a:solidFill>
              </a:ln>
              <a:effectLst/>
            </c:spPr>
          </c:marker>
          <c:cat>
            <c:strRef>
              <c:f>'Sheet2 (4)'!$A$6:$A$22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 (4)'!$C$6:$C$22</c:f>
              <c:numCache>
                <c:formatCode>General</c:formatCode>
                <c:ptCount val="16"/>
                <c:pt idx="0">
                  <c:v>1672</c:v>
                </c:pt>
                <c:pt idx="1">
                  <c:v>1789</c:v>
                </c:pt>
                <c:pt idx="2">
                  <c:v>1863</c:v>
                </c:pt>
                <c:pt idx="3">
                  <c:v>1982</c:v>
                </c:pt>
                <c:pt idx="4">
                  <c:v>1984</c:v>
                </c:pt>
                <c:pt idx="5">
                  <c:v>2100</c:v>
                </c:pt>
                <c:pt idx="6">
                  <c:v>2154</c:v>
                </c:pt>
                <c:pt idx="7">
                  <c:v>2214</c:v>
                </c:pt>
                <c:pt idx="8">
                  <c:v>2097</c:v>
                </c:pt>
                <c:pt idx="9">
                  <c:v>2133</c:v>
                </c:pt>
                <c:pt idx="10">
                  <c:v>2134</c:v>
                </c:pt>
                <c:pt idx="11">
                  <c:v>2175</c:v>
                </c:pt>
                <c:pt idx="12">
                  <c:v>2103</c:v>
                </c:pt>
                <c:pt idx="13">
                  <c:v>2119</c:v>
                </c:pt>
                <c:pt idx="14">
                  <c:v>2175</c:v>
                </c:pt>
                <c:pt idx="15">
                  <c:v>2179</c:v>
                </c:pt>
              </c:numCache>
            </c:numRef>
          </c:val>
          <c:smooth val="0"/>
          <c:extLst>
            <c:ext xmlns:c16="http://schemas.microsoft.com/office/drawing/2014/chart" uri="{C3380CC4-5D6E-409C-BE32-E72D297353CC}">
              <c16:uniqueId val="{00000001-89DB-49D9-923E-82EE4D437109}"/>
            </c:ext>
          </c:extLst>
        </c:ser>
        <c:ser>
          <c:idx val="2"/>
          <c:order val="2"/>
          <c:tx>
            <c:strRef>
              <c:f>'Sheet2 (4)'!$D$4:$D$5</c:f>
              <c:strCache>
                <c:ptCount val="1"/>
                <c:pt idx="0">
                  <c:v>ARMODAFINIL</c:v>
                </c:pt>
              </c:strCache>
            </c:strRef>
          </c:tx>
          <c:spPr>
            <a:ln w="28575" cap="rnd">
              <a:solidFill>
                <a:sysClr val="window" lastClr="FFFFFF">
                  <a:lumMod val="50000"/>
                </a:sysClr>
              </a:solidFill>
              <a:round/>
            </a:ln>
            <a:effectLst/>
          </c:spPr>
          <c:marker>
            <c:symbol val="circle"/>
            <c:size val="5"/>
            <c:spPr>
              <a:solidFill>
                <a:sysClr val="window" lastClr="FFFFFF">
                  <a:lumMod val="50000"/>
                </a:sysClr>
              </a:solidFill>
              <a:ln w="9525">
                <a:solidFill>
                  <a:sysClr val="window" lastClr="FFFFFF">
                    <a:lumMod val="50000"/>
                  </a:sysClr>
                </a:solidFill>
              </a:ln>
              <a:effectLst/>
            </c:spPr>
          </c:marker>
          <c:cat>
            <c:strRef>
              <c:f>'Sheet2 (4)'!$A$6:$A$22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 (4)'!$D$6:$D$22</c:f>
              <c:numCache>
                <c:formatCode>General</c:formatCode>
                <c:ptCount val="16"/>
                <c:pt idx="7">
                  <c:v>134</c:v>
                </c:pt>
                <c:pt idx="8">
                  <c:v>380</c:v>
                </c:pt>
                <c:pt idx="9">
                  <c:v>557</c:v>
                </c:pt>
                <c:pt idx="10">
                  <c:v>699</c:v>
                </c:pt>
                <c:pt idx="11">
                  <c:v>824</c:v>
                </c:pt>
                <c:pt idx="12">
                  <c:v>860</c:v>
                </c:pt>
                <c:pt idx="13">
                  <c:v>1001</c:v>
                </c:pt>
                <c:pt idx="14">
                  <c:v>1092</c:v>
                </c:pt>
                <c:pt idx="15">
                  <c:v>1221</c:v>
                </c:pt>
              </c:numCache>
            </c:numRef>
          </c:val>
          <c:smooth val="0"/>
          <c:extLst>
            <c:ext xmlns:c16="http://schemas.microsoft.com/office/drawing/2014/chart" uri="{C3380CC4-5D6E-409C-BE32-E72D297353CC}">
              <c16:uniqueId val="{00000002-89DB-49D9-923E-82EE4D437109}"/>
            </c:ext>
          </c:extLst>
        </c:ser>
        <c:dLbls>
          <c:showLegendKey val="0"/>
          <c:showVal val="0"/>
          <c:showCatName val="0"/>
          <c:showSerName val="0"/>
          <c:showPercent val="0"/>
          <c:showBubbleSize val="0"/>
        </c:dLbls>
        <c:marker val="1"/>
        <c:smooth val="0"/>
        <c:axId val="938018336"/>
        <c:axId val="938013088"/>
      </c:lineChart>
      <c:catAx>
        <c:axId val="938018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Quarter</a:t>
                </a:r>
                <a:r>
                  <a:rPr lang="en-AU" b="1" baseline="0"/>
                  <a:t> of supply</a:t>
                </a:r>
                <a:endParaRPr lang="en-AU" b="1"/>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013088"/>
        <c:crosses val="autoZero"/>
        <c:auto val="1"/>
        <c:lblAlgn val="ctr"/>
        <c:lblOffset val="100"/>
        <c:noMultiLvlLbl val="0"/>
      </c:catAx>
      <c:valAx>
        <c:axId val="93801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Number</a:t>
                </a:r>
                <a:r>
                  <a:rPr lang="en-AU" b="1" baseline="0"/>
                  <a:t> of patients </a:t>
                </a:r>
                <a:endParaRPr lang="en-AU" b="1"/>
              </a:p>
            </c:rich>
          </c:tx>
          <c:layout>
            <c:manualLayout>
              <c:xMode val="edge"/>
              <c:yMode val="edge"/>
              <c:x val="2.4103964787141365E-2"/>
              <c:y val="0.250847028736792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018336"/>
        <c:crosses val="autoZero"/>
        <c:crossBetween val="between"/>
      </c:valAx>
      <c:spPr>
        <a:noFill/>
        <a:ln>
          <a:noFill/>
        </a:ln>
        <a:effectLst/>
      </c:spPr>
    </c:plotArea>
    <c:legend>
      <c:legendPos val="r"/>
      <c:layout>
        <c:manualLayout>
          <c:xMode val="edge"/>
          <c:yMode val="edge"/>
          <c:x val="7.6029217459796974E-2"/>
          <c:y val="0.88525580456289121"/>
          <c:w val="0.89047742538937125"/>
          <c:h val="0.10812086950669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[D1150_PATCNT by quarter init prev to therapy therapy init drug  drug _.xlsx]Sheet2 (3)!PivotTable17</c:name>
    <c:fmtId val="-1"/>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pivotFmt>
      <c:pivotFmt>
        <c:idx val="2"/>
        <c:spPr>
          <a:solidFill>
            <a:schemeClr val="accent1"/>
          </a:solidFill>
          <a:ln w="28575" cap="rnd">
            <a:solidFill>
              <a:schemeClr val="accent1"/>
            </a:solidFill>
            <a:round/>
          </a:ln>
          <a:effectLst/>
        </c:spPr>
      </c:pivotFmt>
      <c:pivotFmt>
        <c:idx val="3"/>
        <c:spPr>
          <a:solidFill>
            <a:schemeClr val="accent1"/>
          </a:solidFill>
          <a:ln w="28575" cap="rnd">
            <a:solidFill>
              <a:schemeClr val="accent1"/>
            </a:solidFill>
            <a:round/>
          </a:ln>
          <a:effectLst/>
        </c:spPr>
      </c:pivotFmt>
      <c:pivotFmt>
        <c:idx val="4"/>
        <c:spPr>
          <a:solidFill>
            <a:schemeClr val="accent1"/>
          </a:solidFill>
          <a:ln w="28575" cap="rnd">
            <a:solidFill>
              <a:schemeClr val="accent1"/>
            </a:solidFill>
            <a:round/>
          </a:ln>
          <a:effectLst/>
        </c:spPr>
      </c:pivotFmt>
      <c:pivotFmt>
        <c:idx val="5"/>
        <c:spPr>
          <a:solidFill>
            <a:schemeClr val="accent1"/>
          </a:solidFill>
          <a:ln w="28575" cap="rnd">
            <a:solidFill>
              <a:schemeClr val="accent1"/>
            </a:solidFill>
            <a:round/>
          </a:ln>
          <a:effectLst/>
        </c:spPr>
      </c:pivotFmt>
      <c:pivotFmt>
        <c:idx val="6"/>
        <c:spPr>
          <a:solidFill>
            <a:schemeClr val="accent1"/>
          </a:solidFill>
          <a:ln w="28575" cap="rnd">
            <a:solidFill>
              <a:schemeClr val="accent1"/>
            </a:solidFill>
            <a:round/>
          </a:ln>
          <a:effectLst/>
        </c:spPr>
      </c:pivotFmt>
      <c:pivotFmt>
        <c:idx val="7"/>
        <c:spPr>
          <a:solidFill>
            <a:schemeClr val="accent1"/>
          </a:solidFill>
          <a:ln w="28575" cap="rnd">
            <a:solidFill>
              <a:schemeClr val="accent1"/>
            </a:solidFill>
            <a:round/>
          </a:ln>
          <a:effectLst/>
        </c:spPr>
      </c:pivotFmt>
      <c:pivotFmt>
        <c:idx val="8"/>
        <c:spPr>
          <a:solidFill>
            <a:schemeClr val="accent1"/>
          </a:solidFill>
          <a:ln w="28575" cap="rnd">
            <a:solidFill>
              <a:schemeClr val="accent1"/>
            </a:solidFill>
            <a:round/>
          </a:ln>
          <a:effectLst/>
        </c:spPr>
      </c:pivotFmt>
      <c:pivotFmt>
        <c:idx val="9"/>
        <c:spPr>
          <a:solidFill>
            <a:schemeClr val="accent1"/>
          </a:solidFill>
          <a:ln w="28575" cap="rnd">
            <a:solidFill>
              <a:schemeClr val="accent1"/>
            </a:solidFill>
            <a:round/>
          </a:ln>
          <a:effectLst/>
        </c:spP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s>
    <c:plotArea>
      <c:layout>
        <c:manualLayout>
          <c:layoutTarget val="inner"/>
          <c:xMode val="edge"/>
          <c:yMode val="edge"/>
          <c:x val="0.12622336464947576"/>
          <c:y val="3.7606837606837605E-2"/>
          <c:w val="0.84742782445261222"/>
          <c:h val="0.65338663436301236"/>
        </c:manualLayout>
      </c:layout>
      <c:lineChart>
        <c:grouping val="standard"/>
        <c:varyColors val="0"/>
        <c:ser>
          <c:idx val="0"/>
          <c:order val="0"/>
          <c:tx>
            <c:strRef>
              <c:f>'Sheet2 (3)'!$B$4:$B$5</c:f>
              <c:strCache>
                <c:ptCount val="1"/>
                <c:pt idx="0">
                  <c:v>DEXAMFETAMINE</c:v>
                </c:pt>
              </c:strCache>
            </c:strRef>
          </c:tx>
          <c:spPr>
            <a:ln w="28575" cap="rnd">
              <a:solidFill>
                <a:srgbClr val="4F81BD"/>
              </a:solidFill>
              <a:round/>
            </a:ln>
            <a:effectLst/>
          </c:spPr>
          <c:marker>
            <c:symbol val="circle"/>
            <c:size val="5"/>
            <c:spPr>
              <a:solidFill>
                <a:srgbClr val="4F81BD"/>
              </a:solidFill>
              <a:ln w="9525">
                <a:solidFill>
                  <a:srgbClr val="4F81BD"/>
                </a:solidFill>
              </a:ln>
              <a:effectLst/>
            </c:spPr>
          </c:marker>
          <c:cat>
            <c:strRef>
              <c:f>'Sheet2 (3)'!$A$6:$A$22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 (3)'!$B$6:$B$22</c:f>
              <c:numCache>
                <c:formatCode>General</c:formatCode>
                <c:ptCount val="16"/>
                <c:pt idx="0">
                  <c:v>136</c:v>
                </c:pt>
                <c:pt idx="1">
                  <c:v>149</c:v>
                </c:pt>
                <c:pt idx="2">
                  <c:v>182</c:v>
                </c:pt>
                <c:pt idx="3">
                  <c:v>202</c:v>
                </c:pt>
                <c:pt idx="4">
                  <c:v>172</c:v>
                </c:pt>
                <c:pt idx="5">
                  <c:v>176</c:v>
                </c:pt>
                <c:pt idx="6">
                  <c:v>159</c:v>
                </c:pt>
                <c:pt idx="7">
                  <c:v>158</c:v>
                </c:pt>
                <c:pt idx="8">
                  <c:v>125</c:v>
                </c:pt>
                <c:pt idx="9">
                  <c:v>164</c:v>
                </c:pt>
                <c:pt idx="10">
                  <c:v>201</c:v>
                </c:pt>
                <c:pt idx="11">
                  <c:v>184</c:v>
                </c:pt>
                <c:pt idx="12">
                  <c:v>154</c:v>
                </c:pt>
                <c:pt idx="13">
                  <c:v>178</c:v>
                </c:pt>
                <c:pt idx="14">
                  <c:v>410</c:v>
                </c:pt>
                <c:pt idx="15">
                  <c:v>465</c:v>
                </c:pt>
              </c:numCache>
            </c:numRef>
          </c:val>
          <c:smooth val="0"/>
          <c:extLst>
            <c:ext xmlns:c16="http://schemas.microsoft.com/office/drawing/2014/chart" uri="{C3380CC4-5D6E-409C-BE32-E72D297353CC}">
              <c16:uniqueId val="{00000000-9B81-446A-B32A-391CADC1B5F6}"/>
            </c:ext>
          </c:extLst>
        </c:ser>
        <c:ser>
          <c:idx val="1"/>
          <c:order val="1"/>
          <c:tx>
            <c:strRef>
              <c:f>'Sheet2 (3)'!$C$4:$C$5</c:f>
              <c:strCache>
                <c:ptCount val="1"/>
                <c:pt idx="0">
                  <c:v>MODAFINIL</c:v>
                </c:pt>
              </c:strCache>
            </c:strRef>
          </c:tx>
          <c:spPr>
            <a:ln w="28575" cap="rnd">
              <a:solidFill>
                <a:srgbClr val="F79646">
                  <a:lumMod val="75000"/>
                </a:srgbClr>
              </a:solidFill>
              <a:round/>
            </a:ln>
            <a:effectLst/>
          </c:spPr>
          <c:marker>
            <c:symbol val="circle"/>
            <c:size val="5"/>
            <c:spPr>
              <a:solidFill>
                <a:srgbClr val="F79646">
                  <a:lumMod val="75000"/>
                </a:srgbClr>
              </a:solidFill>
              <a:ln w="9525">
                <a:solidFill>
                  <a:srgbClr val="F79646">
                    <a:lumMod val="75000"/>
                  </a:srgbClr>
                </a:solidFill>
              </a:ln>
              <a:effectLst/>
            </c:spPr>
          </c:marker>
          <c:cat>
            <c:strRef>
              <c:f>'Sheet2 (3)'!$A$6:$A$22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 (3)'!$C$6:$C$22</c:f>
              <c:numCache>
                <c:formatCode>General</c:formatCode>
                <c:ptCount val="16"/>
                <c:pt idx="0">
                  <c:v>171</c:v>
                </c:pt>
                <c:pt idx="1">
                  <c:v>188</c:v>
                </c:pt>
                <c:pt idx="2">
                  <c:v>176</c:v>
                </c:pt>
                <c:pt idx="3">
                  <c:v>197</c:v>
                </c:pt>
                <c:pt idx="4">
                  <c:v>176</c:v>
                </c:pt>
                <c:pt idx="5">
                  <c:v>233</c:v>
                </c:pt>
                <c:pt idx="6">
                  <c:v>192</c:v>
                </c:pt>
                <c:pt idx="7">
                  <c:v>204</c:v>
                </c:pt>
                <c:pt idx="8">
                  <c:v>151</c:v>
                </c:pt>
                <c:pt idx="9">
                  <c:v>178</c:v>
                </c:pt>
                <c:pt idx="10">
                  <c:v>187</c:v>
                </c:pt>
                <c:pt idx="11">
                  <c:v>173</c:v>
                </c:pt>
                <c:pt idx="12">
                  <c:v>130</c:v>
                </c:pt>
                <c:pt idx="13">
                  <c:v>155</c:v>
                </c:pt>
                <c:pt idx="14">
                  <c:v>166</c:v>
                </c:pt>
                <c:pt idx="15">
                  <c:v>157</c:v>
                </c:pt>
              </c:numCache>
            </c:numRef>
          </c:val>
          <c:smooth val="0"/>
          <c:extLst>
            <c:ext xmlns:c16="http://schemas.microsoft.com/office/drawing/2014/chart" uri="{C3380CC4-5D6E-409C-BE32-E72D297353CC}">
              <c16:uniqueId val="{00000001-9B81-446A-B32A-391CADC1B5F6}"/>
            </c:ext>
          </c:extLst>
        </c:ser>
        <c:ser>
          <c:idx val="2"/>
          <c:order val="2"/>
          <c:tx>
            <c:strRef>
              <c:f>'Sheet2 (3)'!$D$4:$D$5</c:f>
              <c:strCache>
                <c:ptCount val="1"/>
                <c:pt idx="0">
                  <c:v>ARMODAFINIL</c:v>
                </c:pt>
              </c:strCache>
            </c:strRef>
          </c:tx>
          <c:spPr>
            <a:ln w="28575" cap="rnd">
              <a:solidFill>
                <a:sysClr val="window" lastClr="FFFFFF">
                  <a:lumMod val="50000"/>
                </a:sysClr>
              </a:solidFill>
              <a:round/>
            </a:ln>
            <a:effectLst/>
          </c:spPr>
          <c:marker>
            <c:symbol val="circle"/>
            <c:size val="5"/>
            <c:spPr>
              <a:solidFill>
                <a:sysClr val="window" lastClr="FFFFFF">
                  <a:lumMod val="50000"/>
                </a:sysClr>
              </a:solidFill>
              <a:ln w="9525">
                <a:solidFill>
                  <a:sysClr val="window" lastClr="FFFFFF">
                    <a:lumMod val="50000"/>
                  </a:sysClr>
                </a:solidFill>
              </a:ln>
              <a:effectLst/>
            </c:spPr>
          </c:marker>
          <c:cat>
            <c:strRef>
              <c:f>'Sheet2 (3)'!$A$6:$A$22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 (3)'!$D$6:$D$22</c:f>
              <c:numCache>
                <c:formatCode>General</c:formatCode>
                <c:ptCount val="16"/>
                <c:pt idx="7">
                  <c:v>134</c:v>
                </c:pt>
                <c:pt idx="8">
                  <c:v>259</c:v>
                </c:pt>
                <c:pt idx="9">
                  <c:v>219</c:v>
                </c:pt>
                <c:pt idx="10">
                  <c:v>205</c:v>
                </c:pt>
                <c:pt idx="11">
                  <c:v>187</c:v>
                </c:pt>
                <c:pt idx="12">
                  <c:v>142</c:v>
                </c:pt>
                <c:pt idx="13">
                  <c:v>206</c:v>
                </c:pt>
                <c:pt idx="14">
                  <c:v>194</c:v>
                </c:pt>
                <c:pt idx="15">
                  <c:v>219</c:v>
                </c:pt>
              </c:numCache>
            </c:numRef>
          </c:val>
          <c:smooth val="0"/>
          <c:extLst>
            <c:ext xmlns:c16="http://schemas.microsoft.com/office/drawing/2014/chart" uri="{C3380CC4-5D6E-409C-BE32-E72D297353CC}">
              <c16:uniqueId val="{00000002-9B81-446A-B32A-391CADC1B5F6}"/>
            </c:ext>
          </c:extLst>
        </c:ser>
        <c:dLbls>
          <c:showLegendKey val="0"/>
          <c:showVal val="0"/>
          <c:showCatName val="0"/>
          <c:showSerName val="0"/>
          <c:showPercent val="0"/>
          <c:showBubbleSize val="0"/>
        </c:dLbls>
        <c:marker val="1"/>
        <c:smooth val="0"/>
        <c:axId val="938018336"/>
        <c:axId val="938013088"/>
      </c:lineChart>
      <c:catAx>
        <c:axId val="938018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Quater</a:t>
                </a:r>
                <a:r>
                  <a:rPr lang="en-AU" b="1" baseline="0"/>
                  <a:t> of supply</a:t>
                </a:r>
                <a:endParaRPr lang="en-AU" b="1"/>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013088"/>
        <c:crosses val="autoZero"/>
        <c:auto val="1"/>
        <c:lblAlgn val="ctr"/>
        <c:lblOffset val="100"/>
        <c:noMultiLvlLbl val="0"/>
      </c:catAx>
      <c:valAx>
        <c:axId val="93801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Number</a:t>
                </a:r>
                <a:r>
                  <a:rPr lang="en-AU" b="1" baseline="0"/>
                  <a:t> of patients</a:t>
                </a:r>
                <a:endParaRPr lang="en-AU" b="1"/>
              </a:p>
            </c:rich>
          </c:tx>
          <c:layout>
            <c:manualLayout>
              <c:xMode val="edge"/>
              <c:yMode val="edge"/>
              <c:x val="2.4103964787141365E-2"/>
              <c:y val="0.211864055454606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018336"/>
        <c:crosses val="autoZero"/>
        <c:crossBetween val="between"/>
      </c:valAx>
      <c:spPr>
        <a:noFill/>
        <a:ln>
          <a:noFill/>
        </a:ln>
        <a:effectLst/>
      </c:spPr>
    </c:plotArea>
    <c:legend>
      <c:legendPos val="r"/>
      <c:layout>
        <c:manualLayout>
          <c:xMode val="edge"/>
          <c:yMode val="edge"/>
          <c:x val="0.11622124604079509"/>
          <c:y val="0.87841819772528429"/>
          <c:w val="0.7520382158326"/>
          <c:h val="0.101283262669089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[PATCNT by quarter init prev to therapy therapy init drug  drug _ (002).xlsx]Sheet2 (2)!PivotTable17</c:name>
    <c:fmtId val="7"/>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pivotFmt>
      <c:pivotFmt>
        <c:idx val="2"/>
        <c:spPr>
          <a:solidFill>
            <a:schemeClr val="accent1"/>
          </a:solidFill>
          <a:ln w="28575" cap="rnd">
            <a:solidFill>
              <a:schemeClr val="accent1"/>
            </a:solidFill>
            <a:round/>
          </a:ln>
          <a:effectLst/>
        </c:spPr>
      </c:pivotFmt>
      <c:pivotFmt>
        <c:idx val="3"/>
        <c:spPr>
          <a:solidFill>
            <a:schemeClr val="accent1"/>
          </a:solidFill>
          <a:ln w="28575" cap="rnd">
            <a:solidFill>
              <a:schemeClr val="accent1"/>
            </a:solidFill>
            <a:round/>
          </a:ln>
          <a:effectLst/>
        </c:spPr>
      </c:pivotFmt>
      <c:pivotFmt>
        <c:idx val="4"/>
        <c:spPr>
          <a:solidFill>
            <a:schemeClr val="accent1"/>
          </a:solidFill>
          <a:ln w="28575" cap="rnd">
            <a:solidFill>
              <a:schemeClr val="accent1"/>
            </a:solidFill>
            <a:round/>
          </a:ln>
          <a:effectLst/>
        </c:spPr>
      </c:pivotFmt>
      <c:pivotFmt>
        <c:idx val="5"/>
        <c:spPr>
          <a:solidFill>
            <a:schemeClr val="accent1"/>
          </a:solidFill>
          <a:ln w="28575" cap="rnd">
            <a:solidFill>
              <a:schemeClr val="accent1"/>
            </a:solidFill>
            <a:round/>
          </a:ln>
          <a:effectLst/>
        </c:spPr>
      </c:pivotFmt>
      <c:pivotFmt>
        <c:idx val="6"/>
        <c:spPr>
          <a:solidFill>
            <a:schemeClr val="accent1"/>
          </a:solidFill>
          <a:ln w="28575" cap="rnd">
            <a:solidFill>
              <a:schemeClr val="accent1"/>
            </a:solidFill>
            <a:round/>
          </a:ln>
          <a:effectLst/>
        </c:spPr>
      </c:pivotFmt>
      <c:pivotFmt>
        <c:idx val="7"/>
        <c:spPr>
          <a:solidFill>
            <a:schemeClr val="accent1"/>
          </a:solidFill>
          <a:ln w="28575" cap="rnd">
            <a:solidFill>
              <a:schemeClr val="accent1"/>
            </a:solidFill>
            <a:round/>
          </a:ln>
          <a:effectLst/>
        </c:spPr>
      </c:pivotFmt>
      <c:pivotFmt>
        <c:idx val="8"/>
        <c:spPr>
          <a:solidFill>
            <a:schemeClr val="accent1"/>
          </a:solidFill>
          <a:ln w="28575" cap="rnd">
            <a:solidFill>
              <a:schemeClr val="accent1"/>
            </a:solidFill>
            <a:round/>
          </a:ln>
          <a:effectLst/>
        </c:spPr>
      </c:pivotFmt>
      <c:pivotFmt>
        <c:idx val="9"/>
        <c:spPr>
          <a:solidFill>
            <a:schemeClr val="accent1"/>
          </a:solidFill>
          <a:ln w="28575" cap="rnd">
            <a:solidFill>
              <a:schemeClr val="accent1"/>
            </a:solidFill>
            <a:round/>
          </a:ln>
          <a:effectLst/>
        </c:spP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s>
    <c:plotArea>
      <c:layout>
        <c:manualLayout>
          <c:layoutTarget val="inner"/>
          <c:xMode val="edge"/>
          <c:yMode val="edge"/>
          <c:x val="0.11963837853601635"/>
          <c:y val="0.13687908658772818"/>
          <c:w val="0.82787418239386756"/>
          <c:h val="0.60276139286115682"/>
        </c:manualLayout>
      </c:layout>
      <c:areaChart>
        <c:grouping val="stacked"/>
        <c:varyColors val="0"/>
        <c:ser>
          <c:idx val="0"/>
          <c:order val="0"/>
          <c:tx>
            <c:strRef>
              <c:f>'Sheet2 (2)'!$B$4:$B$5</c:f>
              <c:strCache>
                <c:ptCount val="1"/>
                <c:pt idx="0">
                  <c:v>DEXAMFETAMINE</c:v>
                </c:pt>
              </c:strCache>
            </c:strRef>
          </c:tx>
          <c:spPr>
            <a:solidFill>
              <a:schemeClr val="accent1"/>
            </a:solidFill>
            <a:ln>
              <a:solidFill>
                <a:srgbClr val="4F81BD"/>
              </a:solidFill>
            </a:ln>
            <a:effectLst/>
          </c:spPr>
          <c:cat>
            <c:strRef>
              <c:f>'Sheet2 (2)'!$A$6:$A$22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 (2)'!$B$6:$B$22</c:f>
              <c:numCache>
                <c:formatCode>General</c:formatCode>
                <c:ptCount val="16"/>
                <c:pt idx="0">
                  <c:v>123</c:v>
                </c:pt>
                <c:pt idx="1">
                  <c:v>130</c:v>
                </c:pt>
                <c:pt idx="2">
                  <c:v>170</c:v>
                </c:pt>
                <c:pt idx="3">
                  <c:v>179</c:v>
                </c:pt>
                <c:pt idx="4">
                  <c:v>149</c:v>
                </c:pt>
                <c:pt idx="5">
                  <c:v>156</c:v>
                </c:pt>
                <c:pt idx="6">
                  <c:v>141</c:v>
                </c:pt>
                <c:pt idx="7">
                  <c:v>138</c:v>
                </c:pt>
                <c:pt idx="8">
                  <c:v>108</c:v>
                </c:pt>
                <c:pt idx="9">
                  <c:v>148</c:v>
                </c:pt>
                <c:pt idx="10">
                  <c:v>187</c:v>
                </c:pt>
                <c:pt idx="11">
                  <c:v>155</c:v>
                </c:pt>
                <c:pt idx="12">
                  <c:v>131</c:v>
                </c:pt>
                <c:pt idx="13">
                  <c:v>156</c:v>
                </c:pt>
                <c:pt idx="14">
                  <c:v>386</c:v>
                </c:pt>
                <c:pt idx="15">
                  <c:v>446</c:v>
                </c:pt>
              </c:numCache>
            </c:numRef>
          </c:val>
          <c:extLst>
            <c:ext xmlns:c16="http://schemas.microsoft.com/office/drawing/2014/chart" uri="{C3380CC4-5D6E-409C-BE32-E72D297353CC}">
              <c16:uniqueId val="{00000000-DF77-4773-829E-C6E62550474E}"/>
            </c:ext>
          </c:extLst>
        </c:ser>
        <c:ser>
          <c:idx val="1"/>
          <c:order val="1"/>
          <c:tx>
            <c:strRef>
              <c:f>'Sheet2 (2)'!$C$4:$C$5</c:f>
              <c:strCache>
                <c:ptCount val="1"/>
                <c:pt idx="0">
                  <c:v>MODAFINIL</c:v>
                </c:pt>
              </c:strCache>
            </c:strRef>
          </c:tx>
          <c:spPr>
            <a:solidFill>
              <a:schemeClr val="accent2"/>
            </a:solidFill>
            <a:ln>
              <a:solidFill>
                <a:srgbClr val="F79646">
                  <a:lumMod val="75000"/>
                </a:srgbClr>
              </a:solidFill>
            </a:ln>
            <a:effectLst/>
          </c:spPr>
          <c:cat>
            <c:strRef>
              <c:f>'Sheet2 (2)'!$A$6:$A$22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 (2)'!$C$6:$C$22</c:f>
              <c:numCache>
                <c:formatCode>General</c:formatCode>
                <c:ptCount val="16"/>
                <c:pt idx="0">
                  <c:v>139</c:v>
                </c:pt>
                <c:pt idx="1">
                  <c:v>149</c:v>
                </c:pt>
                <c:pt idx="2">
                  <c:v>148</c:v>
                </c:pt>
                <c:pt idx="3">
                  <c:v>172</c:v>
                </c:pt>
                <c:pt idx="4">
                  <c:v>145</c:v>
                </c:pt>
                <c:pt idx="5">
                  <c:v>198</c:v>
                </c:pt>
                <c:pt idx="6">
                  <c:v>168</c:v>
                </c:pt>
                <c:pt idx="7">
                  <c:v>172</c:v>
                </c:pt>
                <c:pt idx="8">
                  <c:v>134</c:v>
                </c:pt>
                <c:pt idx="9">
                  <c:v>152</c:v>
                </c:pt>
                <c:pt idx="10">
                  <c:v>159</c:v>
                </c:pt>
                <c:pt idx="11">
                  <c:v>139</c:v>
                </c:pt>
                <c:pt idx="12">
                  <c:v>101</c:v>
                </c:pt>
                <c:pt idx="13">
                  <c:v>130</c:v>
                </c:pt>
                <c:pt idx="14">
                  <c:v>145</c:v>
                </c:pt>
                <c:pt idx="15">
                  <c:v>122</c:v>
                </c:pt>
              </c:numCache>
            </c:numRef>
          </c:val>
          <c:extLst>
            <c:ext xmlns:c16="http://schemas.microsoft.com/office/drawing/2014/chart" uri="{C3380CC4-5D6E-409C-BE32-E72D297353CC}">
              <c16:uniqueId val="{00000001-DF77-4773-829E-C6E62550474E}"/>
            </c:ext>
          </c:extLst>
        </c:ser>
        <c:ser>
          <c:idx val="2"/>
          <c:order val="2"/>
          <c:tx>
            <c:strRef>
              <c:f>'Sheet2 (2)'!$D$4:$D$5</c:f>
              <c:strCache>
                <c:ptCount val="1"/>
                <c:pt idx="0">
                  <c:v>ARMODAFINIL</c:v>
                </c:pt>
              </c:strCache>
            </c:strRef>
          </c:tx>
          <c:spPr>
            <a:solidFill>
              <a:schemeClr val="accent3"/>
            </a:solidFill>
            <a:ln>
              <a:solidFill>
                <a:sysClr val="window" lastClr="FFFFFF">
                  <a:lumMod val="50000"/>
                </a:sysClr>
              </a:solidFill>
            </a:ln>
            <a:effectLst/>
          </c:spPr>
          <c:cat>
            <c:strRef>
              <c:f>'Sheet2 (2)'!$A$6:$A$22</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'Sheet2 (2)'!$D$6:$D$22</c:f>
              <c:numCache>
                <c:formatCode>General</c:formatCode>
                <c:ptCount val="16"/>
                <c:pt idx="7">
                  <c:v>26</c:v>
                </c:pt>
                <c:pt idx="8">
                  <c:v>64</c:v>
                </c:pt>
                <c:pt idx="9">
                  <c:v>83</c:v>
                </c:pt>
                <c:pt idx="10">
                  <c:v>90</c:v>
                </c:pt>
                <c:pt idx="11">
                  <c:v>87</c:v>
                </c:pt>
                <c:pt idx="12">
                  <c:v>69</c:v>
                </c:pt>
                <c:pt idx="13">
                  <c:v>112</c:v>
                </c:pt>
                <c:pt idx="14">
                  <c:v>113</c:v>
                </c:pt>
                <c:pt idx="15">
                  <c:v>136</c:v>
                </c:pt>
              </c:numCache>
            </c:numRef>
          </c:val>
          <c:extLst>
            <c:ext xmlns:c16="http://schemas.microsoft.com/office/drawing/2014/chart" uri="{C3380CC4-5D6E-409C-BE32-E72D297353CC}">
              <c16:uniqueId val="{00000002-DF77-4773-829E-C6E62550474E}"/>
            </c:ext>
          </c:extLst>
        </c:ser>
        <c:dLbls>
          <c:showLegendKey val="0"/>
          <c:showVal val="0"/>
          <c:showCatName val="0"/>
          <c:showSerName val="0"/>
          <c:showPercent val="0"/>
          <c:showBubbleSize val="0"/>
        </c:dLbls>
        <c:axId val="938018336"/>
        <c:axId val="938013088"/>
      </c:areaChart>
      <c:catAx>
        <c:axId val="938018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Quarter</a:t>
                </a:r>
                <a:r>
                  <a:rPr lang="en-AU" b="1" baseline="0"/>
                  <a:t> of supply</a:t>
                </a:r>
                <a:endParaRPr lang="en-AU" b="1"/>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013088"/>
        <c:crosses val="autoZero"/>
        <c:auto val="1"/>
        <c:lblAlgn val="ctr"/>
        <c:lblOffset val="100"/>
        <c:noMultiLvlLbl val="0"/>
      </c:catAx>
      <c:valAx>
        <c:axId val="93801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Number</a:t>
                </a:r>
                <a:r>
                  <a:rPr lang="en-AU" b="1" baseline="0"/>
                  <a:t> of patients</a:t>
                </a:r>
                <a:endParaRPr lang="en-AU" b="1"/>
              </a:p>
            </c:rich>
          </c:tx>
          <c:layout>
            <c:manualLayout>
              <c:xMode val="edge"/>
              <c:yMode val="edge"/>
              <c:x val="1.0148064825230179E-2"/>
              <c:y val="0.244850816821700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018336"/>
        <c:crosses val="autoZero"/>
        <c:crossBetween val="midCat"/>
      </c:valAx>
      <c:spPr>
        <a:noFill/>
        <a:ln>
          <a:noFill/>
        </a:ln>
        <a:effectLst/>
      </c:spPr>
    </c:plotArea>
    <c:legend>
      <c:legendPos val="r"/>
      <c:layout>
        <c:manualLayout>
          <c:xMode val="edge"/>
          <c:yMode val="edge"/>
          <c:x val="5.0158063575386422E-2"/>
          <c:y val="0.93098210330761555"/>
          <c:w val="0.94984193642461356"/>
          <c:h val="6.90178966923844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[dexamfetamine.xlsx]Sheet1 (3)!PivotTable1</c:name>
    <c:fmtId val="6"/>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s>
    <c:plotArea>
      <c:layout>
        <c:manualLayout>
          <c:layoutTarget val="inner"/>
          <c:xMode val="edge"/>
          <c:yMode val="edge"/>
          <c:x val="0.10862818769290547"/>
          <c:y val="3.7581141100102494E-2"/>
          <c:w val="0.8544749674516654"/>
          <c:h val="0.69613228867483379"/>
        </c:manualLayout>
      </c:layout>
      <c:lineChart>
        <c:grouping val="standard"/>
        <c:varyColors val="0"/>
        <c:ser>
          <c:idx val="0"/>
          <c:order val="0"/>
          <c:tx>
            <c:strRef>
              <c:f>'Sheet1 (3)'!$B$1:$B$2</c:f>
              <c:strCache>
                <c:ptCount val="1"/>
                <c:pt idx="0">
                  <c:v>ADHD</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strRef>
              <c:f>'Sheet1 (3)'!$A$3:$A$29</c:f>
              <c:strCache>
                <c:ptCount val="26"/>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pt idx="20">
                  <c:v>2017Q3</c:v>
                </c:pt>
                <c:pt idx="21">
                  <c:v>2017Q4</c:v>
                </c:pt>
                <c:pt idx="22">
                  <c:v>2018Q1</c:v>
                </c:pt>
                <c:pt idx="23">
                  <c:v>2018Q2</c:v>
                </c:pt>
                <c:pt idx="24">
                  <c:v>2018Q3</c:v>
                </c:pt>
                <c:pt idx="25">
                  <c:v>2018Q4</c:v>
                </c:pt>
              </c:strCache>
            </c:strRef>
          </c:cat>
          <c:val>
            <c:numRef>
              <c:f>'Sheet1 (3)'!$B$3:$B$29</c:f>
              <c:numCache>
                <c:formatCode>General</c:formatCode>
                <c:ptCount val="26"/>
                <c:pt idx="0">
                  <c:v>51730</c:v>
                </c:pt>
                <c:pt idx="1">
                  <c:v>53283</c:v>
                </c:pt>
                <c:pt idx="2">
                  <c:v>50842</c:v>
                </c:pt>
                <c:pt idx="3">
                  <c:v>53578</c:v>
                </c:pt>
                <c:pt idx="4">
                  <c:v>54704</c:v>
                </c:pt>
                <c:pt idx="5">
                  <c:v>55687</c:v>
                </c:pt>
                <c:pt idx="6">
                  <c:v>52291</c:v>
                </c:pt>
                <c:pt idx="7">
                  <c:v>54184</c:v>
                </c:pt>
                <c:pt idx="8">
                  <c:v>55666</c:v>
                </c:pt>
                <c:pt idx="9">
                  <c:v>57253</c:v>
                </c:pt>
                <c:pt idx="10">
                  <c:v>54941</c:v>
                </c:pt>
                <c:pt idx="11">
                  <c:v>57465</c:v>
                </c:pt>
                <c:pt idx="12">
                  <c:v>59556</c:v>
                </c:pt>
                <c:pt idx="13">
                  <c:v>60593</c:v>
                </c:pt>
                <c:pt idx="14">
                  <c:v>57712</c:v>
                </c:pt>
                <c:pt idx="15">
                  <c:v>59151</c:v>
                </c:pt>
                <c:pt idx="16">
                  <c:v>60899</c:v>
                </c:pt>
                <c:pt idx="17">
                  <c:v>62216</c:v>
                </c:pt>
                <c:pt idx="18">
                  <c:v>60472</c:v>
                </c:pt>
                <c:pt idx="19">
                  <c:v>62576</c:v>
                </c:pt>
                <c:pt idx="20">
                  <c:v>64349</c:v>
                </c:pt>
                <c:pt idx="21">
                  <c:v>66088</c:v>
                </c:pt>
                <c:pt idx="22">
                  <c:v>64328</c:v>
                </c:pt>
                <c:pt idx="23">
                  <c:v>67574</c:v>
                </c:pt>
                <c:pt idx="24">
                  <c:v>69691</c:v>
                </c:pt>
                <c:pt idx="25">
                  <c:v>72163</c:v>
                </c:pt>
              </c:numCache>
            </c:numRef>
          </c:val>
          <c:smooth val="0"/>
          <c:extLst>
            <c:ext xmlns:c16="http://schemas.microsoft.com/office/drawing/2014/chart" uri="{C3380CC4-5D6E-409C-BE32-E72D297353CC}">
              <c16:uniqueId val="{00000000-8DD5-4D50-A6F4-F8EA0B39494E}"/>
            </c:ext>
          </c:extLst>
        </c:ser>
        <c:ser>
          <c:idx val="1"/>
          <c:order val="1"/>
          <c:tx>
            <c:strRef>
              <c:f>'Sheet1 (3)'!$C$1:$C$2</c:f>
              <c:strCache>
                <c:ptCount val="1"/>
                <c:pt idx="0">
                  <c:v>Narcolepsy</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strRef>
              <c:f>'Sheet1 (3)'!$A$3:$A$29</c:f>
              <c:strCache>
                <c:ptCount val="26"/>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pt idx="20">
                  <c:v>2017Q3</c:v>
                </c:pt>
                <c:pt idx="21">
                  <c:v>2017Q4</c:v>
                </c:pt>
                <c:pt idx="22">
                  <c:v>2018Q1</c:v>
                </c:pt>
                <c:pt idx="23">
                  <c:v>2018Q2</c:v>
                </c:pt>
                <c:pt idx="24">
                  <c:v>2018Q3</c:v>
                </c:pt>
                <c:pt idx="25">
                  <c:v>2018Q4</c:v>
                </c:pt>
              </c:strCache>
            </c:strRef>
          </c:cat>
          <c:val>
            <c:numRef>
              <c:f>'Sheet1 (3)'!$C$3:$C$29</c:f>
              <c:numCache>
                <c:formatCode>General</c:formatCode>
                <c:ptCount val="26"/>
                <c:pt idx="0">
                  <c:v>6861</c:v>
                </c:pt>
                <c:pt idx="1">
                  <c:v>7466</c:v>
                </c:pt>
                <c:pt idx="2">
                  <c:v>6973</c:v>
                </c:pt>
                <c:pt idx="3">
                  <c:v>7576</c:v>
                </c:pt>
                <c:pt idx="4">
                  <c:v>7800</c:v>
                </c:pt>
                <c:pt idx="5">
                  <c:v>8419</c:v>
                </c:pt>
                <c:pt idx="6">
                  <c:v>7899</c:v>
                </c:pt>
                <c:pt idx="7">
                  <c:v>8366</c:v>
                </c:pt>
                <c:pt idx="8">
                  <c:v>8694</c:v>
                </c:pt>
                <c:pt idx="9">
                  <c:v>9391</c:v>
                </c:pt>
                <c:pt idx="10">
                  <c:v>8632</c:v>
                </c:pt>
                <c:pt idx="11">
                  <c:v>9043</c:v>
                </c:pt>
                <c:pt idx="12">
                  <c:v>9454</c:v>
                </c:pt>
                <c:pt idx="13">
                  <c:v>10092</c:v>
                </c:pt>
                <c:pt idx="14">
                  <c:v>9600</c:v>
                </c:pt>
                <c:pt idx="15">
                  <c:v>10138</c:v>
                </c:pt>
                <c:pt idx="16">
                  <c:v>10218</c:v>
                </c:pt>
                <c:pt idx="17">
                  <c:v>11022</c:v>
                </c:pt>
                <c:pt idx="18">
                  <c:v>10756</c:v>
                </c:pt>
                <c:pt idx="19">
                  <c:v>11347</c:v>
                </c:pt>
                <c:pt idx="20">
                  <c:v>11775</c:v>
                </c:pt>
                <c:pt idx="21">
                  <c:v>12776</c:v>
                </c:pt>
                <c:pt idx="22">
                  <c:v>11999</c:v>
                </c:pt>
                <c:pt idx="23">
                  <c:v>12730</c:v>
                </c:pt>
                <c:pt idx="24">
                  <c:v>13487</c:v>
                </c:pt>
                <c:pt idx="25">
                  <c:v>14807</c:v>
                </c:pt>
              </c:numCache>
            </c:numRef>
          </c:val>
          <c:smooth val="0"/>
          <c:extLst>
            <c:ext xmlns:c16="http://schemas.microsoft.com/office/drawing/2014/chart" uri="{C3380CC4-5D6E-409C-BE32-E72D297353CC}">
              <c16:uniqueId val="{00000003-8DD5-4D50-A6F4-F8EA0B39494E}"/>
            </c:ext>
          </c:extLst>
        </c:ser>
        <c:ser>
          <c:idx val="2"/>
          <c:order val="2"/>
          <c:tx>
            <c:strRef>
              <c:f>'Sheet1 (3)'!$D$1:$D$2</c:f>
              <c:strCache>
                <c:ptCount val="1"/>
                <c:pt idx="0">
                  <c:v>Unknown</c:v>
                </c:pt>
              </c:strCache>
            </c:strRef>
          </c:tx>
          <c:spPr>
            <a:ln w="28575" cap="rnd">
              <a:solidFill>
                <a:srgbClr val="9BBB59"/>
              </a:solidFill>
              <a:round/>
            </a:ln>
            <a:effectLst/>
          </c:spPr>
          <c:marker>
            <c:symbol val="circle"/>
            <c:size val="5"/>
            <c:spPr>
              <a:solidFill>
                <a:srgbClr val="9BBB59"/>
              </a:solidFill>
              <a:ln w="9525">
                <a:solidFill>
                  <a:srgbClr val="9BBB59"/>
                </a:solidFill>
              </a:ln>
              <a:effectLst/>
            </c:spPr>
          </c:marker>
          <c:cat>
            <c:strRef>
              <c:f>'Sheet1 (3)'!$A$3:$A$29</c:f>
              <c:strCache>
                <c:ptCount val="26"/>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pt idx="20">
                  <c:v>2017Q3</c:v>
                </c:pt>
                <c:pt idx="21">
                  <c:v>2017Q4</c:v>
                </c:pt>
                <c:pt idx="22">
                  <c:v>2018Q1</c:v>
                </c:pt>
                <c:pt idx="23">
                  <c:v>2018Q2</c:v>
                </c:pt>
                <c:pt idx="24">
                  <c:v>2018Q3</c:v>
                </c:pt>
                <c:pt idx="25">
                  <c:v>2018Q4</c:v>
                </c:pt>
              </c:strCache>
            </c:strRef>
          </c:cat>
          <c:val>
            <c:numRef>
              <c:f>'Sheet1 (3)'!$D$3:$D$29</c:f>
              <c:numCache>
                <c:formatCode>General</c:formatCode>
                <c:ptCount val="26"/>
                <c:pt idx="0">
                  <c:v>163</c:v>
                </c:pt>
                <c:pt idx="1">
                  <c:v>160</c:v>
                </c:pt>
                <c:pt idx="2">
                  <c:v>169</c:v>
                </c:pt>
                <c:pt idx="3">
                  <c:v>182</c:v>
                </c:pt>
                <c:pt idx="4">
                  <c:v>175</c:v>
                </c:pt>
                <c:pt idx="5">
                  <c:v>211</c:v>
                </c:pt>
                <c:pt idx="6">
                  <c:v>206</c:v>
                </c:pt>
                <c:pt idx="7">
                  <c:v>207</c:v>
                </c:pt>
                <c:pt idx="8">
                  <c:v>253</c:v>
                </c:pt>
                <c:pt idx="9">
                  <c:v>237</c:v>
                </c:pt>
                <c:pt idx="10">
                  <c:v>259</c:v>
                </c:pt>
                <c:pt idx="11">
                  <c:v>280</c:v>
                </c:pt>
                <c:pt idx="12">
                  <c:v>309</c:v>
                </c:pt>
                <c:pt idx="13">
                  <c:v>401</c:v>
                </c:pt>
                <c:pt idx="14">
                  <c:v>383</c:v>
                </c:pt>
                <c:pt idx="15">
                  <c:v>449</c:v>
                </c:pt>
                <c:pt idx="16">
                  <c:v>417</c:v>
                </c:pt>
                <c:pt idx="17">
                  <c:v>347</c:v>
                </c:pt>
                <c:pt idx="18">
                  <c:v>390</c:v>
                </c:pt>
                <c:pt idx="19">
                  <c:v>478</c:v>
                </c:pt>
                <c:pt idx="20">
                  <c:v>547</c:v>
                </c:pt>
                <c:pt idx="21">
                  <c:v>601</c:v>
                </c:pt>
                <c:pt idx="22">
                  <c:v>637</c:v>
                </c:pt>
                <c:pt idx="23">
                  <c:v>710</c:v>
                </c:pt>
                <c:pt idx="24">
                  <c:v>745</c:v>
                </c:pt>
                <c:pt idx="25">
                  <c:v>723</c:v>
                </c:pt>
              </c:numCache>
            </c:numRef>
          </c:val>
          <c:smooth val="0"/>
          <c:extLst>
            <c:ext xmlns:c16="http://schemas.microsoft.com/office/drawing/2014/chart" uri="{C3380CC4-5D6E-409C-BE32-E72D297353CC}">
              <c16:uniqueId val="{00000004-8DD5-4D50-A6F4-F8EA0B39494E}"/>
            </c:ext>
          </c:extLst>
        </c:ser>
        <c:dLbls>
          <c:showLegendKey val="0"/>
          <c:showVal val="0"/>
          <c:showCatName val="0"/>
          <c:showSerName val="0"/>
          <c:showPercent val="0"/>
          <c:showBubbleSize val="0"/>
        </c:dLbls>
        <c:marker val="1"/>
        <c:smooth val="0"/>
        <c:axId val="940767224"/>
        <c:axId val="940765912"/>
      </c:lineChart>
      <c:catAx>
        <c:axId val="940767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Quarter of supply</a:t>
                </a:r>
              </a:p>
            </c:rich>
          </c:tx>
          <c:layout>
            <c:manualLayout>
              <c:xMode val="edge"/>
              <c:yMode val="edge"/>
              <c:x val="0.48856188666938011"/>
              <c:y val="0.866280064867822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765912"/>
        <c:crosses val="autoZero"/>
        <c:auto val="1"/>
        <c:lblAlgn val="ctr"/>
        <c:lblOffset val="100"/>
        <c:noMultiLvlLbl val="0"/>
      </c:catAx>
      <c:valAx>
        <c:axId val="940765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Number</a:t>
                </a:r>
                <a:r>
                  <a:rPr lang="en-AU" b="1" baseline="0"/>
                  <a:t> of prescriptions</a:t>
                </a:r>
                <a:endParaRPr lang="en-AU" b="1"/>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767224"/>
        <c:crosses val="autoZero"/>
        <c:crossBetween val="between"/>
      </c:valAx>
      <c:spPr>
        <a:noFill/>
        <a:ln>
          <a:noFill/>
        </a:ln>
        <a:effectLst/>
      </c:spPr>
    </c:plotArea>
    <c:legend>
      <c:legendPos val="r"/>
      <c:layout>
        <c:manualLayout>
          <c:xMode val="edge"/>
          <c:yMode val="edge"/>
          <c:x val="0.1128601305098111"/>
          <c:y val="0.93956767810971509"/>
          <c:w val="0.82238604566524753"/>
          <c:h val="6.043232189028481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59949028110617"/>
          <c:y val="8.975549365521511E-2"/>
          <c:w val="0.8407531667237248"/>
          <c:h val="0.66783156283737499"/>
        </c:manualLayout>
      </c:layout>
      <c:barChart>
        <c:barDir val="col"/>
        <c:grouping val="percentStacked"/>
        <c:varyColors val="0"/>
        <c:ser>
          <c:idx val="0"/>
          <c:order val="0"/>
          <c:tx>
            <c:strRef>
              <c:f>Calculations!$B$1</c:f>
              <c:strCache>
                <c:ptCount val="1"/>
                <c:pt idx="0">
                  <c:v>Respiratory and Sleep Medicine</c:v>
                </c:pt>
              </c:strCache>
            </c:strRef>
          </c:tx>
          <c:spPr>
            <a:solidFill>
              <a:schemeClr val="accent1"/>
            </a:solidFill>
            <a:ln>
              <a:solidFill>
                <a:schemeClr val="accent1"/>
              </a:solidFill>
            </a:ln>
            <a:effectLst/>
          </c:spPr>
          <c:invertIfNegative val="0"/>
          <c:cat>
            <c:strRef>
              <c:f>Calculations!$A$2:$A$4</c:f>
              <c:strCache>
                <c:ptCount val="3"/>
                <c:pt idx="0">
                  <c:v>ARMODAFINIL</c:v>
                </c:pt>
                <c:pt idx="1">
                  <c:v>DEXAMFETAMINE</c:v>
                </c:pt>
                <c:pt idx="2">
                  <c:v>MODAFINIL</c:v>
                </c:pt>
              </c:strCache>
            </c:strRef>
          </c:cat>
          <c:val>
            <c:numRef>
              <c:f>Calculations!$B$2:$B$4</c:f>
              <c:numCache>
                <c:formatCode>General</c:formatCode>
                <c:ptCount val="3"/>
                <c:pt idx="0">
                  <c:v>733</c:v>
                </c:pt>
                <c:pt idx="1">
                  <c:v>2784</c:v>
                </c:pt>
                <c:pt idx="2">
                  <c:v>3963</c:v>
                </c:pt>
              </c:numCache>
            </c:numRef>
          </c:val>
          <c:extLst>
            <c:ext xmlns:c16="http://schemas.microsoft.com/office/drawing/2014/chart" uri="{C3380CC4-5D6E-409C-BE32-E72D297353CC}">
              <c16:uniqueId val="{00000000-30F1-42A5-AB92-B9F31F9624C8}"/>
            </c:ext>
          </c:extLst>
        </c:ser>
        <c:ser>
          <c:idx val="1"/>
          <c:order val="1"/>
          <c:tx>
            <c:strRef>
              <c:f>Calculations!$C$1</c:f>
              <c:strCache>
                <c:ptCount val="1"/>
                <c:pt idx="0">
                  <c:v>GP</c:v>
                </c:pt>
              </c:strCache>
            </c:strRef>
          </c:tx>
          <c:spPr>
            <a:solidFill>
              <a:schemeClr val="accent2"/>
            </a:solidFill>
            <a:ln>
              <a:solidFill>
                <a:schemeClr val="accent2"/>
              </a:solidFill>
            </a:ln>
            <a:effectLst/>
          </c:spPr>
          <c:invertIfNegative val="0"/>
          <c:cat>
            <c:strRef>
              <c:f>Calculations!$A$2:$A$4</c:f>
              <c:strCache>
                <c:ptCount val="3"/>
                <c:pt idx="0">
                  <c:v>ARMODAFINIL</c:v>
                </c:pt>
                <c:pt idx="1">
                  <c:v>DEXAMFETAMINE</c:v>
                </c:pt>
                <c:pt idx="2">
                  <c:v>MODAFINIL</c:v>
                </c:pt>
              </c:strCache>
            </c:strRef>
          </c:cat>
          <c:val>
            <c:numRef>
              <c:f>Calculations!$C$2:$C$4</c:f>
              <c:numCache>
                <c:formatCode>General</c:formatCode>
                <c:ptCount val="3"/>
                <c:pt idx="0">
                  <c:v>41</c:v>
                </c:pt>
                <c:pt idx="1">
                  <c:v>1619</c:v>
                </c:pt>
                <c:pt idx="2">
                  <c:v>218</c:v>
                </c:pt>
              </c:numCache>
            </c:numRef>
          </c:val>
          <c:extLst>
            <c:ext xmlns:c16="http://schemas.microsoft.com/office/drawing/2014/chart" uri="{C3380CC4-5D6E-409C-BE32-E72D297353CC}">
              <c16:uniqueId val="{00000001-30F1-42A5-AB92-B9F31F9624C8}"/>
            </c:ext>
          </c:extLst>
        </c:ser>
        <c:ser>
          <c:idx val="2"/>
          <c:order val="2"/>
          <c:tx>
            <c:strRef>
              <c:f>Calculations!$D$1</c:f>
              <c:strCache>
                <c:ptCount val="1"/>
                <c:pt idx="0">
                  <c:v>Psychiatry</c:v>
                </c:pt>
              </c:strCache>
            </c:strRef>
          </c:tx>
          <c:spPr>
            <a:solidFill>
              <a:schemeClr val="bg1">
                <a:lumMod val="65000"/>
              </a:schemeClr>
            </a:solidFill>
            <a:ln>
              <a:solidFill>
                <a:schemeClr val="bg1">
                  <a:lumMod val="65000"/>
                </a:schemeClr>
              </a:solidFill>
            </a:ln>
            <a:effectLst/>
          </c:spPr>
          <c:invertIfNegative val="0"/>
          <c:cat>
            <c:strRef>
              <c:f>Calculations!$A$2:$A$4</c:f>
              <c:strCache>
                <c:ptCount val="3"/>
                <c:pt idx="0">
                  <c:v>ARMODAFINIL</c:v>
                </c:pt>
                <c:pt idx="1">
                  <c:v>DEXAMFETAMINE</c:v>
                </c:pt>
                <c:pt idx="2">
                  <c:v>MODAFINIL</c:v>
                </c:pt>
              </c:strCache>
            </c:strRef>
          </c:cat>
          <c:val>
            <c:numRef>
              <c:f>Calculations!$D$2:$D$4</c:f>
              <c:numCache>
                <c:formatCode>General</c:formatCode>
                <c:ptCount val="3"/>
                <c:pt idx="0">
                  <c:v>14</c:v>
                </c:pt>
                <c:pt idx="1">
                  <c:v>1309</c:v>
                </c:pt>
                <c:pt idx="2">
                  <c:v>125</c:v>
                </c:pt>
              </c:numCache>
            </c:numRef>
          </c:val>
          <c:extLst>
            <c:ext xmlns:c16="http://schemas.microsoft.com/office/drawing/2014/chart" uri="{C3380CC4-5D6E-409C-BE32-E72D297353CC}">
              <c16:uniqueId val="{00000002-30F1-42A5-AB92-B9F31F9624C8}"/>
            </c:ext>
          </c:extLst>
        </c:ser>
        <c:ser>
          <c:idx val="3"/>
          <c:order val="3"/>
          <c:tx>
            <c:strRef>
              <c:f>Calculations!$E$1</c:f>
              <c:strCache>
                <c:ptCount val="1"/>
                <c:pt idx="0">
                  <c:v>Internal Medicine</c:v>
                </c:pt>
              </c:strCache>
            </c:strRef>
          </c:tx>
          <c:spPr>
            <a:solidFill>
              <a:schemeClr val="accent4"/>
            </a:solidFill>
            <a:ln>
              <a:solidFill>
                <a:schemeClr val="accent4"/>
              </a:solidFill>
            </a:ln>
            <a:effectLst/>
          </c:spPr>
          <c:invertIfNegative val="0"/>
          <c:cat>
            <c:strRef>
              <c:f>Calculations!$A$2:$A$4</c:f>
              <c:strCache>
                <c:ptCount val="3"/>
                <c:pt idx="0">
                  <c:v>ARMODAFINIL</c:v>
                </c:pt>
                <c:pt idx="1">
                  <c:v>DEXAMFETAMINE</c:v>
                </c:pt>
                <c:pt idx="2">
                  <c:v>MODAFINIL</c:v>
                </c:pt>
              </c:strCache>
            </c:strRef>
          </c:cat>
          <c:val>
            <c:numRef>
              <c:f>Calculations!$E$2:$E$4</c:f>
              <c:numCache>
                <c:formatCode>General</c:formatCode>
                <c:ptCount val="3"/>
                <c:pt idx="0">
                  <c:v>49</c:v>
                </c:pt>
                <c:pt idx="1">
                  <c:v>663</c:v>
                </c:pt>
                <c:pt idx="2">
                  <c:v>240</c:v>
                </c:pt>
              </c:numCache>
            </c:numRef>
          </c:val>
          <c:extLst>
            <c:ext xmlns:c16="http://schemas.microsoft.com/office/drawing/2014/chart" uri="{C3380CC4-5D6E-409C-BE32-E72D297353CC}">
              <c16:uniqueId val="{00000003-30F1-42A5-AB92-B9F31F9624C8}"/>
            </c:ext>
          </c:extLst>
        </c:ser>
        <c:ser>
          <c:idx val="4"/>
          <c:order val="4"/>
          <c:tx>
            <c:strRef>
              <c:f>Calculations!$F$1</c:f>
              <c:strCache>
                <c:ptCount val="1"/>
                <c:pt idx="0">
                  <c:v>Paediatric Medicine</c:v>
                </c:pt>
              </c:strCache>
            </c:strRef>
          </c:tx>
          <c:spPr>
            <a:solidFill>
              <a:schemeClr val="accent2">
                <a:lumMod val="50000"/>
              </a:schemeClr>
            </a:solidFill>
            <a:ln>
              <a:solidFill>
                <a:schemeClr val="accent2">
                  <a:lumMod val="50000"/>
                </a:schemeClr>
              </a:solidFill>
            </a:ln>
            <a:effectLst/>
          </c:spPr>
          <c:invertIfNegative val="0"/>
          <c:cat>
            <c:strRef>
              <c:f>Calculations!$A$2:$A$4</c:f>
              <c:strCache>
                <c:ptCount val="3"/>
                <c:pt idx="0">
                  <c:v>ARMODAFINIL</c:v>
                </c:pt>
                <c:pt idx="1">
                  <c:v>DEXAMFETAMINE</c:v>
                </c:pt>
                <c:pt idx="2">
                  <c:v>MODAFINIL</c:v>
                </c:pt>
              </c:strCache>
            </c:strRef>
          </c:cat>
          <c:val>
            <c:numRef>
              <c:f>Calculations!$F$2:$F$4</c:f>
              <c:numCache>
                <c:formatCode>General</c:formatCode>
                <c:ptCount val="3"/>
                <c:pt idx="0">
                  <c:v>2</c:v>
                </c:pt>
                <c:pt idx="1">
                  <c:v>503</c:v>
                </c:pt>
                <c:pt idx="2">
                  <c:v>70</c:v>
                </c:pt>
              </c:numCache>
            </c:numRef>
          </c:val>
          <c:extLst>
            <c:ext xmlns:c16="http://schemas.microsoft.com/office/drawing/2014/chart" uri="{C3380CC4-5D6E-409C-BE32-E72D297353CC}">
              <c16:uniqueId val="{00000004-30F1-42A5-AB92-B9F31F9624C8}"/>
            </c:ext>
          </c:extLst>
        </c:ser>
        <c:ser>
          <c:idx val="5"/>
          <c:order val="5"/>
          <c:tx>
            <c:strRef>
              <c:f>Calculations!$G$1</c:f>
              <c:strCache>
                <c:ptCount val="1"/>
                <c:pt idx="0">
                  <c:v>Neurology</c:v>
                </c:pt>
              </c:strCache>
            </c:strRef>
          </c:tx>
          <c:spPr>
            <a:solidFill>
              <a:srgbClr val="7030A0"/>
            </a:solidFill>
            <a:ln>
              <a:solidFill>
                <a:srgbClr val="7030A0"/>
              </a:solidFill>
            </a:ln>
            <a:effectLst/>
          </c:spPr>
          <c:invertIfNegative val="0"/>
          <c:cat>
            <c:strRef>
              <c:f>Calculations!$A$2:$A$4</c:f>
              <c:strCache>
                <c:ptCount val="3"/>
                <c:pt idx="0">
                  <c:v>ARMODAFINIL</c:v>
                </c:pt>
                <c:pt idx="1">
                  <c:v>DEXAMFETAMINE</c:v>
                </c:pt>
                <c:pt idx="2">
                  <c:v>MODAFINIL</c:v>
                </c:pt>
              </c:strCache>
            </c:strRef>
          </c:cat>
          <c:val>
            <c:numRef>
              <c:f>Calculations!$G$2:$G$4</c:f>
              <c:numCache>
                <c:formatCode>General</c:formatCode>
                <c:ptCount val="3"/>
                <c:pt idx="0">
                  <c:v>4</c:v>
                </c:pt>
                <c:pt idx="1">
                  <c:v>208</c:v>
                </c:pt>
                <c:pt idx="2">
                  <c:v>68</c:v>
                </c:pt>
              </c:numCache>
            </c:numRef>
          </c:val>
          <c:extLst>
            <c:ext xmlns:c16="http://schemas.microsoft.com/office/drawing/2014/chart" uri="{C3380CC4-5D6E-409C-BE32-E72D297353CC}">
              <c16:uniqueId val="{00000005-30F1-42A5-AB92-B9F31F9624C8}"/>
            </c:ext>
          </c:extLst>
        </c:ser>
        <c:ser>
          <c:idx val="6"/>
          <c:order val="6"/>
          <c:tx>
            <c:strRef>
              <c:f>Calculations!$H$1</c:f>
              <c:strCache>
                <c:ptCount val="1"/>
                <c:pt idx="0">
                  <c:v>Pathology</c:v>
                </c:pt>
              </c:strCache>
            </c:strRef>
          </c:tx>
          <c:spPr>
            <a:solidFill>
              <a:schemeClr val="accent2">
                <a:lumMod val="60000"/>
                <a:lumOff val="40000"/>
              </a:schemeClr>
            </a:solidFill>
            <a:ln>
              <a:solidFill>
                <a:schemeClr val="accent2">
                  <a:lumMod val="60000"/>
                  <a:lumOff val="40000"/>
                </a:schemeClr>
              </a:solidFill>
            </a:ln>
            <a:effectLst/>
          </c:spPr>
          <c:invertIfNegative val="0"/>
          <c:cat>
            <c:strRef>
              <c:f>Calculations!$A$2:$A$4</c:f>
              <c:strCache>
                <c:ptCount val="3"/>
                <c:pt idx="0">
                  <c:v>ARMODAFINIL</c:v>
                </c:pt>
                <c:pt idx="1">
                  <c:v>DEXAMFETAMINE</c:v>
                </c:pt>
                <c:pt idx="2">
                  <c:v>MODAFINIL</c:v>
                </c:pt>
              </c:strCache>
            </c:strRef>
          </c:cat>
          <c:val>
            <c:numRef>
              <c:f>Calculations!$H$2:$H$4</c:f>
              <c:numCache>
                <c:formatCode>General</c:formatCode>
                <c:ptCount val="3"/>
                <c:pt idx="0">
                  <c:v>1</c:v>
                </c:pt>
                <c:pt idx="1">
                  <c:v>140</c:v>
                </c:pt>
                <c:pt idx="2">
                  <c:v>30</c:v>
                </c:pt>
              </c:numCache>
            </c:numRef>
          </c:val>
          <c:extLst>
            <c:ext xmlns:c16="http://schemas.microsoft.com/office/drawing/2014/chart" uri="{C3380CC4-5D6E-409C-BE32-E72D297353CC}">
              <c16:uniqueId val="{00000006-30F1-42A5-AB92-B9F31F9624C8}"/>
            </c:ext>
          </c:extLst>
        </c:ser>
        <c:ser>
          <c:idx val="7"/>
          <c:order val="7"/>
          <c:tx>
            <c:strRef>
              <c:f>Calculations!$I$1</c:f>
              <c:strCache>
                <c:ptCount val="1"/>
                <c:pt idx="0">
                  <c:v>Other</c:v>
                </c:pt>
              </c:strCache>
            </c:strRef>
          </c:tx>
          <c:spPr>
            <a:solidFill>
              <a:schemeClr val="accent6"/>
            </a:solidFill>
            <a:ln>
              <a:solidFill>
                <a:schemeClr val="accent6"/>
              </a:solidFill>
            </a:ln>
            <a:effectLst/>
          </c:spPr>
          <c:invertIfNegative val="0"/>
          <c:cat>
            <c:strRef>
              <c:f>Calculations!$A$2:$A$4</c:f>
              <c:strCache>
                <c:ptCount val="3"/>
                <c:pt idx="0">
                  <c:v>ARMODAFINIL</c:v>
                </c:pt>
                <c:pt idx="1">
                  <c:v>DEXAMFETAMINE</c:v>
                </c:pt>
                <c:pt idx="2">
                  <c:v>MODAFINIL</c:v>
                </c:pt>
              </c:strCache>
            </c:strRef>
          </c:cat>
          <c:val>
            <c:numRef>
              <c:f>Calculations!$I$2:$I$4</c:f>
              <c:numCache>
                <c:formatCode>General</c:formatCode>
                <c:ptCount val="3"/>
                <c:pt idx="0">
                  <c:v>21</c:v>
                </c:pt>
                <c:pt idx="1">
                  <c:v>267</c:v>
                </c:pt>
                <c:pt idx="2">
                  <c:v>139</c:v>
                </c:pt>
              </c:numCache>
            </c:numRef>
          </c:val>
          <c:extLst>
            <c:ext xmlns:c16="http://schemas.microsoft.com/office/drawing/2014/chart" uri="{C3380CC4-5D6E-409C-BE32-E72D297353CC}">
              <c16:uniqueId val="{00000007-30F1-42A5-AB92-B9F31F9624C8}"/>
            </c:ext>
          </c:extLst>
        </c:ser>
        <c:ser>
          <c:idx val="8"/>
          <c:order val="8"/>
          <c:tx>
            <c:strRef>
              <c:f>Calculations!$J$1</c:f>
              <c:strCache>
                <c:ptCount val="1"/>
                <c:pt idx="0">
                  <c:v>Unknown</c:v>
                </c:pt>
              </c:strCache>
            </c:strRef>
          </c:tx>
          <c:spPr>
            <a:solidFill>
              <a:schemeClr val="accent3">
                <a:lumMod val="60000"/>
              </a:schemeClr>
            </a:solidFill>
            <a:ln>
              <a:noFill/>
            </a:ln>
            <a:effectLst/>
          </c:spPr>
          <c:invertIfNegative val="0"/>
          <c:cat>
            <c:strRef>
              <c:f>Calculations!$A$2:$A$4</c:f>
              <c:strCache>
                <c:ptCount val="3"/>
                <c:pt idx="0">
                  <c:v>ARMODAFINIL</c:v>
                </c:pt>
                <c:pt idx="1">
                  <c:v>DEXAMFETAMINE</c:v>
                </c:pt>
                <c:pt idx="2">
                  <c:v>MODAFINIL</c:v>
                </c:pt>
              </c:strCache>
            </c:strRef>
          </c:cat>
          <c:val>
            <c:numRef>
              <c:f>Calculations!$J$2:$J$4</c:f>
              <c:numCache>
                <c:formatCode>General</c:formatCode>
                <c:ptCount val="3"/>
                <c:pt idx="0">
                  <c:v>2</c:v>
                </c:pt>
                <c:pt idx="1">
                  <c:v>4</c:v>
                </c:pt>
                <c:pt idx="2">
                  <c:v>9</c:v>
                </c:pt>
              </c:numCache>
            </c:numRef>
          </c:val>
          <c:extLst>
            <c:ext xmlns:c16="http://schemas.microsoft.com/office/drawing/2014/chart" uri="{C3380CC4-5D6E-409C-BE32-E72D297353CC}">
              <c16:uniqueId val="{00000008-30F1-42A5-AB92-B9F31F9624C8}"/>
            </c:ext>
          </c:extLst>
        </c:ser>
        <c:dLbls>
          <c:showLegendKey val="0"/>
          <c:showVal val="0"/>
          <c:showCatName val="0"/>
          <c:showSerName val="0"/>
          <c:showPercent val="0"/>
          <c:showBubbleSize val="0"/>
        </c:dLbls>
        <c:gapWidth val="150"/>
        <c:overlap val="100"/>
        <c:axId val="648473160"/>
        <c:axId val="648474144"/>
      </c:barChart>
      <c:catAx>
        <c:axId val="648473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474144"/>
        <c:crosses val="autoZero"/>
        <c:auto val="1"/>
        <c:lblAlgn val="ctr"/>
        <c:lblOffset val="100"/>
        <c:noMultiLvlLbl val="0"/>
      </c:catAx>
      <c:valAx>
        <c:axId val="648474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a:t>
                </a:r>
                <a:r>
                  <a:rPr lang="en-AU" b="1" baseline="0"/>
                  <a:t> patients</a:t>
                </a:r>
                <a:endParaRPr lang="en-AU" b="1"/>
              </a:p>
            </c:rich>
          </c:tx>
          <c:layout>
            <c:manualLayout>
              <c:xMode val="edge"/>
              <c:yMode val="edge"/>
              <c:x val="2.5764895330112721E-2"/>
              <c:y val="0.3303643103107933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473160"/>
        <c:crosses val="autoZero"/>
        <c:crossBetween val="between"/>
      </c:valAx>
      <c:spPr>
        <a:noFill/>
        <a:ln>
          <a:noFill/>
        </a:ln>
        <a:effectLst/>
      </c:spPr>
    </c:plotArea>
    <c:legend>
      <c:legendPos val="b"/>
      <c:layout>
        <c:manualLayout>
          <c:xMode val="edge"/>
          <c:yMode val="edge"/>
          <c:x val="9.4824113169428695E-2"/>
          <c:y val="0.82938608996995156"/>
          <c:w val="0.85758724603868963"/>
          <c:h val="0.152043807894486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[PATCNT by prescriber type and patient state 080419.xlsx]Sheet2 (4)!PivotTable17</c:name>
    <c:fmtId val="12"/>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pivotFmt>
      <c:pivotFmt>
        <c:idx val="2"/>
        <c:spPr>
          <a:solidFill>
            <a:schemeClr val="accent1"/>
          </a:solidFill>
          <a:ln w="28575" cap="rnd">
            <a:solidFill>
              <a:schemeClr val="accent1"/>
            </a:solidFill>
            <a:round/>
          </a:ln>
          <a:effectLst/>
        </c:spPr>
      </c:pivotFmt>
      <c:pivotFmt>
        <c:idx val="3"/>
        <c:spPr>
          <a:solidFill>
            <a:schemeClr val="accent1"/>
          </a:solidFill>
          <a:ln w="28575" cap="rnd">
            <a:solidFill>
              <a:schemeClr val="accent1"/>
            </a:solidFill>
            <a:round/>
          </a:ln>
          <a:effectLst/>
        </c:spPr>
      </c:pivotFmt>
      <c:pivotFmt>
        <c:idx val="4"/>
        <c:spPr>
          <a:solidFill>
            <a:schemeClr val="accent1"/>
          </a:solidFill>
          <a:ln w="28575" cap="rnd">
            <a:solidFill>
              <a:schemeClr val="accent1"/>
            </a:solidFill>
            <a:round/>
          </a:ln>
          <a:effectLst/>
        </c:spPr>
      </c:pivotFmt>
      <c:pivotFmt>
        <c:idx val="5"/>
        <c:spPr>
          <a:solidFill>
            <a:schemeClr val="accent1"/>
          </a:solidFill>
          <a:ln w="28575" cap="rnd">
            <a:solidFill>
              <a:schemeClr val="accent1"/>
            </a:solidFill>
            <a:round/>
          </a:ln>
          <a:effectLst/>
        </c:spPr>
      </c:pivotFmt>
      <c:pivotFmt>
        <c:idx val="6"/>
        <c:spPr>
          <a:solidFill>
            <a:schemeClr val="accent1"/>
          </a:solidFill>
          <a:ln w="28575" cap="rnd">
            <a:solidFill>
              <a:schemeClr val="accent1"/>
            </a:solidFill>
            <a:round/>
          </a:ln>
          <a:effectLst/>
        </c:spPr>
      </c:pivotFmt>
      <c:pivotFmt>
        <c:idx val="7"/>
        <c:spPr>
          <a:solidFill>
            <a:schemeClr val="accent1"/>
          </a:solidFill>
          <a:ln w="28575" cap="rnd">
            <a:solidFill>
              <a:schemeClr val="accent1"/>
            </a:solidFill>
            <a:round/>
          </a:ln>
          <a:effectLst/>
        </c:spPr>
      </c:pivotFmt>
      <c:pivotFmt>
        <c:idx val="8"/>
        <c:spPr>
          <a:solidFill>
            <a:schemeClr val="accent1"/>
          </a:solidFill>
          <a:ln w="28575" cap="rnd">
            <a:solidFill>
              <a:schemeClr val="accent1"/>
            </a:solidFill>
            <a:round/>
          </a:ln>
          <a:effectLst/>
        </c:spPr>
      </c:pivotFmt>
      <c:pivotFmt>
        <c:idx val="9"/>
        <c:spPr>
          <a:solidFill>
            <a:schemeClr val="accent1"/>
          </a:solidFill>
          <a:ln w="28575" cap="rnd">
            <a:solidFill>
              <a:schemeClr val="accent1"/>
            </a:solidFill>
            <a:round/>
          </a:ln>
          <a:effectLst/>
        </c:spP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2"/>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3"/>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s>
    <c:plotArea>
      <c:layout>
        <c:manualLayout>
          <c:layoutTarget val="inner"/>
          <c:xMode val="edge"/>
          <c:yMode val="edge"/>
          <c:x val="0.12030374193656415"/>
          <c:y val="0.11630479260958522"/>
          <c:w val="0.84970785350395794"/>
          <c:h val="0.63360461832034776"/>
        </c:manualLayout>
      </c:layout>
      <c:barChart>
        <c:barDir val="col"/>
        <c:grouping val="stacked"/>
        <c:varyColors val="0"/>
        <c:ser>
          <c:idx val="0"/>
          <c:order val="0"/>
          <c:tx>
            <c:strRef>
              <c:f>'Sheet2 (4)'!$B$5:$B$6</c:f>
              <c:strCache>
                <c:ptCount val="1"/>
                <c:pt idx="0">
                  <c:v>DEXAMFETAMINE</c:v>
                </c:pt>
              </c:strCache>
            </c:strRef>
          </c:tx>
          <c:spPr>
            <a:solidFill>
              <a:srgbClr val="4F81BD"/>
            </a:solidFill>
            <a:ln>
              <a:solidFill>
                <a:srgbClr val="4F81BD"/>
              </a:solidFill>
            </a:ln>
            <a:effectLst/>
          </c:spPr>
          <c:invertIfNegative val="0"/>
          <c:cat>
            <c:multiLvlStrRef>
              <c:f>'Sheet2 (4)'!$A$7:$A$47</c:f>
              <c:multiLvlStrCache>
                <c:ptCount val="32"/>
                <c:lvl>
                  <c:pt idx="0">
                    <c:v>2015</c:v>
                  </c:pt>
                  <c:pt idx="1">
                    <c:v>2016</c:v>
                  </c:pt>
                  <c:pt idx="2">
                    <c:v>2017</c:v>
                  </c:pt>
                  <c:pt idx="3">
                    <c:v>2018</c:v>
                  </c:pt>
                  <c:pt idx="4">
                    <c:v>2015</c:v>
                  </c:pt>
                  <c:pt idx="5">
                    <c:v>2016</c:v>
                  </c:pt>
                  <c:pt idx="6">
                    <c:v>2017</c:v>
                  </c:pt>
                  <c:pt idx="7">
                    <c:v>2018</c:v>
                  </c:pt>
                  <c:pt idx="8">
                    <c:v>2015</c:v>
                  </c:pt>
                  <c:pt idx="9">
                    <c:v>2016</c:v>
                  </c:pt>
                  <c:pt idx="10">
                    <c:v>2017</c:v>
                  </c:pt>
                  <c:pt idx="11">
                    <c:v>2018</c:v>
                  </c:pt>
                  <c:pt idx="12">
                    <c:v>2015</c:v>
                  </c:pt>
                  <c:pt idx="13">
                    <c:v>2016</c:v>
                  </c:pt>
                  <c:pt idx="14">
                    <c:v>2017</c:v>
                  </c:pt>
                  <c:pt idx="15">
                    <c:v>2018</c:v>
                  </c:pt>
                  <c:pt idx="16">
                    <c:v>2015</c:v>
                  </c:pt>
                  <c:pt idx="17">
                    <c:v>2016</c:v>
                  </c:pt>
                  <c:pt idx="18">
                    <c:v>2017</c:v>
                  </c:pt>
                  <c:pt idx="19">
                    <c:v>2018</c:v>
                  </c:pt>
                  <c:pt idx="20">
                    <c:v>2015</c:v>
                  </c:pt>
                  <c:pt idx="21">
                    <c:v>2016</c:v>
                  </c:pt>
                  <c:pt idx="22">
                    <c:v>2017</c:v>
                  </c:pt>
                  <c:pt idx="23">
                    <c:v>2018</c:v>
                  </c:pt>
                  <c:pt idx="24">
                    <c:v>2015</c:v>
                  </c:pt>
                  <c:pt idx="25">
                    <c:v>2016</c:v>
                  </c:pt>
                  <c:pt idx="26">
                    <c:v>2017</c:v>
                  </c:pt>
                  <c:pt idx="27">
                    <c:v>2018</c:v>
                  </c:pt>
                  <c:pt idx="28">
                    <c:v>2015</c:v>
                  </c:pt>
                  <c:pt idx="29">
                    <c:v>2016</c:v>
                  </c:pt>
                  <c:pt idx="30">
                    <c:v>2017</c:v>
                  </c:pt>
                  <c:pt idx="31">
                    <c:v>2018</c:v>
                  </c:pt>
                </c:lvl>
                <c:lvl>
                  <c:pt idx="0">
                    <c:v>VIC</c:v>
                  </c:pt>
                  <c:pt idx="4">
                    <c:v>SA</c:v>
                  </c:pt>
                  <c:pt idx="8">
                    <c:v>WA</c:v>
                  </c:pt>
                  <c:pt idx="12">
                    <c:v>ACT</c:v>
                  </c:pt>
                  <c:pt idx="16">
                    <c:v>TAS</c:v>
                  </c:pt>
                  <c:pt idx="20">
                    <c:v>NSW</c:v>
                  </c:pt>
                  <c:pt idx="24">
                    <c:v>NT</c:v>
                  </c:pt>
                  <c:pt idx="28">
                    <c:v>QLD</c:v>
                  </c:pt>
                </c:lvl>
              </c:multiLvlStrCache>
            </c:multiLvlStrRef>
          </c:cat>
          <c:val>
            <c:numRef>
              <c:f>'Sheet2 (4)'!$B$7:$B$47</c:f>
              <c:numCache>
                <c:formatCode>General</c:formatCode>
                <c:ptCount val="32"/>
                <c:pt idx="0">
                  <c:v>2.4097498166646796E-2</c:v>
                </c:pt>
                <c:pt idx="1">
                  <c:v>2.0521740374176624E-2</c:v>
                </c:pt>
                <c:pt idx="2">
                  <c:v>2.6118578658042974E-2</c:v>
                </c:pt>
                <c:pt idx="3">
                  <c:v>6.0010543821455875E-2</c:v>
                </c:pt>
                <c:pt idx="4">
                  <c:v>3.5184438557299594E-2</c:v>
                </c:pt>
                <c:pt idx="5">
                  <c:v>3.9798791154978225E-2</c:v>
                </c:pt>
                <c:pt idx="6">
                  <c:v>4.0952379304397872E-2</c:v>
                </c:pt>
                <c:pt idx="7">
                  <c:v>4.0952379304397872E-2</c:v>
                </c:pt>
                <c:pt idx="8">
                  <c:v>5.674286680403328E-2</c:v>
                </c:pt>
                <c:pt idx="9">
                  <c:v>6.1374937563546221E-2</c:v>
                </c:pt>
                <c:pt idx="10">
                  <c:v>5.0952778354642139E-2</c:v>
                </c:pt>
                <c:pt idx="11">
                  <c:v>5.7900884493911522E-2</c:v>
                </c:pt>
                <c:pt idx="12">
                  <c:v>2.8619877936220603E-2</c:v>
                </c:pt>
                <c:pt idx="13">
                  <c:v>2.1464908452165452E-2</c:v>
                </c:pt>
                <c:pt idx="14">
                  <c:v>3.1004867764238987E-2</c:v>
                </c:pt>
                <c:pt idx="15">
                  <c:v>7.8704664324606641E-2</c:v>
                </c:pt>
                <c:pt idx="16">
                  <c:v>2.657060759387965E-2</c:v>
                </c:pt>
                <c:pt idx="17">
                  <c:v>1.5183204339359799E-2</c:v>
                </c:pt>
                <c:pt idx="18">
                  <c:v>2.4672707051459675E-2</c:v>
                </c:pt>
                <c:pt idx="19">
                  <c:v>2.8468508136299621E-2</c:v>
                </c:pt>
                <c:pt idx="20">
                  <c:v>2.0608809361224931E-2</c:v>
                </c:pt>
                <c:pt idx="21">
                  <c:v>1.9603501587506643E-2</c:v>
                </c:pt>
                <c:pt idx="22">
                  <c:v>1.8849520757217925E-2</c:v>
                </c:pt>
                <c:pt idx="23">
                  <c:v>4.0463637892161147E-2</c:v>
                </c:pt>
                <c:pt idx="24">
                  <c:v>4.054574573762848E-2</c:v>
                </c:pt>
                <c:pt idx="25">
                  <c:v>2.8382022016339936E-2</c:v>
                </c:pt>
                <c:pt idx="26">
                  <c:v>2.8382022016339936E-2</c:v>
                </c:pt>
                <c:pt idx="27">
                  <c:v>5.6764044032679872E-2</c:v>
                </c:pt>
                <c:pt idx="28">
                  <c:v>2.1046563416903558E-2</c:v>
                </c:pt>
                <c:pt idx="29">
                  <c:v>2.4854989178057538E-2</c:v>
                </c:pt>
                <c:pt idx="30">
                  <c:v>2.4053215333604064E-2</c:v>
                </c:pt>
                <c:pt idx="31">
                  <c:v>4.3095344139373944E-2</c:v>
                </c:pt>
              </c:numCache>
            </c:numRef>
          </c:val>
          <c:extLst>
            <c:ext xmlns:c16="http://schemas.microsoft.com/office/drawing/2014/chart" uri="{C3380CC4-5D6E-409C-BE32-E72D297353CC}">
              <c16:uniqueId val="{00000000-2473-49A2-B80C-D1E56560D434}"/>
            </c:ext>
          </c:extLst>
        </c:ser>
        <c:ser>
          <c:idx val="1"/>
          <c:order val="1"/>
          <c:tx>
            <c:strRef>
              <c:f>'Sheet2 (4)'!$C$5:$C$6</c:f>
              <c:strCache>
                <c:ptCount val="1"/>
                <c:pt idx="0">
                  <c:v>MODAFINIL</c:v>
                </c:pt>
              </c:strCache>
            </c:strRef>
          </c:tx>
          <c:spPr>
            <a:solidFill>
              <a:srgbClr val="F79646">
                <a:lumMod val="75000"/>
              </a:srgbClr>
            </a:solidFill>
            <a:ln>
              <a:solidFill>
                <a:srgbClr val="F79646">
                  <a:lumMod val="75000"/>
                </a:srgbClr>
              </a:solidFill>
            </a:ln>
            <a:effectLst/>
          </c:spPr>
          <c:invertIfNegative val="0"/>
          <c:cat>
            <c:multiLvlStrRef>
              <c:f>'Sheet2 (4)'!$A$7:$A$47</c:f>
              <c:multiLvlStrCache>
                <c:ptCount val="32"/>
                <c:lvl>
                  <c:pt idx="0">
                    <c:v>2015</c:v>
                  </c:pt>
                  <c:pt idx="1">
                    <c:v>2016</c:v>
                  </c:pt>
                  <c:pt idx="2">
                    <c:v>2017</c:v>
                  </c:pt>
                  <c:pt idx="3">
                    <c:v>2018</c:v>
                  </c:pt>
                  <c:pt idx="4">
                    <c:v>2015</c:v>
                  </c:pt>
                  <c:pt idx="5">
                    <c:v>2016</c:v>
                  </c:pt>
                  <c:pt idx="6">
                    <c:v>2017</c:v>
                  </c:pt>
                  <c:pt idx="7">
                    <c:v>2018</c:v>
                  </c:pt>
                  <c:pt idx="8">
                    <c:v>2015</c:v>
                  </c:pt>
                  <c:pt idx="9">
                    <c:v>2016</c:v>
                  </c:pt>
                  <c:pt idx="10">
                    <c:v>2017</c:v>
                  </c:pt>
                  <c:pt idx="11">
                    <c:v>2018</c:v>
                  </c:pt>
                  <c:pt idx="12">
                    <c:v>2015</c:v>
                  </c:pt>
                  <c:pt idx="13">
                    <c:v>2016</c:v>
                  </c:pt>
                  <c:pt idx="14">
                    <c:v>2017</c:v>
                  </c:pt>
                  <c:pt idx="15">
                    <c:v>2018</c:v>
                  </c:pt>
                  <c:pt idx="16">
                    <c:v>2015</c:v>
                  </c:pt>
                  <c:pt idx="17">
                    <c:v>2016</c:v>
                  </c:pt>
                  <c:pt idx="18">
                    <c:v>2017</c:v>
                  </c:pt>
                  <c:pt idx="19">
                    <c:v>2018</c:v>
                  </c:pt>
                  <c:pt idx="20">
                    <c:v>2015</c:v>
                  </c:pt>
                  <c:pt idx="21">
                    <c:v>2016</c:v>
                  </c:pt>
                  <c:pt idx="22">
                    <c:v>2017</c:v>
                  </c:pt>
                  <c:pt idx="23">
                    <c:v>2018</c:v>
                  </c:pt>
                  <c:pt idx="24">
                    <c:v>2015</c:v>
                  </c:pt>
                  <c:pt idx="25">
                    <c:v>2016</c:v>
                  </c:pt>
                  <c:pt idx="26">
                    <c:v>2017</c:v>
                  </c:pt>
                  <c:pt idx="27">
                    <c:v>2018</c:v>
                  </c:pt>
                  <c:pt idx="28">
                    <c:v>2015</c:v>
                  </c:pt>
                  <c:pt idx="29">
                    <c:v>2016</c:v>
                  </c:pt>
                  <c:pt idx="30">
                    <c:v>2017</c:v>
                  </c:pt>
                  <c:pt idx="31">
                    <c:v>2018</c:v>
                  </c:pt>
                </c:lvl>
                <c:lvl>
                  <c:pt idx="0">
                    <c:v>VIC</c:v>
                  </c:pt>
                  <c:pt idx="4">
                    <c:v>SA</c:v>
                  </c:pt>
                  <c:pt idx="8">
                    <c:v>WA</c:v>
                  </c:pt>
                  <c:pt idx="12">
                    <c:v>ACT</c:v>
                  </c:pt>
                  <c:pt idx="16">
                    <c:v>TAS</c:v>
                  </c:pt>
                  <c:pt idx="20">
                    <c:v>NSW</c:v>
                  </c:pt>
                  <c:pt idx="24">
                    <c:v>NT</c:v>
                  </c:pt>
                  <c:pt idx="28">
                    <c:v>QLD</c:v>
                  </c:pt>
                </c:lvl>
              </c:multiLvlStrCache>
            </c:multiLvlStrRef>
          </c:cat>
          <c:val>
            <c:numRef>
              <c:f>'Sheet2 (4)'!$C$7:$C$47</c:f>
              <c:numCache>
                <c:formatCode>General</c:formatCode>
                <c:ptCount val="32"/>
                <c:pt idx="0">
                  <c:v>4.5241109461252996E-2</c:v>
                </c:pt>
                <c:pt idx="1">
                  <c:v>5.0371544554797171E-2</c:v>
                </c:pt>
                <c:pt idx="2">
                  <c:v>4.0577077558031041E-2</c:v>
                </c:pt>
                <c:pt idx="3">
                  <c:v>3.0938078291372333E-2</c:v>
                </c:pt>
                <c:pt idx="4">
                  <c:v>3.5184438557299594E-2</c:v>
                </c:pt>
                <c:pt idx="5">
                  <c:v>3.9221997080268391E-2</c:v>
                </c:pt>
                <c:pt idx="6">
                  <c:v>4.4413143752656849E-2</c:v>
                </c:pt>
                <c:pt idx="7">
                  <c:v>4.3259555603237201E-2</c:v>
                </c:pt>
                <c:pt idx="8">
                  <c:v>2.0458312521182076E-2</c:v>
                </c:pt>
                <c:pt idx="9">
                  <c:v>2.2388342004312459E-2</c:v>
                </c:pt>
                <c:pt idx="10">
                  <c:v>1.8914288934677767E-2</c:v>
                </c:pt>
                <c:pt idx="11">
                  <c:v>1.7370265348173462E-2</c:v>
                </c:pt>
                <c:pt idx="12">
                  <c:v>4.7699796560367672E-2</c:v>
                </c:pt>
                <c:pt idx="13">
                  <c:v>2.8619877936220603E-2</c:v>
                </c:pt>
                <c:pt idx="14">
                  <c:v>2.3849898280183836E-2</c:v>
                </c:pt>
                <c:pt idx="15">
                  <c:v>2.1464908452165452E-2</c:v>
                </c:pt>
                <c:pt idx="16">
                  <c:v>2.657060759387965E-2</c:v>
                </c:pt>
                <c:pt idx="17">
                  <c:v>3.6060110305979526E-2</c:v>
                </c:pt>
                <c:pt idx="18">
                  <c:v>2.0876905966619726E-2</c:v>
                </c:pt>
                <c:pt idx="19">
                  <c:v>1.8979005424199752E-2</c:v>
                </c:pt>
                <c:pt idx="20">
                  <c:v>2.5132694342957233E-2</c:v>
                </c:pt>
                <c:pt idx="21">
                  <c:v>2.802295419239732E-2</c:v>
                </c:pt>
                <c:pt idx="22">
                  <c:v>2.6514992531819881E-2</c:v>
                </c:pt>
                <c:pt idx="23">
                  <c:v>2.588667517324595E-2</c:v>
                </c:pt>
                <c:pt idx="24">
                  <c:v>3.2436596590102784E-2</c:v>
                </c:pt>
                <c:pt idx="25">
                  <c:v>8.109149147525696E-3</c:v>
                </c:pt>
                <c:pt idx="26">
                  <c:v>4.054574573762848E-3</c:v>
                </c:pt>
                <c:pt idx="27">
                  <c:v>1.2163723721288544E-2</c:v>
                </c:pt>
                <c:pt idx="28">
                  <c:v>1.7037694194636216E-2</c:v>
                </c:pt>
                <c:pt idx="29">
                  <c:v>1.9843902650223354E-2</c:v>
                </c:pt>
                <c:pt idx="30">
                  <c:v>1.383059881682234E-2</c:v>
                </c:pt>
                <c:pt idx="31">
                  <c:v>1.2227051127915403E-2</c:v>
                </c:pt>
              </c:numCache>
            </c:numRef>
          </c:val>
          <c:extLst>
            <c:ext xmlns:c16="http://schemas.microsoft.com/office/drawing/2014/chart" uri="{C3380CC4-5D6E-409C-BE32-E72D297353CC}">
              <c16:uniqueId val="{00000001-2473-49A2-B80C-D1E56560D434}"/>
            </c:ext>
          </c:extLst>
        </c:ser>
        <c:ser>
          <c:idx val="2"/>
          <c:order val="2"/>
          <c:tx>
            <c:strRef>
              <c:f>'Sheet2 (4)'!$D$5:$D$6</c:f>
              <c:strCache>
                <c:ptCount val="1"/>
                <c:pt idx="0">
                  <c:v>ARMODAFINIL</c:v>
                </c:pt>
              </c:strCache>
            </c:strRef>
          </c:tx>
          <c:spPr>
            <a:solidFill>
              <a:sysClr val="window" lastClr="FFFFFF">
                <a:lumMod val="50000"/>
              </a:sysClr>
            </a:solidFill>
            <a:ln>
              <a:solidFill>
                <a:sysClr val="window" lastClr="FFFFFF">
                  <a:lumMod val="50000"/>
                </a:sysClr>
              </a:solidFill>
            </a:ln>
            <a:effectLst/>
          </c:spPr>
          <c:invertIfNegative val="0"/>
          <c:cat>
            <c:multiLvlStrRef>
              <c:f>'Sheet2 (4)'!$A$7:$A$47</c:f>
              <c:multiLvlStrCache>
                <c:ptCount val="32"/>
                <c:lvl>
                  <c:pt idx="0">
                    <c:v>2015</c:v>
                  </c:pt>
                  <c:pt idx="1">
                    <c:v>2016</c:v>
                  </c:pt>
                  <c:pt idx="2">
                    <c:v>2017</c:v>
                  </c:pt>
                  <c:pt idx="3">
                    <c:v>2018</c:v>
                  </c:pt>
                  <c:pt idx="4">
                    <c:v>2015</c:v>
                  </c:pt>
                  <c:pt idx="5">
                    <c:v>2016</c:v>
                  </c:pt>
                  <c:pt idx="6">
                    <c:v>2017</c:v>
                  </c:pt>
                  <c:pt idx="7">
                    <c:v>2018</c:v>
                  </c:pt>
                  <c:pt idx="8">
                    <c:v>2015</c:v>
                  </c:pt>
                  <c:pt idx="9">
                    <c:v>2016</c:v>
                  </c:pt>
                  <c:pt idx="10">
                    <c:v>2017</c:v>
                  </c:pt>
                  <c:pt idx="11">
                    <c:v>2018</c:v>
                  </c:pt>
                  <c:pt idx="12">
                    <c:v>2015</c:v>
                  </c:pt>
                  <c:pt idx="13">
                    <c:v>2016</c:v>
                  </c:pt>
                  <c:pt idx="14">
                    <c:v>2017</c:v>
                  </c:pt>
                  <c:pt idx="15">
                    <c:v>2018</c:v>
                  </c:pt>
                  <c:pt idx="16">
                    <c:v>2015</c:v>
                  </c:pt>
                  <c:pt idx="17">
                    <c:v>2016</c:v>
                  </c:pt>
                  <c:pt idx="18">
                    <c:v>2017</c:v>
                  </c:pt>
                  <c:pt idx="19">
                    <c:v>2018</c:v>
                  </c:pt>
                  <c:pt idx="20">
                    <c:v>2015</c:v>
                  </c:pt>
                  <c:pt idx="21">
                    <c:v>2016</c:v>
                  </c:pt>
                  <c:pt idx="22">
                    <c:v>2017</c:v>
                  </c:pt>
                  <c:pt idx="23">
                    <c:v>2018</c:v>
                  </c:pt>
                  <c:pt idx="24">
                    <c:v>2015</c:v>
                  </c:pt>
                  <c:pt idx="25">
                    <c:v>2016</c:v>
                  </c:pt>
                  <c:pt idx="26">
                    <c:v>2017</c:v>
                  </c:pt>
                  <c:pt idx="27">
                    <c:v>2018</c:v>
                  </c:pt>
                  <c:pt idx="28">
                    <c:v>2015</c:v>
                  </c:pt>
                  <c:pt idx="29">
                    <c:v>2016</c:v>
                  </c:pt>
                  <c:pt idx="30">
                    <c:v>2017</c:v>
                  </c:pt>
                  <c:pt idx="31">
                    <c:v>2018</c:v>
                  </c:pt>
                </c:lvl>
                <c:lvl>
                  <c:pt idx="0">
                    <c:v>VIC</c:v>
                  </c:pt>
                  <c:pt idx="4">
                    <c:v>SA</c:v>
                  </c:pt>
                  <c:pt idx="8">
                    <c:v>WA</c:v>
                  </c:pt>
                  <c:pt idx="12">
                    <c:v>ACT</c:v>
                  </c:pt>
                  <c:pt idx="16">
                    <c:v>TAS</c:v>
                  </c:pt>
                  <c:pt idx="20">
                    <c:v>NSW</c:v>
                  </c:pt>
                  <c:pt idx="24">
                    <c:v>NT</c:v>
                  </c:pt>
                  <c:pt idx="28">
                    <c:v>QLD</c:v>
                  </c:pt>
                </c:lvl>
              </c:multiLvlStrCache>
            </c:multiLvlStrRef>
          </c:cat>
          <c:val>
            <c:numRef>
              <c:f>'Sheet2 (4)'!$D$7:$D$47</c:f>
              <c:numCache>
                <c:formatCode>General</c:formatCode>
                <c:ptCount val="32"/>
                <c:pt idx="1">
                  <c:v>1.290382159891409E-2</c:v>
                </c:pt>
                <c:pt idx="2">
                  <c:v>6.1565221122529872E-2</c:v>
                </c:pt>
                <c:pt idx="3">
                  <c:v>4.9749673634367567E-2</c:v>
                </c:pt>
                <c:pt idx="5">
                  <c:v>2.8839703735491465E-3</c:v>
                </c:pt>
                <c:pt idx="6">
                  <c:v>3.5184438557299594E-2</c:v>
                </c:pt>
                <c:pt idx="7">
                  <c:v>2.9416497810201298E-2</c:v>
                </c:pt>
                <c:pt idx="9">
                  <c:v>2.3160353797564612E-3</c:v>
                </c:pt>
                <c:pt idx="10">
                  <c:v>3.0494465833460074E-2</c:v>
                </c:pt>
                <c:pt idx="11">
                  <c:v>3.0108459936833996E-2</c:v>
                </c:pt>
                <c:pt idx="14">
                  <c:v>4.7699796560367672E-2</c:v>
                </c:pt>
                <c:pt idx="15">
                  <c:v>2.6234888108202219E-2</c:v>
                </c:pt>
                <c:pt idx="17">
                  <c:v>1.8979005424199749E-3</c:v>
                </c:pt>
                <c:pt idx="18">
                  <c:v>2.8468508136299624E-2</c:v>
                </c:pt>
                <c:pt idx="19">
                  <c:v>4.1753811933239453E-2</c:v>
                </c:pt>
                <c:pt idx="21">
                  <c:v>3.644240679728798E-3</c:v>
                </c:pt>
                <c:pt idx="22">
                  <c:v>2.2242434493517153E-2</c:v>
                </c:pt>
                <c:pt idx="23">
                  <c:v>2.2242434493517146E-2</c:v>
                </c:pt>
                <c:pt idx="26">
                  <c:v>1.6218298295051392E-2</c:v>
                </c:pt>
                <c:pt idx="27">
                  <c:v>8.109149147525696E-3</c:v>
                </c:pt>
                <c:pt idx="29">
                  <c:v>2.0044346111336721E-3</c:v>
                </c:pt>
                <c:pt idx="30">
                  <c:v>2.3652328411377332E-2</c:v>
                </c:pt>
                <c:pt idx="31">
                  <c:v>2.0044346111336726E-2</c:v>
                </c:pt>
              </c:numCache>
            </c:numRef>
          </c:val>
          <c:extLst>
            <c:ext xmlns:c16="http://schemas.microsoft.com/office/drawing/2014/chart" uri="{C3380CC4-5D6E-409C-BE32-E72D297353CC}">
              <c16:uniqueId val="{00000002-2473-49A2-B80C-D1E56560D434}"/>
            </c:ext>
          </c:extLst>
        </c:ser>
        <c:dLbls>
          <c:showLegendKey val="0"/>
          <c:showVal val="0"/>
          <c:showCatName val="0"/>
          <c:showSerName val="0"/>
          <c:showPercent val="0"/>
          <c:showBubbleSize val="0"/>
        </c:dLbls>
        <c:gapWidth val="150"/>
        <c:overlap val="100"/>
        <c:axId val="938018336"/>
        <c:axId val="938013088"/>
      </c:barChart>
      <c:catAx>
        <c:axId val="93801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013088"/>
        <c:crosses val="autoZero"/>
        <c:auto val="1"/>
        <c:lblAlgn val="ctr"/>
        <c:lblOffset val="100"/>
        <c:noMultiLvlLbl val="0"/>
      </c:catAx>
      <c:valAx>
        <c:axId val="93801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Patients</a:t>
                </a:r>
                <a:r>
                  <a:rPr lang="en-AU" b="1" baseline="0"/>
                  <a:t> per 1,000 population</a:t>
                </a:r>
                <a:endParaRPr lang="en-AU" b="1"/>
              </a:p>
            </c:rich>
          </c:tx>
          <c:layout>
            <c:manualLayout>
              <c:xMode val="edge"/>
              <c:yMode val="edge"/>
              <c:x val="1.1841916889575406E-2"/>
              <c:y val="0.200157342536907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018336"/>
        <c:crosses val="autoZero"/>
        <c:crossBetween val="between"/>
      </c:valAx>
      <c:spPr>
        <a:noFill/>
        <a:ln>
          <a:noFill/>
        </a:ln>
        <a:effectLst/>
      </c:spPr>
    </c:plotArea>
    <c:legend>
      <c:legendPos val="r"/>
      <c:layout>
        <c:manualLayout>
          <c:xMode val="edge"/>
          <c:yMode val="edge"/>
          <c:x val="0.10426370516855379"/>
          <c:y val="0.94465979154180513"/>
          <c:w val="0.76301551892537189"/>
          <c:h val="2.83577544932867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[SCRPT_SUM - from 1 November 2014 narcolepsy only 08042019.xlsx]Expen graph!PivotTable17</c:name>
    <c:fmtId val="8"/>
  </c:pivotSource>
  <c:chart>
    <c:autoTitleDeleted val="0"/>
    <c:pivotFmts>
      <c:pivotFmt>
        <c:idx val="0"/>
        <c:spPr>
          <a:solidFill>
            <a:schemeClr val="accent1"/>
          </a:solidFill>
          <a:ln>
            <a:noFill/>
          </a:ln>
          <a:effectLst/>
        </c:spPr>
        <c:marker>
          <c:symbol val="none"/>
        </c:marker>
      </c:pivotFmt>
      <c:pivotFmt>
        <c:idx val="1"/>
        <c:spPr>
          <a:solidFill>
            <a:schemeClr val="accent1"/>
          </a:solidFill>
          <a:ln w="25400">
            <a:noFill/>
          </a:ln>
          <a:effectLst/>
        </c:spPr>
        <c:marker>
          <c:symbol val="none"/>
        </c:marker>
      </c:pivotFmt>
      <c:pivotFmt>
        <c:idx val="2"/>
        <c:spPr>
          <a:solidFill>
            <a:schemeClr val="accent1"/>
          </a:solidFill>
          <a:ln w="25400">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s>
    <c:plotArea>
      <c:layout>
        <c:manualLayout>
          <c:layoutTarget val="inner"/>
          <c:xMode val="edge"/>
          <c:yMode val="edge"/>
          <c:x val="0.1495581369160538"/>
          <c:y val="4.0404040404040407E-2"/>
          <c:w val="0.7306301811283491"/>
          <c:h val="0.61950615677172582"/>
        </c:manualLayout>
      </c:layout>
      <c:areaChart>
        <c:grouping val="stacked"/>
        <c:varyColors val="0"/>
        <c:ser>
          <c:idx val="0"/>
          <c:order val="0"/>
          <c:tx>
            <c:strRef>
              <c:f>'Expen graph'!$B$3:$B$4</c:f>
              <c:strCache>
                <c:ptCount val="1"/>
                <c:pt idx="0">
                  <c:v>MODAFINIL</c:v>
                </c:pt>
              </c:strCache>
            </c:strRef>
          </c:tx>
          <c:spPr>
            <a:solidFill>
              <a:srgbClr val="F79646">
                <a:lumMod val="75000"/>
              </a:srgbClr>
            </a:solidFill>
            <a:ln>
              <a:solidFill>
                <a:srgbClr val="F79646">
                  <a:lumMod val="75000"/>
                </a:srgbClr>
              </a:solidFill>
            </a:ln>
            <a:effectLst/>
          </c:spPr>
          <c:cat>
            <c:strRef>
              <c:f>'Expen graph'!$A$5:$A$21</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'Expen graph'!$B$5:$B$21</c:f>
              <c:numCache>
                <c:formatCode>General</c:formatCode>
                <c:ptCount val="16"/>
                <c:pt idx="0">
                  <c:v>939750.47999999986</c:v>
                </c:pt>
                <c:pt idx="1">
                  <c:v>1031188.1399999998</c:v>
                </c:pt>
                <c:pt idx="2">
                  <c:v>1057478.99</c:v>
                </c:pt>
                <c:pt idx="3">
                  <c:v>1190858.7200000002</c:v>
                </c:pt>
                <c:pt idx="4">
                  <c:v>1124277.92</c:v>
                </c:pt>
                <c:pt idx="5">
                  <c:v>997765.48</c:v>
                </c:pt>
                <c:pt idx="6">
                  <c:v>1015964.59</c:v>
                </c:pt>
                <c:pt idx="7">
                  <c:v>1109188.1300000001</c:v>
                </c:pt>
                <c:pt idx="8">
                  <c:v>961000.10000000009</c:v>
                </c:pt>
                <c:pt idx="9">
                  <c:v>989913.39</c:v>
                </c:pt>
                <c:pt idx="10">
                  <c:v>1015887.8200000001</c:v>
                </c:pt>
                <c:pt idx="11">
                  <c:v>1074586.3700000001</c:v>
                </c:pt>
                <c:pt idx="12">
                  <c:v>962612.9</c:v>
                </c:pt>
                <c:pt idx="13">
                  <c:v>1000897.7499999999</c:v>
                </c:pt>
                <c:pt idx="14">
                  <c:v>1023966.75</c:v>
                </c:pt>
                <c:pt idx="15">
                  <c:v>917552.89</c:v>
                </c:pt>
              </c:numCache>
            </c:numRef>
          </c:val>
          <c:extLst>
            <c:ext xmlns:c16="http://schemas.microsoft.com/office/drawing/2014/chart" uri="{C3380CC4-5D6E-409C-BE32-E72D297353CC}">
              <c16:uniqueId val="{00000000-84C9-4574-8537-93FB36934D56}"/>
            </c:ext>
          </c:extLst>
        </c:ser>
        <c:ser>
          <c:idx val="1"/>
          <c:order val="1"/>
          <c:tx>
            <c:strRef>
              <c:f>'Expen graph'!$C$3:$C$4</c:f>
              <c:strCache>
                <c:ptCount val="1"/>
                <c:pt idx="0">
                  <c:v>DEXAMFETAMINE</c:v>
                </c:pt>
              </c:strCache>
            </c:strRef>
          </c:tx>
          <c:spPr>
            <a:solidFill>
              <a:srgbClr val="4F81BD"/>
            </a:solidFill>
            <a:ln>
              <a:solidFill>
                <a:srgbClr val="4F81BD"/>
              </a:solidFill>
            </a:ln>
            <a:effectLst/>
          </c:spPr>
          <c:cat>
            <c:strRef>
              <c:f>'Expen graph'!$A$5:$A$21</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'Expen graph'!$C$5:$C$21</c:f>
              <c:numCache>
                <c:formatCode>General</c:formatCode>
                <c:ptCount val="16"/>
                <c:pt idx="0">
                  <c:v>46387.64</c:v>
                </c:pt>
                <c:pt idx="1">
                  <c:v>48025.01</c:v>
                </c:pt>
                <c:pt idx="2">
                  <c:v>69714.400000000009</c:v>
                </c:pt>
                <c:pt idx="3">
                  <c:v>77179.56</c:v>
                </c:pt>
                <c:pt idx="4">
                  <c:v>62779.129999999983</c:v>
                </c:pt>
                <c:pt idx="5">
                  <c:v>63756.739999999991</c:v>
                </c:pt>
                <c:pt idx="6">
                  <c:v>66932.13</c:v>
                </c:pt>
                <c:pt idx="7">
                  <c:v>75994.070000000036</c:v>
                </c:pt>
                <c:pt idx="8">
                  <c:v>62824.049999999996</c:v>
                </c:pt>
                <c:pt idx="9">
                  <c:v>64573.200000000012</c:v>
                </c:pt>
                <c:pt idx="10">
                  <c:v>69849.979999999981</c:v>
                </c:pt>
                <c:pt idx="11">
                  <c:v>81685.009999999995</c:v>
                </c:pt>
                <c:pt idx="12">
                  <c:v>65935.989999999991</c:v>
                </c:pt>
                <c:pt idx="13">
                  <c:v>67753.709999999992</c:v>
                </c:pt>
                <c:pt idx="14">
                  <c:v>69227.420000000042</c:v>
                </c:pt>
                <c:pt idx="15">
                  <c:v>81581.139999999985</c:v>
                </c:pt>
              </c:numCache>
            </c:numRef>
          </c:val>
          <c:extLst>
            <c:ext xmlns:c16="http://schemas.microsoft.com/office/drawing/2014/chart" uri="{C3380CC4-5D6E-409C-BE32-E72D297353CC}">
              <c16:uniqueId val="{00000001-84C9-4574-8537-93FB36934D56}"/>
            </c:ext>
          </c:extLst>
        </c:ser>
        <c:ser>
          <c:idx val="2"/>
          <c:order val="2"/>
          <c:tx>
            <c:strRef>
              <c:f>'Expen graph'!$D$3:$D$4</c:f>
              <c:strCache>
                <c:ptCount val="1"/>
                <c:pt idx="0">
                  <c:v>ARMODAFINIL</c:v>
                </c:pt>
              </c:strCache>
            </c:strRef>
          </c:tx>
          <c:spPr>
            <a:solidFill>
              <a:sysClr val="window" lastClr="FFFFFF">
                <a:lumMod val="50000"/>
              </a:sysClr>
            </a:solidFill>
            <a:ln>
              <a:solidFill>
                <a:sysClr val="window" lastClr="FFFFFF">
                  <a:lumMod val="50000"/>
                </a:sysClr>
              </a:solidFill>
            </a:ln>
            <a:effectLst/>
          </c:spPr>
          <c:cat>
            <c:strRef>
              <c:f>'Expen graph'!$A$5:$A$21</c:f>
              <c:strCache>
                <c:ptCount val="16"/>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strCache>
            </c:strRef>
          </c:cat>
          <c:val>
            <c:numRef>
              <c:f>'Expen graph'!$D$5:$D$21</c:f>
              <c:numCache>
                <c:formatCode>General</c:formatCode>
                <c:ptCount val="16"/>
                <c:pt idx="7">
                  <c:v>36244.630000000012</c:v>
                </c:pt>
                <c:pt idx="8">
                  <c:v>155083.68</c:v>
                </c:pt>
                <c:pt idx="9">
                  <c:v>250931.46</c:v>
                </c:pt>
                <c:pt idx="10">
                  <c:v>322926.19</c:v>
                </c:pt>
                <c:pt idx="11">
                  <c:v>393908.89000000007</c:v>
                </c:pt>
                <c:pt idx="12">
                  <c:v>396697.76</c:v>
                </c:pt>
                <c:pt idx="13">
                  <c:v>471210.42000000016</c:v>
                </c:pt>
                <c:pt idx="14">
                  <c:v>526389.62999999989</c:v>
                </c:pt>
                <c:pt idx="15">
                  <c:v>605342.31999999995</c:v>
                </c:pt>
              </c:numCache>
            </c:numRef>
          </c:val>
          <c:extLst>
            <c:ext xmlns:c16="http://schemas.microsoft.com/office/drawing/2014/chart" uri="{C3380CC4-5D6E-409C-BE32-E72D297353CC}">
              <c16:uniqueId val="{00000002-84C9-4574-8537-93FB36934D56}"/>
            </c:ext>
          </c:extLst>
        </c:ser>
        <c:dLbls>
          <c:showLegendKey val="0"/>
          <c:showVal val="0"/>
          <c:showCatName val="0"/>
          <c:showSerName val="0"/>
          <c:showPercent val="0"/>
          <c:showBubbleSize val="0"/>
        </c:dLbls>
        <c:axId val="574542144"/>
        <c:axId val="574542472"/>
      </c:areaChart>
      <c:catAx>
        <c:axId val="574542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Quarter of supply</a:t>
                </a:r>
              </a:p>
            </c:rich>
          </c:tx>
          <c:layout>
            <c:manualLayout>
              <c:xMode val="edge"/>
              <c:yMode val="edge"/>
              <c:x val="0.3996599187477804"/>
              <c:y val="0.805218397287115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542472"/>
        <c:crosses val="autoZero"/>
        <c:auto val="1"/>
        <c:lblAlgn val="ctr"/>
        <c:lblOffset val="100"/>
        <c:noMultiLvlLbl val="0"/>
      </c:catAx>
      <c:valAx>
        <c:axId val="574542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Expenditure</a:t>
                </a:r>
              </a:p>
            </c:rich>
          </c:tx>
          <c:layout>
            <c:manualLayout>
              <c:xMode val="edge"/>
              <c:yMode val="edge"/>
              <c:x val="1.1001100110011002E-2"/>
              <c:y val="0.26326081140683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542144"/>
        <c:crosses val="autoZero"/>
        <c:crossBetween val="midCat"/>
      </c:valAx>
      <c:spPr>
        <a:noFill/>
        <a:ln>
          <a:noFill/>
        </a:ln>
        <a:effectLst/>
      </c:spPr>
    </c:plotArea>
    <c:legend>
      <c:legendPos val="r"/>
      <c:layout>
        <c:manualLayout>
          <c:xMode val="edge"/>
          <c:yMode val="edge"/>
          <c:x val="9.4198348968755147E-2"/>
          <c:y val="0.87718010455304662"/>
          <c:w val="0.87059813067920966"/>
          <c:h val="0.119836012234007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454D-523D-4B1E-B19F-C2D54BE6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5233</Words>
  <Characters>29832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2019-09-03T03:59:00Z</dcterms:created>
  <dcterms:modified xsi:type="dcterms:W3CDTF">2019-10-25T01:08:00Z</dcterms:modified>
</cp:coreProperties>
</file>