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3C130" w14:textId="4C7DCD8E" w:rsidR="00832324" w:rsidRDefault="00B74C14" w:rsidP="00F73113">
      <w:pPr>
        <w:pStyle w:val="Title"/>
      </w:pPr>
      <w:proofErr w:type="spellStart"/>
      <w:r>
        <w:t>GnRH</w:t>
      </w:r>
      <w:proofErr w:type="spellEnd"/>
      <w:r>
        <w:t xml:space="preserve"> Agonists</w:t>
      </w:r>
      <w:r w:rsidR="001C4016">
        <w:t xml:space="preserve">: </w:t>
      </w:r>
      <w:r w:rsidR="00BC5DA5">
        <w:t>Utilisation analysis</w:t>
      </w:r>
      <w:r w:rsidR="001C4016">
        <w:t xml:space="preserve"> </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2C919584" w:rsidR="009053D3" w:rsidRPr="00F73113" w:rsidRDefault="00B74C14" w:rsidP="00F73113">
      <w:pPr>
        <w:pStyle w:val="Meetingdate"/>
      </w:pPr>
      <w:r>
        <w:t>June 2019</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70A05845" w14:textId="4764359D" w:rsidR="005C6661" w:rsidRDefault="00BC5DA5" w:rsidP="00BC5DA5">
      <w:r w:rsidRPr="00BC5DA5">
        <w:t xml:space="preserve">To review the utilisation of </w:t>
      </w:r>
      <w:r w:rsidR="00F25472">
        <w:t xml:space="preserve">gonadotrophin-releasing hormone </w:t>
      </w:r>
      <w:r>
        <w:t>(</w:t>
      </w:r>
      <w:proofErr w:type="spellStart"/>
      <w:r>
        <w:t>GnRH</w:t>
      </w:r>
      <w:proofErr w:type="spellEnd"/>
      <w:r>
        <w:t xml:space="preserve">) agonists </w:t>
      </w:r>
      <w:r w:rsidRPr="00BC5DA5">
        <w:t xml:space="preserve">for the treatment of </w:t>
      </w:r>
      <w:r>
        <w:t>carcinoma of the prostate, central precocious puberty, breast cancer, endometriosis, and anticipated premature ovarian failure</w:t>
      </w:r>
      <w:r w:rsidRPr="00BC5DA5">
        <w:t>.</w:t>
      </w:r>
      <w:r w:rsidR="00404F03">
        <w:rPr>
          <w:highlight w:val="yellow"/>
        </w:rPr>
        <w:t xml:space="preserve"> </w:t>
      </w:r>
    </w:p>
    <w:p w14:paraId="36A14EBE" w14:textId="77777777" w:rsidR="005D0513" w:rsidRPr="005D0513" w:rsidRDefault="005D0513" w:rsidP="005D0513">
      <w:pPr>
        <w:pStyle w:val="Heading3"/>
      </w:pPr>
      <w:r w:rsidRPr="005D0513" w:rsidDel="00EE2BBB">
        <w:t>Date of listing on PBS</w:t>
      </w:r>
    </w:p>
    <w:p w14:paraId="6556A0C5" w14:textId="3E842748" w:rsidR="005D0513" w:rsidRPr="006762F1" w:rsidRDefault="00DB250B" w:rsidP="006762F1">
      <w:proofErr w:type="spellStart"/>
      <w:r w:rsidRPr="005D0513">
        <w:t>Leuprorelin</w:t>
      </w:r>
      <w:proofErr w:type="spellEnd"/>
      <w:r>
        <w:t>:</w:t>
      </w:r>
      <w:r w:rsidRPr="005D0513">
        <w:tab/>
      </w:r>
      <w:r>
        <w:t>1 August 1986</w:t>
      </w:r>
      <w:r>
        <w:br/>
      </w:r>
      <w:proofErr w:type="spellStart"/>
      <w:r w:rsidR="005D0513" w:rsidRPr="005D0513">
        <w:t>Goserelin</w:t>
      </w:r>
      <w:proofErr w:type="spellEnd"/>
      <w:r w:rsidR="005D0513">
        <w:t>:</w:t>
      </w:r>
      <w:r w:rsidR="005D0513" w:rsidRPr="005D0513">
        <w:tab/>
      </w:r>
      <w:r w:rsidR="005D0513">
        <w:t xml:space="preserve">1 </w:t>
      </w:r>
      <w:r w:rsidR="00353F09">
        <w:t>April 1989</w:t>
      </w:r>
      <w:r w:rsidR="006762F1">
        <w:br/>
      </w:r>
      <w:proofErr w:type="spellStart"/>
      <w:r w:rsidR="005D0513" w:rsidRPr="005D0513">
        <w:t>Nafarelin</w:t>
      </w:r>
      <w:proofErr w:type="spellEnd"/>
      <w:r w:rsidR="005D0513">
        <w:t>:</w:t>
      </w:r>
      <w:r w:rsidR="005D0513">
        <w:tab/>
        <w:t>1 October 1994</w:t>
      </w:r>
      <w:r w:rsidR="009F43FE" w:rsidRPr="009F43FE">
        <w:t xml:space="preserve"> </w:t>
      </w:r>
      <w:r w:rsidR="009F43FE">
        <w:br/>
      </w:r>
      <w:proofErr w:type="spellStart"/>
      <w:r w:rsidR="009F43FE">
        <w:t>Triptorelin</w:t>
      </w:r>
      <w:proofErr w:type="spellEnd"/>
      <w:r w:rsidR="009F43FE">
        <w:t>:</w:t>
      </w:r>
      <w:r w:rsidR="009F43FE">
        <w:tab/>
        <w:t>1 February 2009</w:t>
      </w:r>
    </w:p>
    <w:p w14:paraId="526743BB" w14:textId="77777777" w:rsidR="005C6661" w:rsidRDefault="005C6661" w:rsidP="00CF5E22">
      <w:pPr>
        <w:pStyle w:val="Heading3"/>
      </w:pPr>
      <w:r>
        <w:t>Data Source / methodology</w:t>
      </w:r>
    </w:p>
    <w:p w14:paraId="5E9E2FBA" w14:textId="44587E46" w:rsidR="005C6661" w:rsidRDefault="00BC5DA5" w:rsidP="005C6661">
      <w:pPr>
        <w:pStyle w:val="NoSpacing"/>
      </w:pPr>
      <w:r w:rsidRPr="00BC5DA5">
        <w:t xml:space="preserve">The analysis used </w:t>
      </w:r>
      <w:r w:rsidR="006D674C" w:rsidRPr="006D674C">
        <w:t xml:space="preserve">Pharmaceutical Benefits Scheme (PBS) prescription data for prescriptions supplied from 1 </w:t>
      </w:r>
      <w:r w:rsidR="006D674C">
        <w:t>January 2014 to 31 December 201</w:t>
      </w:r>
      <w:r w:rsidR="00646F78">
        <w:t>8</w:t>
      </w:r>
      <w:r w:rsidR="006D674C">
        <w:t>.</w:t>
      </w:r>
    </w:p>
    <w:p w14:paraId="7599E7C1" w14:textId="77777777" w:rsidR="005C6661" w:rsidRDefault="005C6661" w:rsidP="00CF5E22">
      <w:pPr>
        <w:pStyle w:val="Heading3"/>
      </w:pPr>
      <w:r>
        <w:t>Key Findings</w:t>
      </w:r>
    </w:p>
    <w:p w14:paraId="38E37F29" w14:textId="4B18DDC4" w:rsidR="00A86C91" w:rsidRDefault="00A86C91" w:rsidP="005C6661">
      <w:pPr>
        <w:pStyle w:val="NoSpacing"/>
        <w:numPr>
          <w:ilvl w:val="0"/>
          <w:numId w:val="1"/>
        </w:numPr>
      </w:pPr>
      <w:r>
        <w:t xml:space="preserve">The </w:t>
      </w:r>
      <w:r w:rsidR="006053A7">
        <w:t xml:space="preserve">total </w:t>
      </w:r>
      <w:r>
        <w:t>number of prescriptions dispens</w:t>
      </w:r>
      <w:r w:rsidR="002229E4">
        <w:t xml:space="preserve">ed </w:t>
      </w:r>
      <w:r w:rsidR="006053A7">
        <w:t xml:space="preserve">for </w:t>
      </w:r>
      <w:proofErr w:type="spellStart"/>
      <w:r w:rsidR="006053A7">
        <w:t>GnRH</w:t>
      </w:r>
      <w:proofErr w:type="spellEnd"/>
      <w:r w:rsidR="006053A7">
        <w:t xml:space="preserve"> agonists</w:t>
      </w:r>
      <w:r w:rsidR="002229E4">
        <w:t xml:space="preserve"> is growing</w:t>
      </w:r>
      <w:r w:rsidR="00BA2290">
        <w:t>. H</w:t>
      </w:r>
      <w:r w:rsidR="002229E4">
        <w:t>owever</w:t>
      </w:r>
      <w:r w:rsidR="00BA2290">
        <w:t>,</w:t>
      </w:r>
      <w:r w:rsidR="002229E4">
        <w:t xml:space="preserve"> due to a price decrease </w:t>
      </w:r>
      <w:r w:rsidR="00BA2290">
        <w:t xml:space="preserve">that </w:t>
      </w:r>
      <w:r w:rsidR="00C75ADD">
        <w:t xml:space="preserve">applied to products </w:t>
      </w:r>
      <w:r w:rsidR="00C75ADD" w:rsidRPr="00A90215">
        <w:t xml:space="preserve">containing </w:t>
      </w:r>
      <w:proofErr w:type="spellStart"/>
      <w:r w:rsidR="00C75ADD" w:rsidRPr="00A90215">
        <w:t>goserelin</w:t>
      </w:r>
      <w:proofErr w:type="spellEnd"/>
      <w:r w:rsidR="00C75ADD" w:rsidRPr="00A90215">
        <w:t xml:space="preserve"> and </w:t>
      </w:r>
      <w:proofErr w:type="spellStart"/>
      <w:r w:rsidR="00C75ADD" w:rsidRPr="00A90215">
        <w:t>leuprorelin</w:t>
      </w:r>
      <w:proofErr w:type="spellEnd"/>
      <w:r w:rsidR="00C75ADD" w:rsidRPr="00A90215">
        <w:t xml:space="preserve"> </w:t>
      </w:r>
      <w:r w:rsidR="002229E4">
        <w:t>on 1 June 2018</w:t>
      </w:r>
      <w:r w:rsidR="00BA2290">
        <w:t>,</w:t>
      </w:r>
      <w:r w:rsidR="002229E4">
        <w:t xml:space="preserve"> the cost to government in 2018 was less than in 2017.</w:t>
      </w:r>
    </w:p>
    <w:p w14:paraId="4CBB24AA" w14:textId="42CFE246" w:rsidR="00C75ADD" w:rsidRDefault="00C75ADD" w:rsidP="00C75ADD">
      <w:pPr>
        <w:pStyle w:val="NoSpacing"/>
        <w:numPr>
          <w:ilvl w:val="0"/>
          <w:numId w:val="1"/>
        </w:numPr>
      </w:pPr>
      <w:r>
        <w:t>Majority of prescriptions (70% in 2018) were supplied to male patients.</w:t>
      </w:r>
    </w:p>
    <w:p w14:paraId="013B8A7D" w14:textId="1139670E" w:rsidR="005C6661" w:rsidRDefault="0078639D" w:rsidP="005C6661">
      <w:pPr>
        <w:pStyle w:val="NoSpacing"/>
        <w:numPr>
          <w:ilvl w:val="0"/>
          <w:numId w:val="1"/>
        </w:numPr>
      </w:pPr>
      <w:r>
        <w:t xml:space="preserve">There were </w:t>
      </w:r>
      <w:r w:rsidR="00847EB3">
        <w:t>46,739</w:t>
      </w:r>
      <w:r>
        <w:t xml:space="preserve"> patients treated with </w:t>
      </w:r>
      <w:proofErr w:type="spellStart"/>
      <w:r>
        <w:t>GnRH</w:t>
      </w:r>
      <w:proofErr w:type="spellEnd"/>
      <w:r>
        <w:t xml:space="preserve"> agonists in 2018</w:t>
      </w:r>
      <w:r w:rsidR="00C75ADD">
        <w:t>, approximately 80% of patients treated in 2018 were male</w:t>
      </w:r>
      <w:r>
        <w:t>.</w:t>
      </w:r>
    </w:p>
    <w:p w14:paraId="3B1F5566" w14:textId="14007349" w:rsidR="0078639D" w:rsidRPr="0037727E" w:rsidRDefault="009A121C" w:rsidP="005C6661">
      <w:pPr>
        <w:pStyle w:val="NoSpacing"/>
        <w:numPr>
          <w:ilvl w:val="0"/>
          <w:numId w:val="1"/>
        </w:numPr>
      </w:pPr>
      <w:r>
        <w:t>Length of treatment analysis show</w:t>
      </w:r>
      <w:r w:rsidR="00CD23F0">
        <w:t>ed</w:t>
      </w:r>
      <w:r>
        <w:t xml:space="preserve"> approximately 80% of patients </w:t>
      </w:r>
      <w:r w:rsidR="00CD23F0">
        <w:t xml:space="preserve">identified as being </w:t>
      </w:r>
      <w:r>
        <w:t>treated for endometriosis are treated for no more than six months.</w:t>
      </w:r>
    </w:p>
    <w:p w14:paraId="38B57ECC" w14:textId="77777777" w:rsidR="00BB0D1A" w:rsidRDefault="00BB0D1A">
      <w:pPr>
        <w:spacing w:line="276" w:lineRule="auto"/>
        <w:rPr>
          <w:rFonts w:eastAsiaTheme="majorEastAsia" w:cstheme="majorBidi"/>
          <w:b/>
          <w:bCs/>
          <w:sz w:val="32"/>
          <w:szCs w:val="26"/>
        </w:rPr>
      </w:pPr>
      <w:r>
        <w:br w:type="page"/>
      </w:r>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2E68A6F8" w14:textId="27B06B5B" w:rsidR="004E0D4E" w:rsidRDefault="006D674C" w:rsidP="004E0D4E">
      <w:r w:rsidRPr="00BC5DA5">
        <w:t xml:space="preserve">To review the utilisation of </w:t>
      </w:r>
      <w:r w:rsidR="002B654E">
        <w:t xml:space="preserve">gonadotrophin-releasing hormone </w:t>
      </w:r>
      <w:r>
        <w:t>(</w:t>
      </w:r>
      <w:proofErr w:type="spellStart"/>
      <w:r>
        <w:t>GnRH</w:t>
      </w:r>
      <w:proofErr w:type="spellEnd"/>
      <w:r>
        <w:t xml:space="preserve">) agonists </w:t>
      </w:r>
      <w:r w:rsidRPr="00BC5DA5">
        <w:t xml:space="preserve">for the treatment of </w:t>
      </w:r>
      <w:r>
        <w:t xml:space="preserve">carcinoma of the prostate, central precocious puberty, breast cancer, endometriosis, and anticipated premature ovarian </w:t>
      </w:r>
      <w:r w:rsidRPr="004E0D4E">
        <w:t xml:space="preserve">failure. </w:t>
      </w:r>
    </w:p>
    <w:p w14:paraId="6D5A6066" w14:textId="64B4E1AE" w:rsidR="006D674C" w:rsidRDefault="004E0D4E" w:rsidP="004E0D4E">
      <w:r w:rsidRPr="004E0D4E">
        <w:t xml:space="preserve">At its February 2019 meeting DUSC noted the use of </w:t>
      </w:r>
      <w:proofErr w:type="spellStart"/>
      <w:r w:rsidRPr="004E0D4E">
        <w:t>GnRH</w:t>
      </w:r>
      <w:proofErr w:type="spellEnd"/>
      <w:r w:rsidRPr="004E0D4E">
        <w:t xml:space="preserve"> agonists ha</w:t>
      </w:r>
      <w:r w:rsidR="003E5070">
        <w:t>d</w:t>
      </w:r>
      <w:r w:rsidRPr="004E0D4E">
        <w:t xml:space="preserve"> increased since the change</w:t>
      </w:r>
      <w:r>
        <w:t xml:space="preserve"> of the restrictions from Authority Required and Authority Required (S</w:t>
      </w:r>
      <w:r w:rsidR="00E40564">
        <w:t>TREAMLINED</w:t>
      </w:r>
      <w:r>
        <w:t>) listings to Restricted Benefits</w:t>
      </w:r>
      <w:r w:rsidR="009C7C61">
        <w:t xml:space="preserve"> (from 1 May 2015 for </w:t>
      </w:r>
      <w:proofErr w:type="spellStart"/>
      <w:r w:rsidR="009C7C61">
        <w:t>goserelin</w:t>
      </w:r>
      <w:proofErr w:type="spellEnd"/>
      <w:r w:rsidR="009C7C61">
        <w:t xml:space="preserve"> and from 1</w:t>
      </w:r>
      <w:r w:rsidR="0037727E">
        <w:t> </w:t>
      </w:r>
      <w:r w:rsidR="009C7C61">
        <w:t xml:space="preserve">October 2016 for </w:t>
      </w:r>
      <w:proofErr w:type="spellStart"/>
      <w:r w:rsidR="0037727E">
        <w:t>l</w:t>
      </w:r>
      <w:r w:rsidR="009C7C61">
        <w:t>euprorelin</w:t>
      </w:r>
      <w:proofErr w:type="spellEnd"/>
      <w:r w:rsidR="009C7C61">
        <w:t xml:space="preserve">, </w:t>
      </w:r>
      <w:proofErr w:type="spellStart"/>
      <w:r w:rsidR="009C7C61">
        <w:t>triptorelin</w:t>
      </w:r>
      <w:proofErr w:type="spellEnd"/>
      <w:r w:rsidR="009C7C61">
        <w:t xml:space="preserve"> and </w:t>
      </w:r>
      <w:proofErr w:type="spellStart"/>
      <w:r w:rsidR="009C7C61">
        <w:t>nafarelin</w:t>
      </w:r>
      <w:proofErr w:type="spellEnd"/>
      <w:r w:rsidR="009C7C61">
        <w:t>)</w:t>
      </w:r>
      <w:r>
        <w:t>.</w:t>
      </w:r>
    </w:p>
    <w:p w14:paraId="0A7F0B57" w14:textId="504BEB39" w:rsidR="006537D9" w:rsidRPr="005E22C2" w:rsidRDefault="00736041" w:rsidP="00CF5E22">
      <w:pPr>
        <w:pStyle w:val="Heading1"/>
      </w:pPr>
      <w:r w:rsidRPr="005E22C2">
        <w:t>Background</w:t>
      </w:r>
    </w:p>
    <w:p w14:paraId="2C748275" w14:textId="77777777" w:rsidR="00EE2BBB" w:rsidRPr="007247B9" w:rsidRDefault="00EE2BBB" w:rsidP="00EE2BBB">
      <w:pPr>
        <w:pStyle w:val="Heading2"/>
      </w:pPr>
      <w:r w:rsidRPr="007247B9">
        <w:t>Clinical situation</w:t>
      </w:r>
    </w:p>
    <w:p w14:paraId="1E65D4C2" w14:textId="3D71712F" w:rsidR="00C8730E" w:rsidRDefault="00C25F3E" w:rsidP="00773785">
      <w:pPr>
        <w:spacing w:after="0"/>
        <w:contextualSpacing/>
      </w:pPr>
      <w:proofErr w:type="spellStart"/>
      <w:r>
        <w:t>GnRH</w:t>
      </w:r>
      <w:proofErr w:type="spellEnd"/>
      <w:r>
        <w:t xml:space="preserve"> </w:t>
      </w:r>
      <w:r w:rsidR="00E73B20">
        <w:t>a</w:t>
      </w:r>
      <w:r>
        <w:t xml:space="preserve">gonists </w:t>
      </w:r>
      <w:r>
        <w:rPr>
          <w:rFonts w:cs="Calibri"/>
          <w:color w:val="000000"/>
        </w:rPr>
        <w:t>(</w:t>
      </w:r>
      <w:proofErr w:type="spellStart"/>
      <w:r>
        <w:rPr>
          <w:rFonts w:cs="Calibri"/>
          <w:color w:val="000000"/>
        </w:rPr>
        <w:t>goserelin</w:t>
      </w:r>
      <w:proofErr w:type="spellEnd"/>
      <w:r>
        <w:rPr>
          <w:rFonts w:cs="Calibri"/>
          <w:color w:val="000000"/>
        </w:rPr>
        <w:t xml:space="preserve">, </w:t>
      </w:r>
      <w:proofErr w:type="spellStart"/>
      <w:r>
        <w:rPr>
          <w:rFonts w:cs="Calibri"/>
          <w:color w:val="000000"/>
        </w:rPr>
        <w:t>leuprorelin</w:t>
      </w:r>
      <w:proofErr w:type="spellEnd"/>
      <w:r>
        <w:rPr>
          <w:rFonts w:cs="Calibri"/>
          <w:color w:val="000000"/>
        </w:rPr>
        <w:t xml:space="preserve">, </w:t>
      </w:r>
      <w:proofErr w:type="spellStart"/>
      <w:r w:rsidR="00613164">
        <w:rPr>
          <w:rFonts w:cs="Calibri"/>
          <w:color w:val="000000"/>
        </w:rPr>
        <w:t>triptorelin</w:t>
      </w:r>
      <w:proofErr w:type="spellEnd"/>
      <w:r w:rsidR="00613164">
        <w:rPr>
          <w:rFonts w:cs="Calibri"/>
          <w:color w:val="000000"/>
        </w:rPr>
        <w:t xml:space="preserve">, </w:t>
      </w:r>
      <w:proofErr w:type="spellStart"/>
      <w:r>
        <w:rPr>
          <w:rFonts w:cs="Calibri"/>
          <w:color w:val="000000"/>
        </w:rPr>
        <w:t>nafarelin</w:t>
      </w:r>
      <w:proofErr w:type="spellEnd"/>
      <w:r>
        <w:rPr>
          <w:rFonts w:cs="Calibri"/>
          <w:color w:val="000000"/>
        </w:rPr>
        <w:t>)</w:t>
      </w:r>
      <w:r w:rsidRPr="00330ADB">
        <w:rPr>
          <w:rFonts w:cs="Calibri"/>
          <w:color w:val="000000"/>
        </w:rPr>
        <w:t xml:space="preserve"> </w:t>
      </w:r>
      <w:r>
        <w:t>are used in the treatment of:</w:t>
      </w:r>
    </w:p>
    <w:p w14:paraId="49388F50" w14:textId="77777777" w:rsidR="00C25F3E" w:rsidRDefault="00C25F3E" w:rsidP="00773785">
      <w:pPr>
        <w:pStyle w:val="ListParagraph"/>
        <w:numPr>
          <w:ilvl w:val="0"/>
          <w:numId w:val="4"/>
        </w:numPr>
        <w:spacing w:after="0"/>
        <w:rPr>
          <w:rFonts w:cs="Calibri"/>
          <w:color w:val="000000"/>
        </w:rPr>
      </w:pPr>
      <w:r w:rsidRPr="00C25F3E">
        <w:rPr>
          <w:rFonts w:cs="Calibri"/>
          <w:color w:val="000000"/>
        </w:rPr>
        <w:t xml:space="preserve">carcinoma of the prostate, </w:t>
      </w:r>
    </w:p>
    <w:p w14:paraId="6DABAB8D" w14:textId="77777777" w:rsidR="00C25F3E" w:rsidRDefault="00C25F3E" w:rsidP="00C25F3E">
      <w:pPr>
        <w:pStyle w:val="ListParagraph"/>
        <w:numPr>
          <w:ilvl w:val="0"/>
          <w:numId w:val="4"/>
        </w:numPr>
        <w:rPr>
          <w:rFonts w:cs="Calibri"/>
          <w:color w:val="000000"/>
        </w:rPr>
      </w:pPr>
      <w:r w:rsidRPr="00C25F3E">
        <w:rPr>
          <w:rFonts w:cs="Calibri"/>
          <w:color w:val="000000"/>
        </w:rPr>
        <w:t xml:space="preserve">central precocious puberty (CPP), </w:t>
      </w:r>
    </w:p>
    <w:p w14:paraId="71E3F621" w14:textId="77777777" w:rsidR="00C25F3E" w:rsidRDefault="00C25F3E" w:rsidP="00C25F3E">
      <w:pPr>
        <w:pStyle w:val="ListParagraph"/>
        <w:numPr>
          <w:ilvl w:val="0"/>
          <w:numId w:val="4"/>
        </w:numPr>
        <w:rPr>
          <w:rFonts w:cs="Calibri"/>
          <w:color w:val="000000"/>
        </w:rPr>
      </w:pPr>
      <w:r w:rsidRPr="00C25F3E">
        <w:rPr>
          <w:rFonts w:cs="Calibri"/>
          <w:color w:val="000000"/>
        </w:rPr>
        <w:t xml:space="preserve">breast cancer, </w:t>
      </w:r>
    </w:p>
    <w:p w14:paraId="396F31C4" w14:textId="77777777" w:rsidR="00C25F3E" w:rsidRDefault="00C25F3E" w:rsidP="00C25F3E">
      <w:pPr>
        <w:pStyle w:val="ListParagraph"/>
        <w:numPr>
          <w:ilvl w:val="0"/>
          <w:numId w:val="4"/>
        </w:numPr>
        <w:rPr>
          <w:rFonts w:cs="Calibri"/>
          <w:color w:val="000000"/>
        </w:rPr>
      </w:pPr>
      <w:r w:rsidRPr="00C25F3E">
        <w:rPr>
          <w:rFonts w:cs="Calibri"/>
          <w:color w:val="000000"/>
        </w:rPr>
        <w:t xml:space="preserve">endometriosis, and </w:t>
      </w:r>
    </w:p>
    <w:p w14:paraId="5ADF2238" w14:textId="404C0D3E" w:rsidR="00C25F3E" w:rsidRPr="00C25F3E" w:rsidRDefault="00C25F3E" w:rsidP="00C25F3E">
      <w:pPr>
        <w:pStyle w:val="ListParagraph"/>
        <w:numPr>
          <w:ilvl w:val="0"/>
          <w:numId w:val="4"/>
        </w:numPr>
        <w:rPr>
          <w:rFonts w:cs="Calibri"/>
          <w:color w:val="000000"/>
        </w:rPr>
      </w:pPr>
      <w:r w:rsidRPr="00C25F3E">
        <w:rPr>
          <w:rFonts w:cs="Calibri"/>
          <w:color w:val="000000"/>
        </w:rPr>
        <w:t>anticipated premature ovarian failure</w:t>
      </w:r>
      <w:r>
        <w:rPr>
          <w:rFonts w:cs="Calibri"/>
          <w:color w:val="000000"/>
        </w:rPr>
        <w:t>.</w:t>
      </w:r>
    </w:p>
    <w:p w14:paraId="297077A9" w14:textId="7C77A613" w:rsidR="00C25F3E" w:rsidRPr="00E73B20" w:rsidRDefault="00DE7860" w:rsidP="00C8730E">
      <w:proofErr w:type="spellStart"/>
      <w:r w:rsidRPr="00E73B20">
        <w:t>Nafarelin</w:t>
      </w:r>
      <w:proofErr w:type="spellEnd"/>
      <w:r w:rsidR="00F65382">
        <w:t xml:space="preserve"> and </w:t>
      </w:r>
      <w:proofErr w:type="spellStart"/>
      <w:r w:rsidR="00F65382">
        <w:t>triptorelin</w:t>
      </w:r>
      <w:proofErr w:type="spellEnd"/>
      <w:r w:rsidR="00F65382">
        <w:t xml:space="preserve"> are</w:t>
      </w:r>
      <w:r w:rsidR="00E73B20" w:rsidRPr="00E73B20">
        <w:t xml:space="preserve"> also PBS listed for </w:t>
      </w:r>
      <w:r w:rsidR="00E73B20">
        <w:t xml:space="preserve">use in assisted reproduction, </w:t>
      </w:r>
      <w:r w:rsidR="00CC0ACA">
        <w:t>these listings are</w:t>
      </w:r>
      <w:r w:rsidR="00E73B20">
        <w:t xml:space="preserve"> not </w:t>
      </w:r>
      <w:r w:rsidR="008B44CB">
        <w:t xml:space="preserve">considered </w:t>
      </w:r>
      <w:r w:rsidR="00E73B20">
        <w:t>in this review.</w:t>
      </w:r>
    </w:p>
    <w:p w14:paraId="0183A567" w14:textId="413DF87B" w:rsidR="007247B9" w:rsidRDefault="007247B9" w:rsidP="00CF5E22">
      <w:pPr>
        <w:pStyle w:val="Heading2"/>
      </w:pPr>
      <w:r>
        <w:t>Pharmacology</w:t>
      </w:r>
    </w:p>
    <w:p w14:paraId="302D154C" w14:textId="2B901CE3" w:rsidR="004A2EBE" w:rsidRDefault="004A2EBE" w:rsidP="004A2EBE">
      <w:proofErr w:type="spellStart"/>
      <w:r>
        <w:t>GnRH</w:t>
      </w:r>
      <w:proofErr w:type="spellEnd"/>
      <w:r>
        <w:t xml:space="preserve"> agonists are used to lower the amount of sex hormones in the body. In women </w:t>
      </w:r>
      <w:proofErr w:type="spellStart"/>
      <w:r>
        <w:t>GnRH</w:t>
      </w:r>
      <w:proofErr w:type="spellEnd"/>
      <w:r>
        <w:t xml:space="preserve"> agonists (</w:t>
      </w:r>
      <w:proofErr w:type="spellStart"/>
      <w:r>
        <w:rPr>
          <w:rFonts w:cs="Calibri"/>
          <w:color w:val="000000"/>
        </w:rPr>
        <w:t>goserelin</w:t>
      </w:r>
      <w:proofErr w:type="spellEnd"/>
      <w:r>
        <w:rPr>
          <w:rFonts w:cs="Calibri"/>
          <w:color w:val="000000"/>
        </w:rPr>
        <w:t xml:space="preserve"> and </w:t>
      </w:r>
      <w:proofErr w:type="spellStart"/>
      <w:r>
        <w:rPr>
          <w:rFonts w:cs="Calibri"/>
          <w:color w:val="000000"/>
        </w:rPr>
        <w:t>nafarelin</w:t>
      </w:r>
      <w:proofErr w:type="spellEnd"/>
      <w:r>
        <w:rPr>
          <w:rFonts w:cs="Calibri"/>
          <w:color w:val="000000"/>
        </w:rPr>
        <w:t>)</w:t>
      </w:r>
      <w:r>
        <w:t xml:space="preserve"> reduce the level of oestrogen. In men </w:t>
      </w:r>
      <w:proofErr w:type="spellStart"/>
      <w:r>
        <w:t>GnRH</w:t>
      </w:r>
      <w:proofErr w:type="spellEnd"/>
      <w:r>
        <w:t xml:space="preserve"> agonists (</w:t>
      </w:r>
      <w:proofErr w:type="spellStart"/>
      <w:r>
        <w:rPr>
          <w:rFonts w:cs="Calibri"/>
          <w:color w:val="000000"/>
        </w:rPr>
        <w:t>goserelin</w:t>
      </w:r>
      <w:proofErr w:type="spellEnd"/>
      <w:r w:rsidR="00F65382">
        <w:rPr>
          <w:rFonts w:cs="Calibri"/>
          <w:color w:val="000000"/>
        </w:rPr>
        <w:t xml:space="preserve">, </w:t>
      </w:r>
      <w:proofErr w:type="spellStart"/>
      <w:r w:rsidR="00F65382">
        <w:rPr>
          <w:rFonts w:cs="Calibri"/>
          <w:color w:val="000000"/>
        </w:rPr>
        <w:t>triptorelin</w:t>
      </w:r>
      <w:proofErr w:type="spellEnd"/>
      <w:r w:rsidR="00F65382">
        <w:rPr>
          <w:rFonts w:cs="Calibri"/>
          <w:color w:val="000000"/>
        </w:rPr>
        <w:t>,</w:t>
      </w:r>
      <w:r>
        <w:rPr>
          <w:rFonts w:cs="Calibri"/>
          <w:color w:val="000000"/>
        </w:rPr>
        <w:t xml:space="preserve"> and </w:t>
      </w:r>
      <w:proofErr w:type="spellStart"/>
      <w:r>
        <w:rPr>
          <w:rFonts w:cs="Calibri"/>
          <w:color w:val="000000"/>
        </w:rPr>
        <w:t>leuprorelin</w:t>
      </w:r>
      <w:proofErr w:type="spellEnd"/>
      <w:r>
        <w:rPr>
          <w:rFonts w:cs="Calibri"/>
          <w:color w:val="000000"/>
        </w:rPr>
        <w:t xml:space="preserve">) </w:t>
      </w:r>
      <w:r>
        <w:t>reduce the level of testosterone.</w:t>
      </w:r>
      <w:r>
        <w:rPr>
          <w:rStyle w:val="FootnoteReference"/>
        </w:rPr>
        <w:footnoteReference w:id="1"/>
      </w:r>
    </w:p>
    <w:p w14:paraId="02029D8A" w14:textId="77777777" w:rsidR="00450B92" w:rsidRDefault="00450B92">
      <w:pPr>
        <w:spacing w:line="276" w:lineRule="auto"/>
        <w:rPr>
          <w:b/>
          <w:sz w:val="28"/>
        </w:rPr>
      </w:pPr>
      <w:r>
        <w:br w:type="page"/>
      </w:r>
    </w:p>
    <w:p w14:paraId="6AC18C88" w14:textId="53410FA9" w:rsidR="001420B3" w:rsidRPr="005E22C2" w:rsidRDefault="00A52918" w:rsidP="00CF5E22">
      <w:pPr>
        <w:pStyle w:val="Heading2"/>
      </w:pPr>
      <w:r w:rsidRPr="00A52918">
        <w:lastRenderedPageBreak/>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4BEFE17C" w14:textId="3C7C30DF" w:rsidR="008B2522" w:rsidRPr="00082C38" w:rsidDel="00EE2BBB" w:rsidRDefault="008B2522" w:rsidP="008B2522">
      <w:pPr>
        <w:pStyle w:val="Tabletitle"/>
      </w:pPr>
      <w:r>
        <w:t xml:space="preserve">Table </w:t>
      </w:r>
      <w:r w:rsidR="00D9012E">
        <w:t>1</w:t>
      </w:r>
      <w:r>
        <w:t xml:space="preserve">: TGA indications for </w:t>
      </w:r>
      <w:proofErr w:type="spellStart"/>
      <w:r w:rsidR="003F58D0" w:rsidRPr="003F58D0">
        <w:t>GnRH</w:t>
      </w:r>
      <w:proofErr w:type="spellEnd"/>
      <w:r w:rsidR="003F58D0" w:rsidRPr="003F58D0">
        <w:t xml:space="preserve"> agonists</w:t>
      </w:r>
    </w:p>
    <w:tbl>
      <w:tblPr>
        <w:tblStyle w:val="TableGrid"/>
        <w:tblW w:w="9222" w:type="dxa"/>
        <w:tblLook w:val="04A0" w:firstRow="1" w:lastRow="0" w:firstColumn="1" w:lastColumn="0" w:noHBand="0" w:noVBand="1"/>
        <w:tblCaption w:val="TGA indications for GnRH agonists"/>
        <w:tblDescription w:val="TGA indications for GnRH agonists"/>
      </w:tblPr>
      <w:tblGrid>
        <w:gridCol w:w="2154"/>
        <w:gridCol w:w="1073"/>
        <w:gridCol w:w="1300"/>
        <w:gridCol w:w="1189"/>
        <w:gridCol w:w="1313"/>
        <w:gridCol w:w="1136"/>
        <w:gridCol w:w="1057"/>
      </w:tblGrid>
      <w:tr w:rsidR="003F58D0" w:rsidRPr="00082C38" w14:paraId="12E38560" w14:textId="77777777" w:rsidTr="00DC013B">
        <w:trPr>
          <w:tblHeader/>
        </w:trPr>
        <w:tc>
          <w:tcPr>
            <w:tcW w:w="2154" w:type="dxa"/>
            <w:shd w:val="clear" w:color="auto" w:fill="BFBFBF" w:themeFill="background1" w:themeFillShade="BF"/>
            <w:vAlign w:val="center"/>
          </w:tcPr>
          <w:p w14:paraId="4CAA3F38" w14:textId="77777777" w:rsidR="003F58D0" w:rsidRPr="00082C38" w:rsidRDefault="003F58D0" w:rsidP="003F58D0">
            <w:pPr>
              <w:rPr>
                <w:b/>
                <w:sz w:val="20"/>
                <w:szCs w:val="20"/>
              </w:rPr>
            </w:pPr>
            <w:r w:rsidRPr="00082C38">
              <w:rPr>
                <w:b/>
                <w:sz w:val="20"/>
                <w:szCs w:val="20"/>
              </w:rPr>
              <w:t>Indication</w:t>
            </w:r>
          </w:p>
        </w:tc>
        <w:tc>
          <w:tcPr>
            <w:tcW w:w="1073" w:type="dxa"/>
            <w:shd w:val="clear" w:color="auto" w:fill="BFBFBF" w:themeFill="background1" w:themeFillShade="BF"/>
            <w:vAlign w:val="center"/>
          </w:tcPr>
          <w:p w14:paraId="3A4813C5" w14:textId="77777777" w:rsidR="003F58D0" w:rsidRPr="00082C38" w:rsidRDefault="003F58D0" w:rsidP="003F58D0">
            <w:pPr>
              <w:jc w:val="center"/>
              <w:rPr>
                <w:b/>
                <w:sz w:val="20"/>
                <w:szCs w:val="20"/>
              </w:rPr>
            </w:pPr>
            <w:proofErr w:type="spellStart"/>
            <w:r w:rsidRPr="00082C38">
              <w:rPr>
                <w:b/>
                <w:sz w:val="20"/>
                <w:szCs w:val="20"/>
              </w:rPr>
              <w:t>Goserelin</w:t>
            </w:r>
            <w:proofErr w:type="spellEnd"/>
          </w:p>
        </w:tc>
        <w:tc>
          <w:tcPr>
            <w:tcW w:w="1300" w:type="dxa"/>
            <w:shd w:val="clear" w:color="auto" w:fill="BFBFBF" w:themeFill="background1" w:themeFillShade="BF"/>
          </w:tcPr>
          <w:p w14:paraId="0F601BF9" w14:textId="1FBC2EA9" w:rsidR="003F58D0" w:rsidRPr="00082C38" w:rsidRDefault="003F58D0" w:rsidP="003F58D0">
            <w:pPr>
              <w:jc w:val="center"/>
              <w:rPr>
                <w:b/>
                <w:sz w:val="20"/>
                <w:szCs w:val="20"/>
              </w:rPr>
            </w:pPr>
            <w:proofErr w:type="spellStart"/>
            <w:r w:rsidRPr="00082C38">
              <w:rPr>
                <w:b/>
                <w:sz w:val="20"/>
                <w:szCs w:val="20"/>
              </w:rPr>
              <w:t>Goserelin</w:t>
            </w:r>
            <w:proofErr w:type="spellEnd"/>
            <w:r>
              <w:rPr>
                <w:b/>
                <w:sz w:val="20"/>
                <w:szCs w:val="20"/>
              </w:rPr>
              <w:t xml:space="preserve"> &amp; </w:t>
            </w:r>
            <w:proofErr w:type="spellStart"/>
            <w:r w:rsidRPr="003F58D0">
              <w:rPr>
                <w:b/>
                <w:sz w:val="20"/>
                <w:szCs w:val="20"/>
              </w:rPr>
              <w:t>bicalutamide</w:t>
            </w:r>
            <w:proofErr w:type="spellEnd"/>
          </w:p>
        </w:tc>
        <w:tc>
          <w:tcPr>
            <w:tcW w:w="1189" w:type="dxa"/>
            <w:shd w:val="clear" w:color="auto" w:fill="BFBFBF" w:themeFill="background1" w:themeFillShade="BF"/>
            <w:vAlign w:val="center"/>
          </w:tcPr>
          <w:p w14:paraId="7A2B50E4" w14:textId="5B8EC673" w:rsidR="003F58D0" w:rsidRPr="00082C38" w:rsidRDefault="003F58D0" w:rsidP="003F58D0">
            <w:pPr>
              <w:jc w:val="center"/>
              <w:rPr>
                <w:b/>
                <w:sz w:val="20"/>
                <w:szCs w:val="20"/>
              </w:rPr>
            </w:pPr>
            <w:proofErr w:type="spellStart"/>
            <w:r w:rsidRPr="00082C38">
              <w:rPr>
                <w:b/>
                <w:sz w:val="20"/>
                <w:szCs w:val="20"/>
              </w:rPr>
              <w:t>Leupr</w:t>
            </w:r>
            <w:r w:rsidRPr="00082C38">
              <w:rPr>
                <w:rFonts w:cs="Calibri"/>
                <w:b/>
                <w:color w:val="000000"/>
                <w:sz w:val="20"/>
                <w:szCs w:val="20"/>
              </w:rPr>
              <w:t>orelin</w:t>
            </w:r>
            <w:proofErr w:type="spellEnd"/>
          </w:p>
        </w:tc>
        <w:tc>
          <w:tcPr>
            <w:tcW w:w="1313" w:type="dxa"/>
            <w:shd w:val="clear" w:color="auto" w:fill="BFBFBF" w:themeFill="background1" w:themeFillShade="BF"/>
          </w:tcPr>
          <w:p w14:paraId="1CC9C432" w14:textId="11AC4CE5" w:rsidR="003F58D0" w:rsidRDefault="003F58D0" w:rsidP="003F58D0">
            <w:pPr>
              <w:jc w:val="center"/>
              <w:rPr>
                <w:rFonts w:cs="Calibri"/>
                <w:b/>
                <w:color w:val="000000"/>
                <w:sz w:val="20"/>
                <w:szCs w:val="20"/>
              </w:rPr>
            </w:pPr>
            <w:proofErr w:type="spellStart"/>
            <w:r w:rsidRPr="00082C38">
              <w:rPr>
                <w:b/>
                <w:sz w:val="20"/>
                <w:szCs w:val="20"/>
              </w:rPr>
              <w:t>Leupr</w:t>
            </w:r>
            <w:r w:rsidRPr="00082C38">
              <w:rPr>
                <w:rFonts w:cs="Calibri"/>
                <w:b/>
                <w:color w:val="000000"/>
                <w:sz w:val="20"/>
                <w:szCs w:val="20"/>
              </w:rPr>
              <w:t>orelin</w:t>
            </w:r>
            <w:proofErr w:type="spellEnd"/>
            <w:r>
              <w:rPr>
                <w:b/>
                <w:sz w:val="20"/>
                <w:szCs w:val="20"/>
              </w:rPr>
              <w:t xml:space="preserve">&amp; </w:t>
            </w:r>
            <w:proofErr w:type="spellStart"/>
            <w:r w:rsidRPr="003F58D0">
              <w:rPr>
                <w:b/>
                <w:sz w:val="20"/>
                <w:szCs w:val="20"/>
              </w:rPr>
              <w:t>bicalutamide</w:t>
            </w:r>
            <w:proofErr w:type="spellEnd"/>
          </w:p>
        </w:tc>
        <w:tc>
          <w:tcPr>
            <w:tcW w:w="1136" w:type="dxa"/>
            <w:shd w:val="clear" w:color="auto" w:fill="BFBFBF" w:themeFill="background1" w:themeFillShade="BF"/>
            <w:vAlign w:val="center"/>
          </w:tcPr>
          <w:p w14:paraId="23BBA2D4" w14:textId="342223F2" w:rsidR="003F58D0" w:rsidRPr="00082C38" w:rsidRDefault="003F58D0" w:rsidP="003F58D0">
            <w:pPr>
              <w:jc w:val="center"/>
              <w:rPr>
                <w:rFonts w:cs="Calibri"/>
                <w:b/>
                <w:color w:val="000000"/>
                <w:sz w:val="20"/>
                <w:szCs w:val="20"/>
              </w:rPr>
            </w:pPr>
            <w:proofErr w:type="spellStart"/>
            <w:r>
              <w:rPr>
                <w:rFonts w:cs="Calibri"/>
                <w:b/>
                <w:color w:val="000000"/>
                <w:sz w:val="20"/>
                <w:szCs w:val="20"/>
              </w:rPr>
              <w:t>Triptorelin</w:t>
            </w:r>
            <w:proofErr w:type="spellEnd"/>
          </w:p>
        </w:tc>
        <w:tc>
          <w:tcPr>
            <w:tcW w:w="1057" w:type="dxa"/>
            <w:shd w:val="clear" w:color="auto" w:fill="BFBFBF" w:themeFill="background1" w:themeFillShade="BF"/>
            <w:vAlign w:val="center"/>
          </w:tcPr>
          <w:p w14:paraId="6ACB4358" w14:textId="59A106C1" w:rsidR="003F58D0" w:rsidRPr="00082C38" w:rsidRDefault="003F58D0" w:rsidP="003F58D0">
            <w:pPr>
              <w:jc w:val="center"/>
              <w:rPr>
                <w:b/>
                <w:sz w:val="20"/>
                <w:szCs w:val="20"/>
              </w:rPr>
            </w:pPr>
            <w:proofErr w:type="spellStart"/>
            <w:r w:rsidRPr="00082C38">
              <w:rPr>
                <w:rFonts w:cs="Calibri"/>
                <w:b/>
                <w:color w:val="000000"/>
                <w:sz w:val="20"/>
                <w:szCs w:val="20"/>
              </w:rPr>
              <w:t>Nafarelin</w:t>
            </w:r>
            <w:proofErr w:type="spellEnd"/>
          </w:p>
        </w:tc>
      </w:tr>
      <w:tr w:rsidR="003F58D0" w:rsidRPr="00082C38" w14:paraId="3A36FA5B" w14:textId="77777777" w:rsidTr="000C15BB">
        <w:tc>
          <w:tcPr>
            <w:tcW w:w="2154" w:type="dxa"/>
            <w:vAlign w:val="center"/>
          </w:tcPr>
          <w:p w14:paraId="3D8077D6" w14:textId="77777777" w:rsidR="003F58D0" w:rsidRPr="00082C38" w:rsidRDefault="003F58D0" w:rsidP="003F58D0">
            <w:pPr>
              <w:rPr>
                <w:sz w:val="20"/>
                <w:szCs w:val="20"/>
              </w:rPr>
            </w:pPr>
            <w:r w:rsidRPr="00082C38">
              <w:rPr>
                <w:rFonts w:cs="Calibri"/>
                <w:color w:val="000000"/>
                <w:sz w:val="20"/>
                <w:szCs w:val="20"/>
              </w:rPr>
              <w:t>Locally advanced (stage C) or metastatic (stage D) carcinoma of the prostate</w:t>
            </w:r>
          </w:p>
        </w:tc>
        <w:tc>
          <w:tcPr>
            <w:tcW w:w="1073" w:type="dxa"/>
            <w:vAlign w:val="center"/>
          </w:tcPr>
          <w:p w14:paraId="04821CEB" w14:textId="77777777" w:rsidR="003F58D0" w:rsidRPr="000C15BB" w:rsidRDefault="003F58D0" w:rsidP="000C15BB">
            <w:pPr>
              <w:jc w:val="center"/>
              <w:rPr>
                <w:rFonts w:ascii="Wingdings" w:hAnsi="Wingdings"/>
                <w:sz w:val="20"/>
                <w:szCs w:val="20"/>
              </w:rPr>
            </w:pPr>
            <w:r w:rsidRPr="000C15BB">
              <w:rPr>
                <w:rFonts w:ascii="Wingdings" w:hAnsi="Wingdings"/>
                <w:sz w:val="20"/>
                <w:szCs w:val="20"/>
              </w:rPr>
              <w:t></w:t>
            </w:r>
          </w:p>
        </w:tc>
        <w:tc>
          <w:tcPr>
            <w:tcW w:w="1300" w:type="dxa"/>
            <w:vAlign w:val="center"/>
          </w:tcPr>
          <w:p w14:paraId="13297866" w14:textId="2ED8D4C9" w:rsidR="003F58D0" w:rsidRPr="000C15BB" w:rsidRDefault="003F58D0" w:rsidP="000C15BB">
            <w:pPr>
              <w:jc w:val="center"/>
              <w:rPr>
                <w:rFonts w:ascii="Wingdings" w:hAnsi="Wingdings"/>
                <w:sz w:val="20"/>
                <w:szCs w:val="20"/>
              </w:rPr>
            </w:pPr>
          </w:p>
        </w:tc>
        <w:tc>
          <w:tcPr>
            <w:tcW w:w="1189" w:type="dxa"/>
            <w:vAlign w:val="center"/>
          </w:tcPr>
          <w:p w14:paraId="0E9C247D" w14:textId="751DCC09" w:rsidR="003F58D0" w:rsidRPr="000C15BB" w:rsidRDefault="003F58D0" w:rsidP="000C15BB">
            <w:pPr>
              <w:jc w:val="center"/>
              <w:rPr>
                <w:rFonts w:ascii="Wingdings" w:hAnsi="Wingdings"/>
                <w:sz w:val="20"/>
                <w:szCs w:val="20"/>
              </w:rPr>
            </w:pPr>
            <w:r w:rsidRPr="000C15BB">
              <w:rPr>
                <w:rFonts w:ascii="Wingdings" w:hAnsi="Wingdings"/>
                <w:sz w:val="20"/>
                <w:szCs w:val="20"/>
              </w:rPr>
              <w:t></w:t>
            </w:r>
          </w:p>
        </w:tc>
        <w:tc>
          <w:tcPr>
            <w:tcW w:w="1313" w:type="dxa"/>
            <w:vAlign w:val="center"/>
          </w:tcPr>
          <w:p w14:paraId="4094AB93" w14:textId="0D5BA1C6" w:rsidR="003F58D0" w:rsidRPr="000C15BB" w:rsidRDefault="003F58D0" w:rsidP="000C15BB">
            <w:pPr>
              <w:jc w:val="center"/>
              <w:rPr>
                <w:rFonts w:ascii="Wingdings" w:hAnsi="Wingdings"/>
                <w:sz w:val="20"/>
                <w:szCs w:val="20"/>
              </w:rPr>
            </w:pPr>
          </w:p>
        </w:tc>
        <w:tc>
          <w:tcPr>
            <w:tcW w:w="1136" w:type="dxa"/>
            <w:vAlign w:val="center"/>
          </w:tcPr>
          <w:p w14:paraId="0959628D" w14:textId="03787E5F" w:rsidR="003F58D0" w:rsidRPr="000C15BB" w:rsidRDefault="003F58D0" w:rsidP="000C15BB">
            <w:pPr>
              <w:jc w:val="center"/>
              <w:rPr>
                <w:rFonts w:ascii="Wingdings" w:hAnsi="Wingdings"/>
                <w:sz w:val="20"/>
                <w:szCs w:val="20"/>
              </w:rPr>
            </w:pPr>
            <w:r w:rsidRPr="000C15BB">
              <w:rPr>
                <w:rFonts w:ascii="Wingdings" w:hAnsi="Wingdings"/>
                <w:sz w:val="20"/>
                <w:szCs w:val="20"/>
              </w:rPr>
              <w:t></w:t>
            </w:r>
          </w:p>
        </w:tc>
        <w:tc>
          <w:tcPr>
            <w:tcW w:w="1057" w:type="dxa"/>
            <w:vAlign w:val="center"/>
          </w:tcPr>
          <w:p w14:paraId="17307CF8" w14:textId="66B1523C" w:rsidR="003F58D0" w:rsidRPr="000C15BB" w:rsidRDefault="003F58D0" w:rsidP="000C15BB">
            <w:pPr>
              <w:jc w:val="center"/>
              <w:rPr>
                <w:rFonts w:ascii="Wingdings" w:hAnsi="Wingdings"/>
                <w:sz w:val="20"/>
                <w:szCs w:val="20"/>
              </w:rPr>
            </w:pPr>
          </w:p>
        </w:tc>
      </w:tr>
      <w:tr w:rsidR="000C15BB" w:rsidRPr="00082C38" w14:paraId="414AA951" w14:textId="77777777" w:rsidTr="000C15BB">
        <w:tc>
          <w:tcPr>
            <w:tcW w:w="2154" w:type="dxa"/>
            <w:vAlign w:val="center"/>
          </w:tcPr>
          <w:p w14:paraId="1403B35B" w14:textId="604F276A" w:rsidR="000C15BB" w:rsidRPr="00082C38" w:rsidRDefault="000C15BB" w:rsidP="000C15BB">
            <w:pPr>
              <w:rPr>
                <w:rFonts w:cs="Calibri"/>
                <w:color w:val="000000"/>
                <w:sz w:val="20"/>
                <w:szCs w:val="20"/>
              </w:rPr>
            </w:pPr>
            <w:r>
              <w:rPr>
                <w:rFonts w:cs="Calibri"/>
                <w:color w:val="000000"/>
                <w:sz w:val="20"/>
                <w:szCs w:val="20"/>
              </w:rPr>
              <w:t>A</w:t>
            </w:r>
            <w:r w:rsidRPr="000C15BB">
              <w:rPr>
                <w:rFonts w:cs="Calibri"/>
                <w:color w:val="000000"/>
                <w:sz w:val="20"/>
                <w:szCs w:val="20"/>
              </w:rPr>
              <w:t>dvanced prostate cancer</w:t>
            </w:r>
          </w:p>
        </w:tc>
        <w:tc>
          <w:tcPr>
            <w:tcW w:w="1073" w:type="dxa"/>
            <w:vAlign w:val="center"/>
          </w:tcPr>
          <w:p w14:paraId="6D0468D9" w14:textId="77777777" w:rsidR="000C15BB" w:rsidRPr="000C15BB" w:rsidRDefault="000C15BB" w:rsidP="000C15BB">
            <w:pPr>
              <w:jc w:val="center"/>
              <w:rPr>
                <w:rFonts w:ascii="Wingdings" w:hAnsi="Wingdings"/>
                <w:sz w:val="20"/>
                <w:szCs w:val="20"/>
              </w:rPr>
            </w:pPr>
          </w:p>
        </w:tc>
        <w:tc>
          <w:tcPr>
            <w:tcW w:w="1300" w:type="dxa"/>
            <w:vAlign w:val="center"/>
          </w:tcPr>
          <w:p w14:paraId="5D372EE9" w14:textId="154BEA21" w:rsidR="000C15BB" w:rsidRPr="000C15BB" w:rsidRDefault="000C15BB" w:rsidP="000C15BB">
            <w:pPr>
              <w:jc w:val="center"/>
              <w:rPr>
                <w:rFonts w:ascii="Wingdings" w:hAnsi="Wingdings"/>
                <w:sz w:val="20"/>
                <w:szCs w:val="20"/>
              </w:rPr>
            </w:pPr>
            <w:r w:rsidRPr="000C15BB">
              <w:rPr>
                <w:rFonts w:ascii="Wingdings" w:hAnsi="Wingdings"/>
                <w:sz w:val="20"/>
                <w:szCs w:val="20"/>
              </w:rPr>
              <w:t></w:t>
            </w:r>
          </w:p>
        </w:tc>
        <w:tc>
          <w:tcPr>
            <w:tcW w:w="1189" w:type="dxa"/>
            <w:vAlign w:val="center"/>
          </w:tcPr>
          <w:p w14:paraId="290F9802" w14:textId="77777777" w:rsidR="000C15BB" w:rsidRPr="000C15BB" w:rsidRDefault="000C15BB" w:rsidP="000C15BB">
            <w:pPr>
              <w:jc w:val="center"/>
              <w:rPr>
                <w:rFonts w:ascii="Wingdings" w:hAnsi="Wingdings"/>
                <w:sz w:val="20"/>
                <w:szCs w:val="20"/>
              </w:rPr>
            </w:pPr>
          </w:p>
        </w:tc>
        <w:tc>
          <w:tcPr>
            <w:tcW w:w="1313" w:type="dxa"/>
            <w:vAlign w:val="center"/>
          </w:tcPr>
          <w:p w14:paraId="564745C3" w14:textId="6A68FFCB" w:rsidR="000C15BB" w:rsidRPr="000C15BB" w:rsidRDefault="000C15BB" w:rsidP="000C15BB">
            <w:pPr>
              <w:jc w:val="center"/>
              <w:rPr>
                <w:rFonts w:ascii="Wingdings" w:hAnsi="Wingdings"/>
                <w:sz w:val="20"/>
                <w:szCs w:val="20"/>
              </w:rPr>
            </w:pPr>
            <w:r w:rsidRPr="000C15BB">
              <w:rPr>
                <w:rFonts w:ascii="Wingdings" w:hAnsi="Wingdings"/>
                <w:sz w:val="20"/>
                <w:szCs w:val="20"/>
              </w:rPr>
              <w:t></w:t>
            </w:r>
          </w:p>
        </w:tc>
        <w:tc>
          <w:tcPr>
            <w:tcW w:w="1136" w:type="dxa"/>
            <w:vAlign w:val="center"/>
          </w:tcPr>
          <w:p w14:paraId="074C3D29" w14:textId="77777777" w:rsidR="000C15BB" w:rsidRPr="000C15BB" w:rsidRDefault="000C15BB" w:rsidP="000C15BB">
            <w:pPr>
              <w:jc w:val="center"/>
              <w:rPr>
                <w:rFonts w:ascii="Wingdings" w:hAnsi="Wingdings"/>
                <w:sz w:val="20"/>
                <w:szCs w:val="20"/>
              </w:rPr>
            </w:pPr>
          </w:p>
        </w:tc>
        <w:tc>
          <w:tcPr>
            <w:tcW w:w="1057" w:type="dxa"/>
            <w:vAlign w:val="center"/>
          </w:tcPr>
          <w:p w14:paraId="12D2EFEA" w14:textId="77777777" w:rsidR="000C15BB" w:rsidRPr="000C15BB" w:rsidRDefault="000C15BB" w:rsidP="000C15BB">
            <w:pPr>
              <w:jc w:val="center"/>
              <w:rPr>
                <w:rFonts w:ascii="Wingdings" w:hAnsi="Wingdings"/>
                <w:sz w:val="20"/>
                <w:szCs w:val="20"/>
              </w:rPr>
            </w:pPr>
          </w:p>
        </w:tc>
      </w:tr>
      <w:tr w:rsidR="000C15BB" w:rsidRPr="00082C38" w14:paraId="426FF436" w14:textId="77777777" w:rsidTr="000C15BB">
        <w:tc>
          <w:tcPr>
            <w:tcW w:w="2154" w:type="dxa"/>
            <w:vAlign w:val="center"/>
          </w:tcPr>
          <w:p w14:paraId="6A2F3ABD" w14:textId="77777777" w:rsidR="000C15BB" w:rsidRPr="00082C38" w:rsidRDefault="000C15BB" w:rsidP="000C15BB">
            <w:pPr>
              <w:rPr>
                <w:sz w:val="20"/>
                <w:szCs w:val="20"/>
              </w:rPr>
            </w:pPr>
            <w:r w:rsidRPr="00082C38">
              <w:rPr>
                <w:rFonts w:cs="Calibri"/>
                <w:color w:val="000000"/>
                <w:sz w:val="20"/>
                <w:szCs w:val="20"/>
              </w:rPr>
              <w:t xml:space="preserve">Central precocious puberty </w:t>
            </w:r>
          </w:p>
        </w:tc>
        <w:tc>
          <w:tcPr>
            <w:tcW w:w="1073" w:type="dxa"/>
            <w:vAlign w:val="center"/>
          </w:tcPr>
          <w:p w14:paraId="30ED6204" w14:textId="77777777" w:rsidR="000C15BB" w:rsidRPr="000C15BB" w:rsidRDefault="000C15BB" w:rsidP="000C15BB">
            <w:pPr>
              <w:jc w:val="center"/>
              <w:rPr>
                <w:rFonts w:ascii="Wingdings" w:hAnsi="Wingdings"/>
                <w:sz w:val="20"/>
                <w:szCs w:val="20"/>
              </w:rPr>
            </w:pPr>
          </w:p>
        </w:tc>
        <w:tc>
          <w:tcPr>
            <w:tcW w:w="1300" w:type="dxa"/>
            <w:vAlign w:val="center"/>
          </w:tcPr>
          <w:p w14:paraId="4C22FF5B" w14:textId="77777777" w:rsidR="000C15BB" w:rsidRPr="000C15BB" w:rsidRDefault="000C15BB" w:rsidP="000C15BB">
            <w:pPr>
              <w:jc w:val="center"/>
              <w:rPr>
                <w:rFonts w:ascii="Wingdings" w:hAnsi="Wingdings"/>
                <w:sz w:val="20"/>
                <w:szCs w:val="20"/>
              </w:rPr>
            </w:pPr>
          </w:p>
        </w:tc>
        <w:tc>
          <w:tcPr>
            <w:tcW w:w="1189" w:type="dxa"/>
            <w:vAlign w:val="center"/>
          </w:tcPr>
          <w:p w14:paraId="1DD608E0" w14:textId="38FC8FBC" w:rsidR="000C15BB" w:rsidRPr="000C15BB" w:rsidRDefault="000C15BB" w:rsidP="000C15BB">
            <w:pPr>
              <w:jc w:val="center"/>
              <w:rPr>
                <w:rFonts w:ascii="Wingdings" w:hAnsi="Wingdings"/>
                <w:sz w:val="20"/>
                <w:szCs w:val="20"/>
              </w:rPr>
            </w:pPr>
            <w:r w:rsidRPr="000C15BB">
              <w:rPr>
                <w:rFonts w:ascii="Wingdings" w:hAnsi="Wingdings"/>
                <w:sz w:val="20"/>
                <w:szCs w:val="20"/>
              </w:rPr>
              <w:t></w:t>
            </w:r>
          </w:p>
        </w:tc>
        <w:tc>
          <w:tcPr>
            <w:tcW w:w="1313" w:type="dxa"/>
            <w:vAlign w:val="center"/>
          </w:tcPr>
          <w:p w14:paraId="2D7ABAB8" w14:textId="77777777" w:rsidR="000C15BB" w:rsidRPr="000C15BB" w:rsidRDefault="000C15BB" w:rsidP="000C15BB">
            <w:pPr>
              <w:jc w:val="center"/>
              <w:rPr>
                <w:rFonts w:ascii="Wingdings" w:hAnsi="Wingdings"/>
                <w:sz w:val="20"/>
                <w:szCs w:val="20"/>
              </w:rPr>
            </w:pPr>
          </w:p>
        </w:tc>
        <w:tc>
          <w:tcPr>
            <w:tcW w:w="1136" w:type="dxa"/>
            <w:vAlign w:val="center"/>
          </w:tcPr>
          <w:p w14:paraId="6C6C31FA" w14:textId="2286EE8F" w:rsidR="000C15BB" w:rsidRPr="000C15BB" w:rsidRDefault="000C15BB" w:rsidP="000C15BB">
            <w:pPr>
              <w:jc w:val="center"/>
              <w:rPr>
                <w:rFonts w:ascii="Wingdings" w:hAnsi="Wingdings"/>
                <w:sz w:val="20"/>
                <w:szCs w:val="20"/>
              </w:rPr>
            </w:pPr>
          </w:p>
        </w:tc>
        <w:tc>
          <w:tcPr>
            <w:tcW w:w="1057" w:type="dxa"/>
            <w:vAlign w:val="center"/>
          </w:tcPr>
          <w:p w14:paraId="371F2F8D" w14:textId="6B0F015F" w:rsidR="000C15BB" w:rsidRPr="000C15BB" w:rsidRDefault="000C15BB" w:rsidP="000C15BB">
            <w:pPr>
              <w:jc w:val="center"/>
              <w:rPr>
                <w:rFonts w:ascii="Wingdings" w:hAnsi="Wingdings"/>
                <w:sz w:val="20"/>
                <w:szCs w:val="20"/>
              </w:rPr>
            </w:pPr>
          </w:p>
        </w:tc>
      </w:tr>
      <w:tr w:rsidR="000C15BB" w:rsidRPr="00082C38" w14:paraId="367F6EF7" w14:textId="77777777" w:rsidTr="000C15BB">
        <w:tc>
          <w:tcPr>
            <w:tcW w:w="2154" w:type="dxa"/>
            <w:vAlign w:val="center"/>
          </w:tcPr>
          <w:p w14:paraId="5BF89A1A" w14:textId="2229C728" w:rsidR="000C15BB" w:rsidRPr="00773785" w:rsidRDefault="000C15BB" w:rsidP="000C15BB">
            <w:pPr>
              <w:rPr>
                <w:sz w:val="20"/>
                <w:szCs w:val="20"/>
                <w:vertAlign w:val="superscript"/>
              </w:rPr>
            </w:pPr>
            <w:r w:rsidRPr="00082C38">
              <w:rPr>
                <w:rFonts w:cs="Calibri"/>
                <w:color w:val="000000"/>
                <w:sz w:val="20"/>
                <w:szCs w:val="20"/>
              </w:rPr>
              <w:t xml:space="preserve">Breast </w:t>
            </w:r>
            <w:proofErr w:type="spellStart"/>
            <w:r w:rsidRPr="00082C38">
              <w:rPr>
                <w:rFonts w:cs="Calibri"/>
                <w:color w:val="000000"/>
                <w:sz w:val="20"/>
                <w:szCs w:val="20"/>
              </w:rPr>
              <w:t>cancer</w:t>
            </w:r>
            <w:r w:rsidR="00773785">
              <w:rPr>
                <w:rFonts w:cs="Calibri"/>
                <w:color w:val="000000"/>
                <w:sz w:val="20"/>
                <w:szCs w:val="20"/>
                <w:vertAlign w:val="superscript"/>
              </w:rPr>
              <w:t>a</w:t>
            </w:r>
            <w:proofErr w:type="spellEnd"/>
          </w:p>
        </w:tc>
        <w:tc>
          <w:tcPr>
            <w:tcW w:w="1073" w:type="dxa"/>
            <w:vAlign w:val="center"/>
          </w:tcPr>
          <w:p w14:paraId="6B3CB328" w14:textId="77777777" w:rsidR="000C15BB" w:rsidRPr="000C15BB" w:rsidRDefault="000C15BB" w:rsidP="000C15BB">
            <w:pPr>
              <w:jc w:val="center"/>
              <w:rPr>
                <w:rFonts w:ascii="Wingdings" w:hAnsi="Wingdings"/>
                <w:sz w:val="20"/>
                <w:szCs w:val="20"/>
              </w:rPr>
            </w:pPr>
            <w:r w:rsidRPr="000C15BB">
              <w:rPr>
                <w:rFonts w:ascii="Wingdings" w:hAnsi="Wingdings"/>
                <w:sz w:val="20"/>
                <w:szCs w:val="20"/>
              </w:rPr>
              <w:t></w:t>
            </w:r>
          </w:p>
        </w:tc>
        <w:tc>
          <w:tcPr>
            <w:tcW w:w="1300" w:type="dxa"/>
            <w:vAlign w:val="center"/>
          </w:tcPr>
          <w:p w14:paraId="402A5548" w14:textId="77777777" w:rsidR="000C15BB" w:rsidRPr="000C15BB" w:rsidRDefault="000C15BB" w:rsidP="000C15BB">
            <w:pPr>
              <w:jc w:val="center"/>
              <w:rPr>
                <w:rFonts w:ascii="Wingdings" w:hAnsi="Wingdings"/>
                <w:sz w:val="20"/>
                <w:szCs w:val="20"/>
              </w:rPr>
            </w:pPr>
          </w:p>
        </w:tc>
        <w:tc>
          <w:tcPr>
            <w:tcW w:w="1189" w:type="dxa"/>
            <w:vAlign w:val="center"/>
          </w:tcPr>
          <w:p w14:paraId="12B1EBF6" w14:textId="75AB1AA6" w:rsidR="000C15BB" w:rsidRPr="000C15BB" w:rsidRDefault="000C15BB" w:rsidP="000C15BB">
            <w:pPr>
              <w:jc w:val="center"/>
              <w:rPr>
                <w:rFonts w:ascii="Wingdings" w:hAnsi="Wingdings"/>
                <w:sz w:val="20"/>
                <w:szCs w:val="20"/>
              </w:rPr>
            </w:pPr>
          </w:p>
        </w:tc>
        <w:tc>
          <w:tcPr>
            <w:tcW w:w="1313" w:type="dxa"/>
            <w:vAlign w:val="center"/>
          </w:tcPr>
          <w:p w14:paraId="0BC0BCF6" w14:textId="77777777" w:rsidR="000C15BB" w:rsidRPr="000C15BB" w:rsidRDefault="000C15BB" w:rsidP="000C15BB">
            <w:pPr>
              <w:jc w:val="center"/>
              <w:rPr>
                <w:rFonts w:ascii="Wingdings" w:hAnsi="Wingdings"/>
                <w:sz w:val="20"/>
                <w:szCs w:val="20"/>
              </w:rPr>
            </w:pPr>
          </w:p>
        </w:tc>
        <w:tc>
          <w:tcPr>
            <w:tcW w:w="1136" w:type="dxa"/>
            <w:vAlign w:val="center"/>
          </w:tcPr>
          <w:p w14:paraId="0649D8AD" w14:textId="5859E55B" w:rsidR="000C15BB" w:rsidRPr="000C15BB" w:rsidRDefault="000C15BB" w:rsidP="000C15BB">
            <w:pPr>
              <w:jc w:val="center"/>
              <w:rPr>
                <w:rFonts w:ascii="Wingdings" w:hAnsi="Wingdings"/>
                <w:sz w:val="20"/>
                <w:szCs w:val="20"/>
              </w:rPr>
            </w:pPr>
          </w:p>
        </w:tc>
        <w:tc>
          <w:tcPr>
            <w:tcW w:w="1057" w:type="dxa"/>
            <w:vAlign w:val="center"/>
          </w:tcPr>
          <w:p w14:paraId="4EB5FB88" w14:textId="6048F580" w:rsidR="000C15BB" w:rsidRPr="000C15BB" w:rsidRDefault="000C15BB" w:rsidP="000C15BB">
            <w:pPr>
              <w:jc w:val="center"/>
              <w:rPr>
                <w:rFonts w:ascii="Wingdings" w:hAnsi="Wingdings"/>
                <w:sz w:val="20"/>
                <w:szCs w:val="20"/>
              </w:rPr>
            </w:pPr>
          </w:p>
        </w:tc>
      </w:tr>
      <w:tr w:rsidR="000C15BB" w:rsidRPr="00082C38" w14:paraId="6A540C6F" w14:textId="77777777" w:rsidTr="000C15BB">
        <w:tc>
          <w:tcPr>
            <w:tcW w:w="2154" w:type="dxa"/>
            <w:tcBorders>
              <w:bottom w:val="single" w:sz="4" w:space="0" w:color="auto"/>
            </w:tcBorders>
            <w:vAlign w:val="center"/>
          </w:tcPr>
          <w:p w14:paraId="51D0DC69" w14:textId="77777777" w:rsidR="000C15BB" w:rsidRPr="00082C38" w:rsidRDefault="000C15BB" w:rsidP="000C15BB">
            <w:pPr>
              <w:rPr>
                <w:sz w:val="20"/>
                <w:szCs w:val="20"/>
              </w:rPr>
            </w:pPr>
            <w:r w:rsidRPr="00082C38">
              <w:rPr>
                <w:rFonts w:cs="Calibri"/>
                <w:color w:val="000000"/>
                <w:sz w:val="20"/>
                <w:szCs w:val="20"/>
              </w:rPr>
              <w:t>Endometriosis</w:t>
            </w:r>
          </w:p>
        </w:tc>
        <w:tc>
          <w:tcPr>
            <w:tcW w:w="1073" w:type="dxa"/>
            <w:tcBorders>
              <w:bottom w:val="single" w:sz="4" w:space="0" w:color="auto"/>
            </w:tcBorders>
            <w:vAlign w:val="center"/>
          </w:tcPr>
          <w:p w14:paraId="54A48A73" w14:textId="77777777" w:rsidR="000C15BB" w:rsidRPr="000C15BB" w:rsidRDefault="000C15BB" w:rsidP="000C15BB">
            <w:pPr>
              <w:jc w:val="center"/>
              <w:rPr>
                <w:rFonts w:ascii="Wingdings" w:hAnsi="Wingdings"/>
                <w:sz w:val="20"/>
                <w:szCs w:val="20"/>
              </w:rPr>
            </w:pPr>
            <w:r w:rsidRPr="000C15BB">
              <w:rPr>
                <w:rFonts w:ascii="Wingdings" w:hAnsi="Wingdings"/>
                <w:sz w:val="20"/>
                <w:szCs w:val="20"/>
              </w:rPr>
              <w:t></w:t>
            </w:r>
          </w:p>
        </w:tc>
        <w:tc>
          <w:tcPr>
            <w:tcW w:w="1300" w:type="dxa"/>
            <w:tcBorders>
              <w:bottom w:val="single" w:sz="4" w:space="0" w:color="auto"/>
            </w:tcBorders>
            <w:vAlign w:val="center"/>
          </w:tcPr>
          <w:p w14:paraId="7F249CE5" w14:textId="77777777" w:rsidR="000C15BB" w:rsidRPr="000C15BB" w:rsidRDefault="000C15BB" w:rsidP="000C15BB">
            <w:pPr>
              <w:jc w:val="center"/>
              <w:rPr>
                <w:rFonts w:ascii="Wingdings" w:hAnsi="Wingdings"/>
                <w:sz w:val="20"/>
                <w:szCs w:val="20"/>
              </w:rPr>
            </w:pPr>
          </w:p>
        </w:tc>
        <w:tc>
          <w:tcPr>
            <w:tcW w:w="1189" w:type="dxa"/>
            <w:tcBorders>
              <w:bottom w:val="single" w:sz="4" w:space="0" w:color="auto"/>
            </w:tcBorders>
            <w:vAlign w:val="center"/>
          </w:tcPr>
          <w:p w14:paraId="4760439B" w14:textId="3316721D" w:rsidR="000C15BB" w:rsidRPr="000C15BB" w:rsidRDefault="000C15BB" w:rsidP="000C15BB">
            <w:pPr>
              <w:jc w:val="center"/>
              <w:rPr>
                <w:rFonts w:ascii="Wingdings" w:hAnsi="Wingdings"/>
                <w:sz w:val="20"/>
                <w:szCs w:val="20"/>
              </w:rPr>
            </w:pPr>
          </w:p>
        </w:tc>
        <w:tc>
          <w:tcPr>
            <w:tcW w:w="1313" w:type="dxa"/>
            <w:tcBorders>
              <w:bottom w:val="single" w:sz="4" w:space="0" w:color="auto"/>
            </w:tcBorders>
            <w:vAlign w:val="center"/>
          </w:tcPr>
          <w:p w14:paraId="2263087C" w14:textId="77777777" w:rsidR="000C15BB" w:rsidRPr="000C15BB" w:rsidRDefault="000C15BB" w:rsidP="000C15BB">
            <w:pPr>
              <w:jc w:val="center"/>
              <w:rPr>
                <w:rFonts w:ascii="Wingdings" w:hAnsi="Wingdings"/>
                <w:sz w:val="20"/>
                <w:szCs w:val="20"/>
              </w:rPr>
            </w:pPr>
          </w:p>
        </w:tc>
        <w:tc>
          <w:tcPr>
            <w:tcW w:w="1136" w:type="dxa"/>
            <w:tcBorders>
              <w:bottom w:val="single" w:sz="4" w:space="0" w:color="auto"/>
            </w:tcBorders>
            <w:vAlign w:val="center"/>
          </w:tcPr>
          <w:p w14:paraId="52454373" w14:textId="7C1DE83B" w:rsidR="000C15BB" w:rsidRPr="000C15BB" w:rsidRDefault="000C15BB" w:rsidP="000C15BB">
            <w:pPr>
              <w:jc w:val="center"/>
              <w:rPr>
                <w:rFonts w:ascii="Wingdings" w:hAnsi="Wingdings"/>
                <w:sz w:val="20"/>
                <w:szCs w:val="20"/>
              </w:rPr>
            </w:pPr>
          </w:p>
        </w:tc>
        <w:tc>
          <w:tcPr>
            <w:tcW w:w="1057" w:type="dxa"/>
            <w:tcBorders>
              <w:bottom w:val="single" w:sz="4" w:space="0" w:color="auto"/>
            </w:tcBorders>
            <w:vAlign w:val="center"/>
          </w:tcPr>
          <w:p w14:paraId="530E6561" w14:textId="791BB481" w:rsidR="000C15BB" w:rsidRPr="000C15BB" w:rsidRDefault="000C15BB" w:rsidP="000C15BB">
            <w:pPr>
              <w:jc w:val="center"/>
              <w:rPr>
                <w:rFonts w:ascii="Wingdings" w:hAnsi="Wingdings"/>
                <w:sz w:val="20"/>
                <w:szCs w:val="20"/>
              </w:rPr>
            </w:pPr>
            <w:r w:rsidRPr="000C15BB">
              <w:rPr>
                <w:rFonts w:ascii="Wingdings" w:hAnsi="Wingdings"/>
                <w:sz w:val="20"/>
                <w:szCs w:val="20"/>
              </w:rPr>
              <w:t></w:t>
            </w:r>
          </w:p>
        </w:tc>
      </w:tr>
      <w:tr w:rsidR="000C15BB" w:rsidRPr="00082C38" w14:paraId="1AF89996" w14:textId="77777777" w:rsidTr="000C15BB">
        <w:tc>
          <w:tcPr>
            <w:tcW w:w="2154" w:type="dxa"/>
            <w:tcBorders>
              <w:top w:val="single" w:sz="4" w:space="0" w:color="auto"/>
              <w:left w:val="single" w:sz="4" w:space="0" w:color="auto"/>
              <w:bottom w:val="single" w:sz="4" w:space="0" w:color="auto"/>
              <w:right w:val="single" w:sz="4" w:space="0" w:color="auto"/>
            </w:tcBorders>
            <w:vAlign w:val="center"/>
          </w:tcPr>
          <w:p w14:paraId="79F6B073" w14:textId="2282CDCF" w:rsidR="000C15BB" w:rsidRPr="00082C38" w:rsidRDefault="000C15BB" w:rsidP="000C15BB">
            <w:pPr>
              <w:rPr>
                <w:rFonts w:cs="Calibri"/>
                <w:color w:val="000000"/>
                <w:sz w:val="20"/>
                <w:szCs w:val="20"/>
              </w:rPr>
            </w:pPr>
            <w:r>
              <w:rPr>
                <w:rFonts w:cs="Calibri"/>
                <w:color w:val="000000"/>
                <w:sz w:val="20"/>
                <w:szCs w:val="20"/>
              </w:rPr>
              <w:t>Uterine fibroids</w:t>
            </w:r>
          </w:p>
        </w:tc>
        <w:tc>
          <w:tcPr>
            <w:tcW w:w="1073" w:type="dxa"/>
            <w:tcBorders>
              <w:top w:val="single" w:sz="4" w:space="0" w:color="auto"/>
              <w:left w:val="single" w:sz="4" w:space="0" w:color="auto"/>
              <w:bottom w:val="single" w:sz="4" w:space="0" w:color="auto"/>
              <w:right w:val="single" w:sz="4" w:space="0" w:color="auto"/>
            </w:tcBorders>
            <w:vAlign w:val="center"/>
          </w:tcPr>
          <w:p w14:paraId="07DC1DF9" w14:textId="6C5457EE" w:rsidR="000C15BB" w:rsidRPr="000C15BB" w:rsidRDefault="000C15BB" w:rsidP="000C15BB">
            <w:pPr>
              <w:jc w:val="center"/>
              <w:rPr>
                <w:rFonts w:ascii="Wingdings" w:hAnsi="Wingdings"/>
                <w:sz w:val="20"/>
                <w:szCs w:val="20"/>
              </w:rPr>
            </w:pPr>
            <w:r w:rsidRPr="000C15BB">
              <w:rPr>
                <w:rFonts w:ascii="Wingdings" w:hAnsi="Wingdings"/>
                <w:sz w:val="20"/>
                <w:szCs w:val="20"/>
              </w:rPr>
              <w:t></w:t>
            </w:r>
          </w:p>
        </w:tc>
        <w:tc>
          <w:tcPr>
            <w:tcW w:w="1300" w:type="dxa"/>
            <w:tcBorders>
              <w:top w:val="single" w:sz="4" w:space="0" w:color="auto"/>
              <w:left w:val="single" w:sz="4" w:space="0" w:color="auto"/>
              <w:bottom w:val="single" w:sz="4" w:space="0" w:color="auto"/>
              <w:right w:val="single" w:sz="4" w:space="0" w:color="auto"/>
            </w:tcBorders>
            <w:vAlign w:val="center"/>
          </w:tcPr>
          <w:p w14:paraId="00CEE68D" w14:textId="77777777" w:rsidR="000C15BB" w:rsidRPr="000C15BB" w:rsidRDefault="000C15BB" w:rsidP="000C15BB">
            <w:pPr>
              <w:jc w:val="center"/>
              <w:rPr>
                <w:rFonts w:ascii="Wingdings" w:hAnsi="Wingdings"/>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14:paraId="2276860B" w14:textId="66485AC3" w:rsidR="000C15BB" w:rsidRPr="000C15BB" w:rsidRDefault="000C15BB" w:rsidP="000C15BB">
            <w:pPr>
              <w:jc w:val="center"/>
              <w:rPr>
                <w:rFonts w:ascii="Wingdings" w:hAnsi="Wingdings"/>
                <w:sz w:val="20"/>
                <w:szCs w:val="20"/>
              </w:rPr>
            </w:pPr>
          </w:p>
        </w:tc>
        <w:tc>
          <w:tcPr>
            <w:tcW w:w="1313" w:type="dxa"/>
            <w:tcBorders>
              <w:top w:val="single" w:sz="4" w:space="0" w:color="auto"/>
              <w:left w:val="single" w:sz="4" w:space="0" w:color="auto"/>
              <w:bottom w:val="single" w:sz="4" w:space="0" w:color="auto"/>
              <w:right w:val="single" w:sz="4" w:space="0" w:color="auto"/>
            </w:tcBorders>
            <w:vAlign w:val="center"/>
          </w:tcPr>
          <w:p w14:paraId="29506329" w14:textId="77777777" w:rsidR="000C15BB" w:rsidRPr="000C15BB" w:rsidRDefault="000C15BB" w:rsidP="000C15BB">
            <w:pPr>
              <w:jc w:val="center"/>
              <w:rPr>
                <w:rFonts w:ascii="Wingdings" w:hAnsi="Wingdings"/>
                <w:sz w:val="20"/>
                <w:szCs w:val="20"/>
              </w:rPr>
            </w:pPr>
          </w:p>
        </w:tc>
        <w:tc>
          <w:tcPr>
            <w:tcW w:w="1136" w:type="dxa"/>
            <w:tcBorders>
              <w:top w:val="single" w:sz="4" w:space="0" w:color="auto"/>
              <w:left w:val="single" w:sz="4" w:space="0" w:color="auto"/>
              <w:bottom w:val="single" w:sz="4" w:space="0" w:color="auto"/>
              <w:right w:val="single" w:sz="4" w:space="0" w:color="auto"/>
            </w:tcBorders>
            <w:vAlign w:val="center"/>
          </w:tcPr>
          <w:p w14:paraId="2B16A4A9" w14:textId="0B9D36EA" w:rsidR="000C15BB" w:rsidRPr="000C15BB" w:rsidRDefault="000C15BB" w:rsidP="000C15BB">
            <w:pPr>
              <w:jc w:val="center"/>
              <w:rPr>
                <w:rFonts w:ascii="Wingdings" w:hAnsi="Wingdings"/>
                <w:sz w:val="20"/>
                <w:szCs w:val="20"/>
              </w:rPr>
            </w:pPr>
          </w:p>
        </w:tc>
        <w:tc>
          <w:tcPr>
            <w:tcW w:w="1057" w:type="dxa"/>
            <w:tcBorders>
              <w:top w:val="single" w:sz="4" w:space="0" w:color="auto"/>
              <w:left w:val="single" w:sz="4" w:space="0" w:color="auto"/>
              <w:bottom w:val="single" w:sz="4" w:space="0" w:color="auto"/>
              <w:right w:val="single" w:sz="4" w:space="0" w:color="auto"/>
            </w:tcBorders>
            <w:vAlign w:val="center"/>
          </w:tcPr>
          <w:p w14:paraId="38010A65" w14:textId="75CF4708" w:rsidR="000C15BB" w:rsidRPr="000C15BB" w:rsidRDefault="000C15BB" w:rsidP="000C15BB">
            <w:pPr>
              <w:jc w:val="center"/>
              <w:rPr>
                <w:rFonts w:ascii="Wingdings" w:hAnsi="Wingdings"/>
                <w:sz w:val="20"/>
                <w:szCs w:val="20"/>
              </w:rPr>
            </w:pPr>
          </w:p>
        </w:tc>
      </w:tr>
      <w:tr w:rsidR="000C15BB" w:rsidRPr="00082C38" w14:paraId="0B2CD363" w14:textId="77777777" w:rsidTr="000C15BB">
        <w:tc>
          <w:tcPr>
            <w:tcW w:w="2154" w:type="dxa"/>
            <w:tcBorders>
              <w:top w:val="single" w:sz="4" w:space="0" w:color="auto"/>
              <w:left w:val="single" w:sz="4" w:space="0" w:color="auto"/>
              <w:bottom w:val="single" w:sz="4" w:space="0" w:color="auto"/>
              <w:right w:val="single" w:sz="4" w:space="0" w:color="auto"/>
            </w:tcBorders>
            <w:vAlign w:val="center"/>
          </w:tcPr>
          <w:p w14:paraId="7B35C48D" w14:textId="52F55ACC" w:rsidR="000C15BB" w:rsidRDefault="000C15BB" w:rsidP="000C15BB">
            <w:pPr>
              <w:rPr>
                <w:rFonts w:cs="Calibri"/>
                <w:color w:val="000000"/>
                <w:sz w:val="20"/>
                <w:szCs w:val="20"/>
              </w:rPr>
            </w:pPr>
            <w:r>
              <w:rPr>
                <w:rFonts w:cs="Calibri"/>
                <w:color w:val="000000"/>
                <w:sz w:val="20"/>
                <w:szCs w:val="20"/>
              </w:rPr>
              <w:t>Endometrial thinning</w:t>
            </w:r>
          </w:p>
        </w:tc>
        <w:tc>
          <w:tcPr>
            <w:tcW w:w="1073" w:type="dxa"/>
            <w:tcBorders>
              <w:top w:val="single" w:sz="4" w:space="0" w:color="auto"/>
              <w:left w:val="single" w:sz="4" w:space="0" w:color="auto"/>
              <w:bottom w:val="single" w:sz="4" w:space="0" w:color="auto"/>
              <w:right w:val="single" w:sz="4" w:space="0" w:color="auto"/>
            </w:tcBorders>
            <w:vAlign w:val="center"/>
          </w:tcPr>
          <w:p w14:paraId="58C25F50" w14:textId="075A0F5D" w:rsidR="000C15BB" w:rsidRPr="000C15BB" w:rsidRDefault="000C15BB" w:rsidP="000C15BB">
            <w:pPr>
              <w:jc w:val="center"/>
              <w:rPr>
                <w:rFonts w:ascii="Wingdings" w:hAnsi="Wingdings"/>
                <w:sz w:val="20"/>
                <w:szCs w:val="20"/>
              </w:rPr>
            </w:pPr>
            <w:r w:rsidRPr="000C15BB">
              <w:rPr>
                <w:rFonts w:ascii="Wingdings" w:hAnsi="Wingdings"/>
                <w:sz w:val="20"/>
                <w:szCs w:val="20"/>
              </w:rPr>
              <w:t></w:t>
            </w:r>
          </w:p>
        </w:tc>
        <w:tc>
          <w:tcPr>
            <w:tcW w:w="1300" w:type="dxa"/>
            <w:tcBorders>
              <w:top w:val="single" w:sz="4" w:space="0" w:color="auto"/>
              <w:left w:val="single" w:sz="4" w:space="0" w:color="auto"/>
              <w:bottom w:val="single" w:sz="4" w:space="0" w:color="auto"/>
              <w:right w:val="single" w:sz="4" w:space="0" w:color="auto"/>
            </w:tcBorders>
            <w:vAlign w:val="center"/>
          </w:tcPr>
          <w:p w14:paraId="77866612" w14:textId="77777777" w:rsidR="000C15BB" w:rsidRPr="000C15BB" w:rsidRDefault="000C15BB" w:rsidP="000C15BB">
            <w:pPr>
              <w:jc w:val="center"/>
              <w:rPr>
                <w:rFonts w:ascii="Wingdings" w:hAnsi="Wingdings"/>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14:paraId="33CF7746" w14:textId="1C6F5E6E" w:rsidR="000C15BB" w:rsidRPr="000C15BB" w:rsidRDefault="000C15BB" w:rsidP="000C15BB">
            <w:pPr>
              <w:jc w:val="center"/>
              <w:rPr>
                <w:rFonts w:ascii="Wingdings" w:hAnsi="Wingdings"/>
                <w:sz w:val="20"/>
                <w:szCs w:val="20"/>
              </w:rPr>
            </w:pPr>
          </w:p>
        </w:tc>
        <w:tc>
          <w:tcPr>
            <w:tcW w:w="1313" w:type="dxa"/>
            <w:tcBorders>
              <w:top w:val="single" w:sz="4" w:space="0" w:color="auto"/>
              <w:left w:val="single" w:sz="4" w:space="0" w:color="auto"/>
              <w:bottom w:val="single" w:sz="4" w:space="0" w:color="auto"/>
              <w:right w:val="single" w:sz="4" w:space="0" w:color="auto"/>
            </w:tcBorders>
            <w:vAlign w:val="center"/>
          </w:tcPr>
          <w:p w14:paraId="65A5253F" w14:textId="77777777" w:rsidR="000C15BB" w:rsidRPr="000C15BB" w:rsidRDefault="000C15BB" w:rsidP="000C15BB">
            <w:pPr>
              <w:jc w:val="center"/>
              <w:rPr>
                <w:rFonts w:ascii="Wingdings" w:hAnsi="Wingdings"/>
                <w:sz w:val="20"/>
                <w:szCs w:val="20"/>
              </w:rPr>
            </w:pPr>
          </w:p>
        </w:tc>
        <w:tc>
          <w:tcPr>
            <w:tcW w:w="1136" w:type="dxa"/>
            <w:tcBorders>
              <w:top w:val="single" w:sz="4" w:space="0" w:color="auto"/>
              <w:left w:val="single" w:sz="4" w:space="0" w:color="auto"/>
              <w:bottom w:val="single" w:sz="4" w:space="0" w:color="auto"/>
              <w:right w:val="single" w:sz="4" w:space="0" w:color="auto"/>
            </w:tcBorders>
            <w:vAlign w:val="center"/>
          </w:tcPr>
          <w:p w14:paraId="085DA4EA" w14:textId="0BF8DF8F" w:rsidR="000C15BB" w:rsidRPr="000C15BB" w:rsidRDefault="000C15BB" w:rsidP="000C15BB">
            <w:pPr>
              <w:jc w:val="center"/>
              <w:rPr>
                <w:rFonts w:ascii="Wingdings" w:hAnsi="Wingdings"/>
                <w:sz w:val="20"/>
                <w:szCs w:val="20"/>
              </w:rPr>
            </w:pPr>
          </w:p>
        </w:tc>
        <w:tc>
          <w:tcPr>
            <w:tcW w:w="1057" w:type="dxa"/>
            <w:tcBorders>
              <w:top w:val="single" w:sz="4" w:space="0" w:color="auto"/>
              <w:left w:val="single" w:sz="4" w:space="0" w:color="auto"/>
              <w:bottom w:val="single" w:sz="4" w:space="0" w:color="auto"/>
              <w:right w:val="single" w:sz="4" w:space="0" w:color="auto"/>
            </w:tcBorders>
            <w:vAlign w:val="center"/>
          </w:tcPr>
          <w:p w14:paraId="391F91E5" w14:textId="08D0428C" w:rsidR="000C15BB" w:rsidRPr="000C15BB" w:rsidRDefault="000C15BB" w:rsidP="000C15BB">
            <w:pPr>
              <w:jc w:val="center"/>
              <w:rPr>
                <w:rFonts w:ascii="Wingdings" w:hAnsi="Wingdings"/>
                <w:sz w:val="20"/>
                <w:szCs w:val="20"/>
              </w:rPr>
            </w:pPr>
          </w:p>
        </w:tc>
      </w:tr>
      <w:tr w:rsidR="000C15BB" w:rsidRPr="00082C38" w14:paraId="53120559" w14:textId="77777777" w:rsidTr="000C15BB">
        <w:tc>
          <w:tcPr>
            <w:tcW w:w="2154" w:type="dxa"/>
            <w:tcBorders>
              <w:top w:val="single" w:sz="4" w:space="0" w:color="auto"/>
              <w:left w:val="single" w:sz="4" w:space="0" w:color="auto"/>
              <w:bottom w:val="single" w:sz="4" w:space="0" w:color="auto"/>
              <w:right w:val="single" w:sz="4" w:space="0" w:color="auto"/>
            </w:tcBorders>
            <w:vAlign w:val="center"/>
          </w:tcPr>
          <w:p w14:paraId="687F89ED" w14:textId="72D5D0B7" w:rsidR="000C15BB" w:rsidRDefault="000C15BB" w:rsidP="000C15BB">
            <w:pPr>
              <w:rPr>
                <w:rFonts w:cs="Calibri"/>
                <w:color w:val="000000"/>
                <w:sz w:val="20"/>
                <w:szCs w:val="20"/>
              </w:rPr>
            </w:pPr>
            <w:r>
              <w:rPr>
                <w:rFonts w:cs="Calibri"/>
                <w:color w:val="000000"/>
                <w:sz w:val="20"/>
                <w:szCs w:val="20"/>
              </w:rPr>
              <w:t>Assisted r</w:t>
            </w:r>
            <w:r w:rsidRPr="006E7BA0">
              <w:rPr>
                <w:rFonts w:cs="Calibri"/>
                <w:color w:val="000000"/>
                <w:sz w:val="20"/>
                <w:szCs w:val="20"/>
              </w:rPr>
              <w:t>eproduction</w:t>
            </w:r>
          </w:p>
        </w:tc>
        <w:tc>
          <w:tcPr>
            <w:tcW w:w="1073" w:type="dxa"/>
            <w:tcBorders>
              <w:top w:val="single" w:sz="4" w:space="0" w:color="auto"/>
              <w:left w:val="single" w:sz="4" w:space="0" w:color="auto"/>
              <w:bottom w:val="single" w:sz="4" w:space="0" w:color="auto"/>
              <w:right w:val="single" w:sz="4" w:space="0" w:color="auto"/>
            </w:tcBorders>
            <w:vAlign w:val="center"/>
          </w:tcPr>
          <w:p w14:paraId="7FDB32E5" w14:textId="250C2A0B" w:rsidR="000C15BB" w:rsidRPr="000C15BB" w:rsidRDefault="000C15BB" w:rsidP="000C15BB">
            <w:pPr>
              <w:jc w:val="center"/>
              <w:rPr>
                <w:rFonts w:ascii="Wingdings" w:hAnsi="Wingdings"/>
                <w:sz w:val="20"/>
                <w:szCs w:val="20"/>
              </w:rPr>
            </w:pPr>
            <w:r w:rsidRPr="000C15BB">
              <w:rPr>
                <w:rFonts w:ascii="Wingdings" w:hAnsi="Wingdings"/>
                <w:sz w:val="20"/>
                <w:szCs w:val="20"/>
              </w:rPr>
              <w:t></w:t>
            </w:r>
          </w:p>
        </w:tc>
        <w:tc>
          <w:tcPr>
            <w:tcW w:w="1300" w:type="dxa"/>
            <w:tcBorders>
              <w:top w:val="single" w:sz="4" w:space="0" w:color="auto"/>
              <w:left w:val="single" w:sz="4" w:space="0" w:color="auto"/>
              <w:bottom w:val="single" w:sz="4" w:space="0" w:color="auto"/>
              <w:right w:val="single" w:sz="4" w:space="0" w:color="auto"/>
            </w:tcBorders>
            <w:vAlign w:val="center"/>
          </w:tcPr>
          <w:p w14:paraId="6CBA61B9" w14:textId="77777777" w:rsidR="000C15BB" w:rsidRPr="000C15BB" w:rsidRDefault="000C15BB" w:rsidP="000C15BB">
            <w:pPr>
              <w:jc w:val="center"/>
              <w:rPr>
                <w:rFonts w:ascii="Wingdings" w:hAnsi="Wingdings"/>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14:paraId="173C6751" w14:textId="7A06AA26" w:rsidR="000C15BB" w:rsidRPr="000C15BB" w:rsidRDefault="000C15BB" w:rsidP="000C15BB">
            <w:pPr>
              <w:jc w:val="center"/>
              <w:rPr>
                <w:rFonts w:ascii="Wingdings" w:hAnsi="Wingdings"/>
                <w:sz w:val="20"/>
                <w:szCs w:val="20"/>
              </w:rPr>
            </w:pPr>
          </w:p>
        </w:tc>
        <w:tc>
          <w:tcPr>
            <w:tcW w:w="1313" w:type="dxa"/>
            <w:tcBorders>
              <w:top w:val="single" w:sz="4" w:space="0" w:color="auto"/>
              <w:left w:val="single" w:sz="4" w:space="0" w:color="auto"/>
              <w:bottom w:val="single" w:sz="4" w:space="0" w:color="auto"/>
              <w:right w:val="single" w:sz="4" w:space="0" w:color="auto"/>
            </w:tcBorders>
            <w:vAlign w:val="center"/>
          </w:tcPr>
          <w:p w14:paraId="1BBC2C41" w14:textId="77777777" w:rsidR="000C15BB" w:rsidRPr="000C15BB" w:rsidRDefault="000C15BB" w:rsidP="000C15BB">
            <w:pPr>
              <w:jc w:val="center"/>
              <w:rPr>
                <w:rFonts w:ascii="Wingdings" w:hAnsi="Wingdings"/>
                <w:sz w:val="20"/>
                <w:szCs w:val="20"/>
              </w:rPr>
            </w:pPr>
          </w:p>
        </w:tc>
        <w:tc>
          <w:tcPr>
            <w:tcW w:w="1136" w:type="dxa"/>
            <w:tcBorders>
              <w:top w:val="single" w:sz="4" w:space="0" w:color="auto"/>
              <w:left w:val="single" w:sz="4" w:space="0" w:color="auto"/>
              <w:bottom w:val="single" w:sz="4" w:space="0" w:color="auto"/>
              <w:right w:val="single" w:sz="4" w:space="0" w:color="auto"/>
            </w:tcBorders>
            <w:vAlign w:val="center"/>
          </w:tcPr>
          <w:p w14:paraId="23D7AB74" w14:textId="0B92D9DA" w:rsidR="000C15BB" w:rsidRPr="000C15BB" w:rsidRDefault="000C15BB" w:rsidP="000C15BB">
            <w:pPr>
              <w:jc w:val="center"/>
              <w:rPr>
                <w:rFonts w:ascii="Wingdings" w:hAnsi="Wingdings"/>
                <w:sz w:val="20"/>
                <w:szCs w:val="20"/>
              </w:rPr>
            </w:pPr>
          </w:p>
        </w:tc>
        <w:tc>
          <w:tcPr>
            <w:tcW w:w="1057" w:type="dxa"/>
            <w:tcBorders>
              <w:top w:val="single" w:sz="4" w:space="0" w:color="auto"/>
              <w:left w:val="single" w:sz="4" w:space="0" w:color="auto"/>
              <w:bottom w:val="single" w:sz="4" w:space="0" w:color="auto"/>
              <w:right w:val="single" w:sz="4" w:space="0" w:color="auto"/>
            </w:tcBorders>
            <w:vAlign w:val="center"/>
          </w:tcPr>
          <w:p w14:paraId="0354461A" w14:textId="63503B6B" w:rsidR="000C15BB" w:rsidRPr="000C15BB" w:rsidRDefault="000C15BB" w:rsidP="000C15BB">
            <w:pPr>
              <w:jc w:val="center"/>
              <w:rPr>
                <w:rFonts w:ascii="Wingdings" w:hAnsi="Wingdings"/>
                <w:sz w:val="20"/>
                <w:szCs w:val="20"/>
              </w:rPr>
            </w:pPr>
            <w:r w:rsidRPr="000C15BB">
              <w:rPr>
                <w:rFonts w:ascii="Wingdings" w:hAnsi="Wingdings"/>
                <w:sz w:val="20"/>
                <w:szCs w:val="20"/>
              </w:rPr>
              <w:t></w:t>
            </w:r>
          </w:p>
        </w:tc>
      </w:tr>
    </w:tbl>
    <w:p w14:paraId="3278AE72" w14:textId="01C1106F" w:rsidR="008B2522" w:rsidRDefault="008B2522" w:rsidP="009C50DD">
      <w:pPr>
        <w:pStyle w:val="Notes"/>
        <w:spacing w:after="0"/>
        <w:contextualSpacing/>
      </w:pPr>
      <w:r w:rsidRPr="00A35800" w:rsidDel="00EE2BBB">
        <w:t xml:space="preserve">Source: </w:t>
      </w:r>
      <w:r w:rsidDel="00EE2BBB">
        <w:t>the</w:t>
      </w:r>
      <w:r w:rsidR="003B56E9">
        <w:t xml:space="preserve"> </w:t>
      </w:r>
      <w:hyperlink r:id="rId8" w:history="1">
        <w:r w:rsidR="003B56E9" w:rsidRPr="003B56E9">
          <w:rPr>
            <w:rStyle w:val="Hyperlink"/>
          </w:rPr>
          <w:t>Australian Register of Therapeutic Goods</w:t>
        </w:r>
      </w:hyperlink>
      <w:r w:rsidDel="00EE2BBB">
        <w:t xml:space="preserve"> .  </w:t>
      </w:r>
    </w:p>
    <w:p w14:paraId="1E6E5318" w14:textId="3D7C66B1" w:rsidR="009C50DD" w:rsidRPr="009C50DD" w:rsidDel="00EE2BBB" w:rsidRDefault="00773785" w:rsidP="009C50DD">
      <w:pPr>
        <w:pStyle w:val="Notes"/>
        <w:spacing w:after="0"/>
        <w:contextualSpacing/>
      </w:pPr>
      <w:proofErr w:type="spellStart"/>
      <w:r w:rsidRPr="00773785">
        <w:rPr>
          <w:vertAlign w:val="superscript"/>
        </w:rPr>
        <w:t>a</w:t>
      </w:r>
      <w:proofErr w:type="spellEnd"/>
      <w:r w:rsidR="009C50DD">
        <w:t xml:space="preserve"> For advanced breast cancer in premenopausal women, and adjuvant therapy for early breast cancer in pre- and </w:t>
      </w:r>
      <w:proofErr w:type="spellStart"/>
      <w:r w:rsidR="009C50DD">
        <w:t>perimenopausal</w:t>
      </w:r>
      <w:proofErr w:type="spellEnd"/>
      <w:r w:rsidR="009C50DD">
        <w:t xml:space="preserve"> women, who are suitable for hormonal manipulation. </w:t>
      </w:r>
    </w:p>
    <w:p w14:paraId="3B6F57D0" w14:textId="4BE25DA1" w:rsidR="00BF0C81" w:rsidRDefault="00BF0C81" w:rsidP="00BF0C81">
      <w:pPr>
        <w:pStyle w:val="Heading2"/>
      </w:pPr>
      <w:r w:rsidRPr="00BF0C81">
        <w:t>Contraindications</w:t>
      </w:r>
    </w:p>
    <w:p w14:paraId="7E50D9B6" w14:textId="48F93A91" w:rsidR="00BF0C81" w:rsidRDefault="00BF0C81" w:rsidP="00BF0C81">
      <w:pPr>
        <w:rPr>
          <w:highlight w:val="yellow"/>
        </w:rPr>
      </w:pPr>
      <w:r w:rsidRPr="008B2522">
        <w:t>Although not relevant to the appro</w:t>
      </w:r>
      <w:r>
        <w:t xml:space="preserve">ved indication, </w:t>
      </w:r>
      <w:proofErr w:type="spellStart"/>
      <w:r>
        <w:t>leuprorelin</w:t>
      </w:r>
      <w:proofErr w:type="spellEnd"/>
      <w:r>
        <w:t xml:space="preserve"> acetate is contraindicated in pregnancy due to its </w:t>
      </w:r>
      <w:proofErr w:type="spellStart"/>
      <w:r>
        <w:t>embryotoxic</w:t>
      </w:r>
      <w:proofErr w:type="spellEnd"/>
      <w:r>
        <w:t xml:space="preserve"> effects.</w:t>
      </w:r>
      <w:bookmarkStart w:id="0" w:name="_Ref7708500"/>
      <w:r w:rsidR="00573F89">
        <w:rPr>
          <w:rStyle w:val="FootnoteReference"/>
        </w:rPr>
        <w:footnoteReference w:id="2"/>
      </w:r>
      <w:bookmarkEnd w:id="0"/>
      <w:r>
        <w:t xml:space="preserve"> </w:t>
      </w:r>
    </w:p>
    <w:p w14:paraId="1E393897" w14:textId="3A6B6FA7" w:rsidR="001420B3" w:rsidRDefault="00BF0C81" w:rsidP="00BF0C81">
      <w:r>
        <w:t xml:space="preserve">Although not relevant to the approved indication, </w:t>
      </w:r>
      <w:proofErr w:type="spellStart"/>
      <w:r>
        <w:t>Lucrin</w:t>
      </w:r>
      <w:proofErr w:type="spellEnd"/>
      <w:r>
        <w:t xml:space="preserve"> Depot PDS Injection </w:t>
      </w:r>
      <w:proofErr w:type="gramStart"/>
      <w:r>
        <w:t>should not be administered</w:t>
      </w:r>
      <w:proofErr w:type="gramEnd"/>
      <w:r>
        <w:t xml:space="preserve"> to a nursing mother, as it is not known whether </w:t>
      </w:r>
      <w:proofErr w:type="spellStart"/>
      <w:r>
        <w:t>leuprorelin</w:t>
      </w:r>
      <w:proofErr w:type="spellEnd"/>
      <w:r>
        <w:t xml:space="preserve"> acetate is excreted into human milk.</w:t>
      </w:r>
      <w:r w:rsidR="00573F89" w:rsidRPr="00773785">
        <w:rPr>
          <w:vertAlign w:val="superscript"/>
        </w:rPr>
        <w:fldChar w:fldCharType="begin"/>
      </w:r>
      <w:r w:rsidR="00573F89" w:rsidRPr="00773785">
        <w:rPr>
          <w:vertAlign w:val="superscript"/>
        </w:rPr>
        <w:instrText xml:space="preserve"> NOTEREF _Ref7708500 \h </w:instrText>
      </w:r>
      <w:r w:rsidR="00573F89">
        <w:rPr>
          <w:vertAlign w:val="superscript"/>
        </w:rPr>
        <w:instrText xml:space="preserve"> \* MERGEFORMAT </w:instrText>
      </w:r>
      <w:r w:rsidR="00573F89" w:rsidRPr="00773785">
        <w:rPr>
          <w:vertAlign w:val="superscript"/>
        </w:rPr>
      </w:r>
      <w:r w:rsidR="00573F89" w:rsidRPr="00773785">
        <w:rPr>
          <w:vertAlign w:val="superscript"/>
        </w:rPr>
        <w:fldChar w:fldCharType="separate"/>
      </w:r>
      <w:r w:rsidR="00CA1539">
        <w:rPr>
          <w:vertAlign w:val="superscript"/>
        </w:rPr>
        <w:t>2</w:t>
      </w:r>
      <w:r w:rsidR="00573F89" w:rsidRPr="00773785">
        <w:rPr>
          <w:vertAlign w:val="superscript"/>
        </w:rPr>
        <w:fldChar w:fldCharType="end"/>
      </w:r>
    </w:p>
    <w:p w14:paraId="6B39539A" w14:textId="177B5362" w:rsidR="00BF0C81" w:rsidRDefault="00BF0C81" w:rsidP="00BF0C81">
      <w:r>
        <w:t xml:space="preserve">Although not relevant to the approved indication, </w:t>
      </w:r>
      <w:proofErr w:type="spellStart"/>
      <w:r>
        <w:t>leuprorelin</w:t>
      </w:r>
      <w:proofErr w:type="spellEnd"/>
      <w:r>
        <w:t xml:space="preserve"> acetate </w:t>
      </w:r>
      <w:proofErr w:type="gramStart"/>
      <w:r>
        <w:t>should not be administered</w:t>
      </w:r>
      <w:proofErr w:type="gramEnd"/>
      <w:r>
        <w:t xml:space="preserve"> to patients with undiagnosed vaginal bleeding.</w:t>
      </w:r>
      <w:r w:rsidR="00573F89" w:rsidRPr="00F904A3">
        <w:rPr>
          <w:vertAlign w:val="superscript"/>
        </w:rPr>
        <w:fldChar w:fldCharType="begin"/>
      </w:r>
      <w:r w:rsidR="00573F89" w:rsidRPr="00F904A3">
        <w:rPr>
          <w:vertAlign w:val="superscript"/>
        </w:rPr>
        <w:instrText xml:space="preserve"> NOTEREF _Ref7708500 \h </w:instrText>
      </w:r>
      <w:r w:rsidR="00573F89">
        <w:rPr>
          <w:vertAlign w:val="superscript"/>
        </w:rPr>
        <w:instrText xml:space="preserve"> \* MERGEFORMAT </w:instrText>
      </w:r>
      <w:r w:rsidR="00573F89" w:rsidRPr="00F904A3">
        <w:rPr>
          <w:vertAlign w:val="superscript"/>
        </w:rPr>
      </w:r>
      <w:r w:rsidR="00573F89" w:rsidRPr="00F904A3">
        <w:rPr>
          <w:vertAlign w:val="superscript"/>
        </w:rPr>
        <w:fldChar w:fldCharType="separate"/>
      </w:r>
      <w:r w:rsidR="00CA1539">
        <w:rPr>
          <w:vertAlign w:val="superscript"/>
        </w:rPr>
        <w:t>2</w:t>
      </w:r>
      <w:r w:rsidR="00573F89" w:rsidRPr="00F904A3">
        <w:rPr>
          <w:vertAlign w:val="superscript"/>
        </w:rPr>
        <w:fldChar w:fldCharType="end"/>
      </w:r>
    </w:p>
    <w:p w14:paraId="0B87531E" w14:textId="71060DF3" w:rsidR="00BF0C81" w:rsidRDefault="00BF0C81" w:rsidP="00BF0C81">
      <w:proofErr w:type="spellStart"/>
      <w:r>
        <w:t>Lucrin</w:t>
      </w:r>
      <w:proofErr w:type="spellEnd"/>
      <w:r>
        <w:t xml:space="preserve"> Depot PDS Injection is contraindicated in patients with known hypersensitivity to </w:t>
      </w:r>
      <w:proofErr w:type="spellStart"/>
      <w:r>
        <w:t>leuprorelin</w:t>
      </w:r>
      <w:proofErr w:type="spellEnd"/>
      <w:r>
        <w:t xml:space="preserve"> acetate or similar </w:t>
      </w:r>
      <w:proofErr w:type="spellStart"/>
      <w:r>
        <w:t>nonapeptides</w:t>
      </w:r>
      <w:proofErr w:type="spellEnd"/>
      <w:r>
        <w:t xml:space="preserve"> or any of the excipients. Isolated cases of anaphylaxis </w:t>
      </w:r>
      <w:proofErr w:type="gramStart"/>
      <w:r>
        <w:t>have been reported</w:t>
      </w:r>
      <w:proofErr w:type="gramEnd"/>
      <w:r>
        <w:t xml:space="preserve"> with the monthly formulation of </w:t>
      </w:r>
      <w:proofErr w:type="spellStart"/>
      <w:r>
        <w:t>Lucrin</w:t>
      </w:r>
      <w:proofErr w:type="spellEnd"/>
      <w:r>
        <w:t xml:space="preserve"> Depot 7.5 mg Injection.</w:t>
      </w:r>
      <w:r w:rsidR="00573F89" w:rsidRPr="00F904A3">
        <w:rPr>
          <w:vertAlign w:val="superscript"/>
        </w:rPr>
        <w:fldChar w:fldCharType="begin"/>
      </w:r>
      <w:r w:rsidR="00573F89" w:rsidRPr="00F904A3">
        <w:rPr>
          <w:vertAlign w:val="superscript"/>
        </w:rPr>
        <w:instrText xml:space="preserve"> NOTEREF _Ref7708500 \h </w:instrText>
      </w:r>
      <w:r w:rsidR="00573F89">
        <w:rPr>
          <w:vertAlign w:val="superscript"/>
        </w:rPr>
        <w:instrText xml:space="preserve"> \* MERGEFORMAT </w:instrText>
      </w:r>
      <w:r w:rsidR="00573F89" w:rsidRPr="00F904A3">
        <w:rPr>
          <w:vertAlign w:val="superscript"/>
        </w:rPr>
      </w:r>
      <w:r w:rsidR="00573F89" w:rsidRPr="00F904A3">
        <w:rPr>
          <w:vertAlign w:val="superscript"/>
        </w:rPr>
        <w:fldChar w:fldCharType="separate"/>
      </w:r>
      <w:r w:rsidR="00CA1539">
        <w:rPr>
          <w:vertAlign w:val="superscript"/>
        </w:rPr>
        <w:t>2</w:t>
      </w:r>
      <w:r w:rsidR="00573F89" w:rsidRPr="00F904A3">
        <w:rPr>
          <w:vertAlign w:val="superscript"/>
        </w:rPr>
        <w:fldChar w:fldCharType="end"/>
      </w:r>
    </w:p>
    <w:p w14:paraId="41D9F2C2" w14:textId="4CE13F1A" w:rsidR="00613164" w:rsidRDefault="00613164" w:rsidP="000B26E4">
      <w:proofErr w:type="spellStart"/>
      <w:r>
        <w:t>Triptorelin</w:t>
      </w:r>
      <w:proofErr w:type="spellEnd"/>
      <w:r>
        <w:t xml:space="preserve"> is contraindicated in patients with known h</w:t>
      </w:r>
      <w:r w:rsidR="000B26E4">
        <w:t xml:space="preserve">ypersensitivity to </w:t>
      </w:r>
      <w:proofErr w:type="spellStart"/>
      <w:r w:rsidR="000B26E4">
        <w:t>triptorelin</w:t>
      </w:r>
      <w:proofErr w:type="spellEnd"/>
      <w:r w:rsidR="000B26E4">
        <w:t xml:space="preserve"> or </w:t>
      </w:r>
      <w:r>
        <w:t xml:space="preserve">other </w:t>
      </w:r>
      <w:proofErr w:type="spellStart"/>
      <w:r>
        <w:t>GnRH</w:t>
      </w:r>
      <w:proofErr w:type="spellEnd"/>
      <w:r>
        <w:t xml:space="preserve"> agonist analogues</w:t>
      </w:r>
      <w:r w:rsidR="000B26E4">
        <w:t>. It is also contraindicated in patients with spinal cord compression secondary to prostate cancer metastases.</w:t>
      </w:r>
      <w:r w:rsidR="00573F89">
        <w:rPr>
          <w:rStyle w:val="FootnoteReference"/>
        </w:rPr>
        <w:footnoteReference w:id="3"/>
      </w:r>
    </w:p>
    <w:p w14:paraId="3CE8E0C6" w14:textId="1BBD3641" w:rsidR="00BF0C81" w:rsidRDefault="00BF0C81" w:rsidP="00BF0C81">
      <w:proofErr w:type="spellStart"/>
      <w:r>
        <w:t>Nafarelin</w:t>
      </w:r>
      <w:proofErr w:type="spellEnd"/>
      <w:r>
        <w:t xml:space="preserve"> should not be administered to patients who are hypersensitive to </w:t>
      </w:r>
      <w:proofErr w:type="spellStart"/>
      <w:r>
        <w:t>GnRH</w:t>
      </w:r>
      <w:proofErr w:type="spellEnd"/>
      <w:r>
        <w:t xml:space="preserve">, </w:t>
      </w:r>
      <w:proofErr w:type="spellStart"/>
      <w:r>
        <w:t>GnRH</w:t>
      </w:r>
      <w:proofErr w:type="spellEnd"/>
      <w:r>
        <w:t xml:space="preserve"> agonist analogues or any of the excipients in </w:t>
      </w:r>
      <w:proofErr w:type="spellStart"/>
      <w:r w:rsidR="00E81E8E">
        <w:t>nafarelin</w:t>
      </w:r>
      <w:proofErr w:type="spellEnd"/>
      <w:r>
        <w:t xml:space="preserve">, have undiagnosed abnormal vaginal </w:t>
      </w:r>
      <w:r>
        <w:lastRenderedPageBreak/>
        <w:t xml:space="preserve">bleeding, are pregnant or who may become pregnant while using </w:t>
      </w:r>
      <w:proofErr w:type="spellStart"/>
      <w:r>
        <w:t>nafarelin</w:t>
      </w:r>
      <w:proofErr w:type="spellEnd"/>
      <w:r>
        <w:t xml:space="preserve"> or are breastfeeding.</w:t>
      </w:r>
      <w:r w:rsidR="00DA4351">
        <w:rPr>
          <w:rStyle w:val="FootnoteReference"/>
        </w:rPr>
        <w:footnoteReference w:id="4"/>
      </w:r>
    </w:p>
    <w:p w14:paraId="348A2F8B" w14:textId="1EB7ED7B" w:rsidR="00BF0C81" w:rsidRDefault="00BF0C81" w:rsidP="00BF0C81">
      <w:proofErr w:type="spellStart"/>
      <w:r w:rsidRPr="00573F89">
        <w:t>Bicalutamide</w:t>
      </w:r>
      <w:proofErr w:type="spellEnd"/>
      <w:r w:rsidRPr="00573F89">
        <w:t xml:space="preserve"> is contraindicated in females </w:t>
      </w:r>
      <w:r w:rsidR="00573F89" w:rsidRPr="00573F89">
        <w:t xml:space="preserve">and </w:t>
      </w:r>
      <w:r w:rsidRPr="00573F89">
        <w:t>children</w:t>
      </w:r>
      <w:r w:rsidR="00573F89">
        <w:t xml:space="preserve">. The combination products containing </w:t>
      </w:r>
      <w:proofErr w:type="spellStart"/>
      <w:r w:rsidR="00573F89">
        <w:t>goserelin</w:t>
      </w:r>
      <w:proofErr w:type="spellEnd"/>
      <w:r w:rsidR="00573F89">
        <w:t xml:space="preserve"> </w:t>
      </w:r>
      <w:r w:rsidR="007C543B">
        <w:t xml:space="preserve">with </w:t>
      </w:r>
      <w:proofErr w:type="spellStart"/>
      <w:r w:rsidR="00573F89">
        <w:t>bicalutamide</w:t>
      </w:r>
      <w:proofErr w:type="spellEnd"/>
      <w:r w:rsidR="00573F89">
        <w:t xml:space="preserve"> and </w:t>
      </w:r>
      <w:proofErr w:type="spellStart"/>
      <w:r w:rsidR="00573F89">
        <w:t>leuprorelin</w:t>
      </w:r>
      <w:proofErr w:type="spellEnd"/>
      <w:r w:rsidR="00573F89">
        <w:t xml:space="preserve"> </w:t>
      </w:r>
      <w:r w:rsidR="007C543B">
        <w:t>with</w:t>
      </w:r>
      <w:r w:rsidR="007C543B" w:rsidRPr="00573F89">
        <w:t xml:space="preserve"> </w:t>
      </w:r>
      <w:proofErr w:type="spellStart"/>
      <w:r w:rsidR="00573F89">
        <w:t>bicalutamide</w:t>
      </w:r>
      <w:proofErr w:type="spellEnd"/>
      <w:r w:rsidR="00573F89">
        <w:t xml:space="preserve"> are contraindicated</w:t>
      </w:r>
      <w:r w:rsidR="00573F89" w:rsidRPr="00573F89">
        <w:t xml:space="preserve"> in anyone with a </w:t>
      </w:r>
      <w:r w:rsidR="00573F89" w:rsidRPr="00274A32">
        <w:t>k</w:t>
      </w:r>
      <w:r w:rsidRPr="00274A32">
        <w:t xml:space="preserve">nown hypersensitivity to </w:t>
      </w:r>
      <w:proofErr w:type="spellStart"/>
      <w:r w:rsidRPr="00274A32">
        <w:t>bicalutamide</w:t>
      </w:r>
      <w:proofErr w:type="spellEnd"/>
      <w:r w:rsidRPr="00274A32">
        <w:t xml:space="preserve"> or any other constituents of the formulation.</w:t>
      </w:r>
      <w:r w:rsidR="00573F89">
        <w:rPr>
          <w:rStyle w:val="FootnoteReference"/>
        </w:rPr>
        <w:footnoteReference w:id="5"/>
      </w:r>
      <w:r w:rsidR="0037727E" w:rsidRPr="0037727E">
        <w:rPr>
          <w:vertAlign w:val="superscript"/>
        </w:rPr>
        <w:t>,</w:t>
      </w:r>
      <w:r w:rsidR="00573F89">
        <w:rPr>
          <w:rStyle w:val="FootnoteReference"/>
        </w:rPr>
        <w:footnoteReference w:id="6"/>
      </w:r>
    </w:p>
    <w:p w14:paraId="1AECEEBA" w14:textId="462ADBA1" w:rsidR="00BF0C81" w:rsidRDefault="00BF0C81" w:rsidP="00BF0C81">
      <w:proofErr w:type="spellStart"/>
      <w:r>
        <w:t>Goserelin</w:t>
      </w:r>
      <w:proofErr w:type="spellEnd"/>
      <w:r>
        <w:t xml:space="preserve"> is contraindicated in patients with known hypersensitivity to </w:t>
      </w:r>
      <w:proofErr w:type="spellStart"/>
      <w:r>
        <w:t>GnRH</w:t>
      </w:r>
      <w:proofErr w:type="spellEnd"/>
      <w:r>
        <w:t xml:space="preserve"> or </w:t>
      </w:r>
      <w:proofErr w:type="spellStart"/>
      <w:r>
        <w:t>GnRH</w:t>
      </w:r>
      <w:proofErr w:type="spellEnd"/>
      <w:r>
        <w:t xml:space="preserve"> agonist analogues.</w:t>
      </w:r>
      <w:bookmarkStart w:id="1" w:name="_Ref7787043"/>
      <w:r w:rsidR="00DA4351">
        <w:rPr>
          <w:rStyle w:val="FootnoteReference"/>
        </w:rPr>
        <w:footnoteReference w:id="7"/>
      </w:r>
      <w:bookmarkEnd w:id="1"/>
    </w:p>
    <w:p w14:paraId="15E919C1" w14:textId="1B3BA560" w:rsidR="006B709B" w:rsidRDefault="006B709B" w:rsidP="00D11DA7">
      <w:pPr>
        <w:pStyle w:val="Heading2"/>
        <w:keepNext/>
      </w:pPr>
      <w:r>
        <w:t>Dosage and administration</w:t>
      </w:r>
    </w:p>
    <w:p w14:paraId="51E22FB7" w14:textId="1CCAD041" w:rsidR="003370D0" w:rsidRPr="00BF0C81" w:rsidRDefault="003370D0" w:rsidP="00D11DA7">
      <w:pPr>
        <w:pStyle w:val="Tabletitle"/>
        <w:keepNext/>
      </w:pPr>
      <w:r w:rsidRPr="00BF0C81">
        <w:t xml:space="preserve">Table </w:t>
      </w:r>
      <w:r w:rsidR="00D9012E">
        <w:t>2</w:t>
      </w:r>
      <w:r w:rsidRPr="00BF0C81">
        <w:t xml:space="preserve">: </w:t>
      </w:r>
      <w:r w:rsidR="00BF0C81" w:rsidRPr="00BF0C81">
        <w:t xml:space="preserve">Dosage and administration of </w:t>
      </w:r>
      <w:proofErr w:type="spellStart"/>
      <w:r w:rsidR="003F58D0" w:rsidRPr="003F58D0">
        <w:t>GnRH</w:t>
      </w:r>
      <w:proofErr w:type="spellEnd"/>
      <w:r w:rsidR="003F58D0" w:rsidRPr="003F58D0">
        <w:t xml:space="preserve"> agonists</w:t>
      </w:r>
    </w:p>
    <w:tbl>
      <w:tblPr>
        <w:tblStyle w:val="TableGrid"/>
        <w:tblW w:w="9180" w:type="dxa"/>
        <w:tblLook w:val="04A0" w:firstRow="1" w:lastRow="0" w:firstColumn="1" w:lastColumn="0" w:noHBand="0" w:noVBand="1"/>
        <w:tblCaption w:val="Dosage and administration of GnRH agonists"/>
        <w:tblDescription w:val="Dosage and administration of GnRH agonists"/>
      </w:tblPr>
      <w:tblGrid>
        <w:gridCol w:w="2235"/>
        <w:gridCol w:w="3118"/>
        <w:gridCol w:w="3827"/>
      </w:tblGrid>
      <w:tr w:rsidR="00AB3733" w:rsidRPr="00A35800" w14:paraId="17C962C4" w14:textId="77777777" w:rsidTr="00496FFD">
        <w:trPr>
          <w:tblHeader/>
        </w:trPr>
        <w:tc>
          <w:tcPr>
            <w:tcW w:w="2235" w:type="dxa"/>
            <w:shd w:val="clear" w:color="auto" w:fill="BFBFBF" w:themeFill="background1" w:themeFillShade="BF"/>
          </w:tcPr>
          <w:p w14:paraId="4C67179E" w14:textId="77777777" w:rsidR="00AB3733" w:rsidRPr="00A35800" w:rsidRDefault="00AB3733" w:rsidP="00A35800">
            <w:pPr>
              <w:pStyle w:val="Tableheading"/>
              <w:rPr>
                <w:sz w:val="20"/>
                <w:szCs w:val="20"/>
              </w:rPr>
            </w:pPr>
            <w:r w:rsidRPr="00A35800">
              <w:rPr>
                <w:sz w:val="20"/>
                <w:szCs w:val="20"/>
              </w:rPr>
              <w:t>Brand name and sponsor</w:t>
            </w:r>
          </w:p>
        </w:tc>
        <w:tc>
          <w:tcPr>
            <w:tcW w:w="3118" w:type="dxa"/>
            <w:shd w:val="clear" w:color="auto" w:fill="BFBFBF" w:themeFill="background1" w:themeFillShade="BF"/>
          </w:tcPr>
          <w:p w14:paraId="2A01F4BF" w14:textId="77777777" w:rsidR="00AB3733" w:rsidRPr="00A35800" w:rsidRDefault="00AB3733" w:rsidP="00A35800">
            <w:pPr>
              <w:pStyle w:val="Tableheading"/>
              <w:rPr>
                <w:sz w:val="20"/>
                <w:szCs w:val="20"/>
              </w:rPr>
            </w:pPr>
            <w:r w:rsidRPr="00A35800">
              <w:rPr>
                <w:sz w:val="20"/>
                <w:szCs w:val="20"/>
              </w:rPr>
              <w:t>Product</w:t>
            </w:r>
          </w:p>
        </w:tc>
        <w:tc>
          <w:tcPr>
            <w:tcW w:w="3827" w:type="dxa"/>
            <w:shd w:val="clear" w:color="auto" w:fill="BFBFBF" w:themeFill="background1" w:themeFillShade="BF"/>
          </w:tcPr>
          <w:p w14:paraId="28170FE4" w14:textId="77777777" w:rsidR="00AB3733" w:rsidRPr="00A35800" w:rsidRDefault="00AB3733" w:rsidP="00A35800">
            <w:pPr>
              <w:pStyle w:val="Tableheading"/>
              <w:rPr>
                <w:sz w:val="20"/>
                <w:szCs w:val="20"/>
              </w:rPr>
            </w:pPr>
            <w:r w:rsidRPr="00A35800">
              <w:rPr>
                <w:sz w:val="20"/>
                <w:szCs w:val="20"/>
              </w:rPr>
              <w:t xml:space="preserve">Dose and frequency of administration </w:t>
            </w:r>
          </w:p>
        </w:tc>
      </w:tr>
      <w:tr w:rsidR="00496FFD" w:rsidRPr="00A35800" w14:paraId="03B9D2BE" w14:textId="77777777" w:rsidTr="00496FFD">
        <w:tc>
          <w:tcPr>
            <w:tcW w:w="2235" w:type="dxa"/>
          </w:tcPr>
          <w:p w14:paraId="0E778A40" w14:textId="77777777" w:rsidR="00496FFD" w:rsidRDefault="00496FFD" w:rsidP="0091108E">
            <w:pPr>
              <w:pStyle w:val="Tablewriting"/>
            </w:pPr>
            <w:proofErr w:type="spellStart"/>
            <w:r>
              <w:t>Zoladex</w:t>
            </w:r>
            <w:proofErr w:type="spellEnd"/>
            <w:r w:rsidRPr="00FA67F2">
              <w:t xml:space="preserve"> Implant</w:t>
            </w:r>
          </w:p>
          <w:p w14:paraId="1AFF8036" w14:textId="77777777" w:rsidR="00496FFD" w:rsidRPr="00A35800" w:rsidRDefault="00496FFD" w:rsidP="0091108E">
            <w:pPr>
              <w:pStyle w:val="Tablewriting"/>
            </w:pPr>
            <w:r w:rsidRPr="00181843">
              <w:t>AstraZeneca Pty Ltd</w:t>
            </w:r>
          </w:p>
        </w:tc>
        <w:tc>
          <w:tcPr>
            <w:tcW w:w="3118" w:type="dxa"/>
          </w:tcPr>
          <w:p w14:paraId="56E6629F" w14:textId="77777777" w:rsidR="00496FFD" w:rsidRPr="00A35800" w:rsidRDefault="00496FFD" w:rsidP="0091108E">
            <w:pPr>
              <w:pStyle w:val="Tablewriting"/>
            </w:pPr>
            <w:proofErr w:type="spellStart"/>
            <w:r w:rsidRPr="00FA67F2">
              <w:t>goserelin</w:t>
            </w:r>
            <w:proofErr w:type="spellEnd"/>
            <w:r w:rsidRPr="00FA67F2">
              <w:t xml:space="preserve"> 3.6 mg implant</w:t>
            </w:r>
          </w:p>
        </w:tc>
        <w:tc>
          <w:tcPr>
            <w:tcW w:w="3827" w:type="dxa"/>
          </w:tcPr>
          <w:p w14:paraId="575C1C62" w14:textId="7A3FCD7D" w:rsidR="00496FFD" w:rsidRPr="00A35800" w:rsidRDefault="00496FFD" w:rsidP="0091108E">
            <w:pPr>
              <w:pStyle w:val="Tablewriting"/>
            </w:pPr>
            <w:r>
              <w:t xml:space="preserve">One 3.6 mg implant of </w:t>
            </w:r>
            <w:proofErr w:type="spellStart"/>
            <w:r>
              <w:t>goserelin</w:t>
            </w:r>
            <w:proofErr w:type="spellEnd"/>
            <w:r>
              <w:t xml:space="preserve"> every 28 days, injected subcutaneously into the anterior abdominal wall.</w:t>
            </w:r>
          </w:p>
        </w:tc>
      </w:tr>
      <w:tr w:rsidR="00181843" w:rsidRPr="00A35800" w14:paraId="762CD304" w14:textId="77777777" w:rsidTr="00496FFD">
        <w:tc>
          <w:tcPr>
            <w:tcW w:w="2235" w:type="dxa"/>
          </w:tcPr>
          <w:p w14:paraId="77A1DA8B" w14:textId="77777777" w:rsidR="00181843" w:rsidRDefault="00181843" w:rsidP="00181843">
            <w:pPr>
              <w:pStyle w:val="Tablewriting"/>
            </w:pPr>
            <w:proofErr w:type="spellStart"/>
            <w:r w:rsidRPr="00FA67F2">
              <w:t>Zoladex</w:t>
            </w:r>
            <w:proofErr w:type="spellEnd"/>
            <w:r w:rsidRPr="00FA67F2">
              <w:t xml:space="preserve"> 10.8mg Implant</w:t>
            </w:r>
          </w:p>
          <w:p w14:paraId="345B5FE8" w14:textId="535B8C2F" w:rsidR="00181843" w:rsidRPr="00A35800" w:rsidRDefault="00181843" w:rsidP="00181843">
            <w:pPr>
              <w:pStyle w:val="Tablewriting"/>
            </w:pPr>
            <w:r w:rsidRPr="00181843">
              <w:t>AstraZeneca Pty Ltd</w:t>
            </w:r>
          </w:p>
        </w:tc>
        <w:tc>
          <w:tcPr>
            <w:tcW w:w="3118" w:type="dxa"/>
          </w:tcPr>
          <w:p w14:paraId="307B0F70" w14:textId="55A5DFE5" w:rsidR="00181843" w:rsidRPr="00A35800" w:rsidRDefault="00181843" w:rsidP="00181843">
            <w:pPr>
              <w:pStyle w:val="Tablewriting"/>
            </w:pPr>
            <w:proofErr w:type="spellStart"/>
            <w:r w:rsidRPr="00FA67F2">
              <w:t>goserelin</w:t>
            </w:r>
            <w:proofErr w:type="spellEnd"/>
            <w:r w:rsidRPr="00FA67F2">
              <w:t xml:space="preserve"> 10.8 mg implant</w:t>
            </w:r>
          </w:p>
        </w:tc>
        <w:tc>
          <w:tcPr>
            <w:tcW w:w="3827" w:type="dxa"/>
          </w:tcPr>
          <w:p w14:paraId="7C0C1273" w14:textId="10375150" w:rsidR="00181843" w:rsidRPr="00A35800" w:rsidRDefault="00181843" w:rsidP="00181843">
            <w:pPr>
              <w:pStyle w:val="Tablewriting"/>
            </w:pPr>
            <w:r>
              <w:t xml:space="preserve">One 10.8 mg implant of </w:t>
            </w:r>
            <w:proofErr w:type="spellStart"/>
            <w:r>
              <w:t>goserelin</w:t>
            </w:r>
            <w:proofErr w:type="spellEnd"/>
            <w:r>
              <w:t xml:space="preserve"> every 3 months, injected subcutaneously in</w:t>
            </w:r>
            <w:r w:rsidR="00496FFD">
              <w:t>to the anterior abdominal wall.</w:t>
            </w:r>
          </w:p>
        </w:tc>
      </w:tr>
      <w:tr w:rsidR="00181843" w:rsidRPr="00A35800" w14:paraId="2FDBBFA2" w14:textId="77777777" w:rsidTr="00496FFD">
        <w:tc>
          <w:tcPr>
            <w:tcW w:w="2235" w:type="dxa"/>
          </w:tcPr>
          <w:p w14:paraId="536A8B98" w14:textId="77777777" w:rsidR="00496FFD" w:rsidRDefault="00496FFD" w:rsidP="005A7911">
            <w:pPr>
              <w:pStyle w:val="Tablewriting"/>
            </w:pPr>
            <w:proofErr w:type="spellStart"/>
            <w:r w:rsidRPr="00496FFD">
              <w:t>ZolaCos</w:t>
            </w:r>
            <w:proofErr w:type="spellEnd"/>
            <w:r w:rsidRPr="00496FFD">
              <w:t xml:space="preserve"> CP 3.6/50</w:t>
            </w:r>
          </w:p>
          <w:p w14:paraId="1522D941" w14:textId="1E7D9930" w:rsidR="00181843" w:rsidRPr="00A35800" w:rsidRDefault="00181843" w:rsidP="005A7911">
            <w:pPr>
              <w:pStyle w:val="Tablewriting"/>
            </w:pPr>
            <w:r w:rsidRPr="00181843">
              <w:t>AstraZeneca Pty Ltd</w:t>
            </w:r>
          </w:p>
        </w:tc>
        <w:tc>
          <w:tcPr>
            <w:tcW w:w="3118" w:type="dxa"/>
          </w:tcPr>
          <w:p w14:paraId="74F56063" w14:textId="77777777" w:rsidR="00181843" w:rsidRPr="00A35800" w:rsidRDefault="00181843" w:rsidP="005A7911">
            <w:pPr>
              <w:pStyle w:val="Tablewriting"/>
            </w:pPr>
            <w:proofErr w:type="spellStart"/>
            <w:r w:rsidRPr="00FA67F2">
              <w:t>goserelin</w:t>
            </w:r>
            <w:proofErr w:type="spellEnd"/>
            <w:r w:rsidRPr="00FA67F2">
              <w:t xml:space="preserve"> 3.6 mg implant [1 implant] (&amp;) </w:t>
            </w:r>
            <w:proofErr w:type="spellStart"/>
            <w:r w:rsidRPr="00FA67F2">
              <w:t>bicalutamide</w:t>
            </w:r>
            <w:proofErr w:type="spellEnd"/>
            <w:r w:rsidRPr="00FA67F2">
              <w:t xml:space="preserve"> 50 mg tablet [28 tablets]</w:t>
            </w:r>
          </w:p>
        </w:tc>
        <w:tc>
          <w:tcPr>
            <w:tcW w:w="3827" w:type="dxa"/>
          </w:tcPr>
          <w:p w14:paraId="096EECC6" w14:textId="44556844" w:rsidR="00181843" w:rsidRDefault="00181843" w:rsidP="00181843">
            <w:pPr>
              <w:pStyle w:val="Tablewriting"/>
            </w:pPr>
            <w:r>
              <w:t xml:space="preserve">One 3.6 mg implant of </w:t>
            </w:r>
            <w:proofErr w:type="spellStart"/>
            <w:r>
              <w:t>goserelin</w:t>
            </w:r>
            <w:proofErr w:type="spellEnd"/>
            <w:r>
              <w:t xml:space="preserve"> every 28 days, injected subcutaneously into the anterior abdominal wall.</w:t>
            </w:r>
          </w:p>
          <w:p w14:paraId="047FA4A3" w14:textId="3C5400FB" w:rsidR="00181843" w:rsidRPr="00A35800" w:rsidRDefault="00181843" w:rsidP="00181843">
            <w:pPr>
              <w:pStyle w:val="Tablewriting"/>
            </w:pPr>
            <w:r w:rsidRPr="00181843">
              <w:t xml:space="preserve">One </w:t>
            </w:r>
            <w:proofErr w:type="spellStart"/>
            <w:r>
              <w:t>bicalutamide</w:t>
            </w:r>
            <w:proofErr w:type="spellEnd"/>
            <w:r>
              <w:t xml:space="preserve"> </w:t>
            </w:r>
            <w:r w:rsidRPr="00181843">
              <w:t>tablet (50 mg) once a day.</w:t>
            </w:r>
          </w:p>
        </w:tc>
      </w:tr>
      <w:tr w:rsidR="00181843" w:rsidRPr="00A35800" w14:paraId="66C0DE13" w14:textId="77777777" w:rsidTr="00496FFD">
        <w:tc>
          <w:tcPr>
            <w:tcW w:w="2235" w:type="dxa"/>
          </w:tcPr>
          <w:p w14:paraId="6080DCC4" w14:textId="77777777" w:rsidR="00181843" w:rsidRDefault="00496FFD" w:rsidP="005A7911">
            <w:pPr>
              <w:pStyle w:val="Tablewriting"/>
            </w:pPr>
            <w:proofErr w:type="spellStart"/>
            <w:r w:rsidRPr="00496FFD">
              <w:t>ZolaCos</w:t>
            </w:r>
            <w:proofErr w:type="spellEnd"/>
            <w:r w:rsidRPr="00496FFD">
              <w:t xml:space="preserve"> CP 10.8/50(28)</w:t>
            </w:r>
            <w:r>
              <w:br/>
            </w:r>
            <w:proofErr w:type="spellStart"/>
            <w:r w:rsidRPr="00496FFD">
              <w:t>ZolaCos</w:t>
            </w:r>
            <w:proofErr w:type="spellEnd"/>
            <w:r w:rsidRPr="00496FFD">
              <w:t xml:space="preserve"> CP 10.8/50(84)</w:t>
            </w:r>
          </w:p>
          <w:p w14:paraId="1C536918" w14:textId="68621E2B" w:rsidR="00496FFD" w:rsidRDefault="00496FFD" w:rsidP="005A7911">
            <w:pPr>
              <w:pStyle w:val="Tablewriting"/>
            </w:pPr>
            <w:r w:rsidRPr="00496FFD">
              <w:t>AstraZeneca Pty Ltd</w:t>
            </w:r>
          </w:p>
        </w:tc>
        <w:tc>
          <w:tcPr>
            <w:tcW w:w="3118" w:type="dxa"/>
          </w:tcPr>
          <w:p w14:paraId="3E857530" w14:textId="77777777" w:rsidR="00496FFD" w:rsidRDefault="00181843" w:rsidP="005A7911">
            <w:pPr>
              <w:pStyle w:val="Tablewriting"/>
            </w:pPr>
            <w:proofErr w:type="spellStart"/>
            <w:r w:rsidRPr="00FA67F2">
              <w:t>goserelin</w:t>
            </w:r>
            <w:proofErr w:type="spellEnd"/>
            <w:r w:rsidRPr="00FA67F2">
              <w:t xml:space="preserve"> 10.8 mg implant [1 implant] (&amp;) </w:t>
            </w:r>
            <w:proofErr w:type="spellStart"/>
            <w:r w:rsidRPr="00FA67F2">
              <w:t>bicalutamide</w:t>
            </w:r>
            <w:proofErr w:type="spellEnd"/>
            <w:r w:rsidRPr="00FA67F2">
              <w:t xml:space="preserve"> 50 mg tablet [28 tablets]</w:t>
            </w:r>
            <w:r w:rsidR="00496FFD" w:rsidRPr="00FA67F2">
              <w:t xml:space="preserve"> </w:t>
            </w:r>
          </w:p>
          <w:p w14:paraId="46F37CE2" w14:textId="4507278F" w:rsidR="00181843" w:rsidRPr="00A35800" w:rsidRDefault="00496FFD" w:rsidP="005A7911">
            <w:pPr>
              <w:pStyle w:val="Tablewriting"/>
            </w:pPr>
            <w:proofErr w:type="spellStart"/>
            <w:r w:rsidRPr="00FA67F2">
              <w:t>goserelin</w:t>
            </w:r>
            <w:proofErr w:type="spellEnd"/>
            <w:r w:rsidRPr="00FA67F2">
              <w:t xml:space="preserve"> 10.8 mg implant [1 implant] (&amp;) </w:t>
            </w:r>
            <w:proofErr w:type="spellStart"/>
            <w:r w:rsidRPr="00FA67F2">
              <w:t>bicalutamide</w:t>
            </w:r>
            <w:proofErr w:type="spellEnd"/>
            <w:r w:rsidRPr="00FA67F2">
              <w:t xml:space="preserve"> 50 mg tablet [84 tablets]</w:t>
            </w:r>
          </w:p>
        </w:tc>
        <w:tc>
          <w:tcPr>
            <w:tcW w:w="3827" w:type="dxa"/>
          </w:tcPr>
          <w:p w14:paraId="2EF918E8" w14:textId="26242208" w:rsidR="00496FFD" w:rsidRDefault="00496FFD" w:rsidP="00496FFD">
            <w:pPr>
              <w:pStyle w:val="Tablewriting"/>
            </w:pPr>
            <w:r>
              <w:t xml:space="preserve">One 10.8 mg implant of </w:t>
            </w:r>
            <w:proofErr w:type="spellStart"/>
            <w:r>
              <w:t>goserelin</w:t>
            </w:r>
            <w:proofErr w:type="spellEnd"/>
            <w:r>
              <w:t xml:space="preserve"> every 3 months, injected subcutaneously into the anterior abdominal wall.</w:t>
            </w:r>
          </w:p>
          <w:p w14:paraId="060AC8AA" w14:textId="767C678C" w:rsidR="00181843" w:rsidRPr="00A35800" w:rsidRDefault="00496FFD" w:rsidP="005A7911">
            <w:pPr>
              <w:pStyle w:val="Tablewriting"/>
            </w:pPr>
            <w:r w:rsidRPr="00181843">
              <w:t xml:space="preserve">One </w:t>
            </w:r>
            <w:proofErr w:type="spellStart"/>
            <w:r>
              <w:t>bicalutamide</w:t>
            </w:r>
            <w:proofErr w:type="spellEnd"/>
            <w:r>
              <w:t xml:space="preserve"> </w:t>
            </w:r>
            <w:r w:rsidRPr="00181843">
              <w:t>tablet (50 mg) once a day.</w:t>
            </w:r>
          </w:p>
        </w:tc>
      </w:tr>
      <w:tr w:rsidR="00496FFD" w:rsidRPr="00A35800" w14:paraId="143E4F72" w14:textId="77777777" w:rsidTr="00496FFD">
        <w:tc>
          <w:tcPr>
            <w:tcW w:w="2235" w:type="dxa"/>
          </w:tcPr>
          <w:p w14:paraId="2CA8B372" w14:textId="5B6F7DD0" w:rsidR="00496FFD" w:rsidRDefault="00496FFD" w:rsidP="00496FFD">
            <w:pPr>
              <w:pStyle w:val="Tablewriting"/>
            </w:pPr>
            <w:proofErr w:type="spellStart"/>
            <w:r w:rsidRPr="00181843">
              <w:t>Eligard</w:t>
            </w:r>
            <w:proofErr w:type="spellEnd"/>
            <w:r w:rsidRPr="00181843">
              <w:t xml:space="preserve"> 1 month</w:t>
            </w:r>
            <w:r>
              <w:t xml:space="preserve"> PDS</w:t>
            </w:r>
          </w:p>
          <w:p w14:paraId="2783087B" w14:textId="5EF8D608" w:rsidR="00496FFD" w:rsidRDefault="00496FFD" w:rsidP="00496FFD">
            <w:pPr>
              <w:pStyle w:val="Tablewriting"/>
            </w:pPr>
            <w:proofErr w:type="spellStart"/>
            <w:r w:rsidRPr="00181843">
              <w:t>Mundipharma</w:t>
            </w:r>
            <w:proofErr w:type="spellEnd"/>
            <w:r w:rsidRPr="00181843">
              <w:t xml:space="preserve"> Pty Limited</w:t>
            </w:r>
          </w:p>
        </w:tc>
        <w:tc>
          <w:tcPr>
            <w:tcW w:w="3118" w:type="dxa"/>
          </w:tcPr>
          <w:p w14:paraId="68E92CD9" w14:textId="76BD54B1" w:rsidR="00496FFD" w:rsidRPr="00FA67F2" w:rsidRDefault="00496FFD" w:rsidP="005A7911">
            <w:pPr>
              <w:pStyle w:val="Tablewriting"/>
            </w:pPr>
            <w:proofErr w:type="spellStart"/>
            <w:r w:rsidRPr="00496FFD">
              <w:t>leuprorelin</w:t>
            </w:r>
            <w:proofErr w:type="spellEnd"/>
            <w:r w:rsidRPr="00496FFD">
              <w:t xml:space="preserve"> acetate 7.5 mg modified release injection [1 syringe] (&amp;) inert substance diluent [1 syringe],</w:t>
            </w:r>
          </w:p>
        </w:tc>
        <w:tc>
          <w:tcPr>
            <w:tcW w:w="3827" w:type="dxa"/>
          </w:tcPr>
          <w:p w14:paraId="546A7CB0" w14:textId="7D00D8D6" w:rsidR="00496FFD" w:rsidRPr="00A35800" w:rsidRDefault="00496FFD" w:rsidP="005A7911">
            <w:pPr>
              <w:pStyle w:val="Tablewriting"/>
            </w:pPr>
            <w:r>
              <w:t xml:space="preserve">The recommended dose of </w:t>
            </w:r>
            <w:proofErr w:type="spellStart"/>
            <w:r>
              <w:t>Eligard</w:t>
            </w:r>
            <w:proofErr w:type="spellEnd"/>
            <w:r>
              <w:t xml:space="preserve"> 1 month is one injection every month.</w:t>
            </w:r>
            <w:r>
              <w:br/>
            </w:r>
          </w:p>
        </w:tc>
      </w:tr>
      <w:tr w:rsidR="00496FFD" w:rsidRPr="00A35800" w14:paraId="3FC1A6D1" w14:textId="77777777" w:rsidTr="00496FFD">
        <w:tc>
          <w:tcPr>
            <w:tcW w:w="2235" w:type="dxa"/>
          </w:tcPr>
          <w:p w14:paraId="2B58343B" w14:textId="6BB276EA" w:rsidR="00496FFD" w:rsidRDefault="00496FFD" w:rsidP="00496FFD">
            <w:pPr>
              <w:pStyle w:val="Tablewriting"/>
            </w:pPr>
            <w:proofErr w:type="spellStart"/>
            <w:r w:rsidRPr="00181843">
              <w:t>Eligard</w:t>
            </w:r>
            <w:proofErr w:type="spellEnd"/>
            <w:r w:rsidRPr="00181843">
              <w:t xml:space="preserve"> </w:t>
            </w:r>
            <w:r>
              <w:t>3</w:t>
            </w:r>
            <w:r w:rsidRPr="00181843">
              <w:t xml:space="preserve"> month</w:t>
            </w:r>
            <w:r>
              <w:t xml:space="preserve"> PDS</w:t>
            </w:r>
          </w:p>
          <w:p w14:paraId="60F026E8" w14:textId="71D882D6" w:rsidR="00496FFD" w:rsidRDefault="00496FFD" w:rsidP="00496FFD">
            <w:pPr>
              <w:pStyle w:val="Tablewriting"/>
            </w:pPr>
            <w:proofErr w:type="spellStart"/>
            <w:r w:rsidRPr="00181843">
              <w:lastRenderedPageBreak/>
              <w:t>Mundipharma</w:t>
            </w:r>
            <w:proofErr w:type="spellEnd"/>
            <w:r w:rsidRPr="00181843">
              <w:t xml:space="preserve"> Pty Limited</w:t>
            </w:r>
          </w:p>
        </w:tc>
        <w:tc>
          <w:tcPr>
            <w:tcW w:w="3118" w:type="dxa"/>
          </w:tcPr>
          <w:p w14:paraId="7811872B" w14:textId="4BA4EC20" w:rsidR="00496FFD" w:rsidRPr="00FA67F2" w:rsidRDefault="00496FFD" w:rsidP="005A7911">
            <w:pPr>
              <w:pStyle w:val="Tablewriting"/>
            </w:pPr>
            <w:proofErr w:type="spellStart"/>
            <w:r w:rsidRPr="00496FFD">
              <w:lastRenderedPageBreak/>
              <w:t>leuprorelin</w:t>
            </w:r>
            <w:proofErr w:type="spellEnd"/>
            <w:r w:rsidRPr="00496FFD">
              <w:t xml:space="preserve"> acetate 22.5 mg modified release injection [1 </w:t>
            </w:r>
            <w:r w:rsidRPr="00496FFD">
              <w:lastRenderedPageBreak/>
              <w:t>syringe] (&amp;) inert substance diluent [1 syringe]</w:t>
            </w:r>
          </w:p>
        </w:tc>
        <w:tc>
          <w:tcPr>
            <w:tcW w:w="3827" w:type="dxa"/>
          </w:tcPr>
          <w:p w14:paraId="537B643F" w14:textId="6007C1AF" w:rsidR="00496FFD" w:rsidRPr="00A35800" w:rsidRDefault="00496FFD" w:rsidP="005A7911">
            <w:pPr>
              <w:pStyle w:val="Tablewriting"/>
            </w:pPr>
            <w:r>
              <w:lastRenderedPageBreak/>
              <w:t xml:space="preserve">The recommended dose of </w:t>
            </w:r>
            <w:proofErr w:type="spellStart"/>
            <w:r>
              <w:t>Eligard</w:t>
            </w:r>
            <w:proofErr w:type="spellEnd"/>
            <w:r>
              <w:t xml:space="preserve"> 3 month is one injection every three months.</w:t>
            </w:r>
            <w:r>
              <w:br/>
            </w:r>
          </w:p>
        </w:tc>
      </w:tr>
      <w:tr w:rsidR="00496FFD" w:rsidRPr="00A35800" w14:paraId="4BFBF407" w14:textId="77777777" w:rsidTr="00496FFD">
        <w:tc>
          <w:tcPr>
            <w:tcW w:w="2235" w:type="dxa"/>
          </w:tcPr>
          <w:p w14:paraId="2A52C36A" w14:textId="658E221B" w:rsidR="00496FFD" w:rsidRDefault="00496FFD" w:rsidP="00496FFD">
            <w:pPr>
              <w:pStyle w:val="Tablewriting"/>
            </w:pPr>
            <w:proofErr w:type="spellStart"/>
            <w:r>
              <w:t>Eligard</w:t>
            </w:r>
            <w:proofErr w:type="spellEnd"/>
            <w:r>
              <w:t xml:space="preserve"> 4</w:t>
            </w:r>
            <w:r w:rsidRPr="00181843">
              <w:t xml:space="preserve"> month</w:t>
            </w:r>
            <w:r>
              <w:t xml:space="preserve"> PDS</w:t>
            </w:r>
          </w:p>
          <w:p w14:paraId="09DF0EDB" w14:textId="441F9512" w:rsidR="00496FFD" w:rsidRDefault="00496FFD" w:rsidP="00496FFD">
            <w:pPr>
              <w:pStyle w:val="Tablewriting"/>
            </w:pPr>
            <w:proofErr w:type="spellStart"/>
            <w:r w:rsidRPr="00181843">
              <w:t>Mundipharma</w:t>
            </w:r>
            <w:proofErr w:type="spellEnd"/>
            <w:r w:rsidRPr="00181843">
              <w:t xml:space="preserve"> Pty Limited</w:t>
            </w:r>
          </w:p>
        </w:tc>
        <w:tc>
          <w:tcPr>
            <w:tcW w:w="3118" w:type="dxa"/>
          </w:tcPr>
          <w:p w14:paraId="4D49ACCB" w14:textId="0119B1BC" w:rsidR="00496FFD" w:rsidRPr="00FA67F2" w:rsidRDefault="00496FFD" w:rsidP="005A7911">
            <w:pPr>
              <w:pStyle w:val="Tablewriting"/>
            </w:pPr>
            <w:proofErr w:type="spellStart"/>
            <w:r w:rsidRPr="00496FFD">
              <w:t>leuprorelin</w:t>
            </w:r>
            <w:proofErr w:type="spellEnd"/>
            <w:r w:rsidRPr="00496FFD">
              <w:t xml:space="preserve"> acetate 30 mg modified release injection [1 syringe] (&amp;) inert substance diluent [1 syringe]</w:t>
            </w:r>
          </w:p>
        </w:tc>
        <w:tc>
          <w:tcPr>
            <w:tcW w:w="3827" w:type="dxa"/>
          </w:tcPr>
          <w:p w14:paraId="1E76BB4B" w14:textId="228D5A1E" w:rsidR="00496FFD" w:rsidRPr="00A35800" w:rsidRDefault="00496FFD" w:rsidP="005A7911">
            <w:pPr>
              <w:pStyle w:val="Tablewriting"/>
            </w:pPr>
            <w:r>
              <w:t xml:space="preserve">The recommended dose of </w:t>
            </w:r>
            <w:proofErr w:type="spellStart"/>
            <w:r>
              <w:t>Eligard</w:t>
            </w:r>
            <w:proofErr w:type="spellEnd"/>
            <w:r>
              <w:t xml:space="preserve"> 4 month is one injection every four months.</w:t>
            </w:r>
          </w:p>
        </w:tc>
      </w:tr>
      <w:tr w:rsidR="00181843" w:rsidRPr="00A35800" w14:paraId="0E3EFFCF" w14:textId="77777777" w:rsidTr="00496FFD">
        <w:tc>
          <w:tcPr>
            <w:tcW w:w="2235" w:type="dxa"/>
          </w:tcPr>
          <w:p w14:paraId="7621D678" w14:textId="55DC406D" w:rsidR="00181843" w:rsidRDefault="00181843" w:rsidP="00181843">
            <w:pPr>
              <w:pStyle w:val="Tablewriting"/>
            </w:pPr>
            <w:proofErr w:type="spellStart"/>
            <w:r>
              <w:t>Eligard</w:t>
            </w:r>
            <w:proofErr w:type="spellEnd"/>
            <w:r>
              <w:t xml:space="preserve"> 6</w:t>
            </w:r>
            <w:r w:rsidRPr="00181843">
              <w:t xml:space="preserve"> month</w:t>
            </w:r>
            <w:r w:rsidR="00496FFD">
              <w:t xml:space="preserve"> PDS</w:t>
            </w:r>
          </w:p>
          <w:p w14:paraId="61148BD1" w14:textId="1984D42E" w:rsidR="00181843" w:rsidRPr="00A35800" w:rsidRDefault="00181843" w:rsidP="00181843">
            <w:pPr>
              <w:pStyle w:val="Tablewriting"/>
            </w:pPr>
            <w:proofErr w:type="spellStart"/>
            <w:r w:rsidRPr="00181843">
              <w:t>Mundipharma</w:t>
            </w:r>
            <w:proofErr w:type="spellEnd"/>
            <w:r w:rsidRPr="00181843">
              <w:t xml:space="preserve"> Pty Limited</w:t>
            </w:r>
          </w:p>
        </w:tc>
        <w:tc>
          <w:tcPr>
            <w:tcW w:w="3118" w:type="dxa"/>
          </w:tcPr>
          <w:p w14:paraId="6C44C583" w14:textId="3860C8E8" w:rsidR="00181843" w:rsidRPr="00A35800" w:rsidRDefault="00496FFD" w:rsidP="00496FFD">
            <w:pPr>
              <w:pStyle w:val="Tablewriting"/>
            </w:pPr>
            <w:proofErr w:type="spellStart"/>
            <w:r w:rsidRPr="00496FFD">
              <w:t>leuprorelin</w:t>
            </w:r>
            <w:proofErr w:type="spellEnd"/>
            <w:r w:rsidRPr="00496FFD">
              <w:t xml:space="preserve"> acetate 45 mg injection: modified release [1] (&amp;) inert substance diluent [1 syringe]</w:t>
            </w:r>
          </w:p>
        </w:tc>
        <w:tc>
          <w:tcPr>
            <w:tcW w:w="3827" w:type="dxa"/>
          </w:tcPr>
          <w:p w14:paraId="5F4FB2D4" w14:textId="307721E0" w:rsidR="00181843" w:rsidRDefault="00181843" w:rsidP="00181843">
            <w:pPr>
              <w:pStyle w:val="Tablewriting"/>
            </w:pPr>
            <w:r>
              <w:t xml:space="preserve">The recommended dose of </w:t>
            </w:r>
            <w:proofErr w:type="spellStart"/>
            <w:r>
              <w:t>Eligard</w:t>
            </w:r>
            <w:proofErr w:type="spellEnd"/>
            <w:r>
              <w:t xml:space="preserve"> 6 month is one injection every six months.</w:t>
            </w:r>
          </w:p>
          <w:p w14:paraId="255A24B5" w14:textId="6B18FC69" w:rsidR="00FA4FC3" w:rsidRPr="00A35800" w:rsidRDefault="00FA4FC3" w:rsidP="00FA4FC3">
            <w:pPr>
              <w:pStyle w:val="Tablewriting"/>
            </w:pPr>
            <w:r>
              <w:t>The product is injected subcutaneously into areas with adequate amounts of subcutaneous tissue (such as the abdomen) and that do not have excessive pigment, nodules, lesions, or hair.</w:t>
            </w:r>
          </w:p>
        </w:tc>
      </w:tr>
      <w:tr w:rsidR="00181843" w:rsidRPr="00A35800" w14:paraId="03921A24" w14:textId="77777777" w:rsidTr="00496FFD">
        <w:tc>
          <w:tcPr>
            <w:tcW w:w="2235" w:type="dxa"/>
          </w:tcPr>
          <w:p w14:paraId="74B38329" w14:textId="7B1CEA32" w:rsidR="005A7911" w:rsidRDefault="00FA4FC3" w:rsidP="00181843">
            <w:pPr>
              <w:pStyle w:val="Tablewriting"/>
            </w:pPr>
            <w:proofErr w:type="spellStart"/>
            <w:r w:rsidRPr="00FA4FC3">
              <w:t>Lucrin</w:t>
            </w:r>
            <w:proofErr w:type="spellEnd"/>
            <w:r w:rsidRPr="00FA4FC3">
              <w:t xml:space="preserve"> Depot Paediatric 30 mg PDS</w:t>
            </w:r>
          </w:p>
          <w:p w14:paraId="73F147AB" w14:textId="2F3739DC" w:rsidR="00181843" w:rsidRPr="00A35800" w:rsidRDefault="005A7911" w:rsidP="00181843">
            <w:pPr>
              <w:pStyle w:val="Tablewriting"/>
            </w:pPr>
            <w:r w:rsidRPr="005A7911">
              <w:t>AbbVie Pty Ltd</w:t>
            </w:r>
          </w:p>
        </w:tc>
        <w:tc>
          <w:tcPr>
            <w:tcW w:w="3118" w:type="dxa"/>
          </w:tcPr>
          <w:p w14:paraId="0A5762DC" w14:textId="36FFB177" w:rsidR="00181843" w:rsidRPr="00A35800" w:rsidRDefault="00496FFD" w:rsidP="00181843">
            <w:pPr>
              <w:pStyle w:val="Tablewriting"/>
            </w:pPr>
            <w:proofErr w:type="spellStart"/>
            <w:r w:rsidRPr="00496FFD">
              <w:t>leuprorelin</w:t>
            </w:r>
            <w:proofErr w:type="spellEnd"/>
            <w:r w:rsidRPr="00496FFD">
              <w:t xml:space="preserve"> acetate 30 mg modified release injection [1 syringe] (&amp;) inert substance diluent [1 syringe]</w:t>
            </w:r>
          </w:p>
        </w:tc>
        <w:tc>
          <w:tcPr>
            <w:tcW w:w="3827" w:type="dxa"/>
          </w:tcPr>
          <w:p w14:paraId="662B3438" w14:textId="77777777" w:rsidR="00181843" w:rsidRDefault="00F36FB0" w:rsidP="00F36FB0">
            <w:pPr>
              <w:pStyle w:val="Tablewriting"/>
            </w:pPr>
            <w:r>
              <w:t>Administer once every three months (12 weeks) as a single intramuscular injection.</w:t>
            </w:r>
          </w:p>
          <w:p w14:paraId="55784F96" w14:textId="7A8A1CCF" w:rsidR="00F36FB0" w:rsidRPr="00A35800" w:rsidRDefault="00F36FB0" w:rsidP="00F36FB0">
            <w:pPr>
              <w:pStyle w:val="Tablewriting"/>
            </w:pPr>
            <w:r>
              <w:t>Should be discontinued at the appropriate age of onset of puberty at the discretion of the physician. The recommended age at which therapy for CPP should be ceased is at 11 or 12 years of age, for girls and boys respectively.</w:t>
            </w:r>
          </w:p>
        </w:tc>
      </w:tr>
      <w:tr w:rsidR="00181843" w:rsidRPr="00A35800" w14:paraId="3FA81E86" w14:textId="77777777" w:rsidTr="00496FFD">
        <w:tc>
          <w:tcPr>
            <w:tcW w:w="2235" w:type="dxa"/>
          </w:tcPr>
          <w:p w14:paraId="7B440992" w14:textId="6137306C" w:rsidR="00F36FB0" w:rsidRDefault="00F36FB0" w:rsidP="00F36FB0">
            <w:pPr>
              <w:pStyle w:val="Tablewriting"/>
            </w:pPr>
            <w:proofErr w:type="spellStart"/>
            <w:r w:rsidRPr="00F36FB0">
              <w:t>Lucrin</w:t>
            </w:r>
            <w:proofErr w:type="spellEnd"/>
            <w:r w:rsidRPr="00F36FB0">
              <w:t xml:space="preserve"> Depot 7.5mg </w:t>
            </w:r>
          </w:p>
          <w:p w14:paraId="3F5E29CD" w14:textId="7C3019F3" w:rsidR="00181843" w:rsidRPr="00A35800" w:rsidRDefault="00F36FB0" w:rsidP="00F36FB0">
            <w:pPr>
              <w:pStyle w:val="Tablewriting"/>
            </w:pPr>
            <w:r w:rsidRPr="005A7911">
              <w:t>AbbVie Pty Ltd</w:t>
            </w:r>
          </w:p>
        </w:tc>
        <w:tc>
          <w:tcPr>
            <w:tcW w:w="3118" w:type="dxa"/>
          </w:tcPr>
          <w:p w14:paraId="1A7666FB" w14:textId="43A44B5C" w:rsidR="00181843" w:rsidRPr="00A35800" w:rsidRDefault="00C400E7" w:rsidP="00181843">
            <w:pPr>
              <w:pStyle w:val="Tablewriting"/>
            </w:pPr>
            <w:proofErr w:type="spellStart"/>
            <w:r w:rsidRPr="00C400E7">
              <w:t>leuprorelin</w:t>
            </w:r>
            <w:proofErr w:type="spellEnd"/>
            <w:r w:rsidRPr="00C400E7">
              <w:t xml:space="preserve"> acetate 7.5 mg injection: modified release [1] (&amp;) inert substance diluent [2 mL syringe]</w:t>
            </w:r>
          </w:p>
        </w:tc>
        <w:tc>
          <w:tcPr>
            <w:tcW w:w="3827" w:type="dxa"/>
          </w:tcPr>
          <w:p w14:paraId="4B5965ED" w14:textId="497DD774" w:rsidR="00181843" w:rsidRPr="00A35800" w:rsidRDefault="00C400E7" w:rsidP="00C400E7">
            <w:pPr>
              <w:pStyle w:val="Tablewriting"/>
            </w:pPr>
            <w:r>
              <w:t>One intramuscular injection every 4 weeks.</w:t>
            </w:r>
          </w:p>
        </w:tc>
      </w:tr>
      <w:tr w:rsidR="00181843" w:rsidRPr="00A35800" w14:paraId="505E77F7" w14:textId="77777777" w:rsidTr="00496FFD">
        <w:tc>
          <w:tcPr>
            <w:tcW w:w="2235" w:type="dxa"/>
          </w:tcPr>
          <w:p w14:paraId="0AEACC6A" w14:textId="77777777" w:rsidR="00181843" w:rsidRDefault="00C400E7" w:rsidP="00181843">
            <w:pPr>
              <w:pStyle w:val="Tablewriting"/>
            </w:pPr>
            <w:proofErr w:type="spellStart"/>
            <w:r>
              <w:t>Lucrin</w:t>
            </w:r>
            <w:proofErr w:type="spellEnd"/>
            <w:r>
              <w:t xml:space="preserve"> Depot 3</w:t>
            </w:r>
            <w:r w:rsidRPr="00F36FB0">
              <w:t>-Month</w:t>
            </w:r>
          </w:p>
          <w:p w14:paraId="46C9C312" w14:textId="451DFFAE" w:rsidR="00C400E7" w:rsidRPr="00A35800" w:rsidRDefault="00C400E7" w:rsidP="00181843">
            <w:pPr>
              <w:pStyle w:val="Tablewriting"/>
            </w:pPr>
            <w:r w:rsidRPr="005A7911">
              <w:t>AbbVie Pty Ltd</w:t>
            </w:r>
          </w:p>
        </w:tc>
        <w:tc>
          <w:tcPr>
            <w:tcW w:w="3118" w:type="dxa"/>
          </w:tcPr>
          <w:p w14:paraId="454D7330" w14:textId="4383A526" w:rsidR="00181843" w:rsidRPr="00A35800" w:rsidRDefault="00C400E7" w:rsidP="00181843">
            <w:pPr>
              <w:pStyle w:val="Tablewriting"/>
            </w:pPr>
            <w:proofErr w:type="spellStart"/>
            <w:r w:rsidRPr="00C400E7">
              <w:t>leuprorelin</w:t>
            </w:r>
            <w:proofErr w:type="spellEnd"/>
            <w:r w:rsidRPr="00C400E7">
              <w:t xml:space="preserve"> acetate 22.5 mg injection: modified release [1] (&amp;) inert substance diluent [2 mL syringe]</w:t>
            </w:r>
          </w:p>
        </w:tc>
        <w:tc>
          <w:tcPr>
            <w:tcW w:w="3827" w:type="dxa"/>
          </w:tcPr>
          <w:p w14:paraId="4748D69F" w14:textId="01D892D2" w:rsidR="00181843" w:rsidRPr="00A35800" w:rsidRDefault="00C400E7" w:rsidP="00181843">
            <w:pPr>
              <w:pStyle w:val="Tablewriting"/>
            </w:pPr>
            <w:r>
              <w:t>One intramuscular injection every 12 weeks.</w:t>
            </w:r>
          </w:p>
        </w:tc>
      </w:tr>
      <w:tr w:rsidR="00181843" w:rsidRPr="00A35800" w14:paraId="76BC26A3" w14:textId="77777777" w:rsidTr="00496FFD">
        <w:tc>
          <w:tcPr>
            <w:tcW w:w="2235" w:type="dxa"/>
          </w:tcPr>
          <w:p w14:paraId="636218D2" w14:textId="77777777" w:rsidR="00181843" w:rsidRDefault="00C400E7" w:rsidP="00181843">
            <w:pPr>
              <w:pStyle w:val="Tablewriting"/>
            </w:pPr>
            <w:proofErr w:type="spellStart"/>
            <w:r>
              <w:t>Lucrin</w:t>
            </w:r>
            <w:proofErr w:type="spellEnd"/>
            <w:r>
              <w:t xml:space="preserve"> Depot 4</w:t>
            </w:r>
            <w:r w:rsidRPr="00F36FB0">
              <w:t>-Month</w:t>
            </w:r>
          </w:p>
          <w:p w14:paraId="3658950D" w14:textId="6887DE88" w:rsidR="00C400E7" w:rsidRPr="00A35800" w:rsidRDefault="00C400E7" w:rsidP="00181843">
            <w:pPr>
              <w:pStyle w:val="Tablewriting"/>
            </w:pPr>
            <w:r w:rsidRPr="005A7911">
              <w:t>AbbVie Pty Ltd</w:t>
            </w:r>
          </w:p>
        </w:tc>
        <w:tc>
          <w:tcPr>
            <w:tcW w:w="3118" w:type="dxa"/>
          </w:tcPr>
          <w:p w14:paraId="7F5ADAAD" w14:textId="789DEB51" w:rsidR="00181843" w:rsidRPr="00A35800" w:rsidRDefault="00496FFD" w:rsidP="00181843">
            <w:pPr>
              <w:pStyle w:val="Tablewriting"/>
            </w:pPr>
            <w:proofErr w:type="spellStart"/>
            <w:r w:rsidRPr="00496FFD">
              <w:t>leuprorelin</w:t>
            </w:r>
            <w:proofErr w:type="spellEnd"/>
            <w:r w:rsidRPr="00496FFD">
              <w:t xml:space="preserve"> acetate 30 mg injection: modified release [1] (&amp;) inert substance diluent [2 mL syringe]</w:t>
            </w:r>
          </w:p>
        </w:tc>
        <w:tc>
          <w:tcPr>
            <w:tcW w:w="3827" w:type="dxa"/>
          </w:tcPr>
          <w:p w14:paraId="5B841F93" w14:textId="5183FFDA" w:rsidR="00181843" w:rsidRPr="00A35800" w:rsidRDefault="00C400E7" w:rsidP="00181843">
            <w:pPr>
              <w:pStyle w:val="Tablewriting"/>
            </w:pPr>
            <w:r>
              <w:t>One intramuscular injection every 16 weeks.</w:t>
            </w:r>
          </w:p>
        </w:tc>
      </w:tr>
      <w:tr w:rsidR="00181843" w:rsidRPr="00A35800" w14:paraId="2E81C275" w14:textId="77777777" w:rsidTr="00496FFD">
        <w:tc>
          <w:tcPr>
            <w:tcW w:w="2235" w:type="dxa"/>
          </w:tcPr>
          <w:p w14:paraId="21C6F67A" w14:textId="77777777" w:rsidR="00181843" w:rsidRDefault="00C400E7" w:rsidP="00181843">
            <w:pPr>
              <w:pStyle w:val="Tablewriting"/>
            </w:pPr>
            <w:proofErr w:type="spellStart"/>
            <w:r w:rsidRPr="00F36FB0">
              <w:t>Lucrin</w:t>
            </w:r>
            <w:proofErr w:type="spellEnd"/>
            <w:r w:rsidRPr="00F36FB0">
              <w:t xml:space="preserve"> Depot 6-Month</w:t>
            </w:r>
          </w:p>
          <w:p w14:paraId="19D75574" w14:textId="3B35E4B1" w:rsidR="00C400E7" w:rsidRPr="00A35800" w:rsidRDefault="00C400E7" w:rsidP="00181843">
            <w:pPr>
              <w:pStyle w:val="Tablewriting"/>
            </w:pPr>
            <w:r w:rsidRPr="005A7911">
              <w:t>AbbVie Pty Ltd</w:t>
            </w:r>
          </w:p>
        </w:tc>
        <w:tc>
          <w:tcPr>
            <w:tcW w:w="3118" w:type="dxa"/>
          </w:tcPr>
          <w:p w14:paraId="74F5F869" w14:textId="6CA003DE" w:rsidR="00181843" w:rsidRPr="00A35800" w:rsidRDefault="00496FFD" w:rsidP="00181843">
            <w:pPr>
              <w:pStyle w:val="Tablewriting"/>
            </w:pPr>
            <w:proofErr w:type="spellStart"/>
            <w:r w:rsidRPr="00496FFD">
              <w:t>leuprorelin</w:t>
            </w:r>
            <w:proofErr w:type="spellEnd"/>
            <w:r w:rsidRPr="00496FFD">
              <w:t xml:space="preserve"> acetate 45 mg injection: modified release [1] (&amp;) inert substance diluent [1 syringe]</w:t>
            </w:r>
          </w:p>
        </w:tc>
        <w:tc>
          <w:tcPr>
            <w:tcW w:w="3827" w:type="dxa"/>
          </w:tcPr>
          <w:p w14:paraId="1B47D9F8" w14:textId="42CDD8B0" w:rsidR="00181843" w:rsidRPr="00A35800" w:rsidRDefault="00C400E7" w:rsidP="00181843">
            <w:pPr>
              <w:pStyle w:val="Tablewriting"/>
            </w:pPr>
            <w:r>
              <w:t>One intramuscular injection every 24 weeks.</w:t>
            </w:r>
          </w:p>
        </w:tc>
      </w:tr>
      <w:tr w:rsidR="000B26E4" w:rsidRPr="00A35800" w14:paraId="1C0D7C5A" w14:textId="77777777" w:rsidTr="00496FFD">
        <w:tc>
          <w:tcPr>
            <w:tcW w:w="2235" w:type="dxa"/>
          </w:tcPr>
          <w:p w14:paraId="44439B25" w14:textId="77777777" w:rsidR="000B26E4" w:rsidRDefault="000B26E4" w:rsidP="000B26E4">
            <w:pPr>
              <w:pStyle w:val="Tablewriting"/>
            </w:pPr>
            <w:proofErr w:type="spellStart"/>
            <w:r>
              <w:t>Diphereline</w:t>
            </w:r>
            <w:proofErr w:type="spellEnd"/>
            <w:r w:rsidRPr="000B26E4">
              <w:t xml:space="preserve"> 1month formulation</w:t>
            </w:r>
          </w:p>
          <w:p w14:paraId="3F368474" w14:textId="449CCD14" w:rsidR="000B26E4" w:rsidRPr="00F36FB0" w:rsidRDefault="000B26E4" w:rsidP="000B26E4">
            <w:pPr>
              <w:pStyle w:val="Tablewriting"/>
            </w:pPr>
            <w:proofErr w:type="spellStart"/>
            <w:r w:rsidRPr="000B26E4">
              <w:t>Ipsen</w:t>
            </w:r>
            <w:proofErr w:type="spellEnd"/>
            <w:r w:rsidRPr="000B26E4">
              <w:t xml:space="preserve"> Pty Ltd</w:t>
            </w:r>
          </w:p>
        </w:tc>
        <w:tc>
          <w:tcPr>
            <w:tcW w:w="3118" w:type="dxa"/>
          </w:tcPr>
          <w:p w14:paraId="298424BE" w14:textId="66C97275" w:rsidR="000B26E4" w:rsidRPr="00496FFD" w:rsidRDefault="000B26E4" w:rsidP="00181843">
            <w:pPr>
              <w:pStyle w:val="Tablewriting"/>
            </w:pPr>
            <w:proofErr w:type="spellStart"/>
            <w:r w:rsidRPr="000B26E4">
              <w:t>triptorelin</w:t>
            </w:r>
            <w:proofErr w:type="spellEnd"/>
            <w:r w:rsidRPr="000B26E4">
              <w:t xml:space="preserve"> 3.75 mg injection [1 vial] (&amp;) inert substance diluent [2 mL ampoule]</w:t>
            </w:r>
          </w:p>
        </w:tc>
        <w:tc>
          <w:tcPr>
            <w:tcW w:w="3827" w:type="dxa"/>
          </w:tcPr>
          <w:p w14:paraId="4D825541" w14:textId="1F38E9DF" w:rsidR="000B26E4" w:rsidRDefault="000B26E4" w:rsidP="000B26E4">
            <w:pPr>
              <w:pStyle w:val="Tablewriting"/>
            </w:pPr>
            <w:r>
              <w:t>One vial administered once a month as a single intramuscular injection</w:t>
            </w:r>
          </w:p>
        </w:tc>
      </w:tr>
      <w:tr w:rsidR="000B26E4" w:rsidRPr="00A35800" w14:paraId="1B4F676D" w14:textId="77777777" w:rsidTr="00496FFD">
        <w:tc>
          <w:tcPr>
            <w:tcW w:w="2235" w:type="dxa"/>
          </w:tcPr>
          <w:p w14:paraId="6C4EA74B" w14:textId="77777777" w:rsidR="000B26E4" w:rsidRDefault="000B26E4" w:rsidP="000B26E4">
            <w:pPr>
              <w:pStyle w:val="Tablewriting"/>
            </w:pPr>
            <w:proofErr w:type="spellStart"/>
            <w:r w:rsidRPr="000B26E4">
              <w:t>Diphereline</w:t>
            </w:r>
            <w:proofErr w:type="spellEnd"/>
            <w:r w:rsidRPr="000B26E4">
              <w:t xml:space="preserve"> 3 month formulation</w:t>
            </w:r>
          </w:p>
          <w:p w14:paraId="4D38BC85" w14:textId="7C55D338" w:rsidR="000B26E4" w:rsidRPr="00F36FB0" w:rsidRDefault="000B26E4" w:rsidP="000B26E4">
            <w:pPr>
              <w:pStyle w:val="Tablewriting"/>
            </w:pPr>
            <w:proofErr w:type="spellStart"/>
            <w:r w:rsidRPr="000B26E4">
              <w:t>Ipsen</w:t>
            </w:r>
            <w:proofErr w:type="spellEnd"/>
            <w:r w:rsidRPr="000B26E4">
              <w:t xml:space="preserve"> Pty Ltd</w:t>
            </w:r>
          </w:p>
        </w:tc>
        <w:tc>
          <w:tcPr>
            <w:tcW w:w="3118" w:type="dxa"/>
          </w:tcPr>
          <w:p w14:paraId="14A5232E" w14:textId="526FA0AD" w:rsidR="000B26E4" w:rsidRPr="00496FFD" w:rsidRDefault="000B26E4" w:rsidP="000B26E4">
            <w:pPr>
              <w:pStyle w:val="Tablewriting"/>
            </w:pPr>
            <w:proofErr w:type="spellStart"/>
            <w:r w:rsidRPr="000B26E4">
              <w:t>triptorelin</w:t>
            </w:r>
            <w:proofErr w:type="spellEnd"/>
            <w:r w:rsidRPr="000B26E4">
              <w:t xml:space="preserve"> 11.25 mg injection [1 vial] (&amp;) inert substance diluent [2 mL ampoule]</w:t>
            </w:r>
          </w:p>
        </w:tc>
        <w:tc>
          <w:tcPr>
            <w:tcW w:w="3827" w:type="dxa"/>
          </w:tcPr>
          <w:p w14:paraId="1E436A3D" w14:textId="10919EB3" w:rsidR="000B26E4" w:rsidRDefault="000B26E4" w:rsidP="000B26E4">
            <w:pPr>
              <w:pStyle w:val="Tablewriting"/>
            </w:pPr>
            <w:r>
              <w:t>One vial administered every three months as a single intramuscular injection</w:t>
            </w:r>
          </w:p>
        </w:tc>
      </w:tr>
      <w:tr w:rsidR="000B26E4" w:rsidRPr="00A35800" w14:paraId="52A75FAA" w14:textId="77777777" w:rsidTr="00496FFD">
        <w:tc>
          <w:tcPr>
            <w:tcW w:w="2235" w:type="dxa"/>
          </w:tcPr>
          <w:p w14:paraId="584D7C43" w14:textId="77777777" w:rsidR="000B26E4" w:rsidRDefault="000B26E4" w:rsidP="000B26E4">
            <w:pPr>
              <w:pStyle w:val="Tablewriting"/>
            </w:pPr>
            <w:proofErr w:type="spellStart"/>
            <w:r w:rsidRPr="000B26E4">
              <w:t>Diphereline</w:t>
            </w:r>
            <w:proofErr w:type="spellEnd"/>
            <w:r w:rsidRPr="000B26E4">
              <w:t xml:space="preserve"> 6 month formulation</w:t>
            </w:r>
          </w:p>
          <w:p w14:paraId="3BAED646" w14:textId="32F98018" w:rsidR="000B26E4" w:rsidRPr="00F36FB0" w:rsidRDefault="000B26E4" w:rsidP="000B26E4">
            <w:pPr>
              <w:pStyle w:val="Tablewriting"/>
            </w:pPr>
            <w:proofErr w:type="spellStart"/>
            <w:r w:rsidRPr="000B26E4">
              <w:t>Ipsen</w:t>
            </w:r>
            <w:proofErr w:type="spellEnd"/>
            <w:r w:rsidRPr="000B26E4">
              <w:t xml:space="preserve"> Pty Ltd</w:t>
            </w:r>
          </w:p>
        </w:tc>
        <w:tc>
          <w:tcPr>
            <w:tcW w:w="3118" w:type="dxa"/>
          </w:tcPr>
          <w:p w14:paraId="3D5F004A" w14:textId="1BB8CEF1" w:rsidR="000B26E4" w:rsidRPr="00496FFD" w:rsidRDefault="000B26E4" w:rsidP="000B26E4">
            <w:pPr>
              <w:pStyle w:val="Tablewriting"/>
            </w:pPr>
            <w:proofErr w:type="spellStart"/>
            <w:r w:rsidRPr="000B26E4">
              <w:t>triptorelin</w:t>
            </w:r>
            <w:proofErr w:type="spellEnd"/>
            <w:r w:rsidRPr="000B26E4">
              <w:t xml:space="preserve"> 22.5 mg injection [1 vial] (&amp;) inert substance diluent [2 mL ampoule]</w:t>
            </w:r>
          </w:p>
        </w:tc>
        <w:tc>
          <w:tcPr>
            <w:tcW w:w="3827" w:type="dxa"/>
          </w:tcPr>
          <w:p w14:paraId="009AEDF4" w14:textId="3F96BD4A" w:rsidR="000B26E4" w:rsidRDefault="000B26E4" w:rsidP="000B26E4">
            <w:pPr>
              <w:pStyle w:val="Tablewriting"/>
            </w:pPr>
            <w:r>
              <w:t>One vial administered every six months as a single intramuscular injection</w:t>
            </w:r>
          </w:p>
        </w:tc>
      </w:tr>
      <w:tr w:rsidR="000B26E4" w:rsidRPr="00A35800" w14:paraId="789A6517" w14:textId="77777777" w:rsidTr="00496FFD">
        <w:tc>
          <w:tcPr>
            <w:tcW w:w="2235" w:type="dxa"/>
          </w:tcPr>
          <w:p w14:paraId="35189BE5" w14:textId="48513A78" w:rsidR="000B26E4" w:rsidRDefault="000B26E4" w:rsidP="000B26E4">
            <w:pPr>
              <w:pStyle w:val="Tablewriting"/>
            </w:pPr>
            <w:proofErr w:type="spellStart"/>
            <w:r>
              <w:lastRenderedPageBreak/>
              <w:t>Synarel</w:t>
            </w:r>
            <w:proofErr w:type="spellEnd"/>
          </w:p>
          <w:p w14:paraId="1C842597" w14:textId="05EECC19" w:rsidR="000B26E4" w:rsidRPr="00A35800" w:rsidRDefault="000B26E4" w:rsidP="000B26E4">
            <w:pPr>
              <w:pStyle w:val="Tablewriting"/>
            </w:pPr>
            <w:r w:rsidRPr="00FA67F2">
              <w:t>Pfizer Australia Pty Ltd</w:t>
            </w:r>
          </w:p>
        </w:tc>
        <w:tc>
          <w:tcPr>
            <w:tcW w:w="3118" w:type="dxa"/>
          </w:tcPr>
          <w:p w14:paraId="14A2DE5C" w14:textId="11507D9A" w:rsidR="000B26E4" w:rsidRPr="00A35800" w:rsidRDefault="000B26E4" w:rsidP="000B26E4">
            <w:pPr>
              <w:pStyle w:val="Tablewriting"/>
            </w:pPr>
            <w:proofErr w:type="spellStart"/>
            <w:r w:rsidRPr="00FA67F2">
              <w:t>nafarelin</w:t>
            </w:r>
            <w:proofErr w:type="spellEnd"/>
            <w:r w:rsidRPr="00FA67F2">
              <w:t xml:space="preserve"> 200 microgram/actuation nasal spray</w:t>
            </w:r>
          </w:p>
        </w:tc>
        <w:tc>
          <w:tcPr>
            <w:tcW w:w="3827" w:type="dxa"/>
          </w:tcPr>
          <w:p w14:paraId="71F3CD17" w14:textId="77777777" w:rsidR="000B26E4" w:rsidRDefault="000B26E4" w:rsidP="000B26E4">
            <w:pPr>
              <w:pStyle w:val="Tablewriting"/>
            </w:pPr>
            <w:r>
              <w:t xml:space="preserve">One spray (200 </w:t>
            </w:r>
            <w:proofErr w:type="spellStart"/>
            <w:r>
              <w:t>μg</w:t>
            </w:r>
            <w:proofErr w:type="spellEnd"/>
            <w:r>
              <w:t xml:space="preserve"> of </w:t>
            </w:r>
            <w:proofErr w:type="spellStart"/>
            <w:r>
              <w:t>nafarelin</w:t>
            </w:r>
            <w:proofErr w:type="spellEnd"/>
            <w:r>
              <w:t xml:space="preserve"> free base) to one nostril in the morning and one spray into the other nostril in the evening (400 </w:t>
            </w:r>
            <w:proofErr w:type="spellStart"/>
            <w:r>
              <w:t>μg</w:t>
            </w:r>
            <w:proofErr w:type="spellEnd"/>
            <w:r>
              <w:t xml:space="preserve">/day). </w:t>
            </w:r>
          </w:p>
          <w:p w14:paraId="66469424" w14:textId="3F5EE75A" w:rsidR="000B26E4" w:rsidRDefault="000B26E4" w:rsidP="000B26E4">
            <w:pPr>
              <w:pStyle w:val="Tablewriting"/>
            </w:pPr>
            <w:r>
              <w:t xml:space="preserve">The dose may be increased to 800 </w:t>
            </w:r>
            <w:proofErr w:type="spellStart"/>
            <w:r>
              <w:t>μg</w:t>
            </w:r>
            <w:proofErr w:type="spellEnd"/>
            <w:r>
              <w:t xml:space="preserve"> daily. The 800 </w:t>
            </w:r>
            <w:proofErr w:type="spellStart"/>
            <w:r>
              <w:t>μg</w:t>
            </w:r>
            <w:proofErr w:type="spellEnd"/>
            <w:r>
              <w:t xml:space="preserve"> dose is administered as one spray into each nostril in the morning (a total of two sprays) and again in the evening.</w:t>
            </w:r>
          </w:p>
          <w:p w14:paraId="4739345B" w14:textId="3CAE1E1E" w:rsidR="000B26E4" w:rsidRPr="00A35800" w:rsidRDefault="000B26E4" w:rsidP="000B26E4">
            <w:pPr>
              <w:pStyle w:val="Tablewriting"/>
            </w:pPr>
            <w:r>
              <w:t>The recommended duration of therapy is six months.</w:t>
            </w:r>
          </w:p>
        </w:tc>
      </w:tr>
    </w:tbl>
    <w:p w14:paraId="08559CD9" w14:textId="63C254AA" w:rsidR="00A35800" w:rsidRPr="00BF0C81" w:rsidRDefault="003370D0" w:rsidP="00A35800">
      <w:pPr>
        <w:pStyle w:val="Notes"/>
      </w:pPr>
      <w:r w:rsidRPr="00BF0C81">
        <w:t>Source:</w:t>
      </w:r>
      <w:r w:rsidR="00BF0C81" w:rsidRPr="00BF0C81">
        <w:t xml:space="preserve"> Product information for </w:t>
      </w:r>
      <w:proofErr w:type="spellStart"/>
      <w:r w:rsidR="00BF0C81" w:rsidRPr="00BF0C81">
        <w:t>goserelin</w:t>
      </w:r>
      <w:proofErr w:type="spellEnd"/>
      <w:r w:rsidR="00BF0C81" w:rsidRPr="00BF0C81">
        <w:t xml:space="preserve">, </w:t>
      </w:r>
      <w:proofErr w:type="spellStart"/>
      <w:r w:rsidR="00BF0C81" w:rsidRPr="00BF0C81">
        <w:t>leuprorelin</w:t>
      </w:r>
      <w:proofErr w:type="spellEnd"/>
      <w:r w:rsidR="00BF0C81" w:rsidRPr="00BF0C81">
        <w:t xml:space="preserve">, </w:t>
      </w:r>
      <w:proofErr w:type="spellStart"/>
      <w:r w:rsidR="00BF0C81" w:rsidRPr="00BF0C81">
        <w:t>nafarelin</w:t>
      </w:r>
      <w:proofErr w:type="spellEnd"/>
      <w:r w:rsidR="00D11DA7">
        <w:t xml:space="preserve">, and </w:t>
      </w:r>
      <w:proofErr w:type="spellStart"/>
      <w:r w:rsidR="00D11DA7">
        <w:t>triptorelin</w:t>
      </w:r>
      <w:proofErr w:type="spellEnd"/>
    </w:p>
    <w:p w14:paraId="6682A05C" w14:textId="77777777" w:rsidR="00F17D4B" w:rsidRPr="002F61CA" w:rsidRDefault="00F17D4B" w:rsidP="00F17D4B">
      <w:r w:rsidRPr="002F61CA">
        <w:t xml:space="preserve">The current Product Information (PI) and Consumer Medicine Information (CMI) are available from </w:t>
      </w:r>
      <w:hyperlink r:id="rId9" w:history="1">
        <w:r>
          <w:rPr>
            <w:rStyle w:val="Hyperlink"/>
          </w:rPr>
          <w:t>the TGA (Product Information)</w:t>
        </w:r>
      </w:hyperlink>
      <w:r>
        <w:t xml:space="preserve"> and </w:t>
      </w:r>
      <w:hyperlink r:id="rId10" w:history="1">
        <w:r>
          <w:rPr>
            <w:rStyle w:val="Hyperlink"/>
          </w:rPr>
          <w:t>the TGA (Consumer Medicines Information)</w:t>
        </w:r>
      </w:hyperlink>
      <w:r>
        <w:t>.</w:t>
      </w:r>
    </w:p>
    <w:p w14:paraId="46E2BB42" w14:textId="367FFA66" w:rsidR="00DF0B13" w:rsidRPr="007247B9" w:rsidDel="00EE2BBB" w:rsidRDefault="00DF0B13" w:rsidP="00F34E25">
      <w:pPr>
        <w:pStyle w:val="Heading2"/>
      </w:pPr>
      <w:r w:rsidRPr="007247B9" w:rsidDel="00EE2BBB">
        <w:t>PBS listing details</w:t>
      </w:r>
      <w:r w:rsidR="004A2EBE">
        <w:t xml:space="preserve"> (as at 1 March 2019</w:t>
      </w:r>
      <w:r w:rsidR="00D151EB" w:rsidDel="00EE2BBB">
        <w:t>)</w:t>
      </w:r>
    </w:p>
    <w:p w14:paraId="1183F151" w14:textId="380F26CE" w:rsidR="007247B9" w:rsidRPr="00A35800" w:rsidDel="00EE2BBB" w:rsidRDefault="00853F97" w:rsidP="00853F97">
      <w:r>
        <w:t xml:space="preserve">The current PBS listings as at 1 March 2019 can be found in Appendix A. </w:t>
      </w:r>
    </w:p>
    <w:p w14:paraId="1AFA1485" w14:textId="4E52F5AB" w:rsidR="004C3186" w:rsidRDefault="004C3186" w:rsidP="00853F97">
      <w:pPr>
        <w:pStyle w:val="Heading3"/>
        <w:keepNext/>
      </w:pPr>
      <w:r w:rsidDel="00EE2BBB">
        <w:t>Restriction</w:t>
      </w:r>
      <w:r w:rsidR="00D476CE">
        <w:t>s</w:t>
      </w:r>
    </w:p>
    <w:p w14:paraId="7339F9AC" w14:textId="7D6629D3" w:rsidR="00C22BD9" w:rsidRDefault="00A13528" w:rsidP="00A13528">
      <w:r>
        <w:t>All</w:t>
      </w:r>
      <w:r w:rsidRPr="00A13528">
        <w:t xml:space="preserve"> listings included in the analysis are on the General S</w:t>
      </w:r>
      <w:r>
        <w:t xml:space="preserve">chedule as Restricted Benefits. The dates that medicines changed </w:t>
      </w:r>
      <w:r w:rsidRPr="00A13528">
        <w:t xml:space="preserve">restriction levels are summarised </w:t>
      </w:r>
      <w:r>
        <w:t>in the</w:t>
      </w:r>
      <w:r w:rsidRPr="00A13528">
        <w:t xml:space="preserve"> ‘Changes to listings’ </w:t>
      </w:r>
      <w:r>
        <w:t xml:space="preserve">section </w:t>
      </w:r>
      <w:r w:rsidRPr="00A13528">
        <w:t>below</w:t>
      </w:r>
      <w:r>
        <w:t>.</w:t>
      </w:r>
    </w:p>
    <w:p w14:paraId="706FD54A" w14:textId="5219ADA1" w:rsidR="00082C38" w:rsidRPr="00082C38" w:rsidDel="00EE2BBB" w:rsidRDefault="00082C38" w:rsidP="00082C38">
      <w:pPr>
        <w:pStyle w:val="Tabletitle"/>
      </w:pPr>
      <w:r>
        <w:t xml:space="preserve">Table </w:t>
      </w:r>
      <w:r w:rsidR="00D9012E">
        <w:t>3</w:t>
      </w:r>
      <w:r>
        <w:t xml:space="preserve">: PBS restrictions for </w:t>
      </w:r>
      <w:proofErr w:type="spellStart"/>
      <w:r w:rsidR="003F58D0">
        <w:t>GnRH</w:t>
      </w:r>
      <w:proofErr w:type="spellEnd"/>
      <w:r w:rsidR="003F58D0">
        <w:t xml:space="preserve"> agonists</w:t>
      </w:r>
    </w:p>
    <w:tbl>
      <w:tblPr>
        <w:tblStyle w:val="TableGrid"/>
        <w:tblW w:w="0" w:type="auto"/>
        <w:tblLook w:val="04A0" w:firstRow="1" w:lastRow="0" w:firstColumn="1" w:lastColumn="0" w:noHBand="0" w:noVBand="1"/>
        <w:tblCaption w:val="PBS restrictions for GnRH agonists"/>
        <w:tblDescription w:val="PBS restrictions for GnRH agonists"/>
      </w:tblPr>
      <w:tblGrid>
        <w:gridCol w:w="1934"/>
        <w:gridCol w:w="1055"/>
        <w:gridCol w:w="1300"/>
        <w:gridCol w:w="1184"/>
        <w:gridCol w:w="1313"/>
        <w:gridCol w:w="1124"/>
        <w:gridCol w:w="1037"/>
      </w:tblGrid>
      <w:tr w:rsidR="003F58D0" w:rsidRPr="00082C38" w14:paraId="3B90EBA7" w14:textId="77777777" w:rsidTr="0094329A">
        <w:trPr>
          <w:tblHeader/>
        </w:trPr>
        <w:tc>
          <w:tcPr>
            <w:tcW w:w="1934" w:type="dxa"/>
            <w:shd w:val="clear" w:color="auto" w:fill="BFBFBF" w:themeFill="background1" w:themeFillShade="BF"/>
            <w:vAlign w:val="center"/>
          </w:tcPr>
          <w:p w14:paraId="07B936EA" w14:textId="6355EA1E" w:rsidR="003F58D0" w:rsidRPr="00082C38" w:rsidRDefault="003F58D0" w:rsidP="003F58D0">
            <w:pPr>
              <w:rPr>
                <w:b/>
                <w:sz w:val="20"/>
                <w:szCs w:val="20"/>
              </w:rPr>
            </w:pPr>
            <w:r w:rsidRPr="00082C38">
              <w:rPr>
                <w:b/>
                <w:sz w:val="20"/>
                <w:szCs w:val="20"/>
              </w:rPr>
              <w:t>Indication</w:t>
            </w:r>
          </w:p>
        </w:tc>
        <w:tc>
          <w:tcPr>
            <w:tcW w:w="1055" w:type="dxa"/>
            <w:shd w:val="clear" w:color="auto" w:fill="BFBFBF" w:themeFill="background1" w:themeFillShade="BF"/>
            <w:vAlign w:val="center"/>
          </w:tcPr>
          <w:p w14:paraId="677C5DE9" w14:textId="255318A3" w:rsidR="003F58D0" w:rsidRPr="00082C38" w:rsidRDefault="003F58D0" w:rsidP="003F58D0">
            <w:pPr>
              <w:jc w:val="center"/>
              <w:rPr>
                <w:b/>
                <w:sz w:val="20"/>
                <w:szCs w:val="20"/>
              </w:rPr>
            </w:pPr>
            <w:proofErr w:type="spellStart"/>
            <w:r w:rsidRPr="00082C38">
              <w:rPr>
                <w:b/>
                <w:sz w:val="20"/>
                <w:szCs w:val="20"/>
              </w:rPr>
              <w:t>Goserelin</w:t>
            </w:r>
            <w:proofErr w:type="spellEnd"/>
          </w:p>
        </w:tc>
        <w:tc>
          <w:tcPr>
            <w:tcW w:w="1300" w:type="dxa"/>
            <w:shd w:val="clear" w:color="auto" w:fill="BFBFBF" w:themeFill="background1" w:themeFillShade="BF"/>
          </w:tcPr>
          <w:p w14:paraId="3E957559" w14:textId="7FE4E8A6" w:rsidR="003F58D0" w:rsidRPr="00082C38" w:rsidRDefault="003F58D0" w:rsidP="003F58D0">
            <w:pPr>
              <w:jc w:val="center"/>
              <w:rPr>
                <w:b/>
                <w:sz w:val="20"/>
                <w:szCs w:val="20"/>
              </w:rPr>
            </w:pPr>
            <w:proofErr w:type="spellStart"/>
            <w:r w:rsidRPr="00082C38">
              <w:rPr>
                <w:b/>
                <w:sz w:val="20"/>
                <w:szCs w:val="20"/>
              </w:rPr>
              <w:t>Goserelin</w:t>
            </w:r>
            <w:proofErr w:type="spellEnd"/>
            <w:r>
              <w:rPr>
                <w:b/>
                <w:sz w:val="20"/>
                <w:szCs w:val="20"/>
              </w:rPr>
              <w:t xml:space="preserve"> &amp; </w:t>
            </w:r>
            <w:proofErr w:type="spellStart"/>
            <w:r w:rsidRPr="003F58D0">
              <w:rPr>
                <w:b/>
                <w:sz w:val="20"/>
                <w:szCs w:val="20"/>
              </w:rPr>
              <w:t>bicalutamide</w:t>
            </w:r>
            <w:proofErr w:type="spellEnd"/>
          </w:p>
        </w:tc>
        <w:tc>
          <w:tcPr>
            <w:tcW w:w="1184" w:type="dxa"/>
            <w:shd w:val="clear" w:color="auto" w:fill="BFBFBF" w:themeFill="background1" w:themeFillShade="BF"/>
            <w:vAlign w:val="center"/>
          </w:tcPr>
          <w:p w14:paraId="292BA89C" w14:textId="162277A3" w:rsidR="003F58D0" w:rsidRPr="00082C38" w:rsidRDefault="003F58D0" w:rsidP="003F58D0">
            <w:pPr>
              <w:jc w:val="center"/>
              <w:rPr>
                <w:b/>
                <w:sz w:val="20"/>
                <w:szCs w:val="20"/>
              </w:rPr>
            </w:pPr>
            <w:proofErr w:type="spellStart"/>
            <w:r w:rsidRPr="00082C38">
              <w:rPr>
                <w:b/>
                <w:sz w:val="20"/>
                <w:szCs w:val="20"/>
              </w:rPr>
              <w:t>Leupr</w:t>
            </w:r>
            <w:r w:rsidRPr="00082C38">
              <w:rPr>
                <w:rFonts w:cs="Calibri"/>
                <w:b/>
                <w:color w:val="000000"/>
                <w:sz w:val="20"/>
                <w:szCs w:val="20"/>
              </w:rPr>
              <w:t>orelin</w:t>
            </w:r>
            <w:proofErr w:type="spellEnd"/>
          </w:p>
        </w:tc>
        <w:tc>
          <w:tcPr>
            <w:tcW w:w="1313" w:type="dxa"/>
            <w:shd w:val="clear" w:color="auto" w:fill="BFBFBF" w:themeFill="background1" w:themeFillShade="BF"/>
          </w:tcPr>
          <w:p w14:paraId="24C4FF7C" w14:textId="43545A1E" w:rsidR="003F58D0" w:rsidRDefault="003F58D0" w:rsidP="003F58D0">
            <w:pPr>
              <w:jc w:val="center"/>
              <w:rPr>
                <w:rFonts w:cs="Calibri"/>
                <w:b/>
                <w:color w:val="000000"/>
                <w:sz w:val="20"/>
                <w:szCs w:val="20"/>
              </w:rPr>
            </w:pPr>
            <w:proofErr w:type="spellStart"/>
            <w:r w:rsidRPr="00082C38">
              <w:rPr>
                <w:b/>
                <w:sz w:val="20"/>
                <w:szCs w:val="20"/>
              </w:rPr>
              <w:t>Leupr</w:t>
            </w:r>
            <w:r w:rsidRPr="00082C38">
              <w:rPr>
                <w:rFonts w:cs="Calibri"/>
                <w:b/>
                <w:color w:val="000000"/>
                <w:sz w:val="20"/>
                <w:szCs w:val="20"/>
              </w:rPr>
              <w:t>orelin</w:t>
            </w:r>
            <w:proofErr w:type="spellEnd"/>
            <w:r>
              <w:rPr>
                <w:b/>
                <w:sz w:val="20"/>
                <w:szCs w:val="20"/>
              </w:rPr>
              <w:t xml:space="preserve">&amp; </w:t>
            </w:r>
            <w:proofErr w:type="spellStart"/>
            <w:r w:rsidRPr="003F58D0">
              <w:rPr>
                <w:b/>
                <w:sz w:val="20"/>
                <w:szCs w:val="20"/>
              </w:rPr>
              <w:t>bicalutamide</w:t>
            </w:r>
            <w:proofErr w:type="spellEnd"/>
          </w:p>
        </w:tc>
        <w:tc>
          <w:tcPr>
            <w:tcW w:w="1124" w:type="dxa"/>
            <w:shd w:val="clear" w:color="auto" w:fill="BFBFBF" w:themeFill="background1" w:themeFillShade="BF"/>
            <w:vAlign w:val="center"/>
          </w:tcPr>
          <w:p w14:paraId="5454ED3E" w14:textId="4D0A8824" w:rsidR="003F58D0" w:rsidRPr="00082C38" w:rsidRDefault="003F58D0" w:rsidP="003F58D0">
            <w:pPr>
              <w:jc w:val="center"/>
              <w:rPr>
                <w:rFonts w:cs="Calibri"/>
                <w:b/>
                <w:color w:val="000000"/>
                <w:sz w:val="20"/>
                <w:szCs w:val="20"/>
              </w:rPr>
            </w:pPr>
            <w:proofErr w:type="spellStart"/>
            <w:r>
              <w:rPr>
                <w:rFonts w:cs="Calibri"/>
                <w:b/>
                <w:color w:val="000000"/>
                <w:sz w:val="20"/>
                <w:szCs w:val="20"/>
              </w:rPr>
              <w:t>Triptorelin</w:t>
            </w:r>
            <w:proofErr w:type="spellEnd"/>
          </w:p>
        </w:tc>
        <w:tc>
          <w:tcPr>
            <w:tcW w:w="1037" w:type="dxa"/>
            <w:shd w:val="clear" w:color="auto" w:fill="BFBFBF" w:themeFill="background1" w:themeFillShade="BF"/>
            <w:vAlign w:val="center"/>
          </w:tcPr>
          <w:p w14:paraId="0AF030E8" w14:textId="6485B673" w:rsidR="003F58D0" w:rsidRPr="00082C38" w:rsidRDefault="003F58D0" w:rsidP="003F58D0">
            <w:pPr>
              <w:jc w:val="center"/>
              <w:rPr>
                <w:b/>
                <w:sz w:val="20"/>
                <w:szCs w:val="20"/>
              </w:rPr>
            </w:pPr>
            <w:proofErr w:type="spellStart"/>
            <w:r w:rsidRPr="00082C38">
              <w:rPr>
                <w:rFonts w:cs="Calibri"/>
                <w:b/>
                <w:color w:val="000000"/>
                <w:sz w:val="20"/>
                <w:szCs w:val="20"/>
              </w:rPr>
              <w:t>Nafarelin</w:t>
            </w:r>
            <w:proofErr w:type="spellEnd"/>
          </w:p>
        </w:tc>
      </w:tr>
      <w:tr w:rsidR="003F58D0" w:rsidRPr="00082C38" w14:paraId="5CF99EA2" w14:textId="77777777" w:rsidTr="001134CB">
        <w:tc>
          <w:tcPr>
            <w:tcW w:w="1934" w:type="dxa"/>
            <w:vAlign w:val="center"/>
          </w:tcPr>
          <w:p w14:paraId="5F841FF2" w14:textId="28C7B061" w:rsidR="003F58D0" w:rsidRPr="00082C38" w:rsidRDefault="003F58D0" w:rsidP="003F58D0">
            <w:pPr>
              <w:rPr>
                <w:sz w:val="20"/>
                <w:szCs w:val="20"/>
              </w:rPr>
            </w:pPr>
            <w:r w:rsidRPr="00082C38">
              <w:rPr>
                <w:rFonts w:cs="Calibri"/>
                <w:color w:val="000000"/>
                <w:sz w:val="20"/>
                <w:szCs w:val="20"/>
              </w:rPr>
              <w:t>Locally advanced (stage C) or metastatic (stage D) carcinoma of the prostate</w:t>
            </w:r>
          </w:p>
        </w:tc>
        <w:tc>
          <w:tcPr>
            <w:tcW w:w="1055" w:type="dxa"/>
            <w:vAlign w:val="center"/>
          </w:tcPr>
          <w:p w14:paraId="6ACA80F8" w14:textId="49CF33A9" w:rsidR="003F58D0" w:rsidRPr="00082C38" w:rsidRDefault="003F58D0" w:rsidP="00D11DA7">
            <w:pPr>
              <w:jc w:val="center"/>
              <w:rPr>
                <w:sz w:val="20"/>
                <w:szCs w:val="20"/>
              </w:rPr>
            </w:pPr>
            <w:r w:rsidRPr="00082C38">
              <w:rPr>
                <w:rFonts w:ascii="Wingdings" w:hAnsi="Wingdings"/>
                <w:sz w:val="20"/>
                <w:szCs w:val="20"/>
              </w:rPr>
              <w:t></w:t>
            </w:r>
          </w:p>
        </w:tc>
        <w:tc>
          <w:tcPr>
            <w:tcW w:w="1300" w:type="dxa"/>
            <w:vAlign w:val="center"/>
          </w:tcPr>
          <w:p w14:paraId="1A4E8F3B" w14:textId="790F86C6" w:rsidR="003F58D0" w:rsidRPr="00082C38" w:rsidRDefault="003F58D0" w:rsidP="00D11DA7">
            <w:pPr>
              <w:jc w:val="center"/>
              <w:rPr>
                <w:rFonts w:ascii="Wingdings" w:hAnsi="Wingdings"/>
                <w:sz w:val="20"/>
                <w:szCs w:val="20"/>
              </w:rPr>
            </w:pPr>
          </w:p>
        </w:tc>
        <w:tc>
          <w:tcPr>
            <w:tcW w:w="1184" w:type="dxa"/>
            <w:vAlign w:val="center"/>
          </w:tcPr>
          <w:p w14:paraId="75C2A62C" w14:textId="06C3A2F0" w:rsidR="003F58D0" w:rsidRPr="00082C38" w:rsidRDefault="003F58D0" w:rsidP="00D11DA7">
            <w:pPr>
              <w:jc w:val="center"/>
              <w:rPr>
                <w:sz w:val="20"/>
                <w:szCs w:val="20"/>
              </w:rPr>
            </w:pPr>
            <w:r w:rsidRPr="00082C38">
              <w:rPr>
                <w:rFonts w:ascii="Wingdings" w:hAnsi="Wingdings"/>
                <w:sz w:val="20"/>
                <w:szCs w:val="20"/>
              </w:rPr>
              <w:t></w:t>
            </w:r>
          </w:p>
        </w:tc>
        <w:tc>
          <w:tcPr>
            <w:tcW w:w="1313" w:type="dxa"/>
            <w:vAlign w:val="center"/>
          </w:tcPr>
          <w:p w14:paraId="2C36CD2B" w14:textId="5AF1FA5F" w:rsidR="003F58D0" w:rsidRPr="00082C38" w:rsidRDefault="003F58D0" w:rsidP="00D11DA7">
            <w:pPr>
              <w:jc w:val="center"/>
              <w:rPr>
                <w:rFonts w:ascii="Wingdings" w:hAnsi="Wingdings"/>
                <w:sz w:val="20"/>
                <w:szCs w:val="20"/>
              </w:rPr>
            </w:pPr>
          </w:p>
        </w:tc>
        <w:tc>
          <w:tcPr>
            <w:tcW w:w="1124" w:type="dxa"/>
            <w:vAlign w:val="center"/>
          </w:tcPr>
          <w:p w14:paraId="7BB70154" w14:textId="3489F989" w:rsidR="003F58D0" w:rsidRPr="00082C38" w:rsidRDefault="003F58D0" w:rsidP="00D11DA7">
            <w:pPr>
              <w:jc w:val="center"/>
              <w:rPr>
                <w:sz w:val="20"/>
                <w:szCs w:val="20"/>
              </w:rPr>
            </w:pPr>
            <w:r w:rsidRPr="00082C38">
              <w:rPr>
                <w:rFonts w:ascii="Wingdings" w:hAnsi="Wingdings"/>
                <w:sz w:val="20"/>
                <w:szCs w:val="20"/>
              </w:rPr>
              <w:t></w:t>
            </w:r>
          </w:p>
        </w:tc>
        <w:tc>
          <w:tcPr>
            <w:tcW w:w="1037" w:type="dxa"/>
            <w:vAlign w:val="center"/>
          </w:tcPr>
          <w:p w14:paraId="476DDE65" w14:textId="591E5530" w:rsidR="003F58D0" w:rsidRPr="00082C38" w:rsidRDefault="003F58D0" w:rsidP="00D11DA7">
            <w:pPr>
              <w:jc w:val="center"/>
              <w:rPr>
                <w:sz w:val="20"/>
                <w:szCs w:val="20"/>
              </w:rPr>
            </w:pPr>
          </w:p>
        </w:tc>
      </w:tr>
      <w:tr w:rsidR="000C15BB" w:rsidRPr="00082C38" w14:paraId="38851583" w14:textId="77777777" w:rsidTr="001134CB">
        <w:tc>
          <w:tcPr>
            <w:tcW w:w="1934" w:type="dxa"/>
            <w:vAlign w:val="center"/>
          </w:tcPr>
          <w:p w14:paraId="1C0F15DA" w14:textId="1A00FBE2" w:rsidR="000C15BB" w:rsidRPr="00082C38" w:rsidRDefault="000C15BB" w:rsidP="000C15BB">
            <w:pPr>
              <w:rPr>
                <w:rFonts w:cs="Calibri"/>
                <w:color w:val="000000"/>
                <w:sz w:val="20"/>
                <w:szCs w:val="20"/>
              </w:rPr>
            </w:pPr>
            <w:r>
              <w:rPr>
                <w:rFonts w:cs="Calibri"/>
                <w:color w:val="000000"/>
                <w:sz w:val="20"/>
                <w:szCs w:val="20"/>
              </w:rPr>
              <w:t>M</w:t>
            </w:r>
            <w:r w:rsidRPr="00082C38">
              <w:rPr>
                <w:rFonts w:cs="Calibri"/>
                <w:color w:val="000000"/>
                <w:sz w:val="20"/>
                <w:szCs w:val="20"/>
              </w:rPr>
              <w:t>etastatic (stage D) carcinoma of the prostate</w:t>
            </w:r>
          </w:p>
        </w:tc>
        <w:tc>
          <w:tcPr>
            <w:tcW w:w="1055" w:type="dxa"/>
            <w:vAlign w:val="center"/>
          </w:tcPr>
          <w:p w14:paraId="09C60A17" w14:textId="77777777" w:rsidR="000C15BB" w:rsidRPr="00082C38" w:rsidRDefault="000C15BB" w:rsidP="00D11DA7">
            <w:pPr>
              <w:jc w:val="center"/>
              <w:rPr>
                <w:rFonts w:ascii="Wingdings" w:hAnsi="Wingdings"/>
                <w:sz w:val="20"/>
                <w:szCs w:val="20"/>
              </w:rPr>
            </w:pPr>
          </w:p>
        </w:tc>
        <w:tc>
          <w:tcPr>
            <w:tcW w:w="1300" w:type="dxa"/>
            <w:vAlign w:val="center"/>
          </w:tcPr>
          <w:p w14:paraId="0D7DC92F" w14:textId="47DA881D" w:rsidR="000C15BB" w:rsidRPr="00082C38" w:rsidRDefault="000C15BB" w:rsidP="00D11DA7">
            <w:pPr>
              <w:jc w:val="center"/>
              <w:rPr>
                <w:rFonts w:ascii="Wingdings" w:hAnsi="Wingdings"/>
                <w:sz w:val="20"/>
                <w:szCs w:val="20"/>
              </w:rPr>
            </w:pPr>
            <w:r w:rsidRPr="00082C38">
              <w:rPr>
                <w:rFonts w:ascii="Wingdings" w:hAnsi="Wingdings"/>
                <w:sz w:val="20"/>
                <w:szCs w:val="20"/>
              </w:rPr>
              <w:t></w:t>
            </w:r>
          </w:p>
        </w:tc>
        <w:tc>
          <w:tcPr>
            <w:tcW w:w="1184" w:type="dxa"/>
            <w:vAlign w:val="center"/>
          </w:tcPr>
          <w:p w14:paraId="2D9BC5B9" w14:textId="77777777" w:rsidR="000C15BB" w:rsidRPr="00082C38" w:rsidRDefault="000C15BB" w:rsidP="00D11DA7">
            <w:pPr>
              <w:jc w:val="center"/>
              <w:rPr>
                <w:rFonts w:ascii="Wingdings" w:hAnsi="Wingdings"/>
                <w:sz w:val="20"/>
                <w:szCs w:val="20"/>
              </w:rPr>
            </w:pPr>
          </w:p>
        </w:tc>
        <w:tc>
          <w:tcPr>
            <w:tcW w:w="1313" w:type="dxa"/>
            <w:vAlign w:val="center"/>
          </w:tcPr>
          <w:p w14:paraId="4BFD2625" w14:textId="0E36D631" w:rsidR="000C15BB" w:rsidRPr="00082C38" w:rsidRDefault="000C15BB" w:rsidP="00D11DA7">
            <w:pPr>
              <w:jc w:val="center"/>
              <w:rPr>
                <w:sz w:val="20"/>
                <w:szCs w:val="20"/>
              </w:rPr>
            </w:pPr>
            <w:r w:rsidRPr="00082C38">
              <w:rPr>
                <w:rFonts w:ascii="Wingdings" w:hAnsi="Wingdings"/>
                <w:sz w:val="20"/>
                <w:szCs w:val="20"/>
              </w:rPr>
              <w:t></w:t>
            </w:r>
          </w:p>
        </w:tc>
        <w:tc>
          <w:tcPr>
            <w:tcW w:w="1124" w:type="dxa"/>
            <w:vAlign w:val="center"/>
          </w:tcPr>
          <w:p w14:paraId="49AD2E69" w14:textId="77777777" w:rsidR="000C15BB" w:rsidRPr="00082C38" w:rsidRDefault="000C15BB" w:rsidP="00D11DA7">
            <w:pPr>
              <w:jc w:val="center"/>
              <w:rPr>
                <w:sz w:val="20"/>
                <w:szCs w:val="20"/>
              </w:rPr>
            </w:pPr>
          </w:p>
        </w:tc>
        <w:tc>
          <w:tcPr>
            <w:tcW w:w="1037" w:type="dxa"/>
            <w:vAlign w:val="center"/>
          </w:tcPr>
          <w:p w14:paraId="13DA4B3D" w14:textId="77777777" w:rsidR="000C15BB" w:rsidRPr="00082C38" w:rsidRDefault="000C15BB" w:rsidP="00D11DA7">
            <w:pPr>
              <w:jc w:val="center"/>
              <w:rPr>
                <w:sz w:val="20"/>
                <w:szCs w:val="20"/>
              </w:rPr>
            </w:pPr>
          </w:p>
        </w:tc>
      </w:tr>
      <w:tr w:rsidR="000C15BB" w:rsidRPr="00082C38" w14:paraId="7DC41FAA" w14:textId="77777777" w:rsidTr="001134CB">
        <w:tc>
          <w:tcPr>
            <w:tcW w:w="1934" w:type="dxa"/>
            <w:vAlign w:val="center"/>
          </w:tcPr>
          <w:p w14:paraId="6F4793CD" w14:textId="40DF7FE3" w:rsidR="000C15BB" w:rsidRPr="00082C38" w:rsidRDefault="000C15BB" w:rsidP="000C15BB">
            <w:pPr>
              <w:rPr>
                <w:sz w:val="20"/>
                <w:szCs w:val="20"/>
              </w:rPr>
            </w:pPr>
            <w:r w:rsidRPr="00082C38">
              <w:rPr>
                <w:rFonts w:cs="Calibri"/>
                <w:color w:val="000000"/>
                <w:sz w:val="20"/>
                <w:szCs w:val="20"/>
              </w:rPr>
              <w:t xml:space="preserve">Central precocious puberty </w:t>
            </w:r>
          </w:p>
        </w:tc>
        <w:tc>
          <w:tcPr>
            <w:tcW w:w="1055" w:type="dxa"/>
            <w:vAlign w:val="center"/>
          </w:tcPr>
          <w:p w14:paraId="27FE0F58" w14:textId="153CC6C6" w:rsidR="000C15BB" w:rsidRPr="00082C38" w:rsidRDefault="000C15BB" w:rsidP="00D11DA7">
            <w:pPr>
              <w:jc w:val="center"/>
              <w:rPr>
                <w:rFonts w:ascii="Wingdings" w:hAnsi="Wingdings"/>
                <w:sz w:val="20"/>
                <w:szCs w:val="20"/>
              </w:rPr>
            </w:pPr>
          </w:p>
        </w:tc>
        <w:tc>
          <w:tcPr>
            <w:tcW w:w="1300" w:type="dxa"/>
            <w:vAlign w:val="center"/>
          </w:tcPr>
          <w:p w14:paraId="7F0A8AEE" w14:textId="77777777" w:rsidR="000C15BB" w:rsidRPr="00082C38" w:rsidRDefault="000C15BB" w:rsidP="00D11DA7">
            <w:pPr>
              <w:jc w:val="center"/>
              <w:rPr>
                <w:rFonts w:ascii="Wingdings" w:hAnsi="Wingdings"/>
                <w:sz w:val="20"/>
                <w:szCs w:val="20"/>
              </w:rPr>
            </w:pPr>
          </w:p>
        </w:tc>
        <w:tc>
          <w:tcPr>
            <w:tcW w:w="1184" w:type="dxa"/>
            <w:vAlign w:val="center"/>
          </w:tcPr>
          <w:p w14:paraId="589F5DC9" w14:textId="52D98D32" w:rsidR="000C15BB" w:rsidRPr="00082C38" w:rsidRDefault="000C15BB" w:rsidP="00D11DA7">
            <w:pPr>
              <w:jc w:val="center"/>
              <w:rPr>
                <w:sz w:val="20"/>
                <w:szCs w:val="20"/>
              </w:rPr>
            </w:pPr>
            <w:r w:rsidRPr="00082C38">
              <w:rPr>
                <w:rFonts w:ascii="Wingdings" w:hAnsi="Wingdings"/>
                <w:sz w:val="20"/>
                <w:szCs w:val="20"/>
              </w:rPr>
              <w:t></w:t>
            </w:r>
          </w:p>
        </w:tc>
        <w:tc>
          <w:tcPr>
            <w:tcW w:w="1313" w:type="dxa"/>
            <w:vAlign w:val="center"/>
          </w:tcPr>
          <w:p w14:paraId="6D101B22" w14:textId="77777777" w:rsidR="000C15BB" w:rsidRPr="00082C38" w:rsidRDefault="000C15BB" w:rsidP="00D11DA7">
            <w:pPr>
              <w:jc w:val="center"/>
              <w:rPr>
                <w:sz w:val="20"/>
                <w:szCs w:val="20"/>
              </w:rPr>
            </w:pPr>
          </w:p>
        </w:tc>
        <w:tc>
          <w:tcPr>
            <w:tcW w:w="1124" w:type="dxa"/>
            <w:vAlign w:val="center"/>
          </w:tcPr>
          <w:p w14:paraId="3C27B6F9" w14:textId="4D69C0A3" w:rsidR="000C15BB" w:rsidRPr="00082C38" w:rsidRDefault="000C15BB" w:rsidP="00D11DA7">
            <w:pPr>
              <w:jc w:val="center"/>
              <w:rPr>
                <w:sz w:val="20"/>
                <w:szCs w:val="20"/>
              </w:rPr>
            </w:pPr>
          </w:p>
        </w:tc>
        <w:tc>
          <w:tcPr>
            <w:tcW w:w="1037" w:type="dxa"/>
            <w:vAlign w:val="center"/>
          </w:tcPr>
          <w:p w14:paraId="74DDD869" w14:textId="36BAED20" w:rsidR="000C15BB" w:rsidRPr="00082C38" w:rsidRDefault="000C15BB" w:rsidP="00D11DA7">
            <w:pPr>
              <w:jc w:val="center"/>
              <w:rPr>
                <w:sz w:val="20"/>
                <w:szCs w:val="20"/>
              </w:rPr>
            </w:pPr>
          </w:p>
        </w:tc>
      </w:tr>
      <w:tr w:rsidR="000C15BB" w:rsidRPr="00082C38" w14:paraId="0B9CCCCC" w14:textId="77777777" w:rsidTr="001134CB">
        <w:tc>
          <w:tcPr>
            <w:tcW w:w="1934" w:type="dxa"/>
            <w:vAlign w:val="center"/>
          </w:tcPr>
          <w:p w14:paraId="67FFAFC5" w14:textId="6ED3193F" w:rsidR="000C15BB" w:rsidRPr="00082C38" w:rsidRDefault="000C15BB" w:rsidP="000C15BB">
            <w:pPr>
              <w:rPr>
                <w:sz w:val="20"/>
                <w:szCs w:val="20"/>
              </w:rPr>
            </w:pPr>
            <w:r w:rsidRPr="00082C38">
              <w:rPr>
                <w:rFonts w:cs="Calibri"/>
                <w:color w:val="000000"/>
                <w:sz w:val="20"/>
                <w:szCs w:val="20"/>
              </w:rPr>
              <w:t>Breast cancer</w:t>
            </w:r>
          </w:p>
        </w:tc>
        <w:tc>
          <w:tcPr>
            <w:tcW w:w="1055" w:type="dxa"/>
            <w:vAlign w:val="center"/>
          </w:tcPr>
          <w:p w14:paraId="570711E0" w14:textId="4E3A21B2" w:rsidR="000C15BB" w:rsidRPr="00082C38" w:rsidRDefault="000C15BB" w:rsidP="00D11DA7">
            <w:pPr>
              <w:jc w:val="center"/>
              <w:rPr>
                <w:sz w:val="20"/>
                <w:szCs w:val="20"/>
              </w:rPr>
            </w:pPr>
            <w:r w:rsidRPr="00082C38">
              <w:rPr>
                <w:rFonts w:ascii="Wingdings" w:hAnsi="Wingdings"/>
                <w:sz w:val="20"/>
                <w:szCs w:val="20"/>
              </w:rPr>
              <w:t></w:t>
            </w:r>
          </w:p>
        </w:tc>
        <w:tc>
          <w:tcPr>
            <w:tcW w:w="1300" w:type="dxa"/>
            <w:vAlign w:val="center"/>
          </w:tcPr>
          <w:p w14:paraId="32A5A297" w14:textId="77777777" w:rsidR="000C15BB" w:rsidRPr="00082C38" w:rsidRDefault="000C15BB" w:rsidP="00D11DA7">
            <w:pPr>
              <w:jc w:val="center"/>
              <w:rPr>
                <w:sz w:val="20"/>
                <w:szCs w:val="20"/>
              </w:rPr>
            </w:pPr>
          </w:p>
        </w:tc>
        <w:tc>
          <w:tcPr>
            <w:tcW w:w="1184" w:type="dxa"/>
            <w:vAlign w:val="center"/>
          </w:tcPr>
          <w:p w14:paraId="45459B23" w14:textId="5280CF82" w:rsidR="000C15BB" w:rsidRPr="00082C38" w:rsidRDefault="000C15BB" w:rsidP="00D11DA7">
            <w:pPr>
              <w:jc w:val="center"/>
              <w:rPr>
                <w:sz w:val="20"/>
                <w:szCs w:val="20"/>
              </w:rPr>
            </w:pPr>
          </w:p>
        </w:tc>
        <w:tc>
          <w:tcPr>
            <w:tcW w:w="1313" w:type="dxa"/>
            <w:vAlign w:val="center"/>
          </w:tcPr>
          <w:p w14:paraId="47C847B7" w14:textId="77777777" w:rsidR="000C15BB" w:rsidRPr="00082C38" w:rsidRDefault="000C15BB" w:rsidP="00D11DA7">
            <w:pPr>
              <w:jc w:val="center"/>
              <w:rPr>
                <w:sz w:val="20"/>
                <w:szCs w:val="20"/>
              </w:rPr>
            </w:pPr>
          </w:p>
        </w:tc>
        <w:tc>
          <w:tcPr>
            <w:tcW w:w="1124" w:type="dxa"/>
            <w:vAlign w:val="center"/>
          </w:tcPr>
          <w:p w14:paraId="42EE963E" w14:textId="1DEDD31A" w:rsidR="000C15BB" w:rsidRPr="00082C38" w:rsidRDefault="000C15BB" w:rsidP="00D11DA7">
            <w:pPr>
              <w:jc w:val="center"/>
              <w:rPr>
                <w:sz w:val="20"/>
                <w:szCs w:val="20"/>
              </w:rPr>
            </w:pPr>
          </w:p>
        </w:tc>
        <w:tc>
          <w:tcPr>
            <w:tcW w:w="1037" w:type="dxa"/>
            <w:vAlign w:val="center"/>
          </w:tcPr>
          <w:p w14:paraId="1A5D629C" w14:textId="5AA339D5" w:rsidR="000C15BB" w:rsidRPr="00082C38" w:rsidRDefault="000C15BB" w:rsidP="00D11DA7">
            <w:pPr>
              <w:jc w:val="center"/>
              <w:rPr>
                <w:sz w:val="20"/>
                <w:szCs w:val="20"/>
              </w:rPr>
            </w:pPr>
          </w:p>
        </w:tc>
      </w:tr>
      <w:tr w:rsidR="000C15BB" w:rsidRPr="00082C38" w14:paraId="5C84DACA" w14:textId="77777777" w:rsidTr="001134CB">
        <w:tc>
          <w:tcPr>
            <w:tcW w:w="1934" w:type="dxa"/>
            <w:vAlign w:val="center"/>
          </w:tcPr>
          <w:p w14:paraId="19696496" w14:textId="472BE067" w:rsidR="000C15BB" w:rsidRPr="00082C38" w:rsidRDefault="000C15BB" w:rsidP="000C15BB">
            <w:pPr>
              <w:rPr>
                <w:sz w:val="20"/>
                <w:szCs w:val="20"/>
              </w:rPr>
            </w:pPr>
            <w:r w:rsidRPr="00082C38">
              <w:rPr>
                <w:rFonts w:cs="Calibri"/>
                <w:color w:val="000000"/>
                <w:sz w:val="20"/>
                <w:szCs w:val="20"/>
              </w:rPr>
              <w:t>Endometriosis</w:t>
            </w:r>
          </w:p>
        </w:tc>
        <w:tc>
          <w:tcPr>
            <w:tcW w:w="1055" w:type="dxa"/>
            <w:vAlign w:val="center"/>
          </w:tcPr>
          <w:p w14:paraId="7B4483FD" w14:textId="4516D4A9" w:rsidR="000C15BB" w:rsidRPr="00082C38" w:rsidRDefault="000C15BB" w:rsidP="00D11DA7">
            <w:pPr>
              <w:jc w:val="center"/>
              <w:rPr>
                <w:sz w:val="20"/>
                <w:szCs w:val="20"/>
              </w:rPr>
            </w:pPr>
            <w:r w:rsidRPr="00082C38">
              <w:rPr>
                <w:rFonts w:ascii="Wingdings" w:hAnsi="Wingdings"/>
                <w:sz w:val="20"/>
                <w:szCs w:val="20"/>
              </w:rPr>
              <w:t></w:t>
            </w:r>
          </w:p>
        </w:tc>
        <w:tc>
          <w:tcPr>
            <w:tcW w:w="1300" w:type="dxa"/>
            <w:vAlign w:val="center"/>
          </w:tcPr>
          <w:p w14:paraId="264E5C85" w14:textId="77777777" w:rsidR="000C15BB" w:rsidRPr="00082C38" w:rsidRDefault="000C15BB" w:rsidP="00D11DA7">
            <w:pPr>
              <w:jc w:val="center"/>
              <w:rPr>
                <w:sz w:val="20"/>
                <w:szCs w:val="20"/>
              </w:rPr>
            </w:pPr>
          </w:p>
        </w:tc>
        <w:tc>
          <w:tcPr>
            <w:tcW w:w="1184" w:type="dxa"/>
            <w:vAlign w:val="center"/>
          </w:tcPr>
          <w:p w14:paraId="0E887547" w14:textId="175B5812" w:rsidR="000C15BB" w:rsidRPr="00082C38" w:rsidRDefault="000C15BB" w:rsidP="00D11DA7">
            <w:pPr>
              <w:jc w:val="center"/>
              <w:rPr>
                <w:sz w:val="20"/>
                <w:szCs w:val="20"/>
              </w:rPr>
            </w:pPr>
          </w:p>
        </w:tc>
        <w:tc>
          <w:tcPr>
            <w:tcW w:w="1313" w:type="dxa"/>
            <w:vAlign w:val="center"/>
          </w:tcPr>
          <w:p w14:paraId="22EEFDCD" w14:textId="77777777" w:rsidR="000C15BB" w:rsidRPr="00082C38" w:rsidRDefault="000C15BB" w:rsidP="00D11DA7">
            <w:pPr>
              <w:jc w:val="center"/>
              <w:rPr>
                <w:rFonts w:ascii="Wingdings" w:hAnsi="Wingdings"/>
                <w:sz w:val="20"/>
                <w:szCs w:val="20"/>
              </w:rPr>
            </w:pPr>
          </w:p>
        </w:tc>
        <w:tc>
          <w:tcPr>
            <w:tcW w:w="1124" w:type="dxa"/>
            <w:vAlign w:val="center"/>
          </w:tcPr>
          <w:p w14:paraId="55F48DF3" w14:textId="697404F4" w:rsidR="000C15BB" w:rsidRPr="00082C38" w:rsidRDefault="000C15BB" w:rsidP="00D11DA7">
            <w:pPr>
              <w:jc w:val="center"/>
              <w:rPr>
                <w:rFonts w:ascii="Wingdings" w:hAnsi="Wingdings"/>
                <w:sz w:val="20"/>
                <w:szCs w:val="20"/>
              </w:rPr>
            </w:pPr>
          </w:p>
        </w:tc>
        <w:tc>
          <w:tcPr>
            <w:tcW w:w="1037" w:type="dxa"/>
            <w:vAlign w:val="center"/>
          </w:tcPr>
          <w:p w14:paraId="2407DBB8" w14:textId="560697A6" w:rsidR="000C15BB" w:rsidRPr="00082C38" w:rsidRDefault="000C15BB" w:rsidP="00D11DA7">
            <w:pPr>
              <w:jc w:val="center"/>
              <w:rPr>
                <w:sz w:val="20"/>
                <w:szCs w:val="20"/>
              </w:rPr>
            </w:pPr>
            <w:r w:rsidRPr="00082C38">
              <w:rPr>
                <w:rFonts w:ascii="Wingdings" w:hAnsi="Wingdings"/>
                <w:sz w:val="20"/>
                <w:szCs w:val="20"/>
              </w:rPr>
              <w:t></w:t>
            </w:r>
          </w:p>
        </w:tc>
      </w:tr>
      <w:tr w:rsidR="000C15BB" w:rsidRPr="00082C38" w14:paraId="626F91DE" w14:textId="77777777" w:rsidTr="001134CB">
        <w:tc>
          <w:tcPr>
            <w:tcW w:w="1934" w:type="dxa"/>
            <w:vAlign w:val="center"/>
          </w:tcPr>
          <w:p w14:paraId="6FCA5304" w14:textId="0AE1135A" w:rsidR="000C15BB" w:rsidRPr="00082C38" w:rsidRDefault="000C15BB" w:rsidP="000C15BB">
            <w:pPr>
              <w:rPr>
                <w:sz w:val="20"/>
                <w:szCs w:val="20"/>
              </w:rPr>
            </w:pPr>
            <w:r w:rsidRPr="00082C38">
              <w:rPr>
                <w:rFonts w:cs="Calibri"/>
                <w:color w:val="000000"/>
                <w:sz w:val="20"/>
                <w:szCs w:val="20"/>
              </w:rPr>
              <w:t>Anticipated premature ovarian failure</w:t>
            </w:r>
          </w:p>
        </w:tc>
        <w:tc>
          <w:tcPr>
            <w:tcW w:w="1055" w:type="dxa"/>
            <w:vAlign w:val="center"/>
          </w:tcPr>
          <w:p w14:paraId="3FDFC647" w14:textId="3112E1FD" w:rsidR="000C15BB" w:rsidRPr="00082C38" w:rsidRDefault="000C15BB" w:rsidP="00D11DA7">
            <w:pPr>
              <w:jc w:val="center"/>
              <w:rPr>
                <w:sz w:val="20"/>
                <w:szCs w:val="20"/>
              </w:rPr>
            </w:pPr>
            <w:r w:rsidRPr="00082C38">
              <w:rPr>
                <w:rFonts w:ascii="Wingdings" w:hAnsi="Wingdings"/>
                <w:sz w:val="20"/>
                <w:szCs w:val="20"/>
              </w:rPr>
              <w:t></w:t>
            </w:r>
          </w:p>
        </w:tc>
        <w:tc>
          <w:tcPr>
            <w:tcW w:w="1300" w:type="dxa"/>
            <w:vAlign w:val="center"/>
          </w:tcPr>
          <w:p w14:paraId="60410C33" w14:textId="77777777" w:rsidR="000C15BB" w:rsidRPr="00082C38" w:rsidRDefault="000C15BB" w:rsidP="00D11DA7">
            <w:pPr>
              <w:jc w:val="center"/>
              <w:rPr>
                <w:sz w:val="20"/>
                <w:szCs w:val="20"/>
              </w:rPr>
            </w:pPr>
          </w:p>
        </w:tc>
        <w:tc>
          <w:tcPr>
            <w:tcW w:w="1184" w:type="dxa"/>
            <w:vAlign w:val="center"/>
          </w:tcPr>
          <w:p w14:paraId="06C65528" w14:textId="274013B7" w:rsidR="000C15BB" w:rsidRPr="00082C38" w:rsidRDefault="000C15BB" w:rsidP="00D11DA7">
            <w:pPr>
              <w:jc w:val="center"/>
              <w:rPr>
                <w:sz w:val="20"/>
                <w:szCs w:val="20"/>
              </w:rPr>
            </w:pPr>
          </w:p>
        </w:tc>
        <w:tc>
          <w:tcPr>
            <w:tcW w:w="1313" w:type="dxa"/>
            <w:vAlign w:val="center"/>
          </w:tcPr>
          <w:p w14:paraId="115FF0C0" w14:textId="77777777" w:rsidR="000C15BB" w:rsidRPr="00082C38" w:rsidRDefault="000C15BB" w:rsidP="00D11DA7">
            <w:pPr>
              <w:jc w:val="center"/>
              <w:rPr>
                <w:sz w:val="20"/>
                <w:szCs w:val="20"/>
              </w:rPr>
            </w:pPr>
          </w:p>
        </w:tc>
        <w:tc>
          <w:tcPr>
            <w:tcW w:w="1124" w:type="dxa"/>
            <w:vAlign w:val="center"/>
          </w:tcPr>
          <w:p w14:paraId="0A2D426D" w14:textId="458B704C" w:rsidR="000C15BB" w:rsidRPr="00082C38" w:rsidRDefault="000C15BB" w:rsidP="00D11DA7">
            <w:pPr>
              <w:jc w:val="center"/>
              <w:rPr>
                <w:sz w:val="20"/>
                <w:szCs w:val="20"/>
              </w:rPr>
            </w:pPr>
          </w:p>
        </w:tc>
        <w:tc>
          <w:tcPr>
            <w:tcW w:w="1037" w:type="dxa"/>
            <w:vAlign w:val="center"/>
          </w:tcPr>
          <w:p w14:paraId="01BD9E53" w14:textId="21F68A88" w:rsidR="000C15BB" w:rsidRPr="00082C38" w:rsidRDefault="000C15BB" w:rsidP="00D11DA7">
            <w:pPr>
              <w:jc w:val="center"/>
              <w:rPr>
                <w:sz w:val="20"/>
                <w:szCs w:val="20"/>
              </w:rPr>
            </w:pPr>
          </w:p>
        </w:tc>
      </w:tr>
    </w:tbl>
    <w:p w14:paraId="3BF484C8" w14:textId="77777777" w:rsidR="00082C38" w:rsidRPr="00A35800" w:rsidDel="00EE2BBB" w:rsidRDefault="00082C38" w:rsidP="00082C38">
      <w:pPr>
        <w:pStyle w:val="Notes"/>
      </w:pPr>
      <w:r w:rsidRPr="00A35800" w:rsidDel="00EE2BBB">
        <w:t xml:space="preserve">Source: </w:t>
      </w:r>
      <w:r w:rsidDel="00EE2BBB">
        <w:t xml:space="preserve">the </w:t>
      </w:r>
      <w:hyperlink r:id="rId11" w:history="1">
        <w:r w:rsidRPr="001624D7" w:rsidDel="00EE2BBB">
          <w:rPr>
            <w:rStyle w:val="Hyperlink"/>
          </w:rPr>
          <w:t>PBS website</w:t>
        </w:r>
      </w:hyperlink>
      <w:r w:rsidDel="00EE2BBB">
        <w:t xml:space="preserve">.  </w:t>
      </w:r>
    </w:p>
    <w:p w14:paraId="22433632" w14:textId="60F70893" w:rsidR="006775F1" w:rsidRPr="006775F1" w:rsidDel="00EE2BBB" w:rsidRDefault="006775F1" w:rsidP="00A35800">
      <w:r w:rsidRPr="006775F1" w:rsidDel="00EE2BBB">
        <w:t xml:space="preserve">For </w:t>
      </w:r>
      <w:r w:rsidR="00835337" w:rsidDel="00EE2BBB">
        <w:t xml:space="preserve">details of the current PBS listing refer to the </w:t>
      </w:r>
      <w:hyperlink r:id="rId12" w:history="1">
        <w:r w:rsidR="00835337" w:rsidRPr="00645D51" w:rsidDel="00EE2BBB">
          <w:rPr>
            <w:rStyle w:val="Hyperlink"/>
          </w:rPr>
          <w:t>PBS website</w:t>
        </w:r>
      </w:hyperlink>
      <w:r w:rsidR="00835337" w:rsidDel="00EE2BBB">
        <w:rPr>
          <w:rStyle w:val="Hyperlink"/>
        </w:rPr>
        <w:t>.</w:t>
      </w:r>
    </w:p>
    <w:p w14:paraId="509ADFEB" w14:textId="201634E9" w:rsidR="009C35F2" w:rsidRPr="005D0513" w:rsidRDefault="009C35F2" w:rsidP="0097554E">
      <w:pPr>
        <w:pStyle w:val="Heading3"/>
        <w:keepNext/>
      </w:pPr>
      <w:r w:rsidRPr="005D0513" w:rsidDel="00EE2BBB">
        <w:lastRenderedPageBreak/>
        <w:t>Date of listing on PBS</w:t>
      </w:r>
    </w:p>
    <w:p w14:paraId="5C30553F" w14:textId="346CA642" w:rsidR="00082C38" w:rsidRPr="000B26E4" w:rsidRDefault="00DB250B" w:rsidP="00082C38">
      <w:proofErr w:type="spellStart"/>
      <w:r w:rsidRPr="005D0513">
        <w:t>Leuprorelin</w:t>
      </w:r>
      <w:proofErr w:type="spellEnd"/>
      <w:r>
        <w:t>:</w:t>
      </w:r>
      <w:r w:rsidRPr="005D0513">
        <w:tab/>
      </w:r>
      <w:r>
        <w:t>1 August 1986</w:t>
      </w:r>
      <w:r>
        <w:br/>
      </w:r>
      <w:proofErr w:type="spellStart"/>
      <w:r w:rsidR="005D0513" w:rsidRPr="005D0513">
        <w:t>Goserelin</w:t>
      </w:r>
      <w:proofErr w:type="spellEnd"/>
      <w:r w:rsidR="005D0513">
        <w:t>:</w:t>
      </w:r>
      <w:r w:rsidR="005D0513" w:rsidRPr="005D0513">
        <w:tab/>
      </w:r>
      <w:r w:rsidR="005D0513">
        <w:t xml:space="preserve">1 </w:t>
      </w:r>
      <w:r w:rsidR="00353F09">
        <w:t>April 1989</w:t>
      </w:r>
      <w:r w:rsidR="000B26E4">
        <w:br/>
      </w:r>
      <w:proofErr w:type="spellStart"/>
      <w:r w:rsidR="005D0513" w:rsidRPr="009F43FE">
        <w:t>Nafarelin</w:t>
      </w:r>
      <w:proofErr w:type="spellEnd"/>
      <w:r w:rsidR="005D0513" w:rsidRPr="009F43FE">
        <w:t>:</w:t>
      </w:r>
      <w:r w:rsidR="005D0513" w:rsidRPr="009F43FE">
        <w:tab/>
        <w:t>1 October 1994</w:t>
      </w:r>
      <w:r w:rsidR="009F43FE" w:rsidRPr="009F43FE">
        <w:t xml:space="preserve"> </w:t>
      </w:r>
      <w:r w:rsidR="009F43FE" w:rsidRPr="009F43FE">
        <w:br/>
      </w:r>
      <w:proofErr w:type="spellStart"/>
      <w:r w:rsidR="009F43FE" w:rsidRPr="009F43FE">
        <w:t>Triptorelin</w:t>
      </w:r>
      <w:proofErr w:type="spellEnd"/>
      <w:r w:rsidR="009F43FE" w:rsidRPr="009F43FE">
        <w:t xml:space="preserve">: </w:t>
      </w:r>
      <w:r w:rsidR="009F43FE" w:rsidRPr="009F43FE">
        <w:tab/>
        <w:t>1 Feb 2009</w:t>
      </w:r>
    </w:p>
    <w:p w14:paraId="39EF75ED" w14:textId="48E7681D" w:rsidR="00675BB1" w:rsidRDefault="00675BB1" w:rsidP="00CF5E22">
      <w:pPr>
        <w:pStyle w:val="Heading3"/>
      </w:pPr>
      <w:r w:rsidRPr="00675BB1" w:rsidDel="00EE2BBB">
        <w:t>Changes to listing</w:t>
      </w:r>
    </w:p>
    <w:p w14:paraId="2ECE9993" w14:textId="62B969FA" w:rsidR="007C0A1B" w:rsidRDefault="007C0A1B" w:rsidP="007C0A1B">
      <w:proofErr w:type="spellStart"/>
      <w:r>
        <w:t>Goserelin</w:t>
      </w:r>
      <w:proofErr w:type="spellEnd"/>
      <w:r>
        <w:t xml:space="preserve"> became a Restricted Benefit on 1 May 2015. </w:t>
      </w:r>
      <w:proofErr w:type="spellStart"/>
      <w:r>
        <w:t>Le</w:t>
      </w:r>
      <w:r w:rsidR="004467F6">
        <w:t>u</w:t>
      </w:r>
      <w:r>
        <w:t>prorelin</w:t>
      </w:r>
      <w:proofErr w:type="spellEnd"/>
      <w:r>
        <w:t xml:space="preserve">, </w:t>
      </w:r>
      <w:proofErr w:type="spellStart"/>
      <w:r>
        <w:t>triptorelin</w:t>
      </w:r>
      <w:proofErr w:type="spellEnd"/>
      <w:r>
        <w:t xml:space="preserve"> and </w:t>
      </w:r>
      <w:proofErr w:type="spellStart"/>
      <w:r>
        <w:t>nafarelin</w:t>
      </w:r>
      <w:proofErr w:type="spellEnd"/>
      <w:r>
        <w:t xml:space="preserve"> became Restricted Benefits on 1 October 2016. Prior to these dates some items were Authority Required and others were Authority Required (STREAMLINED).</w:t>
      </w:r>
    </w:p>
    <w:p w14:paraId="7E23962D" w14:textId="5BA6732A" w:rsidR="00D9012E" w:rsidRDefault="00D9012E" w:rsidP="00D9012E">
      <w:pPr>
        <w:pStyle w:val="Tabletitle"/>
      </w:pPr>
      <w:r>
        <w:t xml:space="preserve">Table 4: Changes to the PBS listings of </w:t>
      </w:r>
      <w:proofErr w:type="spellStart"/>
      <w:r>
        <w:t>GnRH</w:t>
      </w:r>
      <w:proofErr w:type="spellEnd"/>
      <w:r>
        <w:t xml:space="preserve"> agonists</w:t>
      </w:r>
    </w:p>
    <w:tbl>
      <w:tblPr>
        <w:tblStyle w:val="TableGrid"/>
        <w:tblW w:w="0" w:type="auto"/>
        <w:tblLook w:val="04A0" w:firstRow="1" w:lastRow="0" w:firstColumn="1" w:lastColumn="0" w:noHBand="0" w:noVBand="1"/>
        <w:tblCaption w:val="Changes to the PBS listings of GnRH agonists"/>
        <w:tblDescription w:val="Changes to the PBS listings of GnRH agonists"/>
      </w:tblPr>
      <w:tblGrid>
        <w:gridCol w:w="1750"/>
        <w:gridCol w:w="5333"/>
        <w:gridCol w:w="1864"/>
      </w:tblGrid>
      <w:tr w:rsidR="00591BF9" w:rsidRPr="00591BF9" w14:paraId="1971D6E3" w14:textId="77777777" w:rsidTr="00B24F90">
        <w:trPr>
          <w:trHeight w:val="255"/>
          <w:tblHeader/>
        </w:trPr>
        <w:tc>
          <w:tcPr>
            <w:tcW w:w="17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322DE6" w14:textId="77777777" w:rsidR="00591BF9" w:rsidRPr="00591BF9" w:rsidRDefault="00591BF9" w:rsidP="00591BF9">
            <w:pPr>
              <w:rPr>
                <w:b/>
                <w:sz w:val="20"/>
                <w:szCs w:val="20"/>
              </w:rPr>
            </w:pPr>
            <w:r w:rsidRPr="00591BF9">
              <w:rPr>
                <w:b/>
                <w:sz w:val="20"/>
                <w:szCs w:val="20"/>
              </w:rPr>
              <w:t>Drug name</w:t>
            </w:r>
          </w:p>
        </w:tc>
        <w:tc>
          <w:tcPr>
            <w:tcW w:w="53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178C1F" w14:textId="77777777" w:rsidR="00591BF9" w:rsidRPr="00591BF9" w:rsidRDefault="00591BF9" w:rsidP="00591BF9">
            <w:pPr>
              <w:rPr>
                <w:b/>
                <w:sz w:val="20"/>
                <w:szCs w:val="20"/>
              </w:rPr>
            </w:pPr>
            <w:r w:rsidRPr="00591BF9">
              <w:rPr>
                <w:b/>
                <w:sz w:val="20"/>
                <w:szCs w:val="20"/>
              </w:rPr>
              <w:t>Restriction change</w:t>
            </w:r>
          </w:p>
        </w:tc>
        <w:tc>
          <w:tcPr>
            <w:tcW w:w="18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676A9E" w14:textId="77777777" w:rsidR="00591BF9" w:rsidRPr="00591BF9" w:rsidRDefault="00591BF9" w:rsidP="00591BF9">
            <w:pPr>
              <w:rPr>
                <w:b/>
                <w:sz w:val="20"/>
                <w:szCs w:val="20"/>
              </w:rPr>
            </w:pPr>
            <w:r w:rsidRPr="00591BF9">
              <w:rPr>
                <w:b/>
                <w:sz w:val="20"/>
                <w:szCs w:val="20"/>
              </w:rPr>
              <w:t>Date</w:t>
            </w:r>
          </w:p>
        </w:tc>
      </w:tr>
      <w:tr w:rsidR="00EC1099" w:rsidRPr="00591BF9" w14:paraId="240B5FAA" w14:textId="77777777" w:rsidTr="00B24F90">
        <w:trPr>
          <w:trHeight w:val="255"/>
        </w:trPr>
        <w:tc>
          <w:tcPr>
            <w:tcW w:w="1750" w:type="dxa"/>
            <w:tcBorders>
              <w:top w:val="single" w:sz="4" w:space="0" w:color="auto"/>
              <w:left w:val="single" w:sz="4" w:space="0" w:color="auto"/>
              <w:bottom w:val="single" w:sz="4" w:space="0" w:color="auto"/>
              <w:right w:val="single" w:sz="4" w:space="0" w:color="auto"/>
            </w:tcBorders>
            <w:vAlign w:val="center"/>
          </w:tcPr>
          <w:p w14:paraId="227C4DC1" w14:textId="23F3513B" w:rsidR="00EC1099" w:rsidRPr="00591BF9" w:rsidRDefault="00EC1099" w:rsidP="00591BF9">
            <w:pPr>
              <w:rPr>
                <w:sz w:val="20"/>
                <w:szCs w:val="20"/>
              </w:rPr>
            </w:pPr>
            <w:proofErr w:type="spellStart"/>
            <w:r w:rsidRPr="00591BF9">
              <w:rPr>
                <w:sz w:val="20"/>
                <w:szCs w:val="20"/>
              </w:rPr>
              <w:t>Leuprorelin</w:t>
            </w:r>
            <w:proofErr w:type="spellEnd"/>
          </w:p>
        </w:tc>
        <w:tc>
          <w:tcPr>
            <w:tcW w:w="5333" w:type="dxa"/>
            <w:tcBorders>
              <w:top w:val="single" w:sz="4" w:space="0" w:color="auto"/>
              <w:left w:val="single" w:sz="4" w:space="0" w:color="auto"/>
              <w:bottom w:val="single" w:sz="4" w:space="0" w:color="auto"/>
              <w:right w:val="single" w:sz="4" w:space="0" w:color="auto"/>
            </w:tcBorders>
            <w:vAlign w:val="center"/>
          </w:tcPr>
          <w:p w14:paraId="15BFB06B" w14:textId="37DB49E5" w:rsidR="00EC1099" w:rsidRPr="00591BF9" w:rsidRDefault="00EC1099" w:rsidP="00591BF9">
            <w:pPr>
              <w:rPr>
                <w:sz w:val="20"/>
                <w:szCs w:val="20"/>
              </w:rPr>
            </w:pPr>
            <w:r>
              <w:rPr>
                <w:sz w:val="20"/>
                <w:szCs w:val="20"/>
              </w:rPr>
              <w:t>Listed for advanced cancer of the prostate</w:t>
            </w:r>
          </w:p>
        </w:tc>
        <w:tc>
          <w:tcPr>
            <w:tcW w:w="1864" w:type="dxa"/>
            <w:tcBorders>
              <w:top w:val="single" w:sz="4" w:space="0" w:color="auto"/>
              <w:left w:val="single" w:sz="4" w:space="0" w:color="auto"/>
              <w:bottom w:val="single" w:sz="4" w:space="0" w:color="auto"/>
              <w:right w:val="single" w:sz="4" w:space="0" w:color="auto"/>
            </w:tcBorders>
            <w:vAlign w:val="center"/>
          </w:tcPr>
          <w:p w14:paraId="75DFC166" w14:textId="5B3C8FA9" w:rsidR="00EC1099" w:rsidRPr="00591BF9" w:rsidRDefault="00EC1099" w:rsidP="00591BF9">
            <w:pPr>
              <w:rPr>
                <w:sz w:val="20"/>
                <w:szCs w:val="20"/>
              </w:rPr>
            </w:pPr>
            <w:r>
              <w:rPr>
                <w:sz w:val="20"/>
                <w:szCs w:val="20"/>
              </w:rPr>
              <w:t>1 August 1986</w:t>
            </w:r>
          </w:p>
        </w:tc>
      </w:tr>
      <w:tr w:rsidR="00EC1099" w:rsidRPr="00591BF9" w14:paraId="21C34D94" w14:textId="77777777" w:rsidTr="00B24F90">
        <w:trPr>
          <w:trHeight w:val="255"/>
        </w:trPr>
        <w:tc>
          <w:tcPr>
            <w:tcW w:w="1750" w:type="dxa"/>
            <w:tcBorders>
              <w:top w:val="single" w:sz="4" w:space="0" w:color="auto"/>
            </w:tcBorders>
            <w:vAlign w:val="center"/>
          </w:tcPr>
          <w:p w14:paraId="75EB6CC5" w14:textId="600BDB61" w:rsidR="00EC1099" w:rsidRPr="00591BF9" w:rsidRDefault="00EC1099" w:rsidP="00591BF9">
            <w:pPr>
              <w:rPr>
                <w:sz w:val="20"/>
                <w:szCs w:val="20"/>
              </w:rPr>
            </w:pPr>
            <w:proofErr w:type="spellStart"/>
            <w:r w:rsidRPr="00591BF9">
              <w:rPr>
                <w:sz w:val="20"/>
                <w:szCs w:val="20"/>
              </w:rPr>
              <w:t>Goserelin</w:t>
            </w:r>
            <w:proofErr w:type="spellEnd"/>
          </w:p>
        </w:tc>
        <w:tc>
          <w:tcPr>
            <w:tcW w:w="5333" w:type="dxa"/>
            <w:tcBorders>
              <w:top w:val="single" w:sz="4" w:space="0" w:color="auto"/>
            </w:tcBorders>
            <w:vAlign w:val="center"/>
          </w:tcPr>
          <w:p w14:paraId="63B8AD03" w14:textId="10884DC7" w:rsidR="00EC1099" w:rsidRDefault="00EC1099" w:rsidP="00591BF9">
            <w:pPr>
              <w:rPr>
                <w:sz w:val="20"/>
                <w:szCs w:val="20"/>
              </w:rPr>
            </w:pPr>
            <w:r>
              <w:rPr>
                <w:sz w:val="20"/>
                <w:szCs w:val="20"/>
              </w:rPr>
              <w:t>Listed for advanced cancer of the prostate</w:t>
            </w:r>
          </w:p>
        </w:tc>
        <w:tc>
          <w:tcPr>
            <w:tcW w:w="1864" w:type="dxa"/>
            <w:tcBorders>
              <w:top w:val="single" w:sz="4" w:space="0" w:color="auto"/>
            </w:tcBorders>
            <w:vAlign w:val="center"/>
          </w:tcPr>
          <w:p w14:paraId="3ED23836" w14:textId="74E4C462" w:rsidR="00EC1099" w:rsidRDefault="00EC1099" w:rsidP="00591BF9">
            <w:pPr>
              <w:rPr>
                <w:sz w:val="20"/>
                <w:szCs w:val="20"/>
              </w:rPr>
            </w:pPr>
            <w:r>
              <w:rPr>
                <w:sz w:val="20"/>
                <w:szCs w:val="20"/>
              </w:rPr>
              <w:t>1 April 1989</w:t>
            </w:r>
          </w:p>
        </w:tc>
      </w:tr>
      <w:tr w:rsidR="00EC1099" w:rsidRPr="00591BF9" w14:paraId="53819AF3" w14:textId="77777777" w:rsidTr="00B24F90">
        <w:trPr>
          <w:trHeight w:val="255"/>
        </w:trPr>
        <w:tc>
          <w:tcPr>
            <w:tcW w:w="1750" w:type="dxa"/>
            <w:vAlign w:val="center"/>
          </w:tcPr>
          <w:p w14:paraId="32989D75" w14:textId="179B1388" w:rsidR="00EC1099" w:rsidRPr="00591BF9" w:rsidRDefault="00EC1099" w:rsidP="00591BF9">
            <w:pPr>
              <w:rPr>
                <w:sz w:val="20"/>
                <w:szCs w:val="20"/>
              </w:rPr>
            </w:pPr>
            <w:proofErr w:type="spellStart"/>
            <w:r w:rsidRPr="00591BF9">
              <w:rPr>
                <w:sz w:val="20"/>
                <w:szCs w:val="20"/>
              </w:rPr>
              <w:t>Goserelin</w:t>
            </w:r>
            <w:proofErr w:type="spellEnd"/>
          </w:p>
        </w:tc>
        <w:tc>
          <w:tcPr>
            <w:tcW w:w="5333" w:type="dxa"/>
            <w:vAlign w:val="center"/>
          </w:tcPr>
          <w:p w14:paraId="23DD65E0" w14:textId="21FE53A0" w:rsidR="00EC1099" w:rsidRDefault="00EC1099" w:rsidP="00EC1099">
            <w:pPr>
              <w:rPr>
                <w:sz w:val="20"/>
                <w:szCs w:val="20"/>
              </w:rPr>
            </w:pPr>
            <w:r>
              <w:rPr>
                <w:sz w:val="20"/>
                <w:szCs w:val="20"/>
              </w:rPr>
              <w:t>Listed for treatment of premenopausal women with advanced breast cancer</w:t>
            </w:r>
          </w:p>
        </w:tc>
        <w:tc>
          <w:tcPr>
            <w:tcW w:w="1864" w:type="dxa"/>
            <w:vAlign w:val="center"/>
          </w:tcPr>
          <w:p w14:paraId="7F9A0A14" w14:textId="4652A361" w:rsidR="00EC1099" w:rsidRDefault="009F43FE" w:rsidP="00591BF9">
            <w:pPr>
              <w:rPr>
                <w:sz w:val="20"/>
                <w:szCs w:val="20"/>
              </w:rPr>
            </w:pPr>
            <w:r>
              <w:rPr>
                <w:sz w:val="20"/>
                <w:szCs w:val="20"/>
              </w:rPr>
              <w:t>1 August 1993</w:t>
            </w:r>
          </w:p>
        </w:tc>
      </w:tr>
      <w:tr w:rsidR="00591BF9" w:rsidRPr="00591BF9" w14:paraId="60100C88" w14:textId="77777777" w:rsidTr="00B24F90">
        <w:trPr>
          <w:trHeight w:val="255"/>
        </w:trPr>
        <w:tc>
          <w:tcPr>
            <w:tcW w:w="1750" w:type="dxa"/>
            <w:vAlign w:val="center"/>
            <w:hideMark/>
          </w:tcPr>
          <w:p w14:paraId="3F4D91BD" w14:textId="77777777" w:rsidR="00591BF9" w:rsidRPr="00591BF9" w:rsidRDefault="00591BF9" w:rsidP="00591BF9">
            <w:pPr>
              <w:rPr>
                <w:sz w:val="20"/>
                <w:szCs w:val="20"/>
              </w:rPr>
            </w:pPr>
            <w:proofErr w:type="spellStart"/>
            <w:r w:rsidRPr="00591BF9">
              <w:rPr>
                <w:sz w:val="20"/>
                <w:szCs w:val="20"/>
              </w:rPr>
              <w:t>Goserelin</w:t>
            </w:r>
            <w:proofErr w:type="spellEnd"/>
          </w:p>
        </w:tc>
        <w:tc>
          <w:tcPr>
            <w:tcW w:w="5333" w:type="dxa"/>
            <w:vAlign w:val="center"/>
            <w:hideMark/>
          </w:tcPr>
          <w:p w14:paraId="1DDCE03F" w14:textId="3FCD526B" w:rsidR="00591BF9" w:rsidRPr="00591BF9" w:rsidRDefault="00591BF9" w:rsidP="00591BF9">
            <w:pPr>
              <w:rPr>
                <w:sz w:val="20"/>
                <w:szCs w:val="20"/>
              </w:rPr>
            </w:pPr>
            <w:r w:rsidRPr="00591BF9">
              <w:rPr>
                <w:sz w:val="20"/>
                <w:szCs w:val="20"/>
              </w:rPr>
              <w:t>Listed for short-term treatment (up to 6 months) of visually proven endometriosi</w:t>
            </w:r>
            <w:r>
              <w:rPr>
                <w:sz w:val="20"/>
                <w:szCs w:val="20"/>
              </w:rPr>
              <w:t>s.</w:t>
            </w:r>
          </w:p>
        </w:tc>
        <w:tc>
          <w:tcPr>
            <w:tcW w:w="1864" w:type="dxa"/>
            <w:vAlign w:val="center"/>
            <w:hideMark/>
          </w:tcPr>
          <w:p w14:paraId="3D938988" w14:textId="02D2D856" w:rsidR="00591BF9" w:rsidRPr="00591BF9" w:rsidRDefault="009F43FE" w:rsidP="00591BF9">
            <w:pPr>
              <w:rPr>
                <w:sz w:val="20"/>
                <w:szCs w:val="20"/>
              </w:rPr>
            </w:pPr>
            <w:r>
              <w:rPr>
                <w:sz w:val="20"/>
                <w:szCs w:val="20"/>
              </w:rPr>
              <w:t>1 December 1994</w:t>
            </w:r>
          </w:p>
        </w:tc>
      </w:tr>
      <w:tr w:rsidR="00591BF9" w:rsidRPr="00591BF9" w14:paraId="4BE7D3A5" w14:textId="77777777" w:rsidTr="00B24F90">
        <w:trPr>
          <w:trHeight w:val="255"/>
        </w:trPr>
        <w:tc>
          <w:tcPr>
            <w:tcW w:w="1750" w:type="dxa"/>
            <w:vAlign w:val="center"/>
            <w:hideMark/>
          </w:tcPr>
          <w:p w14:paraId="62BDAD59" w14:textId="3F91F2A6" w:rsidR="00591BF9" w:rsidRPr="00591BF9" w:rsidRDefault="00591BF9" w:rsidP="00591BF9">
            <w:pPr>
              <w:rPr>
                <w:sz w:val="20"/>
                <w:szCs w:val="20"/>
              </w:rPr>
            </w:pPr>
            <w:proofErr w:type="spellStart"/>
            <w:r w:rsidRPr="00591BF9">
              <w:rPr>
                <w:sz w:val="20"/>
                <w:szCs w:val="20"/>
              </w:rPr>
              <w:t>Nafarelin</w:t>
            </w:r>
            <w:proofErr w:type="spellEnd"/>
            <w:r w:rsidRPr="00591BF9">
              <w:rPr>
                <w:sz w:val="20"/>
                <w:szCs w:val="20"/>
              </w:rPr>
              <w:t xml:space="preserve"> </w:t>
            </w:r>
          </w:p>
        </w:tc>
        <w:tc>
          <w:tcPr>
            <w:tcW w:w="5333" w:type="dxa"/>
            <w:vAlign w:val="center"/>
            <w:hideMark/>
          </w:tcPr>
          <w:p w14:paraId="21B01769" w14:textId="0052B729" w:rsidR="00591BF9" w:rsidRPr="00591BF9" w:rsidRDefault="00591BF9" w:rsidP="00591BF9">
            <w:pPr>
              <w:rPr>
                <w:sz w:val="20"/>
                <w:szCs w:val="20"/>
              </w:rPr>
            </w:pPr>
            <w:r w:rsidRPr="00591BF9">
              <w:rPr>
                <w:sz w:val="20"/>
                <w:szCs w:val="20"/>
              </w:rPr>
              <w:t>Listed for initial treatment (up to 6 months) of visually proven endometriosis</w:t>
            </w:r>
            <w:r>
              <w:rPr>
                <w:sz w:val="20"/>
                <w:szCs w:val="20"/>
              </w:rPr>
              <w:t>.</w:t>
            </w:r>
          </w:p>
        </w:tc>
        <w:tc>
          <w:tcPr>
            <w:tcW w:w="1864" w:type="dxa"/>
            <w:vAlign w:val="center"/>
          </w:tcPr>
          <w:p w14:paraId="7B7ED615" w14:textId="7C90E2CC" w:rsidR="00591BF9" w:rsidRPr="00591BF9" w:rsidRDefault="00EC1099" w:rsidP="00591BF9">
            <w:pPr>
              <w:rPr>
                <w:sz w:val="20"/>
                <w:szCs w:val="20"/>
              </w:rPr>
            </w:pPr>
            <w:r w:rsidRPr="00EC1099">
              <w:rPr>
                <w:sz w:val="20"/>
                <w:szCs w:val="20"/>
              </w:rPr>
              <w:t>1 October 1994</w:t>
            </w:r>
          </w:p>
        </w:tc>
      </w:tr>
      <w:tr w:rsidR="00591BF9" w:rsidRPr="00591BF9" w14:paraId="2E069B18" w14:textId="77777777" w:rsidTr="00B24F90">
        <w:trPr>
          <w:trHeight w:val="765"/>
        </w:trPr>
        <w:tc>
          <w:tcPr>
            <w:tcW w:w="1750" w:type="dxa"/>
            <w:vAlign w:val="center"/>
            <w:hideMark/>
          </w:tcPr>
          <w:p w14:paraId="17AF5010" w14:textId="1ED187E6" w:rsidR="00591BF9" w:rsidRPr="00591BF9" w:rsidRDefault="00591BF9" w:rsidP="00591BF9">
            <w:pPr>
              <w:rPr>
                <w:sz w:val="20"/>
                <w:szCs w:val="20"/>
              </w:rPr>
            </w:pPr>
            <w:proofErr w:type="spellStart"/>
            <w:r w:rsidRPr="00591BF9">
              <w:rPr>
                <w:sz w:val="20"/>
                <w:szCs w:val="20"/>
              </w:rPr>
              <w:t>Nafarelin</w:t>
            </w:r>
            <w:proofErr w:type="spellEnd"/>
            <w:r w:rsidRPr="00591BF9">
              <w:rPr>
                <w:sz w:val="20"/>
                <w:szCs w:val="20"/>
              </w:rPr>
              <w:t xml:space="preserve"> </w:t>
            </w:r>
          </w:p>
        </w:tc>
        <w:tc>
          <w:tcPr>
            <w:tcW w:w="5333" w:type="dxa"/>
            <w:vAlign w:val="center"/>
            <w:hideMark/>
          </w:tcPr>
          <w:p w14:paraId="3B9F379A" w14:textId="77777777" w:rsidR="00591BF9" w:rsidRPr="00591BF9" w:rsidRDefault="00591BF9" w:rsidP="00591BF9">
            <w:pPr>
              <w:rPr>
                <w:sz w:val="20"/>
                <w:szCs w:val="20"/>
              </w:rPr>
            </w:pPr>
            <w:r w:rsidRPr="00591BF9">
              <w:rPr>
                <w:sz w:val="20"/>
                <w:szCs w:val="20"/>
              </w:rPr>
              <w:t xml:space="preserve">Listed for subsequent treatment (up to 6 months) of visually proven endometriosis, where 2 years or more have elapsed since the end of the previous course and where a recent bone density assessment has been made. </w:t>
            </w:r>
          </w:p>
        </w:tc>
        <w:tc>
          <w:tcPr>
            <w:tcW w:w="1864" w:type="dxa"/>
            <w:vAlign w:val="center"/>
            <w:hideMark/>
          </w:tcPr>
          <w:p w14:paraId="6624D4DA" w14:textId="77777777" w:rsidR="00591BF9" w:rsidRPr="00591BF9" w:rsidRDefault="00591BF9" w:rsidP="00591BF9">
            <w:pPr>
              <w:rPr>
                <w:sz w:val="20"/>
                <w:szCs w:val="20"/>
              </w:rPr>
            </w:pPr>
            <w:r w:rsidRPr="00591BF9">
              <w:rPr>
                <w:sz w:val="20"/>
                <w:szCs w:val="20"/>
              </w:rPr>
              <w:t>1 May 2000</w:t>
            </w:r>
          </w:p>
        </w:tc>
      </w:tr>
      <w:tr w:rsidR="00591BF9" w:rsidRPr="00591BF9" w14:paraId="0FD78DFA" w14:textId="77777777" w:rsidTr="00B24F90">
        <w:trPr>
          <w:trHeight w:val="510"/>
        </w:trPr>
        <w:tc>
          <w:tcPr>
            <w:tcW w:w="1750" w:type="dxa"/>
            <w:vAlign w:val="center"/>
            <w:hideMark/>
          </w:tcPr>
          <w:p w14:paraId="4E78B0C6" w14:textId="77777777" w:rsidR="00591BF9" w:rsidRPr="00591BF9" w:rsidRDefault="00591BF9" w:rsidP="00591BF9">
            <w:pPr>
              <w:rPr>
                <w:sz w:val="20"/>
                <w:szCs w:val="20"/>
              </w:rPr>
            </w:pPr>
            <w:proofErr w:type="spellStart"/>
            <w:r w:rsidRPr="00591BF9">
              <w:rPr>
                <w:sz w:val="20"/>
                <w:szCs w:val="20"/>
              </w:rPr>
              <w:t>Goserelin</w:t>
            </w:r>
            <w:proofErr w:type="spellEnd"/>
          </w:p>
        </w:tc>
        <w:tc>
          <w:tcPr>
            <w:tcW w:w="5333" w:type="dxa"/>
            <w:vAlign w:val="center"/>
            <w:hideMark/>
          </w:tcPr>
          <w:p w14:paraId="07227998" w14:textId="2504D9D9" w:rsidR="00591BF9" w:rsidRPr="00591BF9" w:rsidRDefault="00591BF9" w:rsidP="00591BF9">
            <w:pPr>
              <w:rPr>
                <w:sz w:val="20"/>
                <w:szCs w:val="20"/>
              </w:rPr>
            </w:pPr>
            <w:r w:rsidRPr="00591BF9">
              <w:rPr>
                <w:sz w:val="20"/>
                <w:szCs w:val="20"/>
              </w:rPr>
              <w:t>Listed for locally advanced (equivalent to stage c) or metastatic (equivalent to stage d) carcinoma of the prostate</w:t>
            </w:r>
            <w:r>
              <w:rPr>
                <w:sz w:val="20"/>
                <w:szCs w:val="20"/>
              </w:rPr>
              <w:t>.</w:t>
            </w:r>
          </w:p>
        </w:tc>
        <w:tc>
          <w:tcPr>
            <w:tcW w:w="1864" w:type="dxa"/>
            <w:vAlign w:val="center"/>
            <w:hideMark/>
          </w:tcPr>
          <w:p w14:paraId="509F71A4" w14:textId="77777777" w:rsidR="00591BF9" w:rsidRPr="00591BF9" w:rsidRDefault="00591BF9" w:rsidP="00591BF9">
            <w:pPr>
              <w:rPr>
                <w:sz w:val="20"/>
                <w:szCs w:val="20"/>
              </w:rPr>
            </w:pPr>
            <w:r w:rsidRPr="00591BF9">
              <w:rPr>
                <w:sz w:val="20"/>
                <w:szCs w:val="20"/>
              </w:rPr>
              <w:t>1 February 2004</w:t>
            </w:r>
          </w:p>
        </w:tc>
      </w:tr>
      <w:tr w:rsidR="00591BF9" w:rsidRPr="00591BF9" w14:paraId="0E5BE05D" w14:textId="77777777" w:rsidTr="00B24F90">
        <w:trPr>
          <w:trHeight w:val="510"/>
        </w:trPr>
        <w:tc>
          <w:tcPr>
            <w:tcW w:w="1750" w:type="dxa"/>
            <w:vAlign w:val="center"/>
            <w:hideMark/>
          </w:tcPr>
          <w:p w14:paraId="5B6E6ACA" w14:textId="77777777" w:rsidR="00591BF9" w:rsidRPr="00591BF9" w:rsidRDefault="00591BF9" w:rsidP="00591BF9">
            <w:pPr>
              <w:rPr>
                <w:sz w:val="20"/>
                <w:szCs w:val="20"/>
              </w:rPr>
            </w:pPr>
            <w:proofErr w:type="spellStart"/>
            <w:r w:rsidRPr="00591BF9">
              <w:rPr>
                <w:sz w:val="20"/>
                <w:szCs w:val="20"/>
              </w:rPr>
              <w:t>Goserelin</w:t>
            </w:r>
            <w:proofErr w:type="spellEnd"/>
          </w:p>
        </w:tc>
        <w:tc>
          <w:tcPr>
            <w:tcW w:w="5333" w:type="dxa"/>
            <w:vAlign w:val="center"/>
            <w:hideMark/>
          </w:tcPr>
          <w:p w14:paraId="36039F59" w14:textId="65F42B7A" w:rsidR="00591BF9" w:rsidRPr="00591BF9" w:rsidRDefault="00591BF9" w:rsidP="004467F6">
            <w:pPr>
              <w:rPr>
                <w:sz w:val="20"/>
                <w:szCs w:val="20"/>
              </w:rPr>
            </w:pPr>
            <w:r w:rsidRPr="00591BF9">
              <w:rPr>
                <w:sz w:val="20"/>
                <w:szCs w:val="20"/>
              </w:rPr>
              <w:t xml:space="preserve">Listed for hormone-dependent locally advanced (equivalent to stage </w:t>
            </w:r>
            <w:r w:rsidR="004467F6">
              <w:rPr>
                <w:sz w:val="20"/>
                <w:szCs w:val="20"/>
              </w:rPr>
              <w:t>III</w:t>
            </w:r>
            <w:r w:rsidRPr="00591BF9">
              <w:rPr>
                <w:sz w:val="20"/>
                <w:szCs w:val="20"/>
              </w:rPr>
              <w:t xml:space="preserve">) or metastatic (equivalent to stage </w:t>
            </w:r>
            <w:r w:rsidR="004467F6">
              <w:rPr>
                <w:sz w:val="20"/>
                <w:szCs w:val="20"/>
              </w:rPr>
              <w:t>IV</w:t>
            </w:r>
            <w:r w:rsidRPr="00591BF9">
              <w:rPr>
                <w:sz w:val="20"/>
                <w:szCs w:val="20"/>
              </w:rPr>
              <w:t>) breast cancer in pre-menopausal women</w:t>
            </w:r>
            <w:r>
              <w:rPr>
                <w:sz w:val="20"/>
                <w:szCs w:val="20"/>
              </w:rPr>
              <w:t>.</w:t>
            </w:r>
          </w:p>
        </w:tc>
        <w:tc>
          <w:tcPr>
            <w:tcW w:w="1864" w:type="dxa"/>
            <w:vAlign w:val="center"/>
            <w:hideMark/>
          </w:tcPr>
          <w:p w14:paraId="4404FC9D" w14:textId="77777777" w:rsidR="00591BF9" w:rsidRPr="00591BF9" w:rsidRDefault="00591BF9" w:rsidP="00591BF9">
            <w:pPr>
              <w:rPr>
                <w:sz w:val="20"/>
                <w:szCs w:val="20"/>
              </w:rPr>
            </w:pPr>
            <w:r w:rsidRPr="00591BF9">
              <w:rPr>
                <w:sz w:val="20"/>
                <w:szCs w:val="20"/>
              </w:rPr>
              <w:t>1 February 2004</w:t>
            </w:r>
          </w:p>
        </w:tc>
      </w:tr>
      <w:tr w:rsidR="00591BF9" w:rsidRPr="00591BF9" w14:paraId="0EC812B2" w14:textId="77777777" w:rsidTr="00B24F90">
        <w:trPr>
          <w:trHeight w:val="510"/>
        </w:trPr>
        <w:tc>
          <w:tcPr>
            <w:tcW w:w="1750" w:type="dxa"/>
            <w:vAlign w:val="center"/>
            <w:hideMark/>
          </w:tcPr>
          <w:p w14:paraId="75BB14A4" w14:textId="0E4A0CAC" w:rsidR="00591BF9" w:rsidRPr="00591BF9" w:rsidRDefault="00591BF9" w:rsidP="00591BF9">
            <w:pPr>
              <w:rPr>
                <w:sz w:val="20"/>
                <w:szCs w:val="20"/>
              </w:rPr>
            </w:pPr>
            <w:proofErr w:type="spellStart"/>
            <w:r w:rsidRPr="00591BF9">
              <w:rPr>
                <w:sz w:val="20"/>
                <w:szCs w:val="20"/>
              </w:rPr>
              <w:t>Leuprorelin</w:t>
            </w:r>
            <w:proofErr w:type="spellEnd"/>
            <w:r w:rsidRPr="00591BF9">
              <w:rPr>
                <w:sz w:val="20"/>
                <w:szCs w:val="20"/>
              </w:rPr>
              <w:t xml:space="preserve"> </w:t>
            </w:r>
          </w:p>
        </w:tc>
        <w:tc>
          <w:tcPr>
            <w:tcW w:w="5333" w:type="dxa"/>
            <w:vAlign w:val="center"/>
            <w:hideMark/>
          </w:tcPr>
          <w:p w14:paraId="2513D503" w14:textId="470568CE" w:rsidR="00591BF9" w:rsidRPr="00591BF9" w:rsidRDefault="00591BF9" w:rsidP="00591BF9">
            <w:pPr>
              <w:rPr>
                <w:sz w:val="20"/>
                <w:szCs w:val="20"/>
              </w:rPr>
            </w:pPr>
            <w:r w:rsidRPr="00591BF9">
              <w:rPr>
                <w:sz w:val="20"/>
                <w:szCs w:val="20"/>
              </w:rPr>
              <w:t>Listed for locally advanced (equivalent to stage c) or metastatic (equivalent to stage d) carcinoma of the prostate</w:t>
            </w:r>
            <w:r>
              <w:rPr>
                <w:sz w:val="20"/>
                <w:szCs w:val="20"/>
              </w:rPr>
              <w:t>.</w:t>
            </w:r>
          </w:p>
        </w:tc>
        <w:tc>
          <w:tcPr>
            <w:tcW w:w="1864" w:type="dxa"/>
            <w:vAlign w:val="center"/>
            <w:hideMark/>
          </w:tcPr>
          <w:p w14:paraId="04DF8A44" w14:textId="77777777" w:rsidR="00591BF9" w:rsidRPr="00591BF9" w:rsidRDefault="00591BF9" w:rsidP="00591BF9">
            <w:pPr>
              <w:rPr>
                <w:sz w:val="20"/>
                <w:szCs w:val="20"/>
              </w:rPr>
            </w:pPr>
            <w:r w:rsidRPr="00591BF9">
              <w:rPr>
                <w:sz w:val="20"/>
                <w:szCs w:val="20"/>
              </w:rPr>
              <w:t>1 February 2004</w:t>
            </w:r>
          </w:p>
        </w:tc>
      </w:tr>
      <w:tr w:rsidR="00591BF9" w:rsidRPr="00591BF9" w14:paraId="2BCA5AE0" w14:textId="77777777" w:rsidTr="00B24F90">
        <w:trPr>
          <w:trHeight w:val="510"/>
        </w:trPr>
        <w:tc>
          <w:tcPr>
            <w:tcW w:w="1750" w:type="dxa"/>
            <w:vAlign w:val="center"/>
            <w:hideMark/>
          </w:tcPr>
          <w:p w14:paraId="2C81EEC9" w14:textId="5593ECDC" w:rsidR="00591BF9" w:rsidRPr="00591BF9" w:rsidRDefault="00591BF9" w:rsidP="00591BF9">
            <w:pPr>
              <w:rPr>
                <w:sz w:val="20"/>
                <w:szCs w:val="20"/>
              </w:rPr>
            </w:pPr>
            <w:proofErr w:type="spellStart"/>
            <w:r w:rsidRPr="00591BF9">
              <w:rPr>
                <w:sz w:val="20"/>
                <w:szCs w:val="20"/>
              </w:rPr>
              <w:t>Goserelin</w:t>
            </w:r>
            <w:proofErr w:type="spellEnd"/>
            <w:r w:rsidRPr="00591BF9">
              <w:rPr>
                <w:sz w:val="20"/>
                <w:szCs w:val="20"/>
              </w:rPr>
              <w:t xml:space="preserve"> </w:t>
            </w:r>
          </w:p>
        </w:tc>
        <w:tc>
          <w:tcPr>
            <w:tcW w:w="5333" w:type="dxa"/>
            <w:vAlign w:val="center"/>
            <w:hideMark/>
          </w:tcPr>
          <w:p w14:paraId="0FB270BC" w14:textId="777BCA9D" w:rsidR="00591BF9" w:rsidRPr="00591BF9" w:rsidRDefault="00591BF9" w:rsidP="00591BF9">
            <w:pPr>
              <w:rPr>
                <w:sz w:val="20"/>
                <w:szCs w:val="20"/>
              </w:rPr>
            </w:pPr>
            <w:r w:rsidRPr="00591BF9">
              <w:rPr>
                <w:sz w:val="20"/>
                <w:szCs w:val="20"/>
              </w:rPr>
              <w:t>Listed for locally advanced (equivalent to stage c) or metastatic (equivalent to stage d) carcinoma of the prostate</w:t>
            </w:r>
            <w:r>
              <w:rPr>
                <w:sz w:val="20"/>
                <w:szCs w:val="20"/>
              </w:rPr>
              <w:t>.</w:t>
            </w:r>
          </w:p>
        </w:tc>
        <w:tc>
          <w:tcPr>
            <w:tcW w:w="1864" w:type="dxa"/>
            <w:vAlign w:val="center"/>
            <w:hideMark/>
          </w:tcPr>
          <w:p w14:paraId="4B9B9C5C" w14:textId="77777777" w:rsidR="00591BF9" w:rsidRPr="00591BF9" w:rsidRDefault="00591BF9" w:rsidP="00591BF9">
            <w:pPr>
              <w:rPr>
                <w:sz w:val="20"/>
                <w:szCs w:val="20"/>
              </w:rPr>
            </w:pPr>
            <w:r w:rsidRPr="00591BF9">
              <w:rPr>
                <w:sz w:val="20"/>
                <w:szCs w:val="20"/>
              </w:rPr>
              <w:t>1 February 2004</w:t>
            </w:r>
          </w:p>
        </w:tc>
      </w:tr>
      <w:tr w:rsidR="00591BF9" w:rsidRPr="00591BF9" w14:paraId="1BA55F98" w14:textId="77777777" w:rsidTr="00B24F90">
        <w:trPr>
          <w:trHeight w:val="765"/>
        </w:trPr>
        <w:tc>
          <w:tcPr>
            <w:tcW w:w="1750" w:type="dxa"/>
            <w:vAlign w:val="center"/>
            <w:hideMark/>
          </w:tcPr>
          <w:p w14:paraId="0D0D1AF8" w14:textId="35FD4912" w:rsidR="00591BF9" w:rsidRPr="00591BF9" w:rsidRDefault="00591BF9" w:rsidP="00591BF9">
            <w:pPr>
              <w:rPr>
                <w:sz w:val="20"/>
                <w:szCs w:val="20"/>
              </w:rPr>
            </w:pPr>
            <w:proofErr w:type="spellStart"/>
            <w:r w:rsidRPr="00591BF9">
              <w:rPr>
                <w:sz w:val="20"/>
                <w:szCs w:val="20"/>
              </w:rPr>
              <w:t>Leuprorelin</w:t>
            </w:r>
            <w:proofErr w:type="spellEnd"/>
            <w:r w:rsidRPr="00591BF9">
              <w:rPr>
                <w:sz w:val="20"/>
                <w:szCs w:val="20"/>
              </w:rPr>
              <w:t xml:space="preserve"> </w:t>
            </w:r>
          </w:p>
        </w:tc>
        <w:tc>
          <w:tcPr>
            <w:tcW w:w="5333" w:type="dxa"/>
            <w:vAlign w:val="center"/>
            <w:hideMark/>
          </w:tcPr>
          <w:p w14:paraId="4AD05C88" w14:textId="275D0295" w:rsidR="00591BF9" w:rsidRPr="00591BF9" w:rsidRDefault="00591BF9" w:rsidP="00591BF9">
            <w:pPr>
              <w:rPr>
                <w:sz w:val="20"/>
                <w:szCs w:val="20"/>
              </w:rPr>
            </w:pPr>
            <w:r w:rsidRPr="00591BF9">
              <w:rPr>
                <w:sz w:val="20"/>
                <w:szCs w:val="20"/>
              </w:rPr>
              <w:t>Suspension for subcutaneous injection (modified release), 45 mg injection set (6 monthly) listed for locally advanced (equivalent to stage c) or metastatic (equivalent to stage d) carcinoma of the prostate</w:t>
            </w:r>
            <w:r>
              <w:rPr>
                <w:sz w:val="20"/>
                <w:szCs w:val="20"/>
              </w:rPr>
              <w:t>.</w:t>
            </w:r>
          </w:p>
        </w:tc>
        <w:tc>
          <w:tcPr>
            <w:tcW w:w="1864" w:type="dxa"/>
            <w:vAlign w:val="center"/>
            <w:hideMark/>
          </w:tcPr>
          <w:p w14:paraId="367AAF57" w14:textId="77777777" w:rsidR="00591BF9" w:rsidRPr="00591BF9" w:rsidRDefault="00591BF9" w:rsidP="00591BF9">
            <w:pPr>
              <w:rPr>
                <w:sz w:val="20"/>
                <w:szCs w:val="20"/>
              </w:rPr>
            </w:pPr>
            <w:r w:rsidRPr="00591BF9">
              <w:rPr>
                <w:sz w:val="20"/>
                <w:szCs w:val="20"/>
              </w:rPr>
              <w:t>1 December 2005</w:t>
            </w:r>
          </w:p>
        </w:tc>
      </w:tr>
      <w:tr w:rsidR="00591BF9" w:rsidRPr="00591BF9" w14:paraId="16B1483A" w14:textId="77777777" w:rsidTr="00B24F90">
        <w:trPr>
          <w:trHeight w:val="510"/>
        </w:trPr>
        <w:tc>
          <w:tcPr>
            <w:tcW w:w="1750" w:type="dxa"/>
            <w:vAlign w:val="center"/>
            <w:hideMark/>
          </w:tcPr>
          <w:p w14:paraId="32510C88" w14:textId="106EB143" w:rsidR="00591BF9" w:rsidRPr="00591BF9" w:rsidRDefault="00591BF9" w:rsidP="00591BF9">
            <w:pPr>
              <w:rPr>
                <w:sz w:val="20"/>
                <w:szCs w:val="20"/>
              </w:rPr>
            </w:pPr>
            <w:proofErr w:type="spellStart"/>
            <w:r w:rsidRPr="00591BF9">
              <w:rPr>
                <w:sz w:val="20"/>
                <w:szCs w:val="20"/>
              </w:rPr>
              <w:t>Leuprorelin</w:t>
            </w:r>
            <w:proofErr w:type="spellEnd"/>
            <w:r w:rsidRPr="00591BF9">
              <w:rPr>
                <w:sz w:val="20"/>
                <w:szCs w:val="20"/>
              </w:rPr>
              <w:t xml:space="preserve"> </w:t>
            </w:r>
          </w:p>
        </w:tc>
        <w:tc>
          <w:tcPr>
            <w:tcW w:w="5333" w:type="dxa"/>
            <w:vAlign w:val="center"/>
            <w:hideMark/>
          </w:tcPr>
          <w:p w14:paraId="6A5A8DBA" w14:textId="1D27083E" w:rsidR="00591BF9" w:rsidRPr="00591BF9" w:rsidRDefault="00591BF9" w:rsidP="00591BF9">
            <w:pPr>
              <w:rPr>
                <w:sz w:val="20"/>
                <w:szCs w:val="20"/>
              </w:rPr>
            </w:pPr>
            <w:proofErr w:type="spellStart"/>
            <w:r w:rsidRPr="00591BF9">
              <w:rPr>
                <w:sz w:val="20"/>
                <w:szCs w:val="20"/>
              </w:rPr>
              <w:t>Lucrin</w:t>
            </w:r>
            <w:proofErr w:type="spellEnd"/>
            <w:r w:rsidRPr="00591BF9">
              <w:rPr>
                <w:sz w:val="20"/>
                <w:szCs w:val="20"/>
              </w:rPr>
              <w:t xml:space="preserve"> Depot 7.5 mg, 3 Month and 4 Month listed for locally advanced (equivalent to stage c) or metastatic (equivalent to stage d) carcinoma of the prostate</w:t>
            </w:r>
            <w:r>
              <w:rPr>
                <w:sz w:val="20"/>
                <w:szCs w:val="20"/>
              </w:rPr>
              <w:t>.</w:t>
            </w:r>
          </w:p>
        </w:tc>
        <w:tc>
          <w:tcPr>
            <w:tcW w:w="1864" w:type="dxa"/>
            <w:vAlign w:val="center"/>
            <w:hideMark/>
          </w:tcPr>
          <w:p w14:paraId="2EFC0DFC" w14:textId="77777777" w:rsidR="00591BF9" w:rsidRPr="00591BF9" w:rsidRDefault="00591BF9" w:rsidP="00591BF9">
            <w:pPr>
              <w:rPr>
                <w:sz w:val="20"/>
                <w:szCs w:val="20"/>
              </w:rPr>
            </w:pPr>
            <w:r w:rsidRPr="00591BF9">
              <w:rPr>
                <w:sz w:val="20"/>
                <w:szCs w:val="20"/>
              </w:rPr>
              <w:t>1 February 2006</w:t>
            </w:r>
          </w:p>
        </w:tc>
      </w:tr>
      <w:tr w:rsidR="00475389" w:rsidRPr="00591BF9" w14:paraId="3BF07BAF" w14:textId="77777777" w:rsidTr="00B24F90">
        <w:trPr>
          <w:trHeight w:val="510"/>
        </w:trPr>
        <w:tc>
          <w:tcPr>
            <w:tcW w:w="1750" w:type="dxa"/>
            <w:vAlign w:val="center"/>
          </w:tcPr>
          <w:p w14:paraId="2205ED56" w14:textId="41C95AE8" w:rsidR="00475389" w:rsidRPr="00591BF9" w:rsidRDefault="00475389" w:rsidP="00591BF9">
            <w:pPr>
              <w:rPr>
                <w:sz w:val="20"/>
                <w:szCs w:val="20"/>
              </w:rPr>
            </w:pPr>
            <w:proofErr w:type="spellStart"/>
            <w:r>
              <w:rPr>
                <w:sz w:val="20"/>
                <w:szCs w:val="20"/>
              </w:rPr>
              <w:t>Triptorelin</w:t>
            </w:r>
            <w:proofErr w:type="spellEnd"/>
          </w:p>
        </w:tc>
        <w:tc>
          <w:tcPr>
            <w:tcW w:w="5333" w:type="dxa"/>
            <w:vAlign w:val="center"/>
          </w:tcPr>
          <w:p w14:paraId="586EC778" w14:textId="05A9EC4A" w:rsidR="00475389" w:rsidRPr="00591BF9" w:rsidRDefault="00B24F90" w:rsidP="00B24F90">
            <w:pPr>
              <w:rPr>
                <w:sz w:val="20"/>
                <w:szCs w:val="20"/>
              </w:rPr>
            </w:pPr>
            <w:r>
              <w:rPr>
                <w:sz w:val="20"/>
                <w:szCs w:val="20"/>
              </w:rPr>
              <w:t>One month and three month formulations listed for l</w:t>
            </w:r>
            <w:r w:rsidRPr="00B24F90">
              <w:rPr>
                <w:sz w:val="20"/>
                <w:szCs w:val="20"/>
              </w:rPr>
              <w:t>ocally advanced (equivalent to stage C) or metastatic (equivalent to stage D) carcinoma of the prostate</w:t>
            </w:r>
            <w:r w:rsidR="004E0EC2">
              <w:rPr>
                <w:sz w:val="20"/>
                <w:szCs w:val="20"/>
              </w:rPr>
              <w:t xml:space="preserve"> as Authority Required listings.</w:t>
            </w:r>
          </w:p>
        </w:tc>
        <w:tc>
          <w:tcPr>
            <w:tcW w:w="1864" w:type="dxa"/>
            <w:vAlign w:val="center"/>
          </w:tcPr>
          <w:p w14:paraId="2CE72E85" w14:textId="58F6C134" w:rsidR="00475389" w:rsidRPr="00591BF9" w:rsidRDefault="00B24F90" w:rsidP="00591BF9">
            <w:pPr>
              <w:rPr>
                <w:sz w:val="20"/>
                <w:szCs w:val="20"/>
              </w:rPr>
            </w:pPr>
            <w:r>
              <w:rPr>
                <w:sz w:val="20"/>
                <w:szCs w:val="20"/>
              </w:rPr>
              <w:t>1 February 2009</w:t>
            </w:r>
          </w:p>
        </w:tc>
      </w:tr>
      <w:tr w:rsidR="00591BF9" w:rsidRPr="00591BF9" w14:paraId="61FEA9C8" w14:textId="77777777" w:rsidTr="00B24F90">
        <w:trPr>
          <w:trHeight w:val="510"/>
        </w:trPr>
        <w:tc>
          <w:tcPr>
            <w:tcW w:w="1750" w:type="dxa"/>
            <w:vAlign w:val="center"/>
            <w:hideMark/>
          </w:tcPr>
          <w:p w14:paraId="2A2C9E15" w14:textId="77777777" w:rsidR="00591BF9" w:rsidRPr="00591BF9" w:rsidRDefault="00591BF9" w:rsidP="00591BF9">
            <w:pPr>
              <w:rPr>
                <w:sz w:val="20"/>
                <w:szCs w:val="20"/>
              </w:rPr>
            </w:pPr>
            <w:proofErr w:type="spellStart"/>
            <w:r w:rsidRPr="00591BF9">
              <w:rPr>
                <w:sz w:val="20"/>
                <w:szCs w:val="20"/>
              </w:rPr>
              <w:t>Goserelin</w:t>
            </w:r>
            <w:proofErr w:type="spellEnd"/>
          </w:p>
        </w:tc>
        <w:tc>
          <w:tcPr>
            <w:tcW w:w="5333" w:type="dxa"/>
            <w:vAlign w:val="center"/>
            <w:hideMark/>
          </w:tcPr>
          <w:p w14:paraId="0CB94A46" w14:textId="4FF8FD9A" w:rsidR="00591BF9" w:rsidRPr="00591BF9" w:rsidRDefault="004E0EC2" w:rsidP="00591BF9">
            <w:pPr>
              <w:rPr>
                <w:sz w:val="20"/>
                <w:szCs w:val="20"/>
              </w:rPr>
            </w:pPr>
            <w:r>
              <w:rPr>
                <w:sz w:val="20"/>
                <w:szCs w:val="20"/>
              </w:rPr>
              <w:t xml:space="preserve">Authority Required listing </w:t>
            </w:r>
            <w:r w:rsidR="00591BF9" w:rsidRPr="00591BF9">
              <w:rPr>
                <w:sz w:val="20"/>
                <w:szCs w:val="20"/>
              </w:rPr>
              <w:t>for hormone-dependent breast cancer as an alternative to adjuvant chemotherapy in peri- or pre-menopausal women</w:t>
            </w:r>
            <w:r w:rsidR="00591BF9">
              <w:rPr>
                <w:sz w:val="20"/>
                <w:szCs w:val="20"/>
              </w:rPr>
              <w:t>.</w:t>
            </w:r>
          </w:p>
        </w:tc>
        <w:tc>
          <w:tcPr>
            <w:tcW w:w="1864" w:type="dxa"/>
            <w:vAlign w:val="center"/>
            <w:hideMark/>
          </w:tcPr>
          <w:p w14:paraId="3B630D36" w14:textId="77777777" w:rsidR="00591BF9" w:rsidRPr="00591BF9" w:rsidRDefault="00591BF9" w:rsidP="00591BF9">
            <w:pPr>
              <w:rPr>
                <w:sz w:val="20"/>
                <w:szCs w:val="20"/>
              </w:rPr>
            </w:pPr>
            <w:r w:rsidRPr="00591BF9">
              <w:rPr>
                <w:sz w:val="20"/>
                <w:szCs w:val="20"/>
              </w:rPr>
              <w:t>1 March 2010</w:t>
            </w:r>
          </w:p>
        </w:tc>
      </w:tr>
      <w:tr w:rsidR="00591BF9" w:rsidRPr="00591BF9" w14:paraId="5D4B0FE6" w14:textId="77777777" w:rsidTr="00B24F90">
        <w:trPr>
          <w:trHeight w:val="255"/>
        </w:trPr>
        <w:tc>
          <w:tcPr>
            <w:tcW w:w="1750" w:type="dxa"/>
            <w:vAlign w:val="center"/>
            <w:hideMark/>
          </w:tcPr>
          <w:p w14:paraId="01C43D58" w14:textId="6C85E266" w:rsidR="00591BF9" w:rsidRPr="00591BF9" w:rsidRDefault="00591BF9" w:rsidP="00591BF9">
            <w:pPr>
              <w:rPr>
                <w:sz w:val="20"/>
                <w:szCs w:val="20"/>
              </w:rPr>
            </w:pPr>
            <w:proofErr w:type="spellStart"/>
            <w:r w:rsidRPr="00591BF9">
              <w:rPr>
                <w:sz w:val="20"/>
                <w:szCs w:val="20"/>
              </w:rPr>
              <w:t>Goserelin</w:t>
            </w:r>
            <w:proofErr w:type="spellEnd"/>
            <w:r w:rsidRPr="00591BF9">
              <w:rPr>
                <w:sz w:val="20"/>
                <w:szCs w:val="20"/>
              </w:rPr>
              <w:t xml:space="preserve"> </w:t>
            </w:r>
          </w:p>
        </w:tc>
        <w:tc>
          <w:tcPr>
            <w:tcW w:w="5333" w:type="dxa"/>
            <w:vAlign w:val="center"/>
            <w:hideMark/>
          </w:tcPr>
          <w:p w14:paraId="60720AB8" w14:textId="1C5CFD10" w:rsidR="00591BF9" w:rsidRPr="00591BF9" w:rsidRDefault="00591BF9" w:rsidP="00591BF9">
            <w:pPr>
              <w:rPr>
                <w:sz w:val="20"/>
                <w:szCs w:val="20"/>
              </w:rPr>
            </w:pPr>
            <w:r w:rsidRPr="00591BF9">
              <w:rPr>
                <w:sz w:val="20"/>
                <w:szCs w:val="20"/>
              </w:rPr>
              <w:t>Listing for 10.8 mg implant for prostate cancer changed to Streamlined Authority</w:t>
            </w:r>
            <w:r>
              <w:rPr>
                <w:sz w:val="20"/>
                <w:szCs w:val="20"/>
              </w:rPr>
              <w:t>.</w:t>
            </w:r>
          </w:p>
        </w:tc>
        <w:tc>
          <w:tcPr>
            <w:tcW w:w="1864" w:type="dxa"/>
            <w:vAlign w:val="center"/>
            <w:hideMark/>
          </w:tcPr>
          <w:p w14:paraId="12122611" w14:textId="77777777" w:rsidR="00591BF9" w:rsidRPr="00591BF9" w:rsidRDefault="00591BF9" w:rsidP="00591BF9">
            <w:pPr>
              <w:rPr>
                <w:sz w:val="20"/>
                <w:szCs w:val="20"/>
              </w:rPr>
            </w:pPr>
            <w:r w:rsidRPr="00591BF9">
              <w:rPr>
                <w:sz w:val="20"/>
                <w:szCs w:val="20"/>
              </w:rPr>
              <w:t>1 March 2010</w:t>
            </w:r>
          </w:p>
        </w:tc>
      </w:tr>
      <w:tr w:rsidR="00591BF9" w:rsidRPr="00591BF9" w14:paraId="7451E21B" w14:textId="77777777" w:rsidTr="00B24F90">
        <w:trPr>
          <w:trHeight w:val="255"/>
        </w:trPr>
        <w:tc>
          <w:tcPr>
            <w:tcW w:w="1750" w:type="dxa"/>
            <w:vAlign w:val="center"/>
            <w:hideMark/>
          </w:tcPr>
          <w:p w14:paraId="23ADCD76" w14:textId="498641F4" w:rsidR="00591BF9" w:rsidRPr="00591BF9" w:rsidRDefault="00591BF9" w:rsidP="00591BF9">
            <w:pPr>
              <w:rPr>
                <w:sz w:val="20"/>
                <w:szCs w:val="20"/>
              </w:rPr>
            </w:pPr>
            <w:proofErr w:type="spellStart"/>
            <w:r w:rsidRPr="00591BF9">
              <w:rPr>
                <w:sz w:val="20"/>
                <w:szCs w:val="20"/>
              </w:rPr>
              <w:lastRenderedPageBreak/>
              <w:t>Leuprorelin</w:t>
            </w:r>
            <w:proofErr w:type="spellEnd"/>
            <w:r w:rsidRPr="00591BF9">
              <w:rPr>
                <w:sz w:val="20"/>
                <w:szCs w:val="20"/>
              </w:rPr>
              <w:t xml:space="preserve"> </w:t>
            </w:r>
          </w:p>
        </w:tc>
        <w:tc>
          <w:tcPr>
            <w:tcW w:w="5333" w:type="dxa"/>
            <w:vAlign w:val="center"/>
            <w:hideMark/>
          </w:tcPr>
          <w:p w14:paraId="5DAFF8B7" w14:textId="6AEDDD03" w:rsidR="00591BF9" w:rsidRPr="00591BF9" w:rsidRDefault="00591BF9" w:rsidP="00591BF9">
            <w:pPr>
              <w:rPr>
                <w:sz w:val="20"/>
                <w:szCs w:val="20"/>
              </w:rPr>
            </w:pPr>
            <w:r w:rsidRPr="00591BF9">
              <w:rPr>
                <w:sz w:val="20"/>
                <w:szCs w:val="20"/>
              </w:rPr>
              <w:t xml:space="preserve">Listings for </w:t>
            </w:r>
            <w:proofErr w:type="spellStart"/>
            <w:r w:rsidRPr="00591BF9">
              <w:rPr>
                <w:sz w:val="20"/>
                <w:szCs w:val="20"/>
              </w:rPr>
              <w:t>leuprorelin</w:t>
            </w:r>
            <w:proofErr w:type="spellEnd"/>
            <w:r w:rsidRPr="00591BF9">
              <w:rPr>
                <w:sz w:val="20"/>
                <w:szCs w:val="20"/>
              </w:rPr>
              <w:t xml:space="preserve"> changed to Streamlined Authority</w:t>
            </w:r>
            <w:r>
              <w:rPr>
                <w:sz w:val="20"/>
                <w:szCs w:val="20"/>
              </w:rPr>
              <w:t>.</w:t>
            </w:r>
          </w:p>
        </w:tc>
        <w:tc>
          <w:tcPr>
            <w:tcW w:w="1864" w:type="dxa"/>
            <w:vAlign w:val="center"/>
            <w:hideMark/>
          </w:tcPr>
          <w:p w14:paraId="42E55DF2" w14:textId="77777777" w:rsidR="00591BF9" w:rsidRPr="00591BF9" w:rsidRDefault="00591BF9" w:rsidP="00591BF9">
            <w:pPr>
              <w:rPr>
                <w:sz w:val="20"/>
                <w:szCs w:val="20"/>
              </w:rPr>
            </w:pPr>
            <w:r w:rsidRPr="00591BF9">
              <w:rPr>
                <w:sz w:val="20"/>
                <w:szCs w:val="20"/>
              </w:rPr>
              <w:t>1 April 2010</w:t>
            </w:r>
          </w:p>
        </w:tc>
      </w:tr>
      <w:tr w:rsidR="00B24F90" w:rsidRPr="00591BF9" w14:paraId="04783910" w14:textId="77777777" w:rsidTr="00B24F90">
        <w:trPr>
          <w:trHeight w:val="510"/>
        </w:trPr>
        <w:tc>
          <w:tcPr>
            <w:tcW w:w="1750" w:type="dxa"/>
            <w:vAlign w:val="center"/>
          </w:tcPr>
          <w:p w14:paraId="5568347D" w14:textId="77777777" w:rsidR="00B24F90" w:rsidRPr="00591BF9" w:rsidRDefault="00B24F90" w:rsidP="0097554E">
            <w:pPr>
              <w:rPr>
                <w:sz w:val="20"/>
                <w:szCs w:val="20"/>
              </w:rPr>
            </w:pPr>
            <w:proofErr w:type="spellStart"/>
            <w:r>
              <w:rPr>
                <w:sz w:val="20"/>
                <w:szCs w:val="20"/>
              </w:rPr>
              <w:t>Triptorelin</w:t>
            </w:r>
            <w:proofErr w:type="spellEnd"/>
          </w:p>
        </w:tc>
        <w:tc>
          <w:tcPr>
            <w:tcW w:w="5333" w:type="dxa"/>
            <w:vAlign w:val="center"/>
          </w:tcPr>
          <w:p w14:paraId="19B292A7" w14:textId="6DB10530" w:rsidR="00B24F90" w:rsidRPr="00591BF9" w:rsidRDefault="00B24F90" w:rsidP="0097554E">
            <w:pPr>
              <w:rPr>
                <w:sz w:val="20"/>
                <w:szCs w:val="20"/>
              </w:rPr>
            </w:pPr>
            <w:r>
              <w:rPr>
                <w:sz w:val="20"/>
                <w:szCs w:val="20"/>
              </w:rPr>
              <w:t>Six month formulation listed for l</w:t>
            </w:r>
            <w:r w:rsidRPr="00B24F90">
              <w:rPr>
                <w:sz w:val="20"/>
                <w:szCs w:val="20"/>
              </w:rPr>
              <w:t>ocally advanced (equivalent to stage C) or metastatic (equivalent to stage D) carcinoma of the prostate</w:t>
            </w:r>
            <w:r w:rsidR="00333265">
              <w:rPr>
                <w:sz w:val="20"/>
                <w:szCs w:val="20"/>
              </w:rPr>
              <w:t xml:space="preserve"> as a Streamlined Authority.</w:t>
            </w:r>
          </w:p>
        </w:tc>
        <w:tc>
          <w:tcPr>
            <w:tcW w:w="1864" w:type="dxa"/>
            <w:vAlign w:val="center"/>
          </w:tcPr>
          <w:p w14:paraId="72B0D214" w14:textId="11896D36" w:rsidR="00B24F90" w:rsidRPr="00591BF9" w:rsidRDefault="00B24F90" w:rsidP="00B24F90">
            <w:pPr>
              <w:rPr>
                <w:sz w:val="20"/>
                <w:szCs w:val="20"/>
              </w:rPr>
            </w:pPr>
            <w:r>
              <w:rPr>
                <w:sz w:val="20"/>
                <w:szCs w:val="20"/>
              </w:rPr>
              <w:t>1 November 2010</w:t>
            </w:r>
          </w:p>
        </w:tc>
      </w:tr>
      <w:tr w:rsidR="00591BF9" w:rsidRPr="00591BF9" w14:paraId="40B53063" w14:textId="77777777" w:rsidTr="00B24F90">
        <w:trPr>
          <w:trHeight w:val="510"/>
        </w:trPr>
        <w:tc>
          <w:tcPr>
            <w:tcW w:w="1750" w:type="dxa"/>
            <w:vAlign w:val="center"/>
            <w:hideMark/>
          </w:tcPr>
          <w:p w14:paraId="045C13CF" w14:textId="77777777" w:rsidR="00591BF9" w:rsidRPr="00591BF9" w:rsidRDefault="00591BF9" w:rsidP="00591BF9">
            <w:pPr>
              <w:rPr>
                <w:sz w:val="20"/>
                <w:szCs w:val="20"/>
              </w:rPr>
            </w:pPr>
            <w:proofErr w:type="spellStart"/>
            <w:r w:rsidRPr="00591BF9">
              <w:rPr>
                <w:sz w:val="20"/>
                <w:szCs w:val="20"/>
              </w:rPr>
              <w:t>Goserelin</w:t>
            </w:r>
            <w:proofErr w:type="spellEnd"/>
          </w:p>
        </w:tc>
        <w:tc>
          <w:tcPr>
            <w:tcW w:w="5333" w:type="dxa"/>
            <w:vAlign w:val="center"/>
            <w:hideMark/>
          </w:tcPr>
          <w:p w14:paraId="5B709230" w14:textId="674AF899" w:rsidR="00591BF9" w:rsidRPr="00591BF9" w:rsidRDefault="00591BF9" w:rsidP="00591BF9">
            <w:pPr>
              <w:rPr>
                <w:sz w:val="20"/>
                <w:szCs w:val="20"/>
              </w:rPr>
            </w:pPr>
            <w:r w:rsidRPr="00591BF9">
              <w:rPr>
                <w:sz w:val="20"/>
                <w:szCs w:val="20"/>
              </w:rPr>
              <w:t>Listings for 3.6 mg implant for breast cancer, carcinoma of the prostate and endometriosis became restricted benefits.</w:t>
            </w:r>
          </w:p>
        </w:tc>
        <w:tc>
          <w:tcPr>
            <w:tcW w:w="1864" w:type="dxa"/>
            <w:vAlign w:val="center"/>
            <w:hideMark/>
          </w:tcPr>
          <w:p w14:paraId="08A518CD" w14:textId="77777777" w:rsidR="00591BF9" w:rsidRPr="00591BF9" w:rsidRDefault="00591BF9" w:rsidP="00591BF9">
            <w:pPr>
              <w:rPr>
                <w:sz w:val="20"/>
                <w:szCs w:val="20"/>
              </w:rPr>
            </w:pPr>
            <w:r w:rsidRPr="00591BF9">
              <w:rPr>
                <w:sz w:val="20"/>
                <w:szCs w:val="20"/>
              </w:rPr>
              <w:t>1 May 2015</w:t>
            </w:r>
          </w:p>
        </w:tc>
      </w:tr>
      <w:tr w:rsidR="00591BF9" w:rsidRPr="00591BF9" w14:paraId="61D92B6A" w14:textId="77777777" w:rsidTr="00B24F90">
        <w:trPr>
          <w:trHeight w:val="255"/>
        </w:trPr>
        <w:tc>
          <w:tcPr>
            <w:tcW w:w="1750" w:type="dxa"/>
            <w:vAlign w:val="center"/>
            <w:hideMark/>
          </w:tcPr>
          <w:p w14:paraId="020E1D7C" w14:textId="58BE6BDF" w:rsidR="00591BF9" w:rsidRPr="00591BF9" w:rsidRDefault="00591BF9" w:rsidP="00591BF9">
            <w:pPr>
              <w:rPr>
                <w:sz w:val="20"/>
                <w:szCs w:val="20"/>
              </w:rPr>
            </w:pPr>
            <w:proofErr w:type="spellStart"/>
            <w:r w:rsidRPr="00591BF9">
              <w:rPr>
                <w:sz w:val="20"/>
                <w:szCs w:val="20"/>
              </w:rPr>
              <w:t>Goserelin</w:t>
            </w:r>
            <w:proofErr w:type="spellEnd"/>
            <w:r w:rsidRPr="00591BF9">
              <w:rPr>
                <w:sz w:val="20"/>
                <w:szCs w:val="20"/>
              </w:rPr>
              <w:t xml:space="preserve"> </w:t>
            </w:r>
          </w:p>
        </w:tc>
        <w:tc>
          <w:tcPr>
            <w:tcW w:w="5333" w:type="dxa"/>
            <w:vAlign w:val="center"/>
            <w:hideMark/>
          </w:tcPr>
          <w:p w14:paraId="728DD784" w14:textId="6962FB49" w:rsidR="00591BF9" w:rsidRPr="00591BF9" w:rsidRDefault="00591BF9" w:rsidP="00591BF9">
            <w:pPr>
              <w:rPr>
                <w:sz w:val="20"/>
                <w:szCs w:val="20"/>
              </w:rPr>
            </w:pPr>
            <w:r w:rsidRPr="00591BF9">
              <w:rPr>
                <w:sz w:val="20"/>
                <w:szCs w:val="20"/>
              </w:rPr>
              <w:t>Listing for 10.8 mg implant for carcinoma of the prostate became restricted benefit.</w:t>
            </w:r>
          </w:p>
        </w:tc>
        <w:tc>
          <w:tcPr>
            <w:tcW w:w="1864" w:type="dxa"/>
            <w:vAlign w:val="center"/>
            <w:hideMark/>
          </w:tcPr>
          <w:p w14:paraId="4691C902" w14:textId="77777777" w:rsidR="00591BF9" w:rsidRPr="00591BF9" w:rsidRDefault="00591BF9" w:rsidP="00591BF9">
            <w:pPr>
              <w:rPr>
                <w:sz w:val="20"/>
                <w:szCs w:val="20"/>
              </w:rPr>
            </w:pPr>
            <w:r w:rsidRPr="00591BF9">
              <w:rPr>
                <w:sz w:val="20"/>
                <w:szCs w:val="20"/>
              </w:rPr>
              <w:t>1 May 2015</w:t>
            </w:r>
          </w:p>
        </w:tc>
      </w:tr>
      <w:tr w:rsidR="00591BF9" w:rsidRPr="00591BF9" w14:paraId="2886887E" w14:textId="77777777" w:rsidTr="00B24F90">
        <w:trPr>
          <w:trHeight w:val="255"/>
        </w:trPr>
        <w:tc>
          <w:tcPr>
            <w:tcW w:w="1750" w:type="dxa"/>
            <w:vAlign w:val="center"/>
            <w:hideMark/>
          </w:tcPr>
          <w:p w14:paraId="63636B9B" w14:textId="77777777" w:rsidR="00591BF9" w:rsidRPr="00591BF9" w:rsidRDefault="00591BF9" w:rsidP="00591BF9">
            <w:pPr>
              <w:rPr>
                <w:sz w:val="20"/>
                <w:szCs w:val="20"/>
              </w:rPr>
            </w:pPr>
            <w:proofErr w:type="spellStart"/>
            <w:r w:rsidRPr="00591BF9">
              <w:rPr>
                <w:sz w:val="20"/>
                <w:szCs w:val="20"/>
              </w:rPr>
              <w:t>Leuprorelin</w:t>
            </w:r>
            <w:proofErr w:type="spellEnd"/>
          </w:p>
        </w:tc>
        <w:tc>
          <w:tcPr>
            <w:tcW w:w="5333" w:type="dxa"/>
            <w:vAlign w:val="center"/>
            <w:hideMark/>
          </w:tcPr>
          <w:p w14:paraId="7823FAF0" w14:textId="6BEE0909" w:rsidR="00591BF9" w:rsidRPr="00591BF9" w:rsidRDefault="00EA4500" w:rsidP="00591BF9">
            <w:pPr>
              <w:rPr>
                <w:sz w:val="20"/>
                <w:szCs w:val="20"/>
              </w:rPr>
            </w:pPr>
            <w:r>
              <w:rPr>
                <w:sz w:val="20"/>
                <w:szCs w:val="20"/>
              </w:rPr>
              <w:t>Authority Required listing</w:t>
            </w:r>
            <w:r w:rsidR="00BE4E85">
              <w:rPr>
                <w:sz w:val="20"/>
                <w:szCs w:val="20"/>
              </w:rPr>
              <w:t xml:space="preserve"> </w:t>
            </w:r>
            <w:r w:rsidR="00591BF9" w:rsidRPr="00591BF9">
              <w:rPr>
                <w:sz w:val="20"/>
                <w:szCs w:val="20"/>
              </w:rPr>
              <w:t>for central precocious puberty</w:t>
            </w:r>
            <w:r w:rsidR="00591BF9">
              <w:rPr>
                <w:sz w:val="20"/>
                <w:szCs w:val="20"/>
              </w:rPr>
              <w:t xml:space="preserve">, patients must be </w:t>
            </w:r>
            <w:r w:rsidR="00591BF9" w:rsidRPr="00591BF9">
              <w:rPr>
                <w:sz w:val="20"/>
                <w:szCs w:val="20"/>
              </w:rPr>
              <w:t>under 8 years of age (</w:t>
            </w:r>
            <w:r w:rsidR="001E7C22">
              <w:rPr>
                <w:sz w:val="20"/>
                <w:szCs w:val="20"/>
              </w:rPr>
              <w:t>girls) or 9 years of age (boys).</w:t>
            </w:r>
            <w:r w:rsidR="00163C4A">
              <w:rPr>
                <w:sz w:val="20"/>
                <w:szCs w:val="20"/>
              </w:rPr>
              <w:t xml:space="preserve"> Listing for continuing therapy was listed as a Streamlined Authority.</w:t>
            </w:r>
          </w:p>
        </w:tc>
        <w:tc>
          <w:tcPr>
            <w:tcW w:w="1864" w:type="dxa"/>
            <w:vAlign w:val="center"/>
            <w:hideMark/>
          </w:tcPr>
          <w:p w14:paraId="175EBD08" w14:textId="77777777" w:rsidR="00591BF9" w:rsidRPr="00591BF9" w:rsidRDefault="00591BF9" w:rsidP="00591BF9">
            <w:pPr>
              <w:rPr>
                <w:sz w:val="20"/>
                <w:szCs w:val="20"/>
              </w:rPr>
            </w:pPr>
            <w:r w:rsidRPr="00591BF9">
              <w:rPr>
                <w:sz w:val="20"/>
                <w:szCs w:val="20"/>
              </w:rPr>
              <w:t>1 May 2015</w:t>
            </w:r>
          </w:p>
        </w:tc>
      </w:tr>
      <w:tr w:rsidR="00591BF9" w:rsidRPr="00591BF9" w14:paraId="455265C2" w14:textId="77777777" w:rsidTr="00B24F90">
        <w:trPr>
          <w:trHeight w:val="255"/>
        </w:trPr>
        <w:tc>
          <w:tcPr>
            <w:tcW w:w="1750" w:type="dxa"/>
            <w:vAlign w:val="center"/>
            <w:hideMark/>
          </w:tcPr>
          <w:p w14:paraId="4C2F002C" w14:textId="77777777" w:rsidR="00591BF9" w:rsidRPr="00591BF9" w:rsidRDefault="00591BF9" w:rsidP="00591BF9">
            <w:pPr>
              <w:rPr>
                <w:sz w:val="20"/>
                <w:szCs w:val="20"/>
              </w:rPr>
            </w:pPr>
            <w:proofErr w:type="spellStart"/>
            <w:r w:rsidRPr="00591BF9">
              <w:rPr>
                <w:sz w:val="20"/>
                <w:szCs w:val="20"/>
              </w:rPr>
              <w:t>Goserelin</w:t>
            </w:r>
            <w:proofErr w:type="spellEnd"/>
          </w:p>
        </w:tc>
        <w:tc>
          <w:tcPr>
            <w:tcW w:w="5333" w:type="dxa"/>
            <w:vAlign w:val="center"/>
            <w:hideMark/>
          </w:tcPr>
          <w:p w14:paraId="42266CE1" w14:textId="538B0C11" w:rsidR="00591BF9" w:rsidRPr="00591BF9" w:rsidRDefault="004467F6" w:rsidP="004467F6">
            <w:pPr>
              <w:rPr>
                <w:sz w:val="20"/>
                <w:szCs w:val="20"/>
              </w:rPr>
            </w:pPr>
            <w:r>
              <w:rPr>
                <w:sz w:val="20"/>
                <w:szCs w:val="20"/>
              </w:rPr>
              <w:t xml:space="preserve">Breast cancer restriction simplified, was listed for hormone receptor positive breast cancer in stage III or stage IV, or hormone receptor positive breast cancer as an alternative to adjuvant chemotherapy. </w:t>
            </w:r>
            <w:r w:rsidR="00591BF9" w:rsidRPr="00591BF9">
              <w:rPr>
                <w:sz w:val="20"/>
                <w:szCs w:val="20"/>
              </w:rPr>
              <w:t>Listed for hormone receptor positive</w:t>
            </w:r>
            <w:r w:rsidR="00EC1099">
              <w:rPr>
                <w:sz w:val="20"/>
                <w:szCs w:val="20"/>
              </w:rPr>
              <w:t xml:space="preserve"> breast cancer</w:t>
            </w:r>
            <w:r w:rsidR="00604C76">
              <w:rPr>
                <w:sz w:val="20"/>
                <w:szCs w:val="20"/>
              </w:rPr>
              <w:t xml:space="preserve"> as a Restricted Benefit.</w:t>
            </w:r>
          </w:p>
        </w:tc>
        <w:tc>
          <w:tcPr>
            <w:tcW w:w="1864" w:type="dxa"/>
            <w:vAlign w:val="center"/>
            <w:hideMark/>
          </w:tcPr>
          <w:p w14:paraId="572BC5DC" w14:textId="77777777" w:rsidR="00591BF9" w:rsidRPr="00591BF9" w:rsidRDefault="00591BF9" w:rsidP="00591BF9">
            <w:pPr>
              <w:rPr>
                <w:sz w:val="20"/>
                <w:szCs w:val="20"/>
              </w:rPr>
            </w:pPr>
            <w:r w:rsidRPr="00591BF9">
              <w:rPr>
                <w:sz w:val="20"/>
                <w:szCs w:val="20"/>
              </w:rPr>
              <w:t>1 October 2015</w:t>
            </w:r>
          </w:p>
        </w:tc>
      </w:tr>
      <w:tr w:rsidR="00591BF9" w:rsidRPr="00591BF9" w14:paraId="69550BA8" w14:textId="77777777" w:rsidTr="00B24F90">
        <w:trPr>
          <w:trHeight w:val="765"/>
        </w:trPr>
        <w:tc>
          <w:tcPr>
            <w:tcW w:w="1750" w:type="dxa"/>
            <w:vAlign w:val="center"/>
            <w:hideMark/>
          </w:tcPr>
          <w:p w14:paraId="05169F58" w14:textId="77777777" w:rsidR="00591BF9" w:rsidRPr="00591BF9" w:rsidRDefault="00591BF9" w:rsidP="00591BF9">
            <w:pPr>
              <w:rPr>
                <w:sz w:val="20"/>
                <w:szCs w:val="20"/>
              </w:rPr>
            </w:pPr>
            <w:proofErr w:type="spellStart"/>
            <w:r w:rsidRPr="00591BF9">
              <w:rPr>
                <w:sz w:val="20"/>
                <w:szCs w:val="20"/>
              </w:rPr>
              <w:t>Leuprorelin</w:t>
            </w:r>
            <w:proofErr w:type="spellEnd"/>
          </w:p>
        </w:tc>
        <w:tc>
          <w:tcPr>
            <w:tcW w:w="5333" w:type="dxa"/>
            <w:vAlign w:val="center"/>
            <w:hideMark/>
          </w:tcPr>
          <w:p w14:paraId="4FEB9A9B" w14:textId="24EBCA78" w:rsidR="00591BF9" w:rsidRPr="00591BF9" w:rsidRDefault="0085640B" w:rsidP="00163C4A">
            <w:pPr>
              <w:rPr>
                <w:sz w:val="20"/>
                <w:szCs w:val="20"/>
              </w:rPr>
            </w:pPr>
            <w:r>
              <w:rPr>
                <w:sz w:val="20"/>
                <w:szCs w:val="20"/>
              </w:rPr>
              <w:t>Authority Required l</w:t>
            </w:r>
            <w:r w:rsidR="00591BF9" w:rsidRPr="00591BF9">
              <w:rPr>
                <w:sz w:val="20"/>
                <w:szCs w:val="20"/>
              </w:rPr>
              <w:t>isting for central precocious puberty altered, patients must now be aged 10 years or younger (girls) or 11 years or younger (boys) rather than under 8 years of age (girls) or 9 years of age (boys); added grandfather listing.</w:t>
            </w:r>
            <w:r w:rsidR="00163C4A">
              <w:rPr>
                <w:sz w:val="20"/>
                <w:szCs w:val="20"/>
              </w:rPr>
              <w:t xml:space="preserve"> Listing for continuing therapy remains a Streamlined Authority.</w:t>
            </w:r>
          </w:p>
        </w:tc>
        <w:tc>
          <w:tcPr>
            <w:tcW w:w="1864" w:type="dxa"/>
            <w:vAlign w:val="center"/>
            <w:hideMark/>
          </w:tcPr>
          <w:p w14:paraId="1C970986" w14:textId="77777777" w:rsidR="00591BF9" w:rsidRPr="00591BF9" w:rsidRDefault="00591BF9" w:rsidP="00591BF9">
            <w:pPr>
              <w:rPr>
                <w:sz w:val="20"/>
                <w:szCs w:val="20"/>
              </w:rPr>
            </w:pPr>
            <w:r w:rsidRPr="00591BF9">
              <w:rPr>
                <w:sz w:val="20"/>
                <w:szCs w:val="20"/>
              </w:rPr>
              <w:t>1 December 2015</w:t>
            </w:r>
          </w:p>
        </w:tc>
      </w:tr>
      <w:tr w:rsidR="00591BF9" w:rsidRPr="00591BF9" w14:paraId="4B8130D8" w14:textId="77777777" w:rsidTr="00B24F90">
        <w:trPr>
          <w:trHeight w:val="510"/>
        </w:trPr>
        <w:tc>
          <w:tcPr>
            <w:tcW w:w="1750" w:type="dxa"/>
            <w:vAlign w:val="center"/>
            <w:hideMark/>
          </w:tcPr>
          <w:p w14:paraId="7EAD0BC9" w14:textId="77777777" w:rsidR="00591BF9" w:rsidRPr="00591BF9" w:rsidRDefault="00591BF9" w:rsidP="00591BF9">
            <w:pPr>
              <w:rPr>
                <w:sz w:val="20"/>
                <w:szCs w:val="20"/>
              </w:rPr>
            </w:pPr>
            <w:proofErr w:type="spellStart"/>
            <w:r w:rsidRPr="00591BF9">
              <w:rPr>
                <w:sz w:val="20"/>
                <w:szCs w:val="20"/>
              </w:rPr>
              <w:t>Leuprorelin</w:t>
            </w:r>
            <w:proofErr w:type="spellEnd"/>
          </w:p>
        </w:tc>
        <w:tc>
          <w:tcPr>
            <w:tcW w:w="5333" w:type="dxa"/>
            <w:vAlign w:val="center"/>
            <w:hideMark/>
          </w:tcPr>
          <w:p w14:paraId="4FAA2377" w14:textId="361C0E89" w:rsidR="00591BF9" w:rsidRPr="00591BF9" w:rsidRDefault="00210051" w:rsidP="001C3C93">
            <w:pPr>
              <w:rPr>
                <w:sz w:val="20"/>
                <w:szCs w:val="20"/>
              </w:rPr>
            </w:pPr>
            <w:r>
              <w:rPr>
                <w:sz w:val="20"/>
                <w:szCs w:val="20"/>
              </w:rPr>
              <w:t>Streamlined Authority</w:t>
            </w:r>
            <w:r w:rsidR="001C3C93">
              <w:rPr>
                <w:sz w:val="20"/>
                <w:szCs w:val="20"/>
              </w:rPr>
              <w:t xml:space="preserve"> listing of </w:t>
            </w:r>
            <w:proofErr w:type="spellStart"/>
            <w:r w:rsidR="00591BF9" w:rsidRPr="00591BF9">
              <w:rPr>
                <w:sz w:val="20"/>
                <w:szCs w:val="20"/>
              </w:rPr>
              <w:t>Lucrin</w:t>
            </w:r>
            <w:proofErr w:type="spellEnd"/>
            <w:r w:rsidR="00591BF9" w:rsidRPr="00591BF9">
              <w:rPr>
                <w:sz w:val="20"/>
                <w:szCs w:val="20"/>
              </w:rPr>
              <w:t xml:space="preserve"> 6 month depot for locally advanced (stage c) or metastatic (stage d) carcinoma of the prostate</w:t>
            </w:r>
            <w:r w:rsidR="00591BF9">
              <w:rPr>
                <w:sz w:val="20"/>
                <w:szCs w:val="20"/>
              </w:rPr>
              <w:t>.</w:t>
            </w:r>
          </w:p>
        </w:tc>
        <w:tc>
          <w:tcPr>
            <w:tcW w:w="1864" w:type="dxa"/>
            <w:vAlign w:val="center"/>
            <w:hideMark/>
          </w:tcPr>
          <w:p w14:paraId="4D1F7967" w14:textId="77777777" w:rsidR="00591BF9" w:rsidRPr="00591BF9" w:rsidRDefault="00591BF9" w:rsidP="00591BF9">
            <w:pPr>
              <w:rPr>
                <w:sz w:val="20"/>
                <w:szCs w:val="20"/>
              </w:rPr>
            </w:pPr>
            <w:r w:rsidRPr="00591BF9">
              <w:rPr>
                <w:sz w:val="20"/>
                <w:szCs w:val="20"/>
              </w:rPr>
              <w:t>1 March 2016</w:t>
            </w:r>
          </w:p>
        </w:tc>
      </w:tr>
      <w:tr w:rsidR="00591BF9" w:rsidRPr="00591BF9" w14:paraId="3BAE1988" w14:textId="77777777" w:rsidTr="00B24F90">
        <w:trPr>
          <w:trHeight w:val="255"/>
        </w:trPr>
        <w:tc>
          <w:tcPr>
            <w:tcW w:w="1750" w:type="dxa"/>
            <w:vAlign w:val="center"/>
            <w:hideMark/>
          </w:tcPr>
          <w:p w14:paraId="363BB2CC" w14:textId="30D953D6" w:rsidR="00591BF9" w:rsidRPr="00591BF9" w:rsidRDefault="00591BF9" w:rsidP="00591BF9">
            <w:pPr>
              <w:rPr>
                <w:sz w:val="20"/>
                <w:szCs w:val="20"/>
              </w:rPr>
            </w:pPr>
            <w:proofErr w:type="spellStart"/>
            <w:r w:rsidRPr="00591BF9">
              <w:rPr>
                <w:sz w:val="20"/>
                <w:szCs w:val="20"/>
              </w:rPr>
              <w:t>Nafarelin</w:t>
            </w:r>
            <w:proofErr w:type="spellEnd"/>
            <w:r w:rsidRPr="00591BF9">
              <w:rPr>
                <w:sz w:val="20"/>
                <w:szCs w:val="20"/>
              </w:rPr>
              <w:t xml:space="preserve"> </w:t>
            </w:r>
          </w:p>
        </w:tc>
        <w:tc>
          <w:tcPr>
            <w:tcW w:w="5333" w:type="dxa"/>
            <w:vAlign w:val="center"/>
            <w:hideMark/>
          </w:tcPr>
          <w:p w14:paraId="2B471E44" w14:textId="33F20393" w:rsidR="00591BF9" w:rsidRPr="00591BF9" w:rsidRDefault="00591BF9" w:rsidP="00591BF9">
            <w:pPr>
              <w:rPr>
                <w:sz w:val="20"/>
                <w:szCs w:val="20"/>
              </w:rPr>
            </w:pPr>
            <w:r w:rsidRPr="00591BF9">
              <w:rPr>
                <w:sz w:val="20"/>
                <w:szCs w:val="20"/>
              </w:rPr>
              <w:t>Listings for endometriosis became restricted benefits</w:t>
            </w:r>
            <w:r>
              <w:rPr>
                <w:sz w:val="20"/>
                <w:szCs w:val="20"/>
              </w:rPr>
              <w:t>.</w:t>
            </w:r>
          </w:p>
        </w:tc>
        <w:tc>
          <w:tcPr>
            <w:tcW w:w="1864" w:type="dxa"/>
            <w:vAlign w:val="center"/>
            <w:hideMark/>
          </w:tcPr>
          <w:p w14:paraId="6260EE98" w14:textId="77777777" w:rsidR="00591BF9" w:rsidRPr="00591BF9" w:rsidRDefault="00591BF9" w:rsidP="00591BF9">
            <w:pPr>
              <w:rPr>
                <w:sz w:val="20"/>
                <w:szCs w:val="20"/>
              </w:rPr>
            </w:pPr>
            <w:r w:rsidRPr="00591BF9">
              <w:rPr>
                <w:sz w:val="20"/>
                <w:szCs w:val="20"/>
              </w:rPr>
              <w:t>1 October 2016</w:t>
            </w:r>
          </w:p>
        </w:tc>
      </w:tr>
      <w:tr w:rsidR="00591BF9" w:rsidRPr="00591BF9" w14:paraId="10D7EE33" w14:textId="77777777" w:rsidTr="00B24F90">
        <w:trPr>
          <w:trHeight w:val="510"/>
        </w:trPr>
        <w:tc>
          <w:tcPr>
            <w:tcW w:w="1750" w:type="dxa"/>
            <w:vAlign w:val="center"/>
            <w:hideMark/>
          </w:tcPr>
          <w:p w14:paraId="211647DB" w14:textId="5AB20ABF" w:rsidR="00591BF9" w:rsidRPr="00591BF9" w:rsidRDefault="00591BF9" w:rsidP="00591BF9">
            <w:pPr>
              <w:rPr>
                <w:sz w:val="20"/>
                <w:szCs w:val="20"/>
              </w:rPr>
            </w:pPr>
            <w:proofErr w:type="spellStart"/>
            <w:r w:rsidRPr="00591BF9">
              <w:rPr>
                <w:sz w:val="20"/>
                <w:szCs w:val="20"/>
              </w:rPr>
              <w:t>Leuprorelin</w:t>
            </w:r>
            <w:proofErr w:type="spellEnd"/>
            <w:r w:rsidRPr="00591BF9">
              <w:rPr>
                <w:sz w:val="20"/>
                <w:szCs w:val="20"/>
              </w:rPr>
              <w:t xml:space="preserve"> </w:t>
            </w:r>
          </w:p>
        </w:tc>
        <w:tc>
          <w:tcPr>
            <w:tcW w:w="5333" w:type="dxa"/>
            <w:vAlign w:val="center"/>
            <w:hideMark/>
          </w:tcPr>
          <w:p w14:paraId="6ECF610A" w14:textId="293E3400" w:rsidR="00591BF9" w:rsidRPr="00591BF9" w:rsidRDefault="00591BF9" w:rsidP="00450B92">
            <w:pPr>
              <w:rPr>
                <w:sz w:val="20"/>
                <w:szCs w:val="20"/>
              </w:rPr>
            </w:pPr>
            <w:r w:rsidRPr="00591BF9">
              <w:rPr>
                <w:sz w:val="20"/>
                <w:szCs w:val="20"/>
              </w:rPr>
              <w:t>Listings for carcinoma of the prostate</w:t>
            </w:r>
            <w:r w:rsidR="00BD251D">
              <w:rPr>
                <w:sz w:val="20"/>
                <w:szCs w:val="20"/>
              </w:rPr>
              <w:t xml:space="preserve"> and</w:t>
            </w:r>
            <w:r w:rsidRPr="00591BF9">
              <w:rPr>
                <w:sz w:val="20"/>
                <w:szCs w:val="20"/>
              </w:rPr>
              <w:t xml:space="preserve"> CPP became restricted benefits.</w:t>
            </w:r>
          </w:p>
        </w:tc>
        <w:tc>
          <w:tcPr>
            <w:tcW w:w="1864" w:type="dxa"/>
            <w:vAlign w:val="center"/>
            <w:hideMark/>
          </w:tcPr>
          <w:p w14:paraId="24CABD96" w14:textId="77777777" w:rsidR="00591BF9" w:rsidRPr="00591BF9" w:rsidRDefault="00591BF9" w:rsidP="00591BF9">
            <w:pPr>
              <w:rPr>
                <w:sz w:val="20"/>
                <w:szCs w:val="20"/>
              </w:rPr>
            </w:pPr>
            <w:r w:rsidRPr="00591BF9">
              <w:rPr>
                <w:sz w:val="20"/>
                <w:szCs w:val="20"/>
              </w:rPr>
              <w:t>1 October 2016</w:t>
            </w:r>
          </w:p>
        </w:tc>
      </w:tr>
      <w:tr w:rsidR="00873C74" w:rsidRPr="00591BF9" w14:paraId="5A2DCCCA" w14:textId="77777777" w:rsidTr="00B24F90">
        <w:trPr>
          <w:trHeight w:val="510"/>
        </w:trPr>
        <w:tc>
          <w:tcPr>
            <w:tcW w:w="1750" w:type="dxa"/>
            <w:vAlign w:val="center"/>
          </w:tcPr>
          <w:p w14:paraId="58FB667C" w14:textId="3EE9089F" w:rsidR="00873C74" w:rsidRPr="00591BF9" w:rsidRDefault="00873C74" w:rsidP="00591BF9">
            <w:pPr>
              <w:rPr>
                <w:sz w:val="20"/>
                <w:szCs w:val="20"/>
              </w:rPr>
            </w:pPr>
            <w:proofErr w:type="spellStart"/>
            <w:r>
              <w:rPr>
                <w:sz w:val="20"/>
                <w:szCs w:val="20"/>
              </w:rPr>
              <w:t>Triptorelin</w:t>
            </w:r>
            <w:proofErr w:type="spellEnd"/>
          </w:p>
        </w:tc>
        <w:tc>
          <w:tcPr>
            <w:tcW w:w="5333" w:type="dxa"/>
            <w:vAlign w:val="center"/>
          </w:tcPr>
          <w:p w14:paraId="3F979517" w14:textId="1AE2ED4B" w:rsidR="00873C74" w:rsidRPr="00591BF9" w:rsidRDefault="00873C74" w:rsidP="00591BF9">
            <w:pPr>
              <w:rPr>
                <w:sz w:val="20"/>
                <w:szCs w:val="20"/>
              </w:rPr>
            </w:pPr>
            <w:r w:rsidRPr="00873C74">
              <w:rPr>
                <w:sz w:val="20"/>
                <w:szCs w:val="20"/>
              </w:rPr>
              <w:t>Locally advanced (stage C) or metastatic (stage D) carcinoma of the prostate</w:t>
            </w:r>
            <w:r>
              <w:rPr>
                <w:sz w:val="20"/>
                <w:szCs w:val="20"/>
              </w:rPr>
              <w:t xml:space="preserve"> </w:t>
            </w:r>
            <w:r w:rsidRPr="00591BF9">
              <w:rPr>
                <w:sz w:val="20"/>
                <w:szCs w:val="20"/>
              </w:rPr>
              <w:t>became restricted benefits.</w:t>
            </w:r>
          </w:p>
        </w:tc>
        <w:tc>
          <w:tcPr>
            <w:tcW w:w="1864" w:type="dxa"/>
            <w:vAlign w:val="center"/>
          </w:tcPr>
          <w:p w14:paraId="353F585E" w14:textId="0A186EB5" w:rsidR="00873C74" w:rsidRPr="00591BF9" w:rsidRDefault="00873C74" w:rsidP="00591BF9">
            <w:pPr>
              <w:rPr>
                <w:sz w:val="20"/>
                <w:szCs w:val="20"/>
              </w:rPr>
            </w:pPr>
            <w:r w:rsidRPr="00591BF9">
              <w:rPr>
                <w:sz w:val="20"/>
                <w:szCs w:val="20"/>
              </w:rPr>
              <w:t>1 October 2016</w:t>
            </w:r>
          </w:p>
        </w:tc>
      </w:tr>
      <w:tr w:rsidR="00591BF9" w:rsidRPr="00591BF9" w14:paraId="59CD638E" w14:textId="77777777" w:rsidTr="00B24F90">
        <w:trPr>
          <w:trHeight w:val="510"/>
        </w:trPr>
        <w:tc>
          <w:tcPr>
            <w:tcW w:w="1750" w:type="dxa"/>
            <w:vAlign w:val="center"/>
            <w:hideMark/>
          </w:tcPr>
          <w:p w14:paraId="46D9D1AD" w14:textId="77777777" w:rsidR="00591BF9" w:rsidRPr="00591BF9" w:rsidRDefault="00591BF9" w:rsidP="00591BF9">
            <w:pPr>
              <w:rPr>
                <w:sz w:val="20"/>
                <w:szCs w:val="20"/>
              </w:rPr>
            </w:pPr>
            <w:proofErr w:type="spellStart"/>
            <w:r w:rsidRPr="00591BF9">
              <w:rPr>
                <w:sz w:val="20"/>
                <w:szCs w:val="20"/>
              </w:rPr>
              <w:t>Leuprorelin</w:t>
            </w:r>
            <w:proofErr w:type="spellEnd"/>
            <w:r w:rsidRPr="00591BF9">
              <w:rPr>
                <w:sz w:val="20"/>
                <w:szCs w:val="20"/>
              </w:rPr>
              <w:t xml:space="preserve"> and </w:t>
            </w:r>
            <w:proofErr w:type="spellStart"/>
            <w:r w:rsidRPr="00591BF9">
              <w:rPr>
                <w:sz w:val="20"/>
                <w:szCs w:val="20"/>
              </w:rPr>
              <w:t>bicalutamide</w:t>
            </w:r>
            <w:proofErr w:type="spellEnd"/>
          </w:p>
        </w:tc>
        <w:tc>
          <w:tcPr>
            <w:tcW w:w="5333" w:type="dxa"/>
            <w:vAlign w:val="center"/>
            <w:hideMark/>
          </w:tcPr>
          <w:p w14:paraId="2D4DA7B3" w14:textId="40465BD3" w:rsidR="00591BF9" w:rsidRPr="00591BF9" w:rsidRDefault="00591BF9" w:rsidP="00591BF9">
            <w:pPr>
              <w:rPr>
                <w:sz w:val="20"/>
                <w:szCs w:val="20"/>
              </w:rPr>
            </w:pPr>
            <w:r w:rsidRPr="00591BF9">
              <w:rPr>
                <w:sz w:val="20"/>
                <w:szCs w:val="20"/>
              </w:rPr>
              <w:t>Liste</w:t>
            </w:r>
            <w:r>
              <w:rPr>
                <w:sz w:val="20"/>
                <w:szCs w:val="20"/>
              </w:rPr>
              <w:t>d for carcinoma of the prostate</w:t>
            </w:r>
            <w:r w:rsidR="00826EB6">
              <w:rPr>
                <w:sz w:val="20"/>
                <w:szCs w:val="20"/>
              </w:rPr>
              <w:t xml:space="preserve"> as a Restricted Benefit.</w:t>
            </w:r>
          </w:p>
        </w:tc>
        <w:tc>
          <w:tcPr>
            <w:tcW w:w="1864" w:type="dxa"/>
            <w:vAlign w:val="center"/>
            <w:hideMark/>
          </w:tcPr>
          <w:p w14:paraId="17274D4E" w14:textId="77777777" w:rsidR="00591BF9" w:rsidRPr="00591BF9" w:rsidRDefault="00591BF9" w:rsidP="00591BF9">
            <w:pPr>
              <w:rPr>
                <w:sz w:val="20"/>
                <w:szCs w:val="20"/>
              </w:rPr>
            </w:pPr>
            <w:r w:rsidRPr="00591BF9">
              <w:rPr>
                <w:sz w:val="20"/>
                <w:szCs w:val="20"/>
              </w:rPr>
              <w:t>1 December 2016</w:t>
            </w:r>
          </w:p>
        </w:tc>
      </w:tr>
      <w:tr w:rsidR="00591BF9" w:rsidRPr="00591BF9" w14:paraId="67E07BB8" w14:textId="77777777" w:rsidTr="00B24F90">
        <w:trPr>
          <w:trHeight w:val="255"/>
        </w:trPr>
        <w:tc>
          <w:tcPr>
            <w:tcW w:w="1750" w:type="dxa"/>
            <w:vAlign w:val="center"/>
            <w:hideMark/>
          </w:tcPr>
          <w:p w14:paraId="37711D99" w14:textId="77777777" w:rsidR="00591BF9" w:rsidRPr="00591BF9" w:rsidRDefault="00591BF9" w:rsidP="00591BF9">
            <w:pPr>
              <w:rPr>
                <w:sz w:val="20"/>
                <w:szCs w:val="20"/>
              </w:rPr>
            </w:pPr>
            <w:proofErr w:type="spellStart"/>
            <w:r w:rsidRPr="00591BF9">
              <w:rPr>
                <w:sz w:val="20"/>
                <w:szCs w:val="20"/>
              </w:rPr>
              <w:t>Goserelin</w:t>
            </w:r>
            <w:proofErr w:type="spellEnd"/>
          </w:p>
        </w:tc>
        <w:tc>
          <w:tcPr>
            <w:tcW w:w="5333" w:type="dxa"/>
            <w:vAlign w:val="center"/>
            <w:hideMark/>
          </w:tcPr>
          <w:p w14:paraId="0989365A" w14:textId="123F4DCF" w:rsidR="00591BF9" w:rsidRPr="00591BF9" w:rsidRDefault="00591BF9" w:rsidP="00591BF9">
            <w:pPr>
              <w:rPr>
                <w:sz w:val="20"/>
                <w:szCs w:val="20"/>
              </w:rPr>
            </w:pPr>
            <w:r w:rsidRPr="00591BF9">
              <w:rPr>
                <w:sz w:val="20"/>
                <w:szCs w:val="20"/>
              </w:rPr>
              <w:t>Listed for antici</w:t>
            </w:r>
            <w:r>
              <w:rPr>
                <w:sz w:val="20"/>
                <w:szCs w:val="20"/>
              </w:rPr>
              <w:t>pated premature ovarian failure</w:t>
            </w:r>
            <w:r w:rsidR="0051563E">
              <w:rPr>
                <w:sz w:val="20"/>
                <w:szCs w:val="20"/>
              </w:rPr>
              <w:t xml:space="preserve"> as a Restricted Benefit.</w:t>
            </w:r>
          </w:p>
        </w:tc>
        <w:tc>
          <w:tcPr>
            <w:tcW w:w="1864" w:type="dxa"/>
            <w:vAlign w:val="center"/>
            <w:hideMark/>
          </w:tcPr>
          <w:p w14:paraId="6FF6BDE9" w14:textId="77777777" w:rsidR="00591BF9" w:rsidRPr="00591BF9" w:rsidRDefault="00591BF9" w:rsidP="00591BF9">
            <w:pPr>
              <w:rPr>
                <w:sz w:val="20"/>
                <w:szCs w:val="20"/>
              </w:rPr>
            </w:pPr>
            <w:r w:rsidRPr="00591BF9">
              <w:rPr>
                <w:sz w:val="20"/>
                <w:szCs w:val="20"/>
              </w:rPr>
              <w:t>1 December 2017</w:t>
            </w:r>
          </w:p>
        </w:tc>
      </w:tr>
    </w:tbl>
    <w:p w14:paraId="512178C3" w14:textId="77777777" w:rsidR="00591BF9" w:rsidRDefault="00591BF9" w:rsidP="00BF544D"/>
    <w:p w14:paraId="64C94A85" w14:textId="70142D79" w:rsidR="00BF544D" w:rsidRPr="002F61CA" w:rsidDel="00EE2BBB" w:rsidRDefault="00BF544D" w:rsidP="00BF544D">
      <w:r w:rsidRPr="002F61CA" w:rsidDel="00EE2BBB">
        <w:t xml:space="preserve">Current PBS listing details are available from </w:t>
      </w:r>
      <w:r w:rsidDel="00EE2BBB">
        <w:t xml:space="preserve">the </w:t>
      </w:r>
      <w:hyperlink r:id="rId13" w:history="1">
        <w:r w:rsidRPr="00645D51" w:rsidDel="00EE2BBB">
          <w:rPr>
            <w:rStyle w:val="Hyperlink"/>
          </w:rPr>
          <w:t>PBS website</w:t>
        </w:r>
      </w:hyperlink>
      <w:r w:rsidDel="00EE2BBB">
        <w:t>.</w:t>
      </w:r>
    </w:p>
    <w:p w14:paraId="383E312E" w14:textId="724CF700"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14:paraId="6369993B" w14:textId="0D698C40" w:rsidR="000A1FDF" w:rsidRDefault="00B96FBD" w:rsidP="0004785B">
      <w:r w:rsidRPr="00773785">
        <w:t xml:space="preserve">At its December 2014 special meeting, the PBAC recommended that </w:t>
      </w:r>
      <w:proofErr w:type="spellStart"/>
      <w:r w:rsidRPr="00773785">
        <w:t>g</w:t>
      </w:r>
      <w:r w:rsidR="000A1FDF" w:rsidRPr="00773785">
        <w:t>os</w:t>
      </w:r>
      <w:r w:rsidR="00110BD0">
        <w:t>e</w:t>
      </w:r>
      <w:r w:rsidR="000A1FDF" w:rsidRPr="00773785">
        <w:t>relin</w:t>
      </w:r>
      <w:proofErr w:type="spellEnd"/>
      <w:r w:rsidR="000A1FDF" w:rsidRPr="00773785">
        <w:t xml:space="preserve"> </w:t>
      </w:r>
      <w:r w:rsidRPr="00773785">
        <w:t xml:space="preserve">be listed as a </w:t>
      </w:r>
      <w:r w:rsidR="004467F6" w:rsidRPr="00773785">
        <w:t>restricted benefit</w:t>
      </w:r>
      <w:r w:rsidRPr="00773785">
        <w:t>.</w:t>
      </w:r>
      <w:r w:rsidR="00773785" w:rsidRPr="00773785">
        <w:rPr>
          <w:rStyle w:val="FootnoteReference"/>
        </w:rPr>
        <w:footnoteReference w:id="8"/>
      </w:r>
    </w:p>
    <w:p w14:paraId="16B5DDF2" w14:textId="096E92A0" w:rsidR="0004785B" w:rsidRDefault="001479B3" w:rsidP="0004785B">
      <w:r>
        <w:t xml:space="preserve">At its </w:t>
      </w:r>
      <w:r w:rsidR="00897FC9">
        <w:t>March 2016 meeting, the</w:t>
      </w:r>
      <w:r w:rsidR="0004785B">
        <w:t xml:space="preserve"> PBAC recommended amending the current PBS listings for intramuscular injection </w:t>
      </w:r>
      <w:proofErr w:type="spellStart"/>
      <w:r w:rsidR="0004785B">
        <w:t>leuprorelin</w:t>
      </w:r>
      <w:proofErr w:type="spellEnd"/>
      <w:r w:rsidR="0004785B">
        <w:t xml:space="preserve"> (</w:t>
      </w:r>
      <w:proofErr w:type="spellStart"/>
      <w:r w:rsidR="0004785B">
        <w:t>Lucrin</w:t>
      </w:r>
      <w:proofErr w:type="spellEnd"/>
      <w:r w:rsidR="0004785B">
        <w:t xml:space="preserve">) for the treatment of locally advanced (stage C) </w:t>
      </w:r>
      <w:r w:rsidR="0004785B">
        <w:lastRenderedPageBreak/>
        <w:t xml:space="preserve">or metastatic (stage D) carcinoma of the prostate and CPP, from Authority Required and Authority Required (STREAMLINED) to Restricted Benefit, for consistency with </w:t>
      </w:r>
      <w:proofErr w:type="spellStart"/>
      <w:r w:rsidR="0004785B">
        <w:t>goserelin</w:t>
      </w:r>
      <w:proofErr w:type="spellEnd"/>
      <w:r w:rsidR="0004785B">
        <w:t xml:space="preserve">. </w:t>
      </w:r>
    </w:p>
    <w:p w14:paraId="76FE4961" w14:textId="1BEE36A2" w:rsidR="0004785B" w:rsidRDefault="0004785B" w:rsidP="0004785B">
      <w:r>
        <w:t xml:space="preserve">The PBAC noted that the </w:t>
      </w:r>
      <w:proofErr w:type="spellStart"/>
      <w:r>
        <w:t>goserelin</w:t>
      </w:r>
      <w:proofErr w:type="spellEnd"/>
      <w:r>
        <w:t xml:space="preserve"> PBS listing was altered from Authority Required to Restricted Benefit on 1 May 2015</w:t>
      </w:r>
      <w:r w:rsidR="00C54E0A">
        <w:t xml:space="preserve"> as part of the Post Market Review of Authority Required PBS listings </w:t>
      </w:r>
      <w:r>
        <w:t>for the following indications: carcinoma of the prostate, endometriosis and breast cancer</w:t>
      </w:r>
      <w:r w:rsidR="00C54E0A">
        <w:t>.</w:t>
      </w:r>
      <w:r>
        <w:t xml:space="preserve"> The PBAC considered that as </w:t>
      </w:r>
      <w:proofErr w:type="spellStart"/>
      <w:r>
        <w:t>leuprorelin</w:t>
      </w:r>
      <w:proofErr w:type="spellEnd"/>
      <w:r>
        <w:t xml:space="preserve"> is in the same class as </w:t>
      </w:r>
      <w:proofErr w:type="spellStart"/>
      <w:r>
        <w:t>goserelin</w:t>
      </w:r>
      <w:proofErr w:type="spellEnd"/>
      <w:r>
        <w:t xml:space="preserve"> (</w:t>
      </w:r>
      <w:proofErr w:type="spellStart"/>
      <w:r>
        <w:t>GnRH</w:t>
      </w:r>
      <w:proofErr w:type="spellEnd"/>
      <w:r>
        <w:t xml:space="preserve"> agonist), </w:t>
      </w:r>
      <w:r w:rsidR="009A65CF">
        <w:t xml:space="preserve">changing its listing from </w:t>
      </w:r>
      <w:r>
        <w:t>Authority Required (STREAMLINED) to Restricted Benefit would ensure consistency between the two drugs.</w:t>
      </w:r>
    </w:p>
    <w:p w14:paraId="1006C584" w14:textId="67CF1B47" w:rsidR="000C6FDE" w:rsidRDefault="00042E03" w:rsidP="00042E03">
      <w:r>
        <w:t xml:space="preserve">As requested by the sponsor, the PBAC recommended amending the current PBS listings for intramuscular injection </w:t>
      </w:r>
      <w:proofErr w:type="spellStart"/>
      <w:r>
        <w:t>leuprorelin</w:t>
      </w:r>
      <w:proofErr w:type="spellEnd"/>
      <w:r>
        <w:t xml:space="preserve"> (</w:t>
      </w:r>
      <w:proofErr w:type="spellStart"/>
      <w:r>
        <w:t>Lucrin</w:t>
      </w:r>
      <w:proofErr w:type="spellEnd"/>
      <w:r>
        <w:t xml:space="preserve">) for the treatment of locally advanced (stage C) or metastatic (stage D) carcinoma of the prostate, and </w:t>
      </w:r>
      <w:r w:rsidR="002B654E">
        <w:t>C</w:t>
      </w:r>
      <w:r>
        <w:t>PP, from Authority Required to Restricted Benefit</w:t>
      </w:r>
      <w:r w:rsidR="00A364A4">
        <w:t xml:space="preserve">. </w:t>
      </w:r>
      <w:r>
        <w:t>The PBAC noted this amendment would ensure consistency with</w:t>
      </w:r>
      <w:r w:rsidR="00A364A4">
        <w:t xml:space="preserve"> the restriction level for</w:t>
      </w:r>
      <w:r>
        <w:t xml:space="preserve"> </w:t>
      </w:r>
      <w:proofErr w:type="spellStart"/>
      <w:r>
        <w:t>goserelin</w:t>
      </w:r>
      <w:proofErr w:type="spellEnd"/>
      <w:r>
        <w:t xml:space="preserve">. As a flow on from this recommendation for </w:t>
      </w:r>
      <w:proofErr w:type="spellStart"/>
      <w:r>
        <w:t>leuprorelin</w:t>
      </w:r>
      <w:proofErr w:type="spellEnd"/>
      <w:r>
        <w:t>, the PBAC also recommended</w:t>
      </w:r>
      <w:r w:rsidR="00A364A4">
        <w:t xml:space="preserve"> that</w:t>
      </w:r>
      <w:r>
        <w:t xml:space="preserve"> </w:t>
      </w:r>
      <w:proofErr w:type="spellStart"/>
      <w:r>
        <w:t>triptorelin</w:t>
      </w:r>
      <w:proofErr w:type="spellEnd"/>
      <w:r>
        <w:t xml:space="preserve"> for the treatment of locally advanced (stage C) or metastatic (stage D) carcinoma of the prostate and the nasal spray </w:t>
      </w:r>
      <w:r w:rsidR="00A364A4">
        <w:t xml:space="preserve">presentations </w:t>
      </w:r>
      <w:r>
        <w:t xml:space="preserve">of </w:t>
      </w:r>
      <w:proofErr w:type="spellStart"/>
      <w:r>
        <w:t>nafarelin</w:t>
      </w:r>
      <w:proofErr w:type="spellEnd"/>
      <w:r>
        <w:t xml:space="preserve"> for endometriosis be amended from Authority Required to Restricted Benefit.</w:t>
      </w:r>
    </w:p>
    <w:p w14:paraId="70539E18" w14:textId="7EAB19CD" w:rsidR="00D94863" w:rsidRPr="00F65F0D" w:rsidRDefault="00D94863" w:rsidP="00042E03">
      <w:r>
        <w:t xml:space="preserve">For further details refer to </w:t>
      </w:r>
      <w:r w:rsidRPr="00F65F0D">
        <w:t xml:space="preserve">the </w:t>
      </w:r>
      <w:hyperlink r:id="rId14" w:history="1">
        <w:r w:rsidRPr="000C6FDE">
          <w:rPr>
            <w:rStyle w:val="Hyperlink"/>
          </w:rPr>
          <w:t>Public Summary Document</w:t>
        </w:r>
      </w:hyperlink>
      <w:r>
        <w:t xml:space="preserve"> </w:t>
      </w:r>
      <w:r w:rsidRPr="00F65F0D">
        <w:t xml:space="preserve">from the </w:t>
      </w:r>
      <w:r w:rsidR="000C6FDE">
        <w:t>March 2016</w:t>
      </w:r>
      <w:r>
        <w:t xml:space="preserve"> PBAC meeting.</w:t>
      </w:r>
    </w:p>
    <w:p w14:paraId="0312FFEC" w14:textId="5C6A9662" w:rsidR="00E677DD" w:rsidRPr="005E22C2" w:rsidRDefault="00E677DD" w:rsidP="00CF5E22">
      <w:pPr>
        <w:pStyle w:val="Heading1"/>
      </w:pPr>
      <w:r w:rsidRPr="005E22C2">
        <w:t>Method</w:t>
      </w:r>
      <w:r w:rsidR="001B5D37" w:rsidRPr="005E22C2">
        <w:t>s</w:t>
      </w:r>
    </w:p>
    <w:p w14:paraId="0FE7B480" w14:textId="78FA513A" w:rsidR="001C3A42" w:rsidRDefault="001C3A42" w:rsidP="001C3A42">
      <w:r>
        <w:t xml:space="preserve">PBS prescription data for products containing </w:t>
      </w:r>
      <w:proofErr w:type="spellStart"/>
      <w:r>
        <w:t>goserelin</w:t>
      </w:r>
      <w:proofErr w:type="spellEnd"/>
      <w:r>
        <w:t xml:space="preserve">, </w:t>
      </w:r>
      <w:proofErr w:type="spellStart"/>
      <w:r>
        <w:t>leuprorelin</w:t>
      </w:r>
      <w:proofErr w:type="spellEnd"/>
      <w:r>
        <w:t xml:space="preserve">, </w:t>
      </w:r>
      <w:proofErr w:type="spellStart"/>
      <w:r>
        <w:t>nafarelin</w:t>
      </w:r>
      <w:proofErr w:type="spellEnd"/>
      <w:r>
        <w:t xml:space="preserve"> and </w:t>
      </w:r>
      <w:proofErr w:type="spellStart"/>
      <w:r>
        <w:t>triptorelin</w:t>
      </w:r>
      <w:proofErr w:type="spellEnd"/>
      <w:r>
        <w:t xml:space="preserve"> dispensed from 1 January 2014 to 31 December 2018 were extracted from the DHS PBS prescription database. </w:t>
      </w:r>
      <w:r w:rsidR="006405D5">
        <w:t>These</w:t>
      </w:r>
      <w:r>
        <w:t xml:space="preserve"> data were used to determine the number of prescriptions supplied and the number of incident and prevalent patients. They were also used to analyse patient demographics and length of treatment.</w:t>
      </w:r>
    </w:p>
    <w:p w14:paraId="0712D9D5" w14:textId="75C1331F" w:rsidR="00524D13" w:rsidRDefault="00E7594B" w:rsidP="00524D13">
      <w:r>
        <w:t>As this analysis use</w:t>
      </w:r>
      <w:r w:rsidR="00332654">
        <w:t>d</w:t>
      </w:r>
      <w:r>
        <w:t xml:space="preserve"> date of supply </w:t>
      </w:r>
      <w:r w:rsidR="005E085C">
        <w:t xml:space="preserve">prescription </w:t>
      </w:r>
      <w:r>
        <w:t>data, there may be small differences compared with publicly available Department of Human Services (DHS) Medicare date of processing data.</w:t>
      </w:r>
      <w:r w:rsidR="00576B18">
        <w:rPr>
          <w:rStyle w:val="FootnoteReference"/>
        </w:rPr>
        <w:footnoteReference w:id="9"/>
      </w:r>
      <w:r w:rsidR="006405D5">
        <w:t xml:space="preserve"> </w:t>
      </w:r>
      <w:r w:rsidR="0090691F">
        <w:t xml:space="preserve">The </w:t>
      </w:r>
      <w:r w:rsidR="00AC5054">
        <w:t xml:space="preserve">publicly available </w:t>
      </w:r>
      <w:r w:rsidR="0090691F">
        <w:t xml:space="preserve">DHS Medicare data </w:t>
      </w:r>
      <w:r w:rsidR="008E3F8C">
        <w:t xml:space="preserve">only </w:t>
      </w:r>
      <w:r w:rsidR="0090691F">
        <w:t xml:space="preserve">includes </w:t>
      </w:r>
      <w:r w:rsidR="00524D13">
        <w:t xml:space="preserve">subsidised R/PBS prescriptions </w:t>
      </w:r>
      <w:r w:rsidR="008E3F8C">
        <w:t xml:space="preserve">with prescriptions </w:t>
      </w:r>
      <w:r w:rsidR="00524D13">
        <w:t xml:space="preserve">under </w:t>
      </w:r>
      <w:r w:rsidR="00DD29A3">
        <w:t xml:space="preserve">the </w:t>
      </w:r>
      <w:r w:rsidR="00524D13">
        <w:t xml:space="preserve">patient co-payment </w:t>
      </w:r>
      <w:r w:rsidR="008E3F8C">
        <w:t>not included</w:t>
      </w:r>
      <w:r w:rsidR="00524D13">
        <w:t>.</w:t>
      </w:r>
      <w:r w:rsidR="00DD29A3">
        <w:t xml:space="preserve">  </w:t>
      </w:r>
    </w:p>
    <w:p w14:paraId="72088596" w14:textId="6A22E85E" w:rsidR="00CC35E7" w:rsidRPr="00CC35E7" w:rsidRDefault="00D530E0" w:rsidP="00524D13">
      <w:pPr>
        <w:rPr>
          <w:u w:val="single"/>
        </w:rPr>
      </w:pPr>
      <w:r>
        <w:rPr>
          <w:u w:val="single"/>
        </w:rPr>
        <w:t>Determination of gender</w:t>
      </w:r>
    </w:p>
    <w:p w14:paraId="465066E3" w14:textId="3F19C339" w:rsidR="00CC35E7" w:rsidRDefault="00CC35E7" w:rsidP="00524D13">
      <w:r>
        <w:t xml:space="preserve">Of the </w:t>
      </w:r>
      <w:r w:rsidR="00B87C51" w:rsidRPr="004C1DC3">
        <w:t>93</w:t>
      </w:r>
      <w:r w:rsidR="00B87C51">
        <w:t>,</w:t>
      </w:r>
      <w:r w:rsidR="00B87C51" w:rsidRPr="004C1DC3">
        <w:t>102</w:t>
      </w:r>
      <w:r w:rsidR="00B87C51">
        <w:t xml:space="preserve"> </w:t>
      </w:r>
      <w:r w:rsidR="00D530E0">
        <w:t>patients in the five</w:t>
      </w:r>
      <w:r>
        <w:t xml:space="preserve"> year data set, 1</w:t>
      </w:r>
      <w:r w:rsidR="00B87C51">
        <w:t>6</w:t>
      </w:r>
      <w:r>
        <w:t xml:space="preserve"> were excluded because their gen</w:t>
      </w:r>
      <w:r w:rsidR="00B87C51">
        <w:t>der was not recorded</w:t>
      </w:r>
      <w:r w:rsidR="00D530E0">
        <w:t xml:space="preserve"> on any prescription</w:t>
      </w:r>
      <w:r>
        <w:t xml:space="preserve"> or could not</w:t>
      </w:r>
      <w:r w:rsidR="00B87C51">
        <w:t xml:space="preserve"> be </w:t>
      </w:r>
      <w:r w:rsidR="00512219">
        <w:t xml:space="preserve">reliably </w:t>
      </w:r>
      <w:r w:rsidR="00B87C51">
        <w:t>determined from the data</w:t>
      </w:r>
      <w:r>
        <w:t xml:space="preserve">. </w:t>
      </w:r>
      <w:r w:rsidR="00D530E0">
        <w:t xml:space="preserve">Patients who were recorded as </w:t>
      </w:r>
      <w:r w:rsidR="00B8452D">
        <w:t xml:space="preserve">being both </w:t>
      </w:r>
      <w:r w:rsidR="00D530E0">
        <w:t>male and female</w:t>
      </w:r>
      <w:r>
        <w:t xml:space="preserve"> </w:t>
      </w:r>
      <w:r w:rsidR="00B8452D">
        <w:t xml:space="preserve">in the claims records </w:t>
      </w:r>
      <w:r>
        <w:t xml:space="preserve">may be due to </w:t>
      </w:r>
      <w:r w:rsidR="00676A25">
        <w:t xml:space="preserve">a Medicare number belonging to a different family member on the same Medicare card being recorded against a prescription. </w:t>
      </w:r>
      <w:r>
        <w:t xml:space="preserve">The </w:t>
      </w:r>
      <w:r w:rsidR="007943D7">
        <w:t xml:space="preserve">analysis </w:t>
      </w:r>
      <w:r>
        <w:t>data</w:t>
      </w:r>
      <w:r w:rsidR="007943D7">
        <w:t>set</w:t>
      </w:r>
      <w:r>
        <w:t xml:space="preserve"> includ</w:t>
      </w:r>
      <w:r w:rsidR="00B87C51">
        <w:t xml:space="preserve">ed 21,204 patients </w:t>
      </w:r>
      <w:bookmarkStart w:id="2" w:name="_GoBack"/>
      <w:r w:rsidR="00B87C51">
        <w:t>who were determined to be female and 71,882 who were determined to be male</w:t>
      </w:r>
      <w:r>
        <w:t>.</w:t>
      </w:r>
    </w:p>
    <w:bookmarkEnd w:id="2"/>
    <w:p w14:paraId="2D815E68" w14:textId="3BE5D6A6" w:rsidR="00CC35E7" w:rsidRDefault="00D530E0" w:rsidP="00524D13">
      <w:pPr>
        <w:rPr>
          <w:u w:val="single"/>
        </w:rPr>
      </w:pPr>
      <w:r>
        <w:rPr>
          <w:u w:val="single"/>
        </w:rPr>
        <w:lastRenderedPageBreak/>
        <w:t>Determination of</w:t>
      </w:r>
      <w:r w:rsidR="00CC35E7" w:rsidRPr="00CC35E7">
        <w:rPr>
          <w:u w:val="single"/>
        </w:rPr>
        <w:t xml:space="preserve"> indication</w:t>
      </w:r>
    </w:p>
    <w:p w14:paraId="4AD43BAC" w14:textId="037DE401" w:rsidR="001C3A42" w:rsidRDefault="00B87C51" w:rsidP="008E762C">
      <w:r>
        <w:t>In female patients</w:t>
      </w:r>
      <w:r w:rsidR="00F979BA">
        <w:t>,</w:t>
      </w:r>
      <w:r>
        <w:t xml:space="preserve"> </w:t>
      </w:r>
      <w:proofErr w:type="spellStart"/>
      <w:r>
        <w:t>GnRH</w:t>
      </w:r>
      <w:proofErr w:type="spellEnd"/>
      <w:r>
        <w:t xml:space="preserve"> agonists are used </w:t>
      </w:r>
      <w:r w:rsidR="00DA74AB">
        <w:t>to treat</w:t>
      </w:r>
      <w:r>
        <w:t xml:space="preserve"> endometriosi</w:t>
      </w:r>
      <w:r w:rsidR="00DA74AB">
        <w:t xml:space="preserve">s, premenopausal breast cancer </w:t>
      </w:r>
      <w:r>
        <w:t xml:space="preserve">and premature ovarian failure. </w:t>
      </w:r>
      <w:r w:rsidR="008E04E9">
        <w:t xml:space="preserve">A small number of female patients are supplied </w:t>
      </w:r>
      <w:proofErr w:type="spellStart"/>
      <w:r w:rsidR="008E04E9">
        <w:t>leuprorelin</w:t>
      </w:r>
      <w:proofErr w:type="spellEnd"/>
      <w:r w:rsidR="008E04E9">
        <w:t xml:space="preserve"> for CPP. </w:t>
      </w:r>
      <w:r w:rsidR="00D530E0">
        <w:t>The number of prescriptions supplied, the number of incident and prevalent patients</w:t>
      </w:r>
      <w:r w:rsidR="001C3A42">
        <w:t xml:space="preserve"> </w:t>
      </w:r>
      <w:r w:rsidR="00D530E0">
        <w:t xml:space="preserve">and patient demographics were analysed using all </w:t>
      </w:r>
      <w:r w:rsidR="001C3A42">
        <w:t>prescriptions supplied to the 21,204 patients who were determined to be female.</w:t>
      </w:r>
      <w:r w:rsidR="008E762C">
        <w:t xml:space="preserve"> These prescriptions included small numbers of </w:t>
      </w:r>
      <w:proofErr w:type="spellStart"/>
      <w:r w:rsidR="008E762C">
        <w:t>leuprorelin</w:t>
      </w:r>
      <w:proofErr w:type="spellEnd"/>
      <w:r w:rsidR="008E762C">
        <w:t xml:space="preserve"> and </w:t>
      </w:r>
      <w:proofErr w:type="spellStart"/>
      <w:r w:rsidR="008E762C">
        <w:t>triptorelin</w:t>
      </w:r>
      <w:proofErr w:type="spellEnd"/>
      <w:r w:rsidR="008E762C">
        <w:t xml:space="preserve"> prescriptions.</w:t>
      </w:r>
    </w:p>
    <w:p w14:paraId="3691CD4E" w14:textId="5B3A6AE7" w:rsidR="00492D5C" w:rsidRDefault="00492D5C" w:rsidP="00492D5C">
      <w:r>
        <w:t xml:space="preserve">The length of treatment for breast cancer and endometriosis was analysed in a subset of the patients determined to be female. As </w:t>
      </w:r>
      <w:proofErr w:type="spellStart"/>
      <w:r>
        <w:t>goserelin</w:t>
      </w:r>
      <w:proofErr w:type="spellEnd"/>
      <w:r>
        <w:t xml:space="preserve"> is a Restricted Benefit Listing with multiple indications, to identify patients who may have been treated for breast cancer, additional prescriptions were extracted for chemotherapy medicines used to treat breast cancer. Patients were included in the breast cancer cohort if they were treated with a chemotherapy used to treat breast cancer </w:t>
      </w:r>
      <w:r w:rsidR="001134CB">
        <w:t xml:space="preserve">between 1 January 2013 and 31 December 2018, </w:t>
      </w:r>
      <w:r>
        <w:t xml:space="preserve">and were prescribed a </w:t>
      </w:r>
      <w:proofErr w:type="spellStart"/>
      <w:r>
        <w:t>GnRH</w:t>
      </w:r>
      <w:proofErr w:type="spellEnd"/>
      <w:r>
        <w:t xml:space="preserve"> agonist by an oncologist. A list of chemotherapy medicines and prescriber types used to categorise patients </w:t>
      </w:r>
      <w:r w:rsidR="001134CB">
        <w:t>as</w:t>
      </w:r>
      <w:r>
        <w:t xml:space="preserve"> having breast cancer </w:t>
      </w:r>
      <w:r w:rsidR="001134CB">
        <w:t xml:space="preserve">can be found in </w:t>
      </w:r>
      <w:r>
        <w:t>Appendix B.</w:t>
      </w:r>
    </w:p>
    <w:p w14:paraId="0040F57C" w14:textId="23913F8F" w:rsidR="00492D5C" w:rsidRDefault="00492D5C" w:rsidP="00492D5C">
      <w:r>
        <w:t xml:space="preserve">Patients were included in the endometriosis cohort if they were not treated with chemotherapy medicine relevant to the treatment of breast cancer, were not prescribed a </w:t>
      </w:r>
      <w:proofErr w:type="spellStart"/>
      <w:r>
        <w:t>GnRH</w:t>
      </w:r>
      <w:proofErr w:type="spellEnd"/>
      <w:r>
        <w:t xml:space="preserve"> agonist by an o</w:t>
      </w:r>
      <w:r w:rsidR="001134CB">
        <w:t>ncologist, and were prescribed</w:t>
      </w:r>
      <w:r>
        <w:t xml:space="preserve"> </w:t>
      </w:r>
      <w:proofErr w:type="spellStart"/>
      <w:r>
        <w:t>GnRH</w:t>
      </w:r>
      <w:proofErr w:type="spellEnd"/>
      <w:r>
        <w:t xml:space="preserve"> agonist</w:t>
      </w:r>
      <w:r w:rsidR="001134CB">
        <w:t>s</w:t>
      </w:r>
      <w:r>
        <w:t xml:space="preserve"> by a </w:t>
      </w:r>
      <w:r w:rsidR="00946640" w:rsidRPr="009C7C68">
        <w:t>gyn</w:t>
      </w:r>
      <w:r w:rsidR="00946640">
        <w:t>a</w:t>
      </w:r>
      <w:r w:rsidR="00946640" w:rsidRPr="009C7C68">
        <w:t xml:space="preserve">ecologist </w:t>
      </w:r>
      <w:r>
        <w:t>or obstetrician</w:t>
      </w:r>
      <w:r w:rsidR="001134CB">
        <w:t xml:space="preserve"> more times than a GP</w:t>
      </w:r>
      <w:r>
        <w:t>.</w:t>
      </w:r>
    </w:p>
    <w:p w14:paraId="41D2E947" w14:textId="50B93B17" w:rsidR="00492D5C" w:rsidRDefault="00492D5C" w:rsidP="008E762C">
      <w:r>
        <w:t>In male patients</w:t>
      </w:r>
      <w:r w:rsidR="00F979BA">
        <w:t>,</w:t>
      </w:r>
      <w:r>
        <w:t xml:space="preserve"> </w:t>
      </w:r>
      <w:proofErr w:type="spellStart"/>
      <w:r>
        <w:t>GnRH</w:t>
      </w:r>
      <w:proofErr w:type="spellEnd"/>
      <w:r>
        <w:t xml:space="preserve"> agonists are used to treat prostate cancer. </w:t>
      </w:r>
      <w:r w:rsidR="00BE7D45">
        <w:t xml:space="preserve">A small number of male patients are supplied </w:t>
      </w:r>
      <w:proofErr w:type="spellStart"/>
      <w:r w:rsidR="00BE7D45">
        <w:t>leuprorelin</w:t>
      </w:r>
      <w:proofErr w:type="spellEnd"/>
      <w:r w:rsidR="00BE7D45">
        <w:t xml:space="preserve"> for CPP. </w:t>
      </w:r>
      <w:r>
        <w:t xml:space="preserve">All prescriptions supplied to the </w:t>
      </w:r>
      <w:r w:rsidRPr="00EC433E">
        <w:t>71,882</w:t>
      </w:r>
      <w:r>
        <w:t xml:space="preserve"> patients who were determined to be male </w:t>
      </w:r>
      <w:r w:rsidR="00F979BA">
        <w:t xml:space="preserve">were </w:t>
      </w:r>
      <w:r>
        <w:t>analysed together</w:t>
      </w:r>
      <w:r w:rsidR="00253F39">
        <w:t>.</w:t>
      </w:r>
      <w:r>
        <w:t xml:space="preserve"> </w:t>
      </w:r>
    </w:p>
    <w:p w14:paraId="6C5234C1" w14:textId="7F5D8561" w:rsidR="00676A25" w:rsidRPr="00EA2CBC" w:rsidRDefault="00676A25" w:rsidP="008E762C">
      <w:pPr>
        <w:rPr>
          <w:u w:val="single"/>
        </w:rPr>
      </w:pPr>
      <w:r w:rsidRPr="00EA2CBC">
        <w:rPr>
          <w:u w:val="single"/>
        </w:rPr>
        <w:t>Length of treatment analyses</w:t>
      </w:r>
    </w:p>
    <w:p w14:paraId="39937E98" w14:textId="3D3A050E" w:rsidR="00676A25" w:rsidRDefault="00676A25" w:rsidP="00492D5C">
      <w:r>
        <w:t xml:space="preserve">The Kaplan Meier method was used to determine the length of treatment for different indications and medicines. As the </w:t>
      </w:r>
      <w:proofErr w:type="spellStart"/>
      <w:r>
        <w:t>GnRH</w:t>
      </w:r>
      <w:proofErr w:type="spellEnd"/>
      <w:r>
        <w:t xml:space="preserve"> agonists are supplied as implants which are effective from between one and six months and have different resupply times, </w:t>
      </w:r>
      <w:r w:rsidR="00492D5C">
        <w:t>the standard coverage days (SCD) was calculated as the median for each</w:t>
      </w:r>
      <w:r w:rsidR="001134CB">
        <w:t xml:space="preserve"> PBS</w:t>
      </w:r>
      <w:r w:rsidR="00492D5C">
        <w:t xml:space="preserve"> item code in each analysis. Breaks</w:t>
      </w:r>
      <w:r w:rsidR="00D37A0A">
        <w:t xml:space="preserve"> in therapy</w:t>
      </w:r>
      <w:r w:rsidR="00492D5C">
        <w:t xml:space="preserve"> and censoring were determined using 3</w:t>
      </w:r>
      <w:r w:rsidR="00492D5C">
        <w:rPr>
          <w:rFonts w:cstheme="minorHAnsi"/>
        </w:rPr>
        <w:t>×</w:t>
      </w:r>
      <w:r w:rsidR="00492D5C">
        <w:t>SCD for the previously supplied medicine. Patients were censored if they were considered to be continuing on treatment, i.e. if they had a supply of a medicine within 3</w:t>
      </w:r>
      <w:r w:rsidR="00492D5C">
        <w:rPr>
          <w:rFonts w:cstheme="minorHAnsi"/>
        </w:rPr>
        <w:t>×</w:t>
      </w:r>
      <w:r w:rsidR="00492D5C">
        <w:t xml:space="preserve">SCD from the end </w:t>
      </w:r>
      <w:r w:rsidR="00D37A0A">
        <w:t>date for the analysis period</w:t>
      </w:r>
      <w:r w:rsidR="00492D5C">
        <w:t>. Length of treatment without accounting for breaks uses the patient’s entire time on treatment. Length of treatment accounting for breaks counts the patient’s time on treatment with the breaks removed.</w:t>
      </w:r>
    </w:p>
    <w:p w14:paraId="57DB7C04" w14:textId="285FD2FD" w:rsidR="006D4AB4" w:rsidRDefault="00725944" w:rsidP="00524D13">
      <w:r>
        <w:t xml:space="preserve">For </w:t>
      </w:r>
      <w:r w:rsidR="002C2C7C">
        <w:t>the 5,959 patients in the breast cancer cohort, t</w:t>
      </w:r>
      <w:r w:rsidR="008E762C">
        <w:t xml:space="preserve">he </w:t>
      </w:r>
      <w:r w:rsidR="002C2C7C">
        <w:t xml:space="preserve">Kaplan Meier method was used to determine the length of treatment for the </w:t>
      </w:r>
      <w:r w:rsidR="000A1184">
        <w:t>5,898</w:t>
      </w:r>
      <w:r w:rsidR="002C2C7C">
        <w:t xml:space="preserve"> patients who received </w:t>
      </w:r>
      <w:proofErr w:type="spellStart"/>
      <w:r w:rsidR="002C2C7C">
        <w:t>goserelin</w:t>
      </w:r>
      <w:proofErr w:type="spellEnd"/>
      <w:r w:rsidR="002C2C7C">
        <w:t xml:space="preserve"> and did not receive another </w:t>
      </w:r>
      <w:proofErr w:type="spellStart"/>
      <w:r w:rsidR="002C2C7C">
        <w:t>GnRH</w:t>
      </w:r>
      <w:proofErr w:type="spellEnd"/>
      <w:r w:rsidR="002C2C7C">
        <w:t xml:space="preserve"> agonist</w:t>
      </w:r>
      <w:r w:rsidR="006D4AB4">
        <w:t>.</w:t>
      </w:r>
    </w:p>
    <w:p w14:paraId="2F5E04CD" w14:textId="3FBE87F7" w:rsidR="00D530E0" w:rsidRDefault="002C2C7C" w:rsidP="002C2C7C">
      <w:r>
        <w:t xml:space="preserve">The Kaplan Meier method was used to determine the length of treatment for the whole endometriosis cohort (8,068 patients), patients who received </w:t>
      </w:r>
      <w:proofErr w:type="spellStart"/>
      <w:r>
        <w:t>goserelin</w:t>
      </w:r>
      <w:proofErr w:type="spellEnd"/>
      <w:r>
        <w:t xml:space="preserve"> and did not receive </w:t>
      </w:r>
      <w:r>
        <w:lastRenderedPageBreak/>
        <w:t xml:space="preserve">another </w:t>
      </w:r>
      <w:proofErr w:type="spellStart"/>
      <w:r>
        <w:t>GnRH</w:t>
      </w:r>
      <w:proofErr w:type="spellEnd"/>
      <w:r>
        <w:t xml:space="preserve"> agonist (4,920 patients), and patients who received </w:t>
      </w:r>
      <w:proofErr w:type="spellStart"/>
      <w:r>
        <w:t>nafarelin</w:t>
      </w:r>
      <w:proofErr w:type="spellEnd"/>
      <w:r w:rsidRPr="002C2C7C">
        <w:t xml:space="preserve"> </w:t>
      </w:r>
      <w:r>
        <w:t xml:space="preserve">and did not receive another </w:t>
      </w:r>
      <w:proofErr w:type="spellStart"/>
      <w:r>
        <w:t>GnRH</w:t>
      </w:r>
      <w:proofErr w:type="spellEnd"/>
      <w:r>
        <w:t xml:space="preserve"> agonist (2,850 patients).</w:t>
      </w:r>
    </w:p>
    <w:p w14:paraId="6C3631D7" w14:textId="7CCB9D87" w:rsidR="00EC433E" w:rsidRDefault="00052009" w:rsidP="00C82E56">
      <w:r>
        <w:t>T</w:t>
      </w:r>
      <w:r w:rsidR="00C82E56">
        <w:t>he Kaplan Meier method was used to determine the length of treatment</w:t>
      </w:r>
      <w:r>
        <w:t xml:space="preserve"> for </w:t>
      </w:r>
      <w:r w:rsidR="00BE3CD8">
        <w:t xml:space="preserve">71,882 </w:t>
      </w:r>
      <w:r>
        <w:t>male patients for prostate cancer</w:t>
      </w:r>
      <w:r w:rsidR="00EC433E">
        <w:t>.</w:t>
      </w:r>
    </w:p>
    <w:p w14:paraId="62F3ECB5" w14:textId="77777777" w:rsidR="002E1912" w:rsidRPr="008E762C" w:rsidRDefault="002E1912" w:rsidP="0087414C">
      <w:pPr>
        <w:keepNext/>
        <w:rPr>
          <w:u w:val="single"/>
        </w:rPr>
      </w:pPr>
      <w:r w:rsidRPr="008E762C">
        <w:rPr>
          <w:u w:val="single"/>
        </w:rPr>
        <w:t xml:space="preserve">Limitations </w:t>
      </w:r>
      <w:r>
        <w:rPr>
          <w:u w:val="single"/>
        </w:rPr>
        <w:t>in identifying treatment indications from the PBS data</w:t>
      </w:r>
    </w:p>
    <w:p w14:paraId="6170D602" w14:textId="35EF280F" w:rsidR="008E762C" w:rsidRDefault="008E762C" w:rsidP="008E762C">
      <w:r>
        <w:t>In early breast cancer</w:t>
      </w:r>
      <w:r w:rsidR="00874575">
        <w:t>,</w:t>
      </w:r>
      <w:r>
        <w:t xml:space="preserve"> </w:t>
      </w:r>
      <w:proofErr w:type="spellStart"/>
      <w:r>
        <w:t>goserelin</w:t>
      </w:r>
      <w:proofErr w:type="spellEnd"/>
      <w:r>
        <w:t xml:space="preserve"> </w:t>
      </w:r>
      <w:proofErr w:type="gramStart"/>
      <w:r>
        <w:t>may be used</w:t>
      </w:r>
      <w:proofErr w:type="gramEnd"/>
      <w:r>
        <w:t xml:space="preserve"> as </w:t>
      </w:r>
      <w:r w:rsidRPr="005B593B">
        <w:t>an alternative to combination chemotherapy</w:t>
      </w:r>
      <w:r>
        <w:t xml:space="preserve"> or as a</w:t>
      </w:r>
      <w:r w:rsidRPr="005B593B">
        <w:t>djuvant therapy post combination chemotherapy</w:t>
      </w:r>
      <w:r>
        <w:t>.</w:t>
      </w:r>
      <w:r w:rsidR="00775229" w:rsidRPr="00775229">
        <w:rPr>
          <w:vertAlign w:val="superscript"/>
        </w:rPr>
        <w:fldChar w:fldCharType="begin"/>
      </w:r>
      <w:r w:rsidR="00775229" w:rsidRPr="00775229">
        <w:rPr>
          <w:vertAlign w:val="superscript"/>
        </w:rPr>
        <w:instrText xml:space="preserve"> NOTEREF _Ref7787043 \h </w:instrText>
      </w:r>
      <w:r w:rsidR="00775229">
        <w:rPr>
          <w:vertAlign w:val="superscript"/>
        </w:rPr>
        <w:instrText xml:space="preserve"> \* MERGEFORMAT </w:instrText>
      </w:r>
      <w:r w:rsidR="00775229" w:rsidRPr="00775229">
        <w:rPr>
          <w:vertAlign w:val="superscript"/>
        </w:rPr>
      </w:r>
      <w:r w:rsidR="00775229" w:rsidRPr="00775229">
        <w:rPr>
          <w:vertAlign w:val="superscript"/>
        </w:rPr>
        <w:fldChar w:fldCharType="separate"/>
      </w:r>
      <w:r w:rsidR="00CA1539">
        <w:rPr>
          <w:vertAlign w:val="superscript"/>
        </w:rPr>
        <w:t>7</w:t>
      </w:r>
      <w:r w:rsidR="00775229" w:rsidRPr="00775229">
        <w:rPr>
          <w:vertAlign w:val="superscript"/>
        </w:rPr>
        <w:fldChar w:fldCharType="end"/>
      </w:r>
      <w:r>
        <w:t xml:space="preserve"> </w:t>
      </w:r>
      <w:r w:rsidR="00AE501D">
        <w:t>As the identification of breast cancer patients relies on them also receiving a supply of a chemotherapy medicine for breast cancer, t</w:t>
      </w:r>
      <w:r>
        <w:t xml:space="preserve">he breast cancer cohort includes patients treated with </w:t>
      </w:r>
      <w:proofErr w:type="spellStart"/>
      <w:r>
        <w:t>goserelin</w:t>
      </w:r>
      <w:proofErr w:type="spellEnd"/>
      <w:r>
        <w:t xml:space="preserve"> as adjuvant treatment, but </w:t>
      </w:r>
      <w:r w:rsidR="00AE501D">
        <w:t xml:space="preserve">may </w:t>
      </w:r>
      <w:r w:rsidR="006405D5">
        <w:t>not include</w:t>
      </w:r>
      <w:r w:rsidR="00AE501D">
        <w:t xml:space="preserve"> some</w:t>
      </w:r>
      <w:r w:rsidR="006405D5">
        <w:t xml:space="preserve"> patients who </w:t>
      </w:r>
      <w:r w:rsidR="00AE501D">
        <w:t xml:space="preserve">may have </w:t>
      </w:r>
      <w:r w:rsidR="006405D5">
        <w:t xml:space="preserve">received </w:t>
      </w:r>
      <w:proofErr w:type="spellStart"/>
      <w:r w:rsidR="006405D5">
        <w:t>goserelin</w:t>
      </w:r>
      <w:proofErr w:type="spellEnd"/>
      <w:r w:rsidR="006405D5">
        <w:t xml:space="preserve"> as an</w:t>
      </w:r>
      <w:r>
        <w:t xml:space="preserve"> alternative to chemotherapy. The length of treatment may be different </w:t>
      </w:r>
      <w:r w:rsidR="00FD6880">
        <w:t xml:space="preserve">between </w:t>
      </w:r>
      <w:r>
        <w:t>these groups of patien</w:t>
      </w:r>
      <w:r w:rsidR="00DB5654">
        <w:t>ts.</w:t>
      </w:r>
      <w:r>
        <w:t xml:space="preserve"> </w:t>
      </w:r>
    </w:p>
    <w:p w14:paraId="5C5D0E1F" w14:textId="7E6EB5D1" w:rsidR="00DB5654" w:rsidRDefault="007624D2" w:rsidP="00010FFA">
      <w:r>
        <w:t>Hormonal contraceptives may</w:t>
      </w:r>
      <w:r w:rsidR="00010FFA">
        <w:t xml:space="preserve"> or may not</w:t>
      </w:r>
      <w:r>
        <w:t xml:space="preserve"> be used </w:t>
      </w:r>
      <w:r w:rsidR="00010FFA">
        <w:t xml:space="preserve">to regulate hormones in patients with endometriosis and uterine fibroids. </w:t>
      </w:r>
      <w:r w:rsidR="00474A3D">
        <w:t>It was not attempted in this analysis to use</w:t>
      </w:r>
      <w:r w:rsidR="00FB7DA2">
        <w:t xml:space="preserve"> oral and other hormonal contraceptives to determine </w:t>
      </w:r>
      <w:r w:rsidR="009B38A1">
        <w:t xml:space="preserve">a </w:t>
      </w:r>
      <w:r w:rsidR="00FB7DA2">
        <w:t>patient</w:t>
      </w:r>
      <w:r w:rsidR="009B38A1">
        <w:t>’s indication</w:t>
      </w:r>
      <w:r w:rsidR="00FB7DA2">
        <w:t xml:space="preserve"> as p</w:t>
      </w:r>
      <w:r w:rsidR="00010FFA">
        <w:t>atients may also access hormonal contraceptives as private prescriptions outside of the PBS.</w:t>
      </w:r>
    </w:p>
    <w:p w14:paraId="011C1F7F" w14:textId="77777777" w:rsidR="008E762C" w:rsidRDefault="008E762C" w:rsidP="00524D13"/>
    <w:p w14:paraId="17589698" w14:textId="77777777" w:rsidR="00CA04AF" w:rsidRDefault="00CA04AF">
      <w:pPr>
        <w:spacing w:line="276" w:lineRule="auto"/>
        <w:rPr>
          <w:rFonts w:eastAsiaTheme="majorEastAsia" w:cstheme="majorBidi"/>
          <w:b/>
          <w:bCs/>
          <w:sz w:val="32"/>
          <w:szCs w:val="32"/>
        </w:rPr>
      </w:pPr>
      <w:r>
        <w:br w:type="page"/>
      </w:r>
    </w:p>
    <w:p w14:paraId="4F91A98A" w14:textId="72969ED7" w:rsidR="00C714D0" w:rsidRPr="005E22C2" w:rsidRDefault="00C714D0" w:rsidP="00CF5E22">
      <w:pPr>
        <w:pStyle w:val="Heading1"/>
      </w:pPr>
      <w:r w:rsidRPr="005E22C2">
        <w:lastRenderedPageBreak/>
        <w:t>Results</w:t>
      </w:r>
    </w:p>
    <w:p w14:paraId="2221FF19" w14:textId="336CE8B2"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9F8A9BC" w14:textId="35E50016" w:rsidR="006A44F5" w:rsidRPr="005E22C2" w:rsidRDefault="00736041" w:rsidP="00CF5E22">
      <w:pPr>
        <w:pStyle w:val="Heading3"/>
      </w:pPr>
      <w:r w:rsidRPr="005E22C2">
        <w:t>Overall utilisation</w:t>
      </w:r>
    </w:p>
    <w:p w14:paraId="28D3F805" w14:textId="3278418F" w:rsidR="0003329D" w:rsidRPr="004C1DC3" w:rsidRDefault="004459DA" w:rsidP="0003329D">
      <w:pPr>
        <w:rPr>
          <w:color w:val="BFBFBF" w:themeColor="background1" w:themeShade="BF"/>
        </w:rPr>
      </w:pPr>
      <w:r>
        <w:rPr>
          <w:noProof/>
        </w:rPr>
        <w:drawing>
          <wp:inline distT="0" distB="0" distL="0" distR="0" wp14:anchorId="4A77C6D1" wp14:editId="2620C8FB">
            <wp:extent cx="5687695" cy="3753293"/>
            <wp:effectExtent l="0" t="0" r="8255" b="0"/>
            <wp:docPr id="9" name="Chart 9" descr="Prescriptions by medicine and month of supply" title="Prescriptions by medicine and month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6DE9B66" w14:textId="177BEDFB" w:rsidR="0003329D" w:rsidRPr="004459DA" w:rsidRDefault="00D9012E" w:rsidP="004459DA">
      <w:pPr>
        <w:pStyle w:val="Figuretitle"/>
      </w:pPr>
      <w:r>
        <w:t>Figure 1</w:t>
      </w:r>
      <w:r w:rsidR="0003329D" w:rsidRPr="004459DA">
        <w:t xml:space="preserve">: </w:t>
      </w:r>
      <w:r w:rsidR="009F0FCD" w:rsidRPr="004459DA">
        <w:t xml:space="preserve">Prescriptions by medicine and </w:t>
      </w:r>
      <w:r w:rsidR="0003329D" w:rsidRPr="004459DA">
        <w:t>month of supply</w:t>
      </w:r>
    </w:p>
    <w:p w14:paraId="1D79B71E" w14:textId="3A8CE3E3" w:rsidR="001F494E" w:rsidRPr="004459DA" w:rsidRDefault="001F494E" w:rsidP="005C2994"/>
    <w:p w14:paraId="4A0F4F29" w14:textId="22F6BA86" w:rsidR="009F0FCD" w:rsidRPr="004459DA" w:rsidRDefault="00D9012E" w:rsidP="009F0FCD">
      <w:pPr>
        <w:pStyle w:val="Tabletitle"/>
      </w:pPr>
      <w:r>
        <w:t>Table 5</w:t>
      </w:r>
      <w:r w:rsidR="009F0FCD" w:rsidRPr="004459DA">
        <w:t>: Prescriptions by medicine and year</w:t>
      </w:r>
    </w:p>
    <w:tbl>
      <w:tblPr>
        <w:tblStyle w:val="TableGrid"/>
        <w:tblW w:w="0" w:type="auto"/>
        <w:tblLayout w:type="fixed"/>
        <w:tblLook w:val="04A0" w:firstRow="1" w:lastRow="0" w:firstColumn="1" w:lastColumn="0" w:noHBand="0" w:noVBand="1"/>
        <w:tblCaption w:val="Prescriptions by medicine and year"/>
        <w:tblDescription w:val="Prescriptions by medicine and year"/>
      </w:tblPr>
      <w:tblGrid>
        <w:gridCol w:w="649"/>
        <w:gridCol w:w="1379"/>
        <w:gridCol w:w="1380"/>
        <w:gridCol w:w="1379"/>
        <w:gridCol w:w="1380"/>
        <w:gridCol w:w="1379"/>
        <w:gridCol w:w="1380"/>
      </w:tblGrid>
      <w:tr w:rsidR="004459DA" w:rsidRPr="004459DA" w14:paraId="5B386EF7" w14:textId="77777777" w:rsidTr="0094329A">
        <w:trPr>
          <w:trHeight w:val="300"/>
          <w:tblHeader/>
        </w:trPr>
        <w:tc>
          <w:tcPr>
            <w:tcW w:w="649" w:type="dxa"/>
            <w:shd w:val="clear" w:color="auto" w:fill="BFBFBF" w:themeFill="background1" w:themeFillShade="BF"/>
            <w:noWrap/>
            <w:vAlign w:val="center"/>
            <w:hideMark/>
          </w:tcPr>
          <w:p w14:paraId="0293052B" w14:textId="0680E852" w:rsidR="004459DA" w:rsidRPr="004459DA" w:rsidRDefault="004459DA" w:rsidP="004459DA">
            <w:pPr>
              <w:rPr>
                <w:b/>
                <w:bCs/>
                <w:sz w:val="20"/>
                <w:szCs w:val="20"/>
              </w:rPr>
            </w:pPr>
          </w:p>
        </w:tc>
        <w:tc>
          <w:tcPr>
            <w:tcW w:w="1379" w:type="dxa"/>
            <w:shd w:val="clear" w:color="auto" w:fill="BFBFBF" w:themeFill="background1" w:themeFillShade="BF"/>
            <w:noWrap/>
            <w:vAlign w:val="center"/>
            <w:hideMark/>
          </w:tcPr>
          <w:p w14:paraId="5D39FCC4" w14:textId="7EF255F5" w:rsidR="004459DA" w:rsidRPr="004459DA" w:rsidRDefault="009B54E2" w:rsidP="004459DA">
            <w:pPr>
              <w:jc w:val="center"/>
              <w:rPr>
                <w:b/>
                <w:bCs/>
                <w:sz w:val="20"/>
                <w:szCs w:val="20"/>
              </w:rPr>
            </w:pPr>
            <w:proofErr w:type="spellStart"/>
            <w:r w:rsidRPr="004459DA">
              <w:rPr>
                <w:b/>
                <w:bCs/>
                <w:sz w:val="20"/>
                <w:szCs w:val="20"/>
              </w:rPr>
              <w:t>Goserelin</w:t>
            </w:r>
            <w:proofErr w:type="spellEnd"/>
          </w:p>
        </w:tc>
        <w:tc>
          <w:tcPr>
            <w:tcW w:w="1380" w:type="dxa"/>
            <w:shd w:val="clear" w:color="auto" w:fill="BFBFBF" w:themeFill="background1" w:themeFillShade="BF"/>
            <w:noWrap/>
            <w:vAlign w:val="center"/>
            <w:hideMark/>
          </w:tcPr>
          <w:p w14:paraId="14A2C340" w14:textId="5D53FB00" w:rsidR="004459DA" w:rsidRPr="004459DA" w:rsidRDefault="009B54E2" w:rsidP="004459DA">
            <w:pPr>
              <w:jc w:val="center"/>
              <w:rPr>
                <w:b/>
                <w:bCs/>
                <w:sz w:val="20"/>
                <w:szCs w:val="20"/>
              </w:rPr>
            </w:pPr>
            <w:proofErr w:type="spellStart"/>
            <w:r w:rsidRPr="004459DA">
              <w:rPr>
                <w:b/>
                <w:bCs/>
                <w:sz w:val="20"/>
                <w:szCs w:val="20"/>
              </w:rPr>
              <w:t>Goserelin</w:t>
            </w:r>
            <w:proofErr w:type="spellEnd"/>
            <w:r>
              <w:rPr>
                <w:b/>
                <w:bCs/>
                <w:sz w:val="20"/>
                <w:szCs w:val="20"/>
              </w:rPr>
              <w:t xml:space="preserve"> </w:t>
            </w:r>
            <w:r w:rsidRPr="004459DA">
              <w:rPr>
                <w:b/>
                <w:bCs/>
                <w:sz w:val="20"/>
                <w:szCs w:val="20"/>
              </w:rPr>
              <w:t>&amp;</w:t>
            </w:r>
            <w:r>
              <w:rPr>
                <w:b/>
                <w:bCs/>
                <w:sz w:val="20"/>
                <w:szCs w:val="20"/>
              </w:rPr>
              <w:t xml:space="preserve"> </w:t>
            </w:r>
            <w:proofErr w:type="spellStart"/>
            <w:r w:rsidRPr="004459DA">
              <w:rPr>
                <w:b/>
                <w:bCs/>
                <w:sz w:val="20"/>
                <w:szCs w:val="20"/>
              </w:rPr>
              <w:t>bicalutamide</w:t>
            </w:r>
            <w:proofErr w:type="spellEnd"/>
          </w:p>
        </w:tc>
        <w:tc>
          <w:tcPr>
            <w:tcW w:w="1379" w:type="dxa"/>
            <w:shd w:val="clear" w:color="auto" w:fill="BFBFBF" w:themeFill="background1" w:themeFillShade="BF"/>
            <w:noWrap/>
            <w:vAlign w:val="center"/>
            <w:hideMark/>
          </w:tcPr>
          <w:p w14:paraId="432922C6" w14:textId="64470686" w:rsidR="004459DA" w:rsidRPr="004459DA" w:rsidRDefault="009B54E2" w:rsidP="004459DA">
            <w:pPr>
              <w:jc w:val="center"/>
              <w:rPr>
                <w:b/>
                <w:bCs/>
                <w:sz w:val="20"/>
                <w:szCs w:val="20"/>
              </w:rPr>
            </w:pPr>
            <w:proofErr w:type="spellStart"/>
            <w:r w:rsidRPr="004459DA">
              <w:rPr>
                <w:b/>
                <w:bCs/>
                <w:sz w:val="20"/>
                <w:szCs w:val="20"/>
              </w:rPr>
              <w:t>Leuprorelin</w:t>
            </w:r>
            <w:proofErr w:type="spellEnd"/>
          </w:p>
        </w:tc>
        <w:tc>
          <w:tcPr>
            <w:tcW w:w="1380" w:type="dxa"/>
            <w:shd w:val="clear" w:color="auto" w:fill="BFBFBF" w:themeFill="background1" w:themeFillShade="BF"/>
            <w:noWrap/>
            <w:vAlign w:val="center"/>
            <w:hideMark/>
          </w:tcPr>
          <w:p w14:paraId="1C27EC6F" w14:textId="02518151" w:rsidR="004459DA" w:rsidRPr="004459DA" w:rsidRDefault="009B54E2" w:rsidP="004459DA">
            <w:pPr>
              <w:jc w:val="center"/>
              <w:rPr>
                <w:b/>
                <w:bCs/>
                <w:sz w:val="20"/>
                <w:szCs w:val="20"/>
              </w:rPr>
            </w:pPr>
            <w:proofErr w:type="spellStart"/>
            <w:r w:rsidRPr="004459DA">
              <w:rPr>
                <w:b/>
                <w:bCs/>
                <w:sz w:val="20"/>
                <w:szCs w:val="20"/>
              </w:rPr>
              <w:t>Leuprorelin</w:t>
            </w:r>
            <w:proofErr w:type="spellEnd"/>
            <w:r>
              <w:rPr>
                <w:b/>
                <w:bCs/>
                <w:sz w:val="20"/>
                <w:szCs w:val="20"/>
              </w:rPr>
              <w:t xml:space="preserve"> </w:t>
            </w:r>
            <w:r w:rsidRPr="004459DA">
              <w:rPr>
                <w:b/>
                <w:bCs/>
                <w:sz w:val="20"/>
                <w:szCs w:val="20"/>
              </w:rPr>
              <w:t>&amp;</w:t>
            </w:r>
            <w:r>
              <w:rPr>
                <w:b/>
                <w:bCs/>
                <w:sz w:val="20"/>
                <w:szCs w:val="20"/>
              </w:rPr>
              <w:t xml:space="preserve"> </w:t>
            </w:r>
            <w:proofErr w:type="spellStart"/>
            <w:r w:rsidRPr="004459DA">
              <w:rPr>
                <w:b/>
                <w:bCs/>
                <w:sz w:val="20"/>
                <w:szCs w:val="20"/>
              </w:rPr>
              <w:t>bicalutamide</w:t>
            </w:r>
            <w:proofErr w:type="spellEnd"/>
          </w:p>
        </w:tc>
        <w:tc>
          <w:tcPr>
            <w:tcW w:w="1379" w:type="dxa"/>
            <w:shd w:val="clear" w:color="auto" w:fill="BFBFBF" w:themeFill="background1" w:themeFillShade="BF"/>
            <w:noWrap/>
            <w:vAlign w:val="center"/>
            <w:hideMark/>
          </w:tcPr>
          <w:p w14:paraId="42A62462" w14:textId="5D8E151D" w:rsidR="004459DA" w:rsidRPr="004459DA" w:rsidRDefault="009B54E2" w:rsidP="004459DA">
            <w:pPr>
              <w:jc w:val="center"/>
              <w:rPr>
                <w:b/>
                <w:bCs/>
                <w:sz w:val="20"/>
                <w:szCs w:val="20"/>
              </w:rPr>
            </w:pPr>
            <w:proofErr w:type="spellStart"/>
            <w:r w:rsidRPr="004459DA">
              <w:rPr>
                <w:b/>
                <w:bCs/>
                <w:sz w:val="20"/>
                <w:szCs w:val="20"/>
              </w:rPr>
              <w:t>Nafarelin</w:t>
            </w:r>
            <w:proofErr w:type="spellEnd"/>
          </w:p>
        </w:tc>
        <w:tc>
          <w:tcPr>
            <w:tcW w:w="1380" w:type="dxa"/>
            <w:shd w:val="clear" w:color="auto" w:fill="BFBFBF" w:themeFill="background1" w:themeFillShade="BF"/>
            <w:noWrap/>
            <w:vAlign w:val="center"/>
            <w:hideMark/>
          </w:tcPr>
          <w:p w14:paraId="7ACE9712" w14:textId="027C638C" w:rsidR="004459DA" w:rsidRPr="004459DA" w:rsidRDefault="009B54E2" w:rsidP="004459DA">
            <w:pPr>
              <w:jc w:val="center"/>
              <w:rPr>
                <w:b/>
                <w:bCs/>
                <w:sz w:val="20"/>
                <w:szCs w:val="20"/>
              </w:rPr>
            </w:pPr>
            <w:proofErr w:type="spellStart"/>
            <w:r w:rsidRPr="004459DA">
              <w:rPr>
                <w:b/>
                <w:bCs/>
                <w:sz w:val="20"/>
                <w:szCs w:val="20"/>
              </w:rPr>
              <w:t>Triptorelin</w:t>
            </w:r>
            <w:proofErr w:type="spellEnd"/>
          </w:p>
        </w:tc>
      </w:tr>
      <w:tr w:rsidR="004459DA" w:rsidRPr="004459DA" w14:paraId="7EAD4B8E" w14:textId="77777777" w:rsidTr="006405D5">
        <w:trPr>
          <w:trHeight w:val="300"/>
        </w:trPr>
        <w:tc>
          <w:tcPr>
            <w:tcW w:w="649" w:type="dxa"/>
            <w:noWrap/>
            <w:vAlign w:val="center"/>
            <w:hideMark/>
          </w:tcPr>
          <w:p w14:paraId="1F05D572" w14:textId="77777777" w:rsidR="004459DA" w:rsidRPr="004459DA" w:rsidRDefault="004459DA" w:rsidP="004459DA">
            <w:pPr>
              <w:rPr>
                <w:sz w:val="20"/>
                <w:szCs w:val="20"/>
              </w:rPr>
            </w:pPr>
            <w:r w:rsidRPr="004459DA">
              <w:rPr>
                <w:sz w:val="20"/>
                <w:szCs w:val="20"/>
              </w:rPr>
              <w:t>2014</w:t>
            </w:r>
          </w:p>
        </w:tc>
        <w:tc>
          <w:tcPr>
            <w:tcW w:w="1379" w:type="dxa"/>
            <w:noWrap/>
            <w:vAlign w:val="center"/>
            <w:hideMark/>
          </w:tcPr>
          <w:p w14:paraId="3DDA367A" w14:textId="56D7B481" w:rsidR="004459DA" w:rsidRPr="004459DA" w:rsidRDefault="004459DA" w:rsidP="004459DA">
            <w:pPr>
              <w:jc w:val="right"/>
              <w:rPr>
                <w:sz w:val="20"/>
                <w:szCs w:val="20"/>
              </w:rPr>
            </w:pPr>
            <w:r w:rsidRPr="004459DA">
              <w:rPr>
                <w:sz w:val="20"/>
                <w:szCs w:val="20"/>
              </w:rPr>
              <w:t>69</w:t>
            </w:r>
            <w:r>
              <w:rPr>
                <w:sz w:val="20"/>
                <w:szCs w:val="20"/>
              </w:rPr>
              <w:t>,</w:t>
            </w:r>
            <w:r w:rsidRPr="004459DA">
              <w:rPr>
                <w:sz w:val="20"/>
                <w:szCs w:val="20"/>
              </w:rPr>
              <w:t>049</w:t>
            </w:r>
          </w:p>
        </w:tc>
        <w:tc>
          <w:tcPr>
            <w:tcW w:w="1380" w:type="dxa"/>
            <w:noWrap/>
            <w:vAlign w:val="center"/>
            <w:hideMark/>
          </w:tcPr>
          <w:p w14:paraId="7768CBC5" w14:textId="08FCB8CB" w:rsidR="004459DA" w:rsidRPr="004459DA" w:rsidRDefault="004459DA" w:rsidP="004459DA">
            <w:pPr>
              <w:jc w:val="right"/>
              <w:rPr>
                <w:sz w:val="20"/>
                <w:szCs w:val="20"/>
              </w:rPr>
            </w:pPr>
            <w:r w:rsidRPr="004459DA">
              <w:rPr>
                <w:sz w:val="20"/>
                <w:szCs w:val="20"/>
              </w:rPr>
              <w:t>5</w:t>
            </w:r>
            <w:r>
              <w:rPr>
                <w:sz w:val="20"/>
                <w:szCs w:val="20"/>
              </w:rPr>
              <w:t>,</w:t>
            </w:r>
            <w:r w:rsidRPr="004459DA">
              <w:rPr>
                <w:sz w:val="20"/>
                <w:szCs w:val="20"/>
              </w:rPr>
              <w:t>243</w:t>
            </w:r>
          </w:p>
        </w:tc>
        <w:tc>
          <w:tcPr>
            <w:tcW w:w="1379" w:type="dxa"/>
            <w:noWrap/>
            <w:vAlign w:val="center"/>
            <w:hideMark/>
          </w:tcPr>
          <w:p w14:paraId="0A5E4286" w14:textId="657B89BA" w:rsidR="004459DA" w:rsidRPr="004459DA" w:rsidRDefault="004459DA" w:rsidP="004459DA">
            <w:pPr>
              <w:jc w:val="right"/>
              <w:rPr>
                <w:sz w:val="20"/>
                <w:szCs w:val="20"/>
              </w:rPr>
            </w:pPr>
            <w:r w:rsidRPr="004459DA">
              <w:rPr>
                <w:sz w:val="20"/>
                <w:szCs w:val="20"/>
              </w:rPr>
              <w:t>34</w:t>
            </w:r>
            <w:r>
              <w:rPr>
                <w:sz w:val="20"/>
                <w:szCs w:val="20"/>
              </w:rPr>
              <w:t>,</w:t>
            </w:r>
            <w:r w:rsidRPr="004459DA">
              <w:rPr>
                <w:sz w:val="20"/>
                <w:szCs w:val="20"/>
              </w:rPr>
              <w:t>324</w:t>
            </w:r>
          </w:p>
        </w:tc>
        <w:tc>
          <w:tcPr>
            <w:tcW w:w="1380" w:type="dxa"/>
            <w:noWrap/>
            <w:vAlign w:val="center"/>
            <w:hideMark/>
          </w:tcPr>
          <w:p w14:paraId="5D2ACF31" w14:textId="77777777" w:rsidR="004459DA" w:rsidRPr="004459DA" w:rsidRDefault="004459DA" w:rsidP="004459DA">
            <w:pPr>
              <w:jc w:val="right"/>
              <w:rPr>
                <w:sz w:val="20"/>
                <w:szCs w:val="20"/>
              </w:rPr>
            </w:pPr>
          </w:p>
        </w:tc>
        <w:tc>
          <w:tcPr>
            <w:tcW w:w="1379" w:type="dxa"/>
            <w:noWrap/>
            <w:vAlign w:val="center"/>
            <w:hideMark/>
          </w:tcPr>
          <w:p w14:paraId="4E5B73B3" w14:textId="51876896" w:rsidR="004459DA" w:rsidRPr="004459DA" w:rsidRDefault="004459DA" w:rsidP="004459DA">
            <w:pPr>
              <w:jc w:val="right"/>
              <w:rPr>
                <w:sz w:val="20"/>
                <w:szCs w:val="20"/>
              </w:rPr>
            </w:pPr>
            <w:r w:rsidRPr="004459DA">
              <w:rPr>
                <w:sz w:val="20"/>
                <w:szCs w:val="20"/>
              </w:rPr>
              <w:t>1</w:t>
            </w:r>
            <w:r>
              <w:rPr>
                <w:sz w:val="20"/>
                <w:szCs w:val="20"/>
              </w:rPr>
              <w:t>,</w:t>
            </w:r>
            <w:r w:rsidRPr="004459DA">
              <w:rPr>
                <w:sz w:val="20"/>
                <w:szCs w:val="20"/>
              </w:rPr>
              <w:t>166</w:t>
            </w:r>
          </w:p>
        </w:tc>
        <w:tc>
          <w:tcPr>
            <w:tcW w:w="1380" w:type="dxa"/>
            <w:noWrap/>
            <w:vAlign w:val="center"/>
            <w:hideMark/>
          </w:tcPr>
          <w:p w14:paraId="25727F42" w14:textId="7D45B36F" w:rsidR="004459DA" w:rsidRPr="004459DA" w:rsidRDefault="004459DA" w:rsidP="004459DA">
            <w:pPr>
              <w:jc w:val="right"/>
              <w:rPr>
                <w:sz w:val="20"/>
                <w:szCs w:val="20"/>
              </w:rPr>
            </w:pPr>
            <w:r w:rsidRPr="004459DA">
              <w:rPr>
                <w:sz w:val="20"/>
                <w:szCs w:val="20"/>
              </w:rPr>
              <w:t>2</w:t>
            </w:r>
            <w:r>
              <w:rPr>
                <w:sz w:val="20"/>
                <w:szCs w:val="20"/>
              </w:rPr>
              <w:t>,</w:t>
            </w:r>
            <w:r w:rsidRPr="004459DA">
              <w:rPr>
                <w:sz w:val="20"/>
                <w:szCs w:val="20"/>
              </w:rPr>
              <w:t>009</w:t>
            </w:r>
          </w:p>
        </w:tc>
      </w:tr>
      <w:tr w:rsidR="004459DA" w:rsidRPr="004459DA" w14:paraId="5060BDEF" w14:textId="77777777" w:rsidTr="006405D5">
        <w:trPr>
          <w:trHeight w:val="300"/>
        </w:trPr>
        <w:tc>
          <w:tcPr>
            <w:tcW w:w="649" w:type="dxa"/>
            <w:noWrap/>
            <w:vAlign w:val="center"/>
            <w:hideMark/>
          </w:tcPr>
          <w:p w14:paraId="59388DC1" w14:textId="77777777" w:rsidR="004459DA" w:rsidRPr="004459DA" w:rsidRDefault="004459DA" w:rsidP="004459DA">
            <w:pPr>
              <w:rPr>
                <w:sz w:val="20"/>
                <w:szCs w:val="20"/>
              </w:rPr>
            </w:pPr>
            <w:r w:rsidRPr="004459DA">
              <w:rPr>
                <w:sz w:val="20"/>
                <w:szCs w:val="20"/>
              </w:rPr>
              <w:t>2015</w:t>
            </w:r>
          </w:p>
        </w:tc>
        <w:tc>
          <w:tcPr>
            <w:tcW w:w="1379" w:type="dxa"/>
            <w:noWrap/>
            <w:vAlign w:val="center"/>
            <w:hideMark/>
          </w:tcPr>
          <w:p w14:paraId="69A31906" w14:textId="17172DE1" w:rsidR="004459DA" w:rsidRPr="004459DA" w:rsidRDefault="004459DA" w:rsidP="004459DA">
            <w:pPr>
              <w:jc w:val="right"/>
              <w:rPr>
                <w:sz w:val="20"/>
                <w:szCs w:val="20"/>
              </w:rPr>
            </w:pPr>
            <w:r w:rsidRPr="004459DA">
              <w:rPr>
                <w:sz w:val="20"/>
                <w:szCs w:val="20"/>
              </w:rPr>
              <w:t>72</w:t>
            </w:r>
            <w:r>
              <w:rPr>
                <w:sz w:val="20"/>
                <w:szCs w:val="20"/>
              </w:rPr>
              <w:t>,</w:t>
            </w:r>
            <w:r w:rsidRPr="004459DA">
              <w:rPr>
                <w:sz w:val="20"/>
                <w:szCs w:val="20"/>
              </w:rPr>
              <w:t>255</w:t>
            </w:r>
          </w:p>
        </w:tc>
        <w:tc>
          <w:tcPr>
            <w:tcW w:w="1380" w:type="dxa"/>
            <w:noWrap/>
            <w:vAlign w:val="center"/>
            <w:hideMark/>
          </w:tcPr>
          <w:p w14:paraId="3103FB4F" w14:textId="0B302FB7" w:rsidR="004459DA" w:rsidRPr="004459DA" w:rsidRDefault="004459DA" w:rsidP="004459DA">
            <w:pPr>
              <w:jc w:val="right"/>
              <w:rPr>
                <w:sz w:val="20"/>
                <w:szCs w:val="20"/>
              </w:rPr>
            </w:pPr>
            <w:r w:rsidRPr="004459DA">
              <w:rPr>
                <w:sz w:val="20"/>
                <w:szCs w:val="20"/>
              </w:rPr>
              <w:t>4</w:t>
            </w:r>
            <w:r>
              <w:rPr>
                <w:sz w:val="20"/>
                <w:szCs w:val="20"/>
              </w:rPr>
              <w:t>,</w:t>
            </w:r>
            <w:r w:rsidRPr="004459DA">
              <w:rPr>
                <w:sz w:val="20"/>
                <w:szCs w:val="20"/>
              </w:rPr>
              <w:t>849</w:t>
            </w:r>
          </w:p>
        </w:tc>
        <w:tc>
          <w:tcPr>
            <w:tcW w:w="1379" w:type="dxa"/>
            <w:noWrap/>
            <w:vAlign w:val="center"/>
            <w:hideMark/>
          </w:tcPr>
          <w:p w14:paraId="00CCD068" w14:textId="51A659F4" w:rsidR="004459DA" w:rsidRPr="004459DA" w:rsidRDefault="004459DA" w:rsidP="004459DA">
            <w:pPr>
              <w:jc w:val="right"/>
              <w:rPr>
                <w:sz w:val="20"/>
                <w:szCs w:val="20"/>
              </w:rPr>
            </w:pPr>
            <w:r w:rsidRPr="004459DA">
              <w:rPr>
                <w:sz w:val="20"/>
                <w:szCs w:val="20"/>
              </w:rPr>
              <w:t>36</w:t>
            </w:r>
            <w:r>
              <w:rPr>
                <w:sz w:val="20"/>
                <w:szCs w:val="20"/>
              </w:rPr>
              <w:t>,</w:t>
            </w:r>
            <w:r w:rsidRPr="004459DA">
              <w:rPr>
                <w:sz w:val="20"/>
                <w:szCs w:val="20"/>
              </w:rPr>
              <w:t>024</w:t>
            </w:r>
          </w:p>
        </w:tc>
        <w:tc>
          <w:tcPr>
            <w:tcW w:w="1380" w:type="dxa"/>
            <w:noWrap/>
            <w:vAlign w:val="center"/>
            <w:hideMark/>
          </w:tcPr>
          <w:p w14:paraId="4C63DCEE" w14:textId="77777777" w:rsidR="004459DA" w:rsidRPr="004459DA" w:rsidRDefault="004459DA" w:rsidP="004459DA">
            <w:pPr>
              <w:jc w:val="right"/>
              <w:rPr>
                <w:sz w:val="20"/>
                <w:szCs w:val="20"/>
              </w:rPr>
            </w:pPr>
          </w:p>
        </w:tc>
        <w:tc>
          <w:tcPr>
            <w:tcW w:w="1379" w:type="dxa"/>
            <w:noWrap/>
            <w:vAlign w:val="center"/>
            <w:hideMark/>
          </w:tcPr>
          <w:p w14:paraId="2E1F6450" w14:textId="15396CEF" w:rsidR="004459DA" w:rsidRPr="004459DA" w:rsidRDefault="004459DA" w:rsidP="004459DA">
            <w:pPr>
              <w:jc w:val="right"/>
              <w:rPr>
                <w:sz w:val="20"/>
                <w:szCs w:val="20"/>
              </w:rPr>
            </w:pPr>
            <w:r w:rsidRPr="004459DA">
              <w:rPr>
                <w:sz w:val="20"/>
                <w:szCs w:val="20"/>
              </w:rPr>
              <w:t>1</w:t>
            </w:r>
            <w:r>
              <w:rPr>
                <w:sz w:val="20"/>
                <w:szCs w:val="20"/>
              </w:rPr>
              <w:t>,</w:t>
            </w:r>
            <w:r w:rsidRPr="004459DA">
              <w:rPr>
                <w:sz w:val="20"/>
                <w:szCs w:val="20"/>
              </w:rPr>
              <w:t>391</w:t>
            </w:r>
          </w:p>
        </w:tc>
        <w:tc>
          <w:tcPr>
            <w:tcW w:w="1380" w:type="dxa"/>
            <w:noWrap/>
            <w:vAlign w:val="center"/>
            <w:hideMark/>
          </w:tcPr>
          <w:p w14:paraId="05582BCE" w14:textId="0DA53D8A" w:rsidR="004459DA" w:rsidRPr="004459DA" w:rsidRDefault="004459DA" w:rsidP="004459DA">
            <w:pPr>
              <w:jc w:val="right"/>
              <w:rPr>
                <w:sz w:val="20"/>
                <w:szCs w:val="20"/>
              </w:rPr>
            </w:pPr>
            <w:r w:rsidRPr="004459DA">
              <w:rPr>
                <w:sz w:val="20"/>
                <w:szCs w:val="20"/>
              </w:rPr>
              <w:t>2</w:t>
            </w:r>
            <w:r>
              <w:rPr>
                <w:sz w:val="20"/>
                <w:szCs w:val="20"/>
              </w:rPr>
              <w:t>,</w:t>
            </w:r>
            <w:r w:rsidRPr="004459DA">
              <w:rPr>
                <w:sz w:val="20"/>
                <w:szCs w:val="20"/>
              </w:rPr>
              <w:t>481</w:t>
            </w:r>
          </w:p>
        </w:tc>
      </w:tr>
      <w:tr w:rsidR="004459DA" w:rsidRPr="004459DA" w14:paraId="7500F56F" w14:textId="77777777" w:rsidTr="006405D5">
        <w:trPr>
          <w:trHeight w:val="300"/>
        </w:trPr>
        <w:tc>
          <w:tcPr>
            <w:tcW w:w="649" w:type="dxa"/>
            <w:noWrap/>
            <w:vAlign w:val="center"/>
            <w:hideMark/>
          </w:tcPr>
          <w:p w14:paraId="2A634C8C" w14:textId="77777777" w:rsidR="004459DA" w:rsidRPr="004459DA" w:rsidRDefault="004459DA" w:rsidP="004459DA">
            <w:pPr>
              <w:rPr>
                <w:sz w:val="20"/>
                <w:szCs w:val="20"/>
              </w:rPr>
            </w:pPr>
            <w:r w:rsidRPr="004459DA">
              <w:rPr>
                <w:sz w:val="20"/>
                <w:szCs w:val="20"/>
              </w:rPr>
              <w:t>2016</w:t>
            </w:r>
          </w:p>
        </w:tc>
        <w:tc>
          <w:tcPr>
            <w:tcW w:w="1379" w:type="dxa"/>
            <w:noWrap/>
            <w:vAlign w:val="center"/>
            <w:hideMark/>
          </w:tcPr>
          <w:p w14:paraId="3E7C5EB7" w14:textId="101DD1A2" w:rsidR="004459DA" w:rsidRPr="004459DA" w:rsidRDefault="004459DA" w:rsidP="004459DA">
            <w:pPr>
              <w:jc w:val="right"/>
              <w:rPr>
                <w:sz w:val="20"/>
                <w:szCs w:val="20"/>
              </w:rPr>
            </w:pPr>
            <w:r w:rsidRPr="004459DA">
              <w:rPr>
                <w:sz w:val="20"/>
                <w:szCs w:val="20"/>
              </w:rPr>
              <w:t>79</w:t>
            </w:r>
            <w:r>
              <w:rPr>
                <w:sz w:val="20"/>
                <w:szCs w:val="20"/>
              </w:rPr>
              <w:t>,</w:t>
            </w:r>
            <w:r w:rsidRPr="004459DA">
              <w:rPr>
                <w:sz w:val="20"/>
                <w:szCs w:val="20"/>
              </w:rPr>
              <w:t>396</w:t>
            </w:r>
          </w:p>
        </w:tc>
        <w:tc>
          <w:tcPr>
            <w:tcW w:w="1380" w:type="dxa"/>
            <w:noWrap/>
            <w:vAlign w:val="center"/>
            <w:hideMark/>
          </w:tcPr>
          <w:p w14:paraId="444A73BD" w14:textId="694FE1DC" w:rsidR="004459DA" w:rsidRPr="004459DA" w:rsidRDefault="004459DA" w:rsidP="004459DA">
            <w:pPr>
              <w:jc w:val="right"/>
              <w:rPr>
                <w:sz w:val="20"/>
                <w:szCs w:val="20"/>
              </w:rPr>
            </w:pPr>
            <w:r w:rsidRPr="004459DA">
              <w:rPr>
                <w:sz w:val="20"/>
                <w:szCs w:val="20"/>
              </w:rPr>
              <w:t>5</w:t>
            </w:r>
            <w:r>
              <w:rPr>
                <w:sz w:val="20"/>
                <w:szCs w:val="20"/>
              </w:rPr>
              <w:t>,</w:t>
            </w:r>
            <w:r w:rsidRPr="004459DA">
              <w:rPr>
                <w:sz w:val="20"/>
                <w:szCs w:val="20"/>
              </w:rPr>
              <w:t>157</w:t>
            </w:r>
          </w:p>
        </w:tc>
        <w:tc>
          <w:tcPr>
            <w:tcW w:w="1379" w:type="dxa"/>
            <w:noWrap/>
            <w:vAlign w:val="center"/>
            <w:hideMark/>
          </w:tcPr>
          <w:p w14:paraId="7746EAA8" w14:textId="2B8CD402" w:rsidR="004459DA" w:rsidRPr="004459DA" w:rsidRDefault="004459DA" w:rsidP="004459DA">
            <w:pPr>
              <w:jc w:val="right"/>
              <w:rPr>
                <w:sz w:val="20"/>
                <w:szCs w:val="20"/>
              </w:rPr>
            </w:pPr>
            <w:r w:rsidRPr="004459DA">
              <w:rPr>
                <w:sz w:val="20"/>
                <w:szCs w:val="20"/>
              </w:rPr>
              <w:t>38</w:t>
            </w:r>
            <w:r>
              <w:rPr>
                <w:sz w:val="20"/>
                <w:szCs w:val="20"/>
              </w:rPr>
              <w:t>,</w:t>
            </w:r>
            <w:r w:rsidRPr="004459DA">
              <w:rPr>
                <w:sz w:val="20"/>
                <w:szCs w:val="20"/>
              </w:rPr>
              <w:t>730</w:t>
            </w:r>
          </w:p>
        </w:tc>
        <w:tc>
          <w:tcPr>
            <w:tcW w:w="1380" w:type="dxa"/>
            <w:noWrap/>
            <w:vAlign w:val="center"/>
            <w:hideMark/>
          </w:tcPr>
          <w:p w14:paraId="76A5166E" w14:textId="5FABC6A9" w:rsidR="004459DA" w:rsidRPr="004459DA" w:rsidRDefault="00450B92" w:rsidP="004459DA">
            <w:pPr>
              <w:jc w:val="right"/>
              <w:rPr>
                <w:sz w:val="20"/>
                <w:szCs w:val="20"/>
              </w:rPr>
            </w:pPr>
            <w:r>
              <w:rPr>
                <w:rFonts w:cstheme="minorHAnsi"/>
                <w:sz w:val="20"/>
                <w:szCs w:val="20"/>
              </w:rPr>
              <w:t>≤</w:t>
            </w:r>
            <w:r w:rsidR="00564E52">
              <w:rPr>
                <w:sz w:val="20"/>
                <w:szCs w:val="20"/>
              </w:rPr>
              <w:t>5</w:t>
            </w:r>
          </w:p>
        </w:tc>
        <w:tc>
          <w:tcPr>
            <w:tcW w:w="1379" w:type="dxa"/>
            <w:noWrap/>
            <w:vAlign w:val="center"/>
            <w:hideMark/>
          </w:tcPr>
          <w:p w14:paraId="365A6D47" w14:textId="73260BCE" w:rsidR="004459DA" w:rsidRPr="004459DA" w:rsidRDefault="004459DA" w:rsidP="004459DA">
            <w:pPr>
              <w:jc w:val="right"/>
              <w:rPr>
                <w:sz w:val="20"/>
                <w:szCs w:val="20"/>
              </w:rPr>
            </w:pPr>
            <w:r w:rsidRPr="004459DA">
              <w:rPr>
                <w:sz w:val="20"/>
                <w:szCs w:val="20"/>
              </w:rPr>
              <w:t>1</w:t>
            </w:r>
            <w:r>
              <w:rPr>
                <w:sz w:val="20"/>
                <w:szCs w:val="20"/>
              </w:rPr>
              <w:t>,</w:t>
            </w:r>
            <w:r w:rsidRPr="004459DA">
              <w:rPr>
                <w:sz w:val="20"/>
                <w:szCs w:val="20"/>
              </w:rPr>
              <w:t>743</w:t>
            </w:r>
          </w:p>
        </w:tc>
        <w:tc>
          <w:tcPr>
            <w:tcW w:w="1380" w:type="dxa"/>
            <w:noWrap/>
            <w:vAlign w:val="center"/>
            <w:hideMark/>
          </w:tcPr>
          <w:p w14:paraId="461F0540" w14:textId="6F680609" w:rsidR="004459DA" w:rsidRPr="004459DA" w:rsidRDefault="004459DA" w:rsidP="004459DA">
            <w:pPr>
              <w:jc w:val="right"/>
              <w:rPr>
                <w:sz w:val="20"/>
                <w:szCs w:val="20"/>
              </w:rPr>
            </w:pPr>
            <w:r w:rsidRPr="004459DA">
              <w:rPr>
                <w:sz w:val="20"/>
                <w:szCs w:val="20"/>
              </w:rPr>
              <w:t>2</w:t>
            </w:r>
            <w:r>
              <w:rPr>
                <w:sz w:val="20"/>
                <w:szCs w:val="20"/>
              </w:rPr>
              <w:t>,</w:t>
            </w:r>
            <w:r w:rsidRPr="004459DA">
              <w:rPr>
                <w:sz w:val="20"/>
                <w:szCs w:val="20"/>
              </w:rPr>
              <w:t>821</w:t>
            </w:r>
          </w:p>
        </w:tc>
      </w:tr>
      <w:tr w:rsidR="004459DA" w:rsidRPr="004459DA" w14:paraId="0D5BB70D" w14:textId="77777777" w:rsidTr="006405D5">
        <w:trPr>
          <w:trHeight w:val="300"/>
        </w:trPr>
        <w:tc>
          <w:tcPr>
            <w:tcW w:w="649" w:type="dxa"/>
            <w:noWrap/>
            <w:vAlign w:val="center"/>
            <w:hideMark/>
          </w:tcPr>
          <w:p w14:paraId="40D48DB9" w14:textId="77777777" w:rsidR="004459DA" w:rsidRPr="004459DA" w:rsidRDefault="004459DA" w:rsidP="004459DA">
            <w:pPr>
              <w:rPr>
                <w:sz w:val="20"/>
                <w:szCs w:val="20"/>
              </w:rPr>
            </w:pPr>
            <w:r w:rsidRPr="004459DA">
              <w:rPr>
                <w:sz w:val="20"/>
                <w:szCs w:val="20"/>
              </w:rPr>
              <w:t>2017</w:t>
            </w:r>
          </w:p>
        </w:tc>
        <w:tc>
          <w:tcPr>
            <w:tcW w:w="1379" w:type="dxa"/>
            <w:noWrap/>
            <w:vAlign w:val="center"/>
            <w:hideMark/>
          </w:tcPr>
          <w:p w14:paraId="354DC95A" w14:textId="54AAA79A" w:rsidR="004459DA" w:rsidRPr="004459DA" w:rsidRDefault="004459DA" w:rsidP="004459DA">
            <w:pPr>
              <w:jc w:val="right"/>
              <w:rPr>
                <w:sz w:val="20"/>
                <w:szCs w:val="20"/>
              </w:rPr>
            </w:pPr>
            <w:r w:rsidRPr="004459DA">
              <w:rPr>
                <w:sz w:val="20"/>
                <w:szCs w:val="20"/>
              </w:rPr>
              <w:t>85</w:t>
            </w:r>
            <w:r>
              <w:rPr>
                <w:sz w:val="20"/>
                <w:szCs w:val="20"/>
              </w:rPr>
              <w:t>,</w:t>
            </w:r>
            <w:r w:rsidRPr="004459DA">
              <w:rPr>
                <w:sz w:val="20"/>
                <w:szCs w:val="20"/>
              </w:rPr>
              <w:t>238</w:t>
            </w:r>
          </w:p>
        </w:tc>
        <w:tc>
          <w:tcPr>
            <w:tcW w:w="1380" w:type="dxa"/>
            <w:noWrap/>
            <w:vAlign w:val="center"/>
            <w:hideMark/>
          </w:tcPr>
          <w:p w14:paraId="04323EB1" w14:textId="1ED9EA1F" w:rsidR="004459DA" w:rsidRPr="004459DA" w:rsidRDefault="004459DA" w:rsidP="004459DA">
            <w:pPr>
              <w:jc w:val="right"/>
              <w:rPr>
                <w:sz w:val="20"/>
                <w:szCs w:val="20"/>
              </w:rPr>
            </w:pPr>
            <w:r w:rsidRPr="004459DA">
              <w:rPr>
                <w:sz w:val="20"/>
                <w:szCs w:val="20"/>
              </w:rPr>
              <w:t>4</w:t>
            </w:r>
            <w:r>
              <w:rPr>
                <w:sz w:val="20"/>
                <w:szCs w:val="20"/>
              </w:rPr>
              <w:t>,</w:t>
            </w:r>
            <w:r w:rsidRPr="004459DA">
              <w:rPr>
                <w:sz w:val="20"/>
                <w:szCs w:val="20"/>
              </w:rPr>
              <w:t>771</w:t>
            </w:r>
          </w:p>
        </w:tc>
        <w:tc>
          <w:tcPr>
            <w:tcW w:w="1379" w:type="dxa"/>
            <w:noWrap/>
            <w:vAlign w:val="center"/>
            <w:hideMark/>
          </w:tcPr>
          <w:p w14:paraId="169BBA3C" w14:textId="0E10E754" w:rsidR="004459DA" w:rsidRPr="004459DA" w:rsidRDefault="004459DA" w:rsidP="004459DA">
            <w:pPr>
              <w:jc w:val="right"/>
              <w:rPr>
                <w:sz w:val="20"/>
                <w:szCs w:val="20"/>
              </w:rPr>
            </w:pPr>
            <w:r w:rsidRPr="004459DA">
              <w:rPr>
                <w:sz w:val="20"/>
                <w:szCs w:val="20"/>
              </w:rPr>
              <w:t>42</w:t>
            </w:r>
            <w:r>
              <w:rPr>
                <w:sz w:val="20"/>
                <w:szCs w:val="20"/>
              </w:rPr>
              <w:t>,</w:t>
            </w:r>
            <w:r w:rsidRPr="004459DA">
              <w:rPr>
                <w:sz w:val="20"/>
                <w:szCs w:val="20"/>
              </w:rPr>
              <w:t>257</w:t>
            </w:r>
          </w:p>
        </w:tc>
        <w:tc>
          <w:tcPr>
            <w:tcW w:w="1380" w:type="dxa"/>
            <w:noWrap/>
            <w:vAlign w:val="center"/>
            <w:hideMark/>
          </w:tcPr>
          <w:p w14:paraId="6F445088" w14:textId="77777777" w:rsidR="004459DA" w:rsidRPr="004459DA" w:rsidRDefault="004459DA" w:rsidP="004459DA">
            <w:pPr>
              <w:jc w:val="right"/>
              <w:rPr>
                <w:sz w:val="20"/>
                <w:szCs w:val="20"/>
              </w:rPr>
            </w:pPr>
            <w:r w:rsidRPr="004459DA">
              <w:rPr>
                <w:sz w:val="20"/>
                <w:szCs w:val="20"/>
              </w:rPr>
              <w:t>376</w:t>
            </w:r>
          </w:p>
        </w:tc>
        <w:tc>
          <w:tcPr>
            <w:tcW w:w="1379" w:type="dxa"/>
            <w:noWrap/>
            <w:vAlign w:val="center"/>
            <w:hideMark/>
          </w:tcPr>
          <w:p w14:paraId="2AD26F36" w14:textId="5510E29A" w:rsidR="004459DA" w:rsidRPr="004459DA" w:rsidRDefault="004459DA" w:rsidP="004459DA">
            <w:pPr>
              <w:jc w:val="right"/>
              <w:rPr>
                <w:sz w:val="20"/>
                <w:szCs w:val="20"/>
              </w:rPr>
            </w:pPr>
            <w:r w:rsidRPr="004459DA">
              <w:rPr>
                <w:sz w:val="20"/>
                <w:szCs w:val="20"/>
              </w:rPr>
              <w:t>3</w:t>
            </w:r>
            <w:r>
              <w:rPr>
                <w:sz w:val="20"/>
                <w:szCs w:val="20"/>
              </w:rPr>
              <w:t>,</w:t>
            </w:r>
            <w:r w:rsidRPr="004459DA">
              <w:rPr>
                <w:sz w:val="20"/>
                <w:szCs w:val="20"/>
              </w:rPr>
              <w:t>576</w:t>
            </w:r>
          </w:p>
        </w:tc>
        <w:tc>
          <w:tcPr>
            <w:tcW w:w="1380" w:type="dxa"/>
            <w:noWrap/>
            <w:vAlign w:val="center"/>
            <w:hideMark/>
          </w:tcPr>
          <w:p w14:paraId="6601438E" w14:textId="3A873C3F" w:rsidR="004459DA" w:rsidRPr="004459DA" w:rsidRDefault="004459DA" w:rsidP="004459DA">
            <w:pPr>
              <w:jc w:val="right"/>
              <w:rPr>
                <w:sz w:val="20"/>
                <w:szCs w:val="20"/>
              </w:rPr>
            </w:pPr>
            <w:r w:rsidRPr="004459DA">
              <w:rPr>
                <w:sz w:val="20"/>
                <w:szCs w:val="20"/>
              </w:rPr>
              <w:t>3</w:t>
            </w:r>
            <w:r>
              <w:rPr>
                <w:sz w:val="20"/>
                <w:szCs w:val="20"/>
              </w:rPr>
              <w:t>,</w:t>
            </w:r>
            <w:r w:rsidRPr="004459DA">
              <w:rPr>
                <w:sz w:val="20"/>
                <w:szCs w:val="20"/>
              </w:rPr>
              <w:t>470</w:t>
            </w:r>
          </w:p>
        </w:tc>
      </w:tr>
      <w:tr w:rsidR="004459DA" w:rsidRPr="004459DA" w14:paraId="1E740733" w14:textId="77777777" w:rsidTr="006405D5">
        <w:trPr>
          <w:trHeight w:val="300"/>
        </w:trPr>
        <w:tc>
          <w:tcPr>
            <w:tcW w:w="649" w:type="dxa"/>
            <w:noWrap/>
            <w:vAlign w:val="center"/>
            <w:hideMark/>
          </w:tcPr>
          <w:p w14:paraId="128A3775" w14:textId="77777777" w:rsidR="004459DA" w:rsidRPr="004459DA" w:rsidRDefault="004459DA" w:rsidP="004459DA">
            <w:pPr>
              <w:rPr>
                <w:sz w:val="20"/>
                <w:szCs w:val="20"/>
              </w:rPr>
            </w:pPr>
            <w:r w:rsidRPr="004459DA">
              <w:rPr>
                <w:sz w:val="20"/>
                <w:szCs w:val="20"/>
              </w:rPr>
              <w:t>2018</w:t>
            </w:r>
          </w:p>
        </w:tc>
        <w:tc>
          <w:tcPr>
            <w:tcW w:w="1379" w:type="dxa"/>
            <w:noWrap/>
            <w:vAlign w:val="center"/>
            <w:hideMark/>
          </w:tcPr>
          <w:p w14:paraId="5B7E2CCA" w14:textId="2435C7FB" w:rsidR="004459DA" w:rsidRPr="004459DA" w:rsidRDefault="004459DA" w:rsidP="004459DA">
            <w:pPr>
              <w:jc w:val="right"/>
              <w:rPr>
                <w:sz w:val="20"/>
                <w:szCs w:val="20"/>
              </w:rPr>
            </w:pPr>
            <w:r w:rsidRPr="004459DA">
              <w:rPr>
                <w:sz w:val="20"/>
                <w:szCs w:val="20"/>
              </w:rPr>
              <w:t>95</w:t>
            </w:r>
            <w:r>
              <w:rPr>
                <w:sz w:val="20"/>
                <w:szCs w:val="20"/>
              </w:rPr>
              <w:t>,</w:t>
            </w:r>
            <w:r w:rsidRPr="004459DA">
              <w:rPr>
                <w:sz w:val="20"/>
                <w:szCs w:val="20"/>
              </w:rPr>
              <w:t>138</w:t>
            </w:r>
          </w:p>
        </w:tc>
        <w:tc>
          <w:tcPr>
            <w:tcW w:w="1380" w:type="dxa"/>
            <w:noWrap/>
            <w:vAlign w:val="center"/>
            <w:hideMark/>
          </w:tcPr>
          <w:p w14:paraId="12891E72" w14:textId="6EE49E9C" w:rsidR="004459DA" w:rsidRPr="004459DA" w:rsidRDefault="004459DA" w:rsidP="004459DA">
            <w:pPr>
              <w:jc w:val="right"/>
              <w:rPr>
                <w:sz w:val="20"/>
                <w:szCs w:val="20"/>
              </w:rPr>
            </w:pPr>
            <w:r w:rsidRPr="004459DA">
              <w:rPr>
                <w:sz w:val="20"/>
                <w:szCs w:val="20"/>
              </w:rPr>
              <w:t>3</w:t>
            </w:r>
            <w:r>
              <w:rPr>
                <w:sz w:val="20"/>
                <w:szCs w:val="20"/>
              </w:rPr>
              <w:t>,</w:t>
            </w:r>
            <w:r w:rsidRPr="004459DA">
              <w:rPr>
                <w:sz w:val="20"/>
                <w:szCs w:val="20"/>
              </w:rPr>
              <w:t>962</w:t>
            </w:r>
          </w:p>
        </w:tc>
        <w:tc>
          <w:tcPr>
            <w:tcW w:w="1379" w:type="dxa"/>
            <w:noWrap/>
            <w:vAlign w:val="center"/>
            <w:hideMark/>
          </w:tcPr>
          <w:p w14:paraId="3161C5D2" w14:textId="7F32A807" w:rsidR="004459DA" w:rsidRPr="004459DA" w:rsidRDefault="004459DA" w:rsidP="004459DA">
            <w:pPr>
              <w:jc w:val="right"/>
              <w:rPr>
                <w:sz w:val="20"/>
                <w:szCs w:val="20"/>
              </w:rPr>
            </w:pPr>
            <w:r w:rsidRPr="004459DA">
              <w:rPr>
                <w:sz w:val="20"/>
                <w:szCs w:val="20"/>
              </w:rPr>
              <w:t>45</w:t>
            </w:r>
            <w:r>
              <w:rPr>
                <w:sz w:val="20"/>
                <w:szCs w:val="20"/>
              </w:rPr>
              <w:t>,</w:t>
            </w:r>
            <w:r w:rsidRPr="004459DA">
              <w:rPr>
                <w:sz w:val="20"/>
                <w:szCs w:val="20"/>
              </w:rPr>
              <w:t>373</w:t>
            </w:r>
          </w:p>
        </w:tc>
        <w:tc>
          <w:tcPr>
            <w:tcW w:w="1380" w:type="dxa"/>
            <w:noWrap/>
            <w:vAlign w:val="center"/>
            <w:hideMark/>
          </w:tcPr>
          <w:p w14:paraId="0EEECAEE" w14:textId="77777777" w:rsidR="004459DA" w:rsidRPr="004459DA" w:rsidRDefault="004459DA" w:rsidP="004459DA">
            <w:pPr>
              <w:jc w:val="right"/>
              <w:rPr>
                <w:sz w:val="20"/>
                <w:szCs w:val="20"/>
              </w:rPr>
            </w:pPr>
            <w:r w:rsidRPr="004459DA">
              <w:rPr>
                <w:sz w:val="20"/>
                <w:szCs w:val="20"/>
              </w:rPr>
              <w:t>512</w:t>
            </w:r>
          </w:p>
        </w:tc>
        <w:tc>
          <w:tcPr>
            <w:tcW w:w="1379" w:type="dxa"/>
            <w:noWrap/>
            <w:vAlign w:val="center"/>
            <w:hideMark/>
          </w:tcPr>
          <w:p w14:paraId="79EBC46E" w14:textId="23FC7FAB" w:rsidR="004459DA" w:rsidRPr="004459DA" w:rsidRDefault="004459DA" w:rsidP="004459DA">
            <w:pPr>
              <w:jc w:val="right"/>
              <w:rPr>
                <w:sz w:val="20"/>
                <w:szCs w:val="20"/>
              </w:rPr>
            </w:pPr>
            <w:r w:rsidRPr="004459DA">
              <w:rPr>
                <w:sz w:val="20"/>
                <w:szCs w:val="20"/>
              </w:rPr>
              <w:t>4</w:t>
            </w:r>
            <w:r>
              <w:rPr>
                <w:sz w:val="20"/>
                <w:szCs w:val="20"/>
              </w:rPr>
              <w:t>,</w:t>
            </w:r>
            <w:r w:rsidRPr="004459DA">
              <w:rPr>
                <w:sz w:val="20"/>
                <w:szCs w:val="20"/>
              </w:rPr>
              <w:t>349</w:t>
            </w:r>
          </w:p>
        </w:tc>
        <w:tc>
          <w:tcPr>
            <w:tcW w:w="1380" w:type="dxa"/>
            <w:noWrap/>
            <w:vAlign w:val="center"/>
            <w:hideMark/>
          </w:tcPr>
          <w:p w14:paraId="64DBA419" w14:textId="3B10E702" w:rsidR="004459DA" w:rsidRPr="004459DA" w:rsidRDefault="004459DA" w:rsidP="004459DA">
            <w:pPr>
              <w:jc w:val="right"/>
              <w:rPr>
                <w:sz w:val="20"/>
                <w:szCs w:val="20"/>
              </w:rPr>
            </w:pPr>
            <w:r w:rsidRPr="004459DA">
              <w:rPr>
                <w:sz w:val="20"/>
                <w:szCs w:val="20"/>
              </w:rPr>
              <w:t>3</w:t>
            </w:r>
            <w:r>
              <w:rPr>
                <w:sz w:val="20"/>
                <w:szCs w:val="20"/>
              </w:rPr>
              <w:t>,</w:t>
            </w:r>
            <w:r w:rsidRPr="004459DA">
              <w:rPr>
                <w:sz w:val="20"/>
                <w:szCs w:val="20"/>
              </w:rPr>
              <w:t>886</w:t>
            </w:r>
          </w:p>
        </w:tc>
      </w:tr>
      <w:tr w:rsidR="004459DA" w:rsidRPr="004459DA" w14:paraId="305C97E0" w14:textId="77777777" w:rsidTr="006405D5">
        <w:trPr>
          <w:trHeight w:val="300"/>
        </w:trPr>
        <w:tc>
          <w:tcPr>
            <w:tcW w:w="649" w:type="dxa"/>
            <w:noWrap/>
            <w:vAlign w:val="center"/>
            <w:hideMark/>
          </w:tcPr>
          <w:p w14:paraId="6444DF8E" w14:textId="15071AD7" w:rsidR="004459DA" w:rsidRPr="004459DA" w:rsidRDefault="004459DA" w:rsidP="004459DA">
            <w:pPr>
              <w:rPr>
                <w:bCs/>
                <w:sz w:val="20"/>
                <w:szCs w:val="20"/>
              </w:rPr>
            </w:pPr>
            <w:r w:rsidRPr="004459DA">
              <w:rPr>
                <w:bCs/>
                <w:sz w:val="20"/>
                <w:szCs w:val="20"/>
              </w:rPr>
              <w:t>Total</w:t>
            </w:r>
          </w:p>
        </w:tc>
        <w:tc>
          <w:tcPr>
            <w:tcW w:w="1379" w:type="dxa"/>
            <w:noWrap/>
            <w:vAlign w:val="center"/>
            <w:hideMark/>
          </w:tcPr>
          <w:p w14:paraId="414134FC" w14:textId="12A4BA4E" w:rsidR="004459DA" w:rsidRPr="004459DA" w:rsidRDefault="004459DA" w:rsidP="004459DA">
            <w:pPr>
              <w:jc w:val="right"/>
              <w:rPr>
                <w:bCs/>
                <w:sz w:val="20"/>
                <w:szCs w:val="20"/>
              </w:rPr>
            </w:pPr>
            <w:r w:rsidRPr="004459DA">
              <w:rPr>
                <w:bCs/>
                <w:sz w:val="20"/>
                <w:szCs w:val="20"/>
              </w:rPr>
              <w:t>401</w:t>
            </w:r>
            <w:r>
              <w:rPr>
                <w:bCs/>
                <w:sz w:val="20"/>
                <w:szCs w:val="20"/>
              </w:rPr>
              <w:t>,</w:t>
            </w:r>
            <w:r w:rsidRPr="004459DA">
              <w:rPr>
                <w:bCs/>
                <w:sz w:val="20"/>
                <w:szCs w:val="20"/>
              </w:rPr>
              <w:t>076</w:t>
            </w:r>
          </w:p>
        </w:tc>
        <w:tc>
          <w:tcPr>
            <w:tcW w:w="1380" w:type="dxa"/>
            <w:noWrap/>
            <w:vAlign w:val="center"/>
            <w:hideMark/>
          </w:tcPr>
          <w:p w14:paraId="7D9A7EAF" w14:textId="6789AB20" w:rsidR="004459DA" w:rsidRPr="004459DA" w:rsidRDefault="004459DA" w:rsidP="004459DA">
            <w:pPr>
              <w:jc w:val="right"/>
              <w:rPr>
                <w:bCs/>
                <w:sz w:val="20"/>
                <w:szCs w:val="20"/>
              </w:rPr>
            </w:pPr>
            <w:r w:rsidRPr="004459DA">
              <w:rPr>
                <w:bCs/>
                <w:sz w:val="20"/>
                <w:szCs w:val="20"/>
              </w:rPr>
              <w:t>23</w:t>
            </w:r>
            <w:r>
              <w:rPr>
                <w:bCs/>
                <w:sz w:val="20"/>
                <w:szCs w:val="20"/>
              </w:rPr>
              <w:t>,</w:t>
            </w:r>
            <w:r w:rsidRPr="004459DA">
              <w:rPr>
                <w:bCs/>
                <w:sz w:val="20"/>
                <w:szCs w:val="20"/>
              </w:rPr>
              <w:t>982</w:t>
            </w:r>
          </w:p>
        </w:tc>
        <w:tc>
          <w:tcPr>
            <w:tcW w:w="1379" w:type="dxa"/>
            <w:noWrap/>
            <w:vAlign w:val="center"/>
            <w:hideMark/>
          </w:tcPr>
          <w:p w14:paraId="2AFB094B" w14:textId="78AFA830" w:rsidR="004459DA" w:rsidRPr="004459DA" w:rsidRDefault="004459DA" w:rsidP="004459DA">
            <w:pPr>
              <w:jc w:val="right"/>
              <w:rPr>
                <w:bCs/>
                <w:sz w:val="20"/>
                <w:szCs w:val="20"/>
              </w:rPr>
            </w:pPr>
            <w:r w:rsidRPr="004459DA">
              <w:rPr>
                <w:bCs/>
                <w:sz w:val="20"/>
                <w:szCs w:val="20"/>
              </w:rPr>
              <w:t>196</w:t>
            </w:r>
            <w:r>
              <w:rPr>
                <w:bCs/>
                <w:sz w:val="20"/>
                <w:szCs w:val="20"/>
              </w:rPr>
              <w:t>,</w:t>
            </w:r>
            <w:r w:rsidRPr="004459DA">
              <w:rPr>
                <w:bCs/>
                <w:sz w:val="20"/>
                <w:szCs w:val="20"/>
              </w:rPr>
              <w:t>708</w:t>
            </w:r>
          </w:p>
        </w:tc>
        <w:tc>
          <w:tcPr>
            <w:tcW w:w="1380" w:type="dxa"/>
            <w:noWrap/>
            <w:vAlign w:val="center"/>
            <w:hideMark/>
          </w:tcPr>
          <w:p w14:paraId="7BA056B0" w14:textId="77777777" w:rsidR="004459DA" w:rsidRPr="004459DA" w:rsidRDefault="004459DA" w:rsidP="004459DA">
            <w:pPr>
              <w:jc w:val="right"/>
              <w:rPr>
                <w:bCs/>
                <w:sz w:val="20"/>
                <w:szCs w:val="20"/>
              </w:rPr>
            </w:pPr>
            <w:r w:rsidRPr="004459DA">
              <w:rPr>
                <w:bCs/>
                <w:sz w:val="20"/>
                <w:szCs w:val="20"/>
              </w:rPr>
              <w:t>889</w:t>
            </w:r>
          </w:p>
        </w:tc>
        <w:tc>
          <w:tcPr>
            <w:tcW w:w="1379" w:type="dxa"/>
            <w:noWrap/>
            <w:vAlign w:val="center"/>
            <w:hideMark/>
          </w:tcPr>
          <w:p w14:paraId="512A92FA" w14:textId="4BC6B8FC" w:rsidR="004459DA" w:rsidRPr="004459DA" w:rsidRDefault="004459DA" w:rsidP="004459DA">
            <w:pPr>
              <w:jc w:val="right"/>
              <w:rPr>
                <w:bCs/>
                <w:sz w:val="20"/>
                <w:szCs w:val="20"/>
              </w:rPr>
            </w:pPr>
            <w:r w:rsidRPr="004459DA">
              <w:rPr>
                <w:bCs/>
                <w:sz w:val="20"/>
                <w:szCs w:val="20"/>
              </w:rPr>
              <w:t>12</w:t>
            </w:r>
            <w:r>
              <w:rPr>
                <w:bCs/>
                <w:sz w:val="20"/>
                <w:szCs w:val="20"/>
              </w:rPr>
              <w:t>,</w:t>
            </w:r>
            <w:r w:rsidRPr="004459DA">
              <w:rPr>
                <w:bCs/>
                <w:sz w:val="20"/>
                <w:szCs w:val="20"/>
              </w:rPr>
              <w:t>225</w:t>
            </w:r>
          </w:p>
        </w:tc>
        <w:tc>
          <w:tcPr>
            <w:tcW w:w="1380" w:type="dxa"/>
            <w:noWrap/>
            <w:vAlign w:val="center"/>
            <w:hideMark/>
          </w:tcPr>
          <w:p w14:paraId="6955502B" w14:textId="49FE7FB9" w:rsidR="004459DA" w:rsidRPr="004459DA" w:rsidRDefault="004459DA" w:rsidP="004459DA">
            <w:pPr>
              <w:jc w:val="right"/>
              <w:rPr>
                <w:bCs/>
                <w:sz w:val="20"/>
                <w:szCs w:val="20"/>
              </w:rPr>
            </w:pPr>
            <w:r w:rsidRPr="004459DA">
              <w:rPr>
                <w:bCs/>
                <w:sz w:val="20"/>
                <w:szCs w:val="20"/>
              </w:rPr>
              <w:t>14</w:t>
            </w:r>
            <w:r>
              <w:rPr>
                <w:bCs/>
                <w:sz w:val="20"/>
                <w:szCs w:val="20"/>
              </w:rPr>
              <w:t>,</w:t>
            </w:r>
            <w:r w:rsidRPr="004459DA">
              <w:rPr>
                <w:bCs/>
                <w:sz w:val="20"/>
                <w:szCs w:val="20"/>
              </w:rPr>
              <w:t>667</w:t>
            </w:r>
          </w:p>
        </w:tc>
      </w:tr>
    </w:tbl>
    <w:p w14:paraId="0964551A" w14:textId="2BED47C4" w:rsidR="002A59D2" w:rsidRPr="004459DA" w:rsidRDefault="002A59D2" w:rsidP="005C2994"/>
    <w:p w14:paraId="66620D8C" w14:textId="4F3F249B" w:rsidR="00CA04AF" w:rsidRPr="004459DA" w:rsidRDefault="00CA04AF" w:rsidP="005C2994">
      <w:r w:rsidRPr="004459DA">
        <w:t xml:space="preserve">Overall, </w:t>
      </w:r>
      <w:proofErr w:type="spellStart"/>
      <w:r w:rsidR="000E2B58" w:rsidRPr="004459DA">
        <w:t>goserelin</w:t>
      </w:r>
      <w:proofErr w:type="spellEnd"/>
      <w:r w:rsidR="000E2B58" w:rsidRPr="004459DA">
        <w:t xml:space="preserve"> is </w:t>
      </w:r>
      <w:r w:rsidRPr="004459DA">
        <w:t xml:space="preserve">the most used </w:t>
      </w:r>
      <w:proofErr w:type="spellStart"/>
      <w:r w:rsidRPr="004459DA">
        <w:t>GnRH</w:t>
      </w:r>
      <w:proofErr w:type="spellEnd"/>
      <w:r w:rsidR="000E2B58" w:rsidRPr="004459DA">
        <w:t xml:space="preserve"> agonist</w:t>
      </w:r>
      <w:r w:rsidR="002A59D2" w:rsidRPr="004459DA">
        <w:t>.</w:t>
      </w:r>
      <w:r w:rsidR="009F0FCD" w:rsidRPr="004459DA">
        <w:t xml:space="preserve"> Its use is approximately </w:t>
      </w:r>
      <w:r w:rsidR="00D96B9C">
        <w:t>two times higher than</w:t>
      </w:r>
      <w:r w:rsidR="009F0FCD" w:rsidRPr="004459DA">
        <w:t xml:space="preserve"> </w:t>
      </w:r>
      <w:r w:rsidR="00D96B9C" w:rsidRPr="004459DA">
        <w:t xml:space="preserve">the second most used </w:t>
      </w:r>
      <w:proofErr w:type="spellStart"/>
      <w:r w:rsidR="00D96B9C" w:rsidRPr="004459DA">
        <w:t>GnRH</w:t>
      </w:r>
      <w:proofErr w:type="spellEnd"/>
      <w:r w:rsidR="00D96B9C" w:rsidRPr="004459DA">
        <w:t xml:space="preserve"> agonist</w:t>
      </w:r>
      <w:r w:rsidR="00D476CE">
        <w:t>,</w:t>
      </w:r>
      <w:r w:rsidR="00D96B9C" w:rsidRPr="004459DA">
        <w:t xml:space="preserve"> </w:t>
      </w:r>
      <w:proofErr w:type="spellStart"/>
      <w:r w:rsidR="00D96B9C">
        <w:t>leuprorelin</w:t>
      </w:r>
      <w:proofErr w:type="spellEnd"/>
      <w:r w:rsidR="009F0FCD" w:rsidRPr="004459DA">
        <w:t>.</w:t>
      </w:r>
      <w:r w:rsidR="002A59D2" w:rsidRPr="004459DA">
        <w:t xml:space="preserve"> </w:t>
      </w:r>
      <w:r w:rsidR="00D96B9C">
        <w:t>Use of the combination items</w:t>
      </w:r>
      <w:r w:rsidR="00D476CE">
        <w:t xml:space="preserve"> for metastatic prostate cancer</w:t>
      </w:r>
      <w:r w:rsidR="00D96B9C">
        <w:t xml:space="preserve">, which are supplied as an implant or injection of </w:t>
      </w:r>
      <w:proofErr w:type="spellStart"/>
      <w:r w:rsidR="00D96B9C">
        <w:t>goserelin</w:t>
      </w:r>
      <w:proofErr w:type="spellEnd"/>
      <w:r w:rsidR="00D96B9C">
        <w:t xml:space="preserve"> or </w:t>
      </w:r>
      <w:proofErr w:type="spellStart"/>
      <w:r w:rsidR="00D96B9C">
        <w:t>leuprorelin</w:t>
      </w:r>
      <w:proofErr w:type="spellEnd"/>
      <w:r w:rsidR="00D96B9C">
        <w:t xml:space="preserve">, and tablets of </w:t>
      </w:r>
      <w:proofErr w:type="spellStart"/>
      <w:r w:rsidR="00D96B9C">
        <w:t>bicalutamide</w:t>
      </w:r>
      <w:proofErr w:type="spellEnd"/>
      <w:r w:rsidR="00D96B9C">
        <w:t xml:space="preserve"> which are taken daily</w:t>
      </w:r>
      <w:r w:rsidR="00D476CE">
        <w:t xml:space="preserve">, </w:t>
      </w:r>
      <w:r w:rsidR="005B2768">
        <w:t>remained at similar levels over time</w:t>
      </w:r>
      <w:r w:rsidR="00D96B9C">
        <w:t>.</w:t>
      </w:r>
      <w:r w:rsidR="009F0FCD" w:rsidRPr="004459DA">
        <w:t xml:space="preserve"> </w:t>
      </w:r>
      <w:r w:rsidR="00B11673" w:rsidRPr="004459DA">
        <w:t xml:space="preserve">The use of </w:t>
      </w:r>
      <w:proofErr w:type="spellStart"/>
      <w:r w:rsidR="00B11673" w:rsidRPr="004459DA">
        <w:t>leuprorelin</w:t>
      </w:r>
      <w:proofErr w:type="spellEnd"/>
      <w:r w:rsidR="00B11673" w:rsidRPr="004459DA">
        <w:t xml:space="preserve"> with </w:t>
      </w:r>
      <w:proofErr w:type="spellStart"/>
      <w:r w:rsidR="00B11673" w:rsidRPr="004459DA">
        <w:t>bicalutamide</w:t>
      </w:r>
      <w:proofErr w:type="spellEnd"/>
      <w:r w:rsidR="00B11673" w:rsidRPr="004459DA">
        <w:t xml:space="preserve"> is very low.</w:t>
      </w:r>
      <w:r w:rsidR="00B11673">
        <w:t xml:space="preserve"> </w:t>
      </w:r>
      <w:r w:rsidR="009F0FCD" w:rsidRPr="004459DA">
        <w:t xml:space="preserve">The use of </w:t>
      </w:r>
      <w:proofErr w:type="spellStart"/>
      <w:r w:rsidR="009F0FCD" w:rsidRPr="004459DA">
        <w:t>nafarelin</w:t>
      </w:r>
      <w:proofErr w:type="spellEnd"/>
      <w:r w:rsidR="009F0FCD" w:rsidRPr="004459DA">
        <w:t xml:space="preserve"> is small </w:t>
      </w:r>
      <w:r w:rsidR="009F0FCD" w:rsidRPr="004459DA">
        <w:lastRenderedPageBreak/>
        <w:t xml:space="preserve">in the context of the </w:t>
      </w:r>
      <w:proofErr w:type="spellStart"/>
      <w:r w:rsidR="005B593B" w:rsidRPr="004459DA">
        <w:t>GnRH</w:t>
      </w:r>
      <w:proofErr w:type="spellEnd"/>
      <w:r w:rsidR="005B593B" w:rsidRPr="004459DA">
        <w:t xml:space="preserve"> agonist </w:t>
      </w:r>
      <w:r w:rsidR="009F0FCD" w:rsidRPr="004459DA">
        <w:t xml:space="preserve">market, but its use increased by </w:t>
      </w:r>
      <w:r w:rsidR="00E22E13">
        <w:t>one and a half times</w:t>
      </w:r>
      <w:r w:rsidR="009F0FCD" w:rsidRPr="004459DA">
        <w:t xml:space="preserve"> between 2016 and 2018</w:t>
      </w:r>
      <w:r w:rsidR="00B11673">
        <w:t xml:space="preserve"> after it became a Restricted Benefit listing from October 2016</w:t>
      </w:r>
      <w:r w:rsidR="009F0FCD" w:rsidRPr="004459DA">
        <w:t>.</w:t>
      </w:r>
      <w:r w:rsidR="005B593B" w:rsidRPr="004459DA">
        <w:t xml:space="preserve"> </w:t>
      </w:r>
      <w:r w:rsidR="00D96B9C" w:rsidRPr="004459DA">
        <w:t xml:space="preserve">The use of </w:t>
      </w:r>
      <w:proofErr w:type="spellStart"/>
      <w:r w:rsidR="00D96B9C">
        <w:t>triptorelin</w:t>
      </w:r>
      <w:proofErr w:type="spellEnd"/>
      <w:r w:rsidR="00D96B9C" w:rsidRPr="004459DA">
        <w:t xml:space="preserve"> is </w:t>
      </w:r>
      <w:r w:rsidR="00D96B9C">
        <w:t xml:space="preserve">also </w:t>
      </w:r>
      <w:r w:rsidR="00D96B9C" w:rsidRPr="004459DA">
        <w:t xml:space="preserve">small </w:t>
      </w:r>
      <w:r w:rsidR="009060F2">
        <w:t>relative to the overall</w:t>
      </w:r>
      <w:r w:rsidR="00D96B9C" w:rsidRPr="004459DA">
        <w:t xml:space="preserve"> </w:t>
      </w:r>
      <w:proofErr w:type="spellStart"/>
      <w:r w:rsidR="00D96B9C" w:rsidRPr="004459DA">
        <w:t>GnRH</w:t>
      </w:r>
      <w:proofErr w:type="spellEnd"/>
      <w:r w:rsidR="00D96B9C" w:rsidRPr="004459DA">
        <w:t xml:space="preserve"> agonist </w:t>
      </w:r>
      <w:r w:rsidR="00E22E13">
        <w:t xml:space="preserve">market and is growing at a </w:t>
      </w:r>
      <w:r w:rsidR="006405D5">
        <w:t>lower</w:t>
      </w:r>
      <w:r w:rsidR="00E22E13">
        <w:t xml:space="preserve"> rate than </w:t>
      </w:r>
      <w:proofErr w:type="spellStart"/>
      <w:r w:rsidR="00E22E13">
        <w:t>nafarelin</w:t>
      </w:r>
      <w:proofErr w:type="spellEnd"/>
      <w:r w:rsidR="00E22E13">
        <w:t xml:space="preserve">. </w:t>
      </w:r>
    </w:p>
    <w:p w14:paraId="3B987B5E" w14:textId="39FB0958" w:rsidR="002A6704" w:rsidRPr="004C1DC3" w:rsidRDefault="00997146" w:rsidP="002A6704">
      <w:pPr>
        <w:rPr>
          <w:color w:val="BFBFBF" w:themeColor="background1" w:themeShade="BF"/>
        </w:rPr>
      </w:pPr>
      <w:r>
        <w:rPr>
          <w:noProof/>
        </w:rPr>
        <w:drawing>
          <wp:inline distT="0" distB="0" distL="0" distR="0" wp14:anchorId="6EA23C86" wp14:editId="01E118E4">
            <wp:extent cx="5687695" cy="4880344"/>
            <wp:effectExtent l="0" t="0" r="8255" b="15875"/>
            <wp:docPr id="4" name="Chart 4" descr="Prescriptions by product and month of supply" title="Prescriptions by product and month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C1A534" w14:textId="6D17CFF5" w:rsidR="002A6704" w:rsidRDefault="00D9012E" w:rsidP="004459DA">
      <w:pPr>
        <w:pStyle w:val="Figuretitle"/>
      </w:pPr>
      <w:r>
        <w:t>Figure 2</w:t>
      </w:r>
      <w:r w:rsidR="002A6704" w:rsidRPr="004459DA">
        <w:t>: Prescriptions by product and month of supply</w:t>
      </w:r>
    </w:p>
    <w:p w14:paraId="6FA072BA" w14:textId="77777777" w:rsidR="00997146" w:rsidRDefault="00997146" w:rsidP="00997146"/>
    <w:p w14:paraId="0EA2B58E" w14:textId="77777777" w:rsidR="00450B92" w:rsidRDefault="00450B92">
      <w:pPr>
        <w:spacing w:line="276" w:lineRule="auto"/>
        <w:rPr>
          <w:b/>
        </w:rPr>
      </w:pPr>
      <w:r>
        <w:br w:type="page"/>
      </w:r>
    </w:p>
    <w:p w14:paraId="03E13D8A" w14:textId="03A29109" w:rsidR="00FF5CDB" w:rsidRPr="00997146" w:rsidRDefault="00FF5CDB" w:rsidP="00FF5CDB">
      <w:pPr>
        <w:pStyle w:val="Tabletitle"/>
      </w:pPr>
      <w:r w:rsidRPr="00997146">
        <w:lastRenderedPageBreak/>
        <w:t xml:space="preserve">Table </w:t>
      </w:r>
      <w:r w:rsidR="00D9012E">
        <w:t>6</w:t>
      </w:r>
      <w:r w:rsidRPr="00997146">
        <w:t>: Prescriptions by product and year of supply</w:t>
      </w:r>
    </w:p>
    <w:tbl>
      <w:tblPr>
        <w:tblStyle w:val="TableGrid"/>
        <w:tblW w:w="0" w:type="auto"/>
        <w:tblLayout w:type="fixed"/>
        <w:tblLook w:val="04A0" w:firstRow="1" w:lastRow="0" w:firstColumn="1" w:lastColumn="0" w:noHBand="0" w:noVBand="1"/>
        <w:tblCaption w:val="Prescriptions by product and year of supply"/>
        <w:tblDescription w:val="Prescriptions by product and year of supply"/>
      </w:tblPr>
      <w:tblGrid>
        <w:gridCol w:w="2877"/>
        <w:gridCol w:w="1011"/>
        <w:gridCol w:w="1012"/>
        <w:gridCol w:w="1012"/>
        <w:gridCol w:w="1011"/>
        <w:gridCol w:w="1012"/>
        <w:gridCol w:w="1012"/>
      </w:tblGrid>
      <w:tr w:rsidR="00997146" w:rsidRPr="00D11DA7" w14:paraId="0C940F82" w14:textId="77777777" w:rsidTr="001134CB">
        <w:trPr>
          <w:trHeight w:val="300"/>
          <w:tblHeader/>
        </w:trPr>
        <w:tc>
          <w:tcPr>
            <w:tcW w:w="2877" w:type="dxa"/>
            <w:tcBorders>
              <w:right w:val="single" w:sz="4" w:space="0" w:color="auto"/>
            </w:tcBorders>
            <w:shd w:val="clear" w:color="auto" w:fill="BFBFBF" w:themeFill="background1" w:themeFillShade="BF"/>
            <w:noWrap/>
            <w:vAlign w:val="center"/>
          </w:tcPr>
          <w:p w14:paraId="4F8CB63A" w14:textId="22FFD374" w:rsidR="00997146" w:rsidRPr="00D11DA7" w:rsidRDefault="00997146" w:rsidP="00997146">
            <w:pPr>
              <w:rPr>
                <w:b/>
                <w:bCs/>
                <w:sz w:val="20"/>
                <w:szCs w:val="20"/>
              </w:rPr>
            </w:pPr>
          </w:p>
        </w:tc>
        <w:tc>
          <w:tcPr>
            <w:tcW w:w="101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437A53C" w14:textId="77777777" w:rsidR="00997146" w:rsidRPr="00D11DA7" w:rsidRDefault="00997146" w:rsidP="00997146">
            <w:pPr>
              <w:jc w:val="center"/>
              <w:rPr>
                <w:b/>
                <w:bCs/>
                <w:sz w:val="20"/>
                <w:szCs w:val="20"/>
              </w:rPr>
            </w:pPr>
            <w:r w:rsidRPr="00D11DA7">
              <w:rPr>
                <w:b/>
                <w:bCs/>
                <w:sz w:val="20"/>
                <w:szCs w:val="20"/>
              </w:rPr>
              <w:t>2014</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5CAEAA7" w14:textId="77777777" w:rsidR="00997146" w:rsidRPr="00D11DA7" w:rsidRDefault="00997146" w:rsidP="00997146">
            <w:pPr>
              <w:jc w:val="center"/>
              <w:rPr>
                <w:b/>
                <w:bCs/>
                <w:sz w:val="20"/>
                <w:szCs w:val="20"/>
              </w:rPr>
            </w:pPr>
            <w:r w:rsidRPr="00D11DA7">
              <w:rPr>
                <w:b/>
                <w:bCs/>
                <w:sz w:val="20"/>
                <w:szCs w:val="20"/>
              </w:rPr>
              <w:t>2015</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498EC2D" w14:textId="77777777" w:rsidR="00997146" w:rsidRPr="00D11DA7" w:rsidRDefault="00997146" w:rsidP="00997146">
            <w:pPr>
              <w:jc w:val="center"/>
              <w:rPr>
                <w:b/>
                <w:bCs/>
                <w:sz w:val="20"/>
                <w:szCs w:val="20"/>
              </w:rPr>
            </w:pPr>
            <w:r w:rsidRPr="00D11DA7">
              <w:rPr>
                <w:b/>
                <w:bCs/>
                <w:sz w:val="20"/>
                <w:szCs w:val="20"/>
              </w:rPr>
              <w:t>2016</w:t>
            </w:r>
          </w:p>
        </w:tc>
        <w:tc>
          <w:tcPr>
            <w:tcW w:w="101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9A93637" w14:textId="77777777" w:rsidR="00997146" w:rsidRPr="00D11DA7" w:rsidRDefault="00997146" w:rsidP="00997146">
            <w:pPr>
              <w:jc w:val="center"/>
              <w:rPr>
                <w:b/>
                <w:bCs/>
                <w:sz w:val="20"/>
                <w:szCs w:val="20"/>
              </w:rPr>
            </w:pPr>
            <w:r w:rsidRPr="00D11DA7">
              <w:rPr>
                <w:b/>
                <w:bCs/>
                <w:sz w:val="20"/>
                <w:szCs w:val="20"/>
              </w:rPr>
              <w:t>2017</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B91BAD6" w14:textId="77777777" w:rsidR="00997146" w:rsidRPr="00D11DA7" w:rsidRDefault="00997146" w:rsidP="00997146">
            <w:pPr>
              <w:jc w:val="center"/>
              <w:rPr>
                <w:b/>
                <w:bCs/>
                <w:sz w:val="20"/>
                <w:szCs w:val="20"/>
              </w:rPr>
            </w:pPr>
            <w:r w:rsidRPr="00D11DA7">
              <w:rPr>
                <w:b/>
                <w:bCs/>
                <w:sz w:val="20"/>
                <w:szCs w:val="20"/>
              </w:rPr>
              <w:t>2018</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0B9A24C" w14:textId="7AA9ACA8" w:rsidR="00997146" w:rsidRPr="00D11DA7" w:rsidRDefault="00997146" w:rsidP="00997146">
            <w:pPr>
              <w:jc w:val="center"/>
              <w:rPr>
                <w:b/>
                <w:bCs/>
                <w:sz w:val="20"/>
                <w:szCs w:val="20"/>
              </w:rPr>
            </w:pPr>
            <w:r w:rsidRPr="00D11DA7">
              <w:rPr>
                <w:b/>
                <w:bCs/>
                <w:sz w:val="20"/>
                <w:szCs w:val="20"/>
              </w:rPr>
              <w:t>Total</w:t>
            </w:r>
          </w:p>
        </w:tc>
      </w:tr>
      <w:tr w:rsidR="00997146" w:rsidRPr="00D11DA7" w14:paraId="487D450D" w14:textId="77777777" w:rsidTr="001134CB">
        <w:trPr>
          <w:trHeight w:val="300"/>
        </w:trPr>
        <w:tc>
          <w:tcPr>
            <w:tcW w:w="2877" w:type="dxa"/>
            <w:tcBorders>
              <w:right w:val="single" w:sz="4" w:space="0" w:color="auto"/>
            </w:tcBorders>
            <w:noWrap/>
            <w:vAlign w:val="center"/>
            <w:hideMark/>
          </w:tcPr>
          <w:p w14:paraId="2723B629" w14:textId="137CDDF5" w:rsidR="00997146" w:rsidRPr="00D11DA7" w:rsidRDefault="00997146" w:rsidP="002B118D">
            <w:pPr>
              <w:rPr>
                <w:sz w:val="20"/>
                <w:szCs w:val="20"/>
              </w:rPr>
            </w:pPr>
            <w:proofErr w:type="spellStart"/>
            <w:r w:rsidRPr="00D11DA7">
              <w:rPr>
                <w:sz w:val="20"/>
                <w:szCs w:val="20"/>
              </w:rPr>
              <w:t>Goserelin</w:t>
            </w:r>
            <w:proofErr w:type="spellEnd"/>
            <w:r w:rsidRPr="00D11DA7">
              <w:rPr>
                <w:sz w:val="20"/>
                <w:szCs w:val="20"/>
              </w:rPr>
              <w:t xml:space="preserve"> 1 month</w:t>
            </w:r>
          </w:p>
        </w:tc>
        <w:tc>
          <w:tcPr>
            <w:tcW w:w="1011" w:type="dxa"/>
            <w:tcBorders>
              <w:top w:val="single" w:sz="4" w:space="0" w:color="auto"/>
              <w:left w:val="single" w:sz="4" w:space="0" w:color="auto"/>
              <w:bottom w:val="single" w:sz="4" w:space="0" w:color="auto"/>
              <w:right w:val="single" w:sz="4" w:space="0" w:color="auto"/>
            </w:tcBorders>
            <w:noWrap/>
            <w:vAlign w:val="center"/>
            <w:hideMark/>
          </w:tcPr>
          <w:p w14:paraId="201004C2" w14:textId="68A0474B" w:rsidR="00997146" w:rsidRPr="00D11DA7" w:rsidRDefault="00997146" w:rsidP="00997146">
            <w:pPr>
              <w:jc w:val="right"/>
              <w:rPr>
                <w:sz w:val="20"/>
                <w:szCs w:val="20"/>
              </w:rPr>
            </w:pPr>
            <w:r w:rsidRPr="00D11DA7">
              <w:rPr>
                <w:rFonts w:ascii="Calibri" w:hAnsi="Calibri" w:cs="Calibri"/>
                <w:color w:val="000000"/>
                <w:sz w:val="20"/>
                <w:szCs w:val="20"/>
              </w:rPr>
              <w:t>20,358</w:t>
            </w:r>
          </w:p>
        </w:tc>
        <w:tc>
          <w:tcPr>
            <w:tcW w:w="1012" w:type="dxa"/>
            <w:tcBorders>
              <w:top w:val="single" w:sz="4" w:space="0" w:color="auto"/>
              <w:left w:val="single" w:sz="4" w:space="0" w:color="auto"/>
              <w:bottom w:val="single" w:sz="4" w:space="0" w:color="auto"/>
              <w:right w:val="single" w:sz="4" w:space="0" w:color="auto"/>
            </w:tcBorders>
            <w:noWrap/>
            <w:vAlign w:val="center"/>
            <w:hideMark/>
          </w:tcPr>
          <w:p w14:paraId="2193535B" w14:textId="5DF04397" w:rsidR="00997146" w:rsidRPr="00D11DA7" w:rsidRDefault="00997146" w:rsidP="00997146">
            <w:pPr>
              <w:jc w:val="right"/>
              <w:rPr>
                <w:sz w:val="20"/>
                <w:szCs w:val="20"/>
              </w:rPr>
            </w:pPr>
            <w:r w:rsidRPr="00D11DA7">
              <w:rPr>
                <w:rFonts w:ascii="Calibri" w:hAnsi="Calibri" w:cs="Calibri"/>
                <w:color w:val="000000"/>
                <w:sz w:val="20"/>
                <w:szCs w:val="20"/>
              </w:rPr>
              <w:t>24,036</w:t>
            </w:r>
          </w:p>
        </w:tc>
        <w:tc>
          <w:tcPr>
            <w:tcW w:w="1012" w:type="dxa"/>
            <w:tcBorders>
              <w:top w:val="single" w:sz="4" w:space="0" w:color="auto"/>
              <w:left w:val="single" w:sz="4" w:space="0" w:color="auto"/>
              <w:bottom w:val="single" w:sz="4" w:space="0" w:color="auto"/>
              <w:right w:val="single" w:sz="4" w:space="0" w:color="auto"/>
            </w:tcBorders>
            <w:noWrap/>
            <w:vAlign w:val="center"/>
            <w:hideMark/>
          </w:tcPr>
          <w:p w14:paraId="2BF18B79" w14:textId="648A3458" w:rsidR="00997146" w:rsidRPr="00D11DA7" w:rsidRDefault="00997146" w:rsidP="00997146">
            <w:pPr>
              <w:jc w:val="right"/>
              <w:rPr>
                <w:sz w:val="20"/>
                <w:szCs w:val="20"/>
              </w:rPr>
            </w:pPr>
            <w:r w:rsidRPr="00D11DA7">
              <w:rPr>
                <w:rFonts w:ascii="Calibri" w:hAnsi="Calibri" w:cs="Calibri"/>
                <w:color w:val="000000"/>
                <w:sz w:val="20"/>
                <w:szCs w:val="20"/>
              </w:rPr>
              <w:t>31,088</w:t>
            </w:r>
          </w:p>
        </w:tc>
        <w:tc>
          <w:tcPr>
            <w:tcW w:w="1011" w:type="dxa"/>
            <w:tcBorders>
              <w:top w:val="single" w:sz="4" w:space="0" w:color="auto"/>
              <w:left w:val="single" w:sz="4" w:space="0" w:color="auto"/>
              <w:bottom w:val="single" w:sz="4" w:space="0" w:color="auto"/>
              <w:right w:val="single" w:sz="4" w:space="0" w:color="auto"/>
            </w:tcBorders>
            <w:noWrap/>
            <w:vAlign w:val="center"/>
            <w:hideMark/>
          </w:tcPr>
          <w:p w14:paraId="6C806A62" w14:textId="6513D01A" w:rsidR="00997146" w:rsidRPr="00D11DA7" w:rsidRDefault="00997146" w:rsidP="00997146">
            <w:pPr>
              <w:jc w:val="right"/>
              <w:rPr>
                <w:sz w:val="20"/>
                <w:szCs w:val="20"/>
              </w:rPr>
            </w:pPr>
            <w:r w:rsidRPr="00D11DA7">
              <w:rPr>
                <w:rFonts w:ascii="Calibri" w:hAnsi="Calibri" w:cs="Calibri"/>
                <w:color w:val="000000"/>
                <w:sz w:val="20"/>
                <w:szCs w:val="20"/>
              </w:rPr>
              <w:t>35,361</w:t>
            </w:r>
          </w:p>
        </w:tc>
        <w:tc>
          <w:tcPr>
            <w:tcW w:w="1012" w:type="dxa"/>
            <w:tcBorders>
              <w:top w:val="single" w:sz="4" w:space="0" w:color="auto"/>
              <w:left w:val="single" w:sz="4" w:space="0" w:color="auto"/>
              <w:bottom w:val="single" w:sz="4" w:space="0" w:color="auto"/>
              <w:right w:val="single" w:sz="4" w:space="0" w:color="auto"/>
            </w:tcBorders>
            <w:noWrap/>
            <w:vAlign w:val="center"/>
            <w:hideMark/>
          </w:tcPr>
          <w:p w14:paraId="157E321B" w14:textId="01356E9D" w:rsidR="00997146" w:rsidRPr="00D11DA7" w:rsidRDefault="00997146" w:rsidP="00997146">
            <w:pPr>
              <w:jc w:val="right"/>
              <w:rPr>
                <w:sz w:val="20"/>
                <w:szCs w:val="20"/>
              </w:rPr>
            </w:pPr>
            <w:r w:rsidRPr="00D11DA7">
              <w:rPr>
                <w:rFonts w:ascii="Calibri" w:hAnsi="Calibri" w:cs="Calibri"/>
                <w:color w:val="000000"/>
                <w:sz w:val="20"/>
                <w:szCs w:val="20"/>
              </w:rPr>
              <w:t>43,088</w:t>
            </w:r>
          </w:p>
        </w:tc>
        <w:tc>
          <w:tcPr>
            <w:tcW w:w="1012" w:type="dxa"/>
            <w:tcBorders>
              <w:top w:val="single" w:sz="4" w:space="0" w:color="auto"/>
              <w:left w:val="single" w:sz="4" w:space="0" w:color="auto"/>
              <w:bottom w:val="single" w:sz="4" w:space="0" w:color="auto"/>
              <w:right w:val="single" w:sz="4" w:space="0" w:color="auto"/>
            </w:tcBorders>
            <w:noWrap/>
            <w:vAlign w:val="center"/>
            <w:hideMark/>
          </w:tcPr>
          <w:p w14:paraId="2554FD11" w14:textId="6ED35930" w:rsidR="00997146" w:rsidRPr="00D11DA7" w:rsidRDefault="00997146" w:rsidP="00997146">
            <w:pPr>
              <w:jc w:val="right"/>
              <w:rPr>
                <w:sz w:val="20"/>
                <w:szCs w:val="20"/>
              </w:rPr>
            </w:pPr>
            <w:r w:rsidRPr="00D11DA7">
              <w:rPr>
                <w:rFonts w:ascii="Calibri" w:hAnsi="Calibri" w:cs="Calibri"/>
                <w:color w:val="000000"/>
                <w:sz w:val="20"/>
                <w:szCs w:val="20"/>
              </w:rPr>
              <w:t>153,931</w:t>
            </w:r>
          </w:p>
        </w:tc>
      </w:tr>
      <w:tr w:rsidR="00997146" w:rsidRPr="00D11DA7" w14:paraId="044161DB" w14:textId="77777777" w:rsidTr="001134CB">
        <w:trPr>
          <w:trHeight w:val="300"/>
        </w:trPr>
        <w:tc>
          <w:tcPr>
            <w:tcW w:w="2877" w:type="dxa"/>
            <w:noWrap/>
            <w:vAlign w:val="center"/>
            <w:hideMark/>
          </w:tcPr>
          <w:p w14:paraId="08CECF54" w14:textId="5F303269" w:rsidR="00997146" w:rsidRPr="00D11DA7" w:rsidRDefault="00997146" w:rsidP="002B118D">
            <w:pPr>
              <w:rPr>
                <w:sz w:val="20"/>
                <w:szCs w:val="20"/>
              </w:rPr>
            </w:pPr>
            <w:proofErr w:type="spellStart"/>
            <w:r w:rsidRPr="00D11DA7">
              <w:rPr>
                <w:sz w:val="20"/>
                <w:szCs w:val="20"/>
              </w:rPr>
              <w:t>Goserelin</w:t>
            </w:r>
            <w:proofErr w:type="spellEnd"/>
            <w:r w:rsidRPr="00D11DA7">
              <w:rPr>
                <w:sz w:val="20"/>
                <w:szCs w:val="20"/>
              </w:rPr>
              <w:t xml:space="preserve"> 3 month</w:t>
            </w:r>
          </w:p>
        </w:tc>
        <w:tc>
          <w:tcPr>
            <w:tcW w:w="1011" w:type="dxa"/>
            <w:tcBorders>
              <w:top w:val="single" w:sz="4" w:space="0" w:color="auto"/>
            </w:tcBorders>
            <w:noWrap/>
            <w:vAlign w:val="center"/>
            <w:hideMark/>
          </w:tcPr>
          <w:p w14:paraId="00F4878F" w14:textId="739AA132" w:rsidR="00997146" w:rsidRPr="00D11DA7" w:rsidRDefault="00997146" w:rsidP="00997146">
            <w:pPr>
              <w:jc w:val="right"/>
              <w:rPr>
                <w:sz w:val="20"/>
                <w:szCs w:val="20"/>
              </w:rPr>
            </w:pPr>
            <w:r w:rsidRPr="00D11DA7">
              <w:rPr>
                <w:rFonts w:ascii="Calibri" w:hAnsi="Calibri" w:cs="Calibri"/>
                <w:color w:val="000000"/>
                <w:sz w:val="20"/>
                <w:szCs w:val="20"/>
              </w:rPr>
              <w:t>48,691</w:t>
            </w:r>
          </w:p>
        </w:tc>
        <w:tc>
          <w:tcPr>
            <w:tcW w:w="1012" w:type="dxa"/>
            <w:tcBorders>
              <w:top w:val="single" w:sz="4" w:space="0" w:color="auto"/>
            </w:tcBorders>
            <w:noWrap/>
            <w:vAlign w:val="center"/>
            <w:hideMark/>
          </w:tcPr>
          <w:p w14:paraId="40013BB6" w14:textId="5B457C55" w:rsidR="00997146" w:rsidRPr="00D11DA7" w:rsidRDefault="00997146" w:rsidP="00997146">
            <w:pPr>
              <w:jc w:val="right"/>
              <w:rPr>
                <w:sz w:val="20"/>
                <w:szCs w:val="20"/>
              </w:rPr>
            </w:pPr>
            <w:r w:rsidRPr="00D11DA7">
              <w:rPr>
                <w:rFonts w:ascii="Calibri" w:hAnsi="Calibri" w:cs="Calibri"/>
                <w:color w:val="000000"/>
                <w:sz w:val="20"/>
                <w:szCs w:val="20"/>
              </w:rPr>
              <w:t>48,219</w:t>
            </w:r>
          </w:p>
        </w:tc>
        <w:tc>
          <w:tcPr>
            <w:tcW w:w="1012" w:type="dxa"/>
            <w:tcBorders>
              <w:top w:val="single" w:sz="4" w:space="0" w:color="auto"/>
            </w:tcBorders>
            <w:noWrap/>
            <w:vAlign w:val="center"/>
            <w:hideMark/>
          </w:tcPr>
          <w:p w14:paraId="0A5C88E4" w14:textId="7052A4F1" w:rsidR="00997146" w:rsidRPr="00D11DA7" w:rsidRDefault="00997146" w:rsidP="00997146">
            <w:pPr>
              <w:jc w:val="right"/>
              <w:rPr>
                <w:sz w:val="20"/>
                <w:szCs w:val="20"/>
              </w:rPr>
            </w:pPr>
            <w:r w:rsidRPr="00D11DA7">
              <w:rPr>
                <w:rFonts w:ascii="Calibri" w:hAnsi="Calibri" w:cs="Calibri"/>
                <w:color w:val="000000"/>
                <w:sz w:val="20"/>
                <w:szCs w:val="20"/>
              </w:rPr>
              <w:t>48,308</w:t>
            </w:r>
          </w:p>
        </w:tc>
        <w:tc>
          <w:tcPr>
            <w:tcW w:w="1011" w:type="dxa"/>
            <w:tcBorders>
              <w:top w:val="single" w:sz="4" w:space="0" w:color="auto"/>
            </w:tcBorders>
            <w:noWrap/>
            <w:vAlign w:val="center"/>
            <w:hideMark/>
          </w:tcPr>
          <w:p w14:paraId="1AFC549E" w14:textId="7E0103B3" w:rsidR="00997146" w:rsidRPr="00D11DA7" w:rsidRDefault="00997146" w:rsidP="00997146">
            <w:pPr>
              <w:jc w:val="right"/>
              <w:rPr>
                <w:sz w:val="20"/>
                <w:szCs w:val="20"/>
              </w:rPr>
            </w:pPr>
            <w:r w:rsidRPr="00D11DA7">
              <w:rPr>
                <w:rFonts w:ascii="Calibri" w:hAnsi="Calibri" w:cs="Calibri"/>
                <w:color w:val="000000"/>
                <w:sz w:val="20"/>
                <w:szCs w:val="20"/>
              </w:rPr>
              <w:t>49,877</w:t>
            </w:r>
          </w:p>
        </w:tc>
        <w:tc>
          <w:tcPr>
            <w:tcW w:w="1012" w:type="dxa"/>
            <w:tcBorders>
              <w:top w:val="single" w:sz="4" w:space="0" w:color="auto"/>
            </w:tcBorders>
            <w:noWrap/>
            <w:vAlign w:val="center"/>
            <w:hideMark/>
          </w:tcPr>
          <w:p w14:paraId="5D46F74E" w14:textId="336C0D57" w:rsidR="00997146" w:rsidRPr="00D11DA7" w:rsidRDefault="00997146" w:rsidP="00997146">
            <w:pPr>
              <w:jc w:val="right"/>
              <w:rPr>
                <w:sz w:val="20"/>
                <w:szCs w:val="20"/>
              </w:rPr>
            </w:pPr>
            <w:r w:rsidRPr="00D11DA7">
              <w:rPr>
                <w:rFonts w:ascii="Calibri" w:hAnsi="Calibri" w:cs="Calibri"/>
                <w:color w:val="000000"/>
                <w:sz w:val="20"/>
                <w:szCs w:val="20"/>
              </w:rPr>
              <w:t>52,050</w:t>
            </w:r>
          </w:p>
        </w:tc>
        <w:tc>
          <w:tcPr>
            <w:tcW w:w="1012" w:type="dxa"/>
            <w:tcBorders>
              <w:top w:val="single" w:sz="4" w:space="0" w:color="auto"/>
            </w:tcBorders>
            <w:noWrap/>
            <w:vAlign w:val="center"/>
            <w:hideMark/>
          </w:tcPr>
          <w:p w14:paraId="068A573D" w14:textId="0B884A4A" w:rsidR="00997146" w:rsidRPr="00D11DA7" w:rsidRDefault="00997146" w:rsidP="00997146">
            <w:pPr>
              <w:jc w:val="right"/>
              <w:rPr>
                <w:sz w:val="20"/>
                <w:szCs w:val="20"/>
              </w:rPr>
            </w:pPr>
            <w:r w:rsidRPr="00D11DA7">
              <w:rPr>
                <w:rFonts w:ascii="Calibri" w:hAnsi="Calibri" w:cs="Calibri"/>
                <w:color w:val="000000"/>
                <w:sz w:val="20"/>
                <w:szCs w:val="20"/>
              </w:rPr>
              <w:t>247,145</w:t>
            </w:r>
          </w:p>
        </w:tc>
      </w:tr>
      <w:tr w:rsidR="00997146" w:rsidRPr="00D11DA7" w14:paraId="1A4F523A" w14:textId="77777777" w:rsidTr="00997146">
        <w:trPr>
          <w:trHeight w:val="300"/>
        </w:trPr>
        <w:tc>
          <w:tcPr>
            <w:tcW w:w="2877" w:type="dxa"/>
            <w:noWrap/>
            <w:vAlign w:val="center"/>
            <w:hideMark/>
          </w:tcPr>
          <w:p w14:paraId="5B53C5DB" w14:textId="77777777" w:rsidR="00997146" w:rsidRPr="00D11DA7" w:rsidRDefault="00997146" w:rsidP="00997146">
            <w:pPr>
              <w:rPr>
                <w:sz w:val="20"/>
                <w:szCs w:val="20"/>
              </w:rPr>
            </w:pPr>
            <w:proofErr w:type="spellStart"/>
            <w:r w:rsidRPr="00D11DA7">
              <w:rPr>
                <w:sz w:val="20"/>
                <w:szCs w:val="20"/>
              </w:rPr>
              <w:t>Goserelin</w:t>
            </w:r>
            <w:proofErr w:type="spellEnd"/>
            <w:r w:rsidRPr="00D11DA7">
              <w:rPr>
                <w:sz w:val="20"/>
                <w:szCs w:val="20"/>
              </w:rPr>
              <w:t xml:space="preserve"> </w:t>
            </w:r>
            <w:proofErr w:type="spellStart"/>
            <w:r w:rsidRPr="00D11DA7">
              <w:rPr>
                <w:sz w:val="20"/>
                <w:szCs w:val="20"/>
              </w:rPr>
              <w:t>Bicalutamide</w:t>
            </w:r>
            <w:proofErr w:type="spellEnd"/>
            <w:r w:rsidRPr="00D11DA7">
              <w:rPr>
                <w:sz w:val="20"/>
                <w:szCs w:val="20"/>
              </w:rPr>
              <w:t xml:space="preserve"> 1 month</w:t>
            </w:r>
          </w:p>
        </w:tc>
        <w:tc>
          <w:tcPr>
            <w:tcW w:w="1011" w:type="dxa"/>
            <w:noWrap/>
            <w:vAlign w:val="center"/>
            <w:hideMark/>
          </w:tcPr>
          <w:p w14:paraId="37DA3E59" w14:textId="12D3E95B" w:rsidR="00997146" w:rsidRPr="00D11DA7" w:rsidRDefault="00997146" w:rsidP="00997146">
            <w:pPr>
              <w:jc w:val="right"/>
              <w:rPr>
                <w:sz w:val="20"/>
                <w:szCs w:val="20"/>
              </w:rPr>
            </w:pPr>
            <w:r w:rsidRPr="00D11DA7">
              <w:rPr>
                <w:rFonts w:ascii="Calibri" w:hAnsi="Calibri" w:cs="Calibri"/>
                <w:color w:val="000000"/>
                <w:sz w:val="20"/>
                <w:szCs w:val="20"/>
              </w:rPr>
              <w:t>372</w:t>
            </w:r>
          </w:p>
        </w:tc>
        <w:tc>
          <w:tcPr>
            <w:tcW w:w="1012" w:type="dxa"/>
            <w:noWrap/>
            <w:vAlign w:val="center"/>
            <w:hideMark/>
          </w:tcPr>
          <w:p w14:paraId="4A96A35D" w14:textId="25DEAFDA" w:rsidR="00997146" w:rsidRPr="00D11DA7" w:rsidRDefault="00997146" w:rsidP="00997146">
            <w:pPr>
              <w:jc w:val="right"/>
              <w:rPr>
                <w:sz w:val="20"/>
                <w:szCs w:val="20"/>
              </w:rPr>
            </w:pPr>
            <w:r w:rsidRPr="00D11DA7">
              <w:rPr>
                <w:rFonts w:ascii="Calibri" w:hAnsi="Calibri" w:cs="Calibri"/>
                <w:color w:val="000000"/>
                <w:sz w:val="20"/>
                <w:szCs w:val="20"/>
              </w:rPr>
              <w:t>342</w:t>
            </w:r>
          </w:p>
        </w:tc>
        <w:tc>
          <w:tcPr>
            <w:tcW w:w="1012" w:type="dxa"/>
            <w:noWrap/>
            <w:vAlign w:val="center"/>
            <w:hideMark/>
          </w:tcPr>
          <w:p w14:paraId="1006081F" w14:textId="2B1AB287" w:rsidR="00997146" w:rsidRPr="00D11DA7" w:rsidRDefault="00997146" w:rsidP="00997146">
            <w:pPr>
              <w:jc w:val="right"/>
              <w:rPr>
                <w:sz w:val="20"/>
                <w:szCs w:val="20"/>
              </w:rPr>
            </w:pPr>
            <w:r w:rsidRPr="00D11DA7">
              <w:rPr>
                <w:rFonts w:ascii="Calibri" w:hAnsi="Calibri" w:cs="Calibri"/>
                <w:color w:val="000000"/>
                <w:sz w:val="20"/>
                <w:szCs w:val="20"/>
              </w:rPr>
              <w:t>336</w:t>
            </w:r>
          </w:p>
        </w:tc>
        <w:tc>
          <w:tcPr>
            <w:tcW w:w="1011" w:type="dxa"/>
            <w:noWrap/>
            <w:vAlign w:val="center"/>
            <w:hideMark/>
          </w:tcPr>
          <w:p w14:paraId="52723EDD" w14:textId="56461C43" w:rsidR="00997146" w:rsidRPr="00D11DA7" w:rsidRDefault="00997146" w:rsidP="00997146">
            <w:pPr>
              <w:jc w:val="right"/>
              <w:rPr>
                <w:sz w:val="20"/>
                <w:szCs w:val="20"/>
              </w:rPr>
            </w:pPr>
            <w:r w:rsidRPr="00D11DA7">
              <w:rPr>
                <w:rFonts w:ascii="Calibri" w:hAnsi="Calibri" w:cs="Calibri"/>
                <w:color w:val="000000"/>
                <w:sz w:val="20"/>
                <w:szCs w:val="20"/>
              </w:rPr>
              <w:t>248</w:t>
            </w:r>
          </w:p>
        </w:tc>
        <w:tc>
          <w:tcPr>
            <w:tcW w:w="1012" w:type="dxa"/>
            <w:noWrap/>
            <w:vAlign w:val="center"/>
            <w:hideMark/>
          </w:tcPr>
          <w:p w14:paraId="03E28792" w14:textId="1743C16E" w:rsidR="00997146" w:rsidRPr="00D11DA7" w:rsidRDefault="00997146" w:rsidP="00997146">
            <w:pPr>
              <w:jc w:val="right"/>
              <w:rPr>
                <w:sz w:val="20"/>
                <w:szCs w:val="20"/>
              </w:rPr>
            </w:pPr>
            <w:r w:rsidRPr="00D11DA7">
              <w:rPr>
                <w:rFonts w:ascii="Calibri" w:hAnsi="Calibri" w:cs="Calibri"/>
                <w:color w:val="000000"/>
                <w:sz w:val="20"/>
                <w:szCs w:val="20"/>
              </w:rPr>
              <w:t>210</w:t>
            </w:r>
          </w:p>
        </w:tc>
        <w:tc>
          <w:tcPr>
            <w:tcW w:w="1012" w:type="dxa"/>
            <w:noWrap/>
            <w:vAlign w:val="center"/>
            <w:hideMark/>
          </w:tcPr>
          <w:p w14:paraId="24779301" w14:textId="1E30094E" w:rsidR="00997146" w:rsidRPr="00D11DA7" w:rsidRDefault="00997146" w:rsidP="00997146">
            <w:pPr>
              <w:jc w:val="right"/>
              <w:rPr>
                <w:sz w:val="20"/>
                <w:szCs w:val="20"/>
              </w:rPr>
            </w:pPr>
            <w:r w:rsidRPr="00D11DA7">
              <w:rPr>
                <w:rFonts w:ascii="Calibri" w:hAnsi="Calibri" w:cs="Calibri"/>
                <w:color w:val="000000"/>
                <w:sz w:val="20"/>
                <w:szCs w:val="20"/>
              </w:rPr>
              <w:t>1,508</w:t>
            </w:r>
          </w:p>
        </w:tc>
      </w:tr>
      <w:tr w:rsidR="00997146" w:rsidRPr="00D11DA7" w14:paraId="48ED77A4" w14:textId="77777777" w:rsidTr="00997146">
        <w:trPr>
          <w:trHeight w:val="300"/>
        </w:trPr>
        <w:tc>
          <w:tcPr>
            <w:tcW w:w="2877" w:type="dxa"/>
            <w:noWrap/>
            <w:vAlign w:val="center"/>
            <w:hideMark/>
          </w:tcPr>
          <w:p w14:paraId="70122BC5" w14:textId="77777777" w:rsidR="00997146" w:rsidRPr="00D11DA7" w:rsidRDefault="00997146" w:rsidP="00997146">
            <w:pPr>
              <w:rPr>
                <w:sz w:val="20"/>
                <w:szCs w:val="20"/>
              </w:rPr>
            </w:pPr>
            <w:proofErr w:type="spellStart"/>
            <w:r w:rsidRPr="00D11DA7">
              <w:rPr>
                <w:sz w:val="20"/>
                <w:szCs w:val="20"/>
              </w:rPr>
              <w:t>Goserelin</w:t>
            </w:r>
            <w:proofErr w:type="spellEnd"/>
            <w:r w:rsidRPr="00D11DA7">
              <w:rPr>
                <w:sz w:val="20"/>
                <w:szCs w:val="20"/>
              </w:rPr>
              <w:t xml:space="preserve"> </w:t>
            </w:r>
            <w:proofErr w:type="spellStart"/>
            <w:r w:rsidRPr="00D11DA7">
              <w:rPr>
                <w:sz w:val="20"/>
                <w:szCs w:val="20"/>
              </w:rPr>
              <w:t>Bicalutamide</w:t>
            </w:r>
            <w:proofErr w:type="spellEnd"/>
            <w:r w:rsidRPr="00D11DA7">
              <w:rPr>
                <w:sz w:val="20"/>
                <w:szCs w:val="20"/>
              </w:rPr>
              <w:t xml:space="preserve"> 3 month</w:t>
            </w:r>
          </w:p>
        </w:tc>
        <w:tc>
          <w:tcPr>
            <w:tcW w:w="1011" w:type="dxa"/>
            <w:noWrap/>
            <w:vAlign w:val="center"/>
            <w:hideMark/>
          </w:tcPr>
          <w:p w14:paraId="04262752" w14:textId="6EF61E83" w:rsidR="00997146" w:rsidRPr="00D11DA7" w:rsidRDefault="00997146" w:rsidP="00997146">
            <w:pPr>
              <w:jc w:val="right"/>
              <w:rPr>
                <w:sz w:val="20"/>
                <w:szCs w:val="20"/>
              </w:rPr>
            </w:pPr>
            <w:r w:rsidRPr="00D11DA7">
              <w:rPr>
                <w:rFonts w:ascii="Calibri" w:hAnsi="Calibri" w:cs="Calibri"/>
                <w:color w:val="000000"/>
                <w:sz w:val="20"/>
                <w:szCs w:val="20"/>
              </w:rPr>
              <w:t>4,871</w:t>
            </w:r>
          </w:p>
        </w:tc>
        <w:tc>
          <w:tcPr>
            <w:tcW w:w="1012" w:type="dxa"/>
            <w:noWrap/>
            <w:vAlign w:val="center"/>
            <w:hideMark/>
          </w:tcPr>
          <w:p w14:paraId="46BF26EA" w14:textId="5E7936E8" w:rsidR="00997146" w:rsidRPr="00D11DA7" w:rsidRDefault="00997146" w:rsidP="00997146">
            <w:pPr>
              <w:jc w:val="right"/>
              <w:rPr>
                <w:sz w:val="20"/>
                <w:szCs w:val="20"/>
              </w:rPr>
            </w:pPr>
            <w:r w:rsidRPr="00D11DA7">
              <w:rPr>
                <w:rFonts w:ascii="Calibri" w:hAnsi="Calibri" w:cs="Calibri"/>
                <w:color w:val="000000"/>
                <w:sz w:val="20"/>
                <w:szCs w:val="20"/>
              </w:rPr>
              <w:t>4,507</w:t>
            </w:r>
          </w:p>
        </w:tc>
        <w:tc>
          <w:tcPr>
            <w:tcW w:w="1012" w:type="dxa"/>
            <w:noWrap/>
            <w:vAlign w:val="center"/>
            <w:hideMark/>
          </w:tcPr>
          <w:p w14:paraId="2E44CCB4" w14:textId="1AD6CF7F" w:rsidR="00997146" w:rsidRPr="00D11DA7" w:rsidRDefault="00997146" w:rsidP="00997146">
            <w:pPr>
              <w:jc w:val="right"/>
              <w:rPr>
                <w:sz w:val="20"/>
                <w:szCs w:val="20"/>
              </w:rPr>
            </w:pPr>
            <w:r w:rsidRPr="00D11DA7">
              <w:rPr>
                <w:rFonts w:ascii="Calibri" w:hAnsi="Calibri" w:cs="Calibri"/>
                <w:color w:val="000000"/>
                <w:sz w:val="20"/>
                <w:szCs w:val="20"/>
              </w:rPr>
              <w:t>4,821</w:t>
            </w:r>
          </w:p>
        </w:tc>
        <w:tc>
          <w:tcPr>
            <w:tcW w:w="1011" w:type="dxa"/>
            <w:noWrap/>
            <w:vAlign w:val="center"/>
            <w:hideMark/>
          </w:tcPr>
          <w:p w14:paraId="206DEC3C" w14:textId="5FD56EFC" w:rsidR="00997146" w:rsidRPr="00D11DA7" w:rsidRDefault="00997146" w:rsidP="00997146">
            <w:pPr>
              <w:jc w:val="right"/>
              <w:rPr>
                <w:sz w:val="20"/>
                <w:szCs w:val="20"/>
              </w:rPr>
            </w:pPr>
            <w:r w:rsidRPr="00D11DA7">
              <w:rPr>
                <w:rFonts w:ascii="Calibri" w:hAnsi="Calibri" w:cs="Calibri"/>
                <w:color w:val="000000"/>
                <w:sz w:val="20"/>
                <w:szCs w:val="20"/>
              </w:rPr>
              <w:t>4,523</w:t>
            </w:r>
          </w:p>
        </w:tc>
        <w:tc>
          <w:tcPr>
            <w:tcW w:w="1012" w:type="dxa"/>
            <w:noWrap/>
            <w:vAlign w:val="center"/>
            <w:hideMark/>
          </w:tcPr>
          <w:p w14:paraId="340C8148" w14:textId="4155B11F" w:rsidR="00997146" w:rsidRPr="00D11DA7" w:rsidRDefault="00997146" w:rsidP="00997146">
            <w:pPr>
              <w:jc w:val="right"/>
              <w:rPr>
                <w:sz w:val="20"/>
                <w:szCs w:val="20"/>
              </w:rPr>
            </w:pPr>
            <w:r w:rsidRPr="00D11DA7">
              <w:rPr>
                <w:rFonts w:ascii="Calibri" w:hAnsi="Calibri" w:cs="Calibri"/>
                <w:color w:val="000000"/>
                <w:sz w:val="20"/>
                <w:szCs w:val="20"/>
              </w:rPr>
              <w:t>3,752</w:t>
            </w:r>
          </w:p>
        </w:tc>
        <w:tc>
          <w:tcPr>
            <w:tcW w:w="1012" w:type="dxa"/>
            <w:noWrap/>
            <w:vAlign w:val="center"/>
            <w:hideMark/>
          </w:tcPr>
          <w:p w14:paraId="5EC86592" w14:textId="6F25DB92" w:rsidR="00997146" w:rsidRPr="00D11DA7" w:rsidRDefault="00997146" w:rsidP="00997146">
            <w:pPr>
              <w:jc w:val="right"/>
              <w:rPr>
                <w:sz w:val="20"/>
                <w:szCs w:val="20"/>
              </w:rPr>
            </w:pPr>
            <w:r w:rsidRPr="00D11DA7">
              <w:rPr>
                <w:rFonts w:ascii="Calibri" w:hAnsi="Calibri" w:cs="Calibri"/>
                <w:color w:val="000000"/>
                <w:sz w:val="20"/>
                <w:szCs w:val="20"/>
              </w:rPr>
              <w:t>22,474</w:t>
            </w:r>
          </w:p>
        </w:tc>
      </w:tr>
      <w:tr w:rsidR="00997146" w:rsidRPr="00D11DA7" w14:paraId="4F936330" w14:textId="77777777" w:rsidTr="00997146">
        <w:trPr>
          <w:trHeight w:val="300"/>
        </w:trPr>
        <w:tc>
          <w:tcPr>
            <w:tcW w:w="2877" w:type="dxa"/>
            <w:noWrap/>
            <w:vAlign w:val="center"/>
            <w:hideMark/>
          </w:tcPr>
          <w:p w14:paraId="5913B41B" w14:textId="77777777" w:rsidR="00997146" w:rsidRPr="00D11DA7" w:rsidRDefault="00997146" w:rsidP="00997146">
            <w:pPr>
              <w:rPr>
                <w:sz w:val="20"/>
                <w:szCs w:val="20"/>
              </w:rPr>
            </w:pPr>
            <w:proofErr w:type="spellStart"/>
            <w:r w:rsidRPr="00D11DA7">
              <w:rPr>
                <w:sz w:val="20"/>
                <w:szCs w:val="20"/>
              </w:rPr>
              <w:t>Leuprorelin</w:t>
            </w:r>
            <w:proofErr w:type="spellEnd"/>
            <w:r w:rsidRPr="00D11DA7">
              <w:rPr>
                <w:sz w:val="20"/>
                <w:szCs w:val="20"/>
              </w:rPr>
              <w:t xml:space="preserve"> 1 month</w:t>
            </w:r>
          </w:p>
        </w:tc>
        <w:tc>
          <w:tcPr>
            <w:tcW w:w="1011" w:type="dxa"/>
            <w:noWrap/>
            <w:vAlign w:val="center"/>
            <w:hideMark/>
          </w:tcPr>
          <w:p w14:paraId="63F14E5E" w14:textId="24290ECD" w:rsidR="00997146" w:rsidRPr="00D11DA7" w:rsidRDefault="00997146" w:rsidP="00997146">
            <w:pPr>
              <w:jc w:val="right"/>
              <w:rPr>
                <w:sz w:val="20"/>
                <w:szCs w:val="20"/>
              </w:rPr>
            </w:pPr>
            <w:r w:rsidRPr="00D11DA7">
              <w:rPr>
                <w:rFonts w:ascii="Calibri" w:hAnsi="Calibri" w:cs="Calibri"/>
                <w:color w:val="000000"/>
                <w:sz w:val="20"/>
                <w:szCs w:val="20"/>
              </w:rPr>
              <w:t>3,263</w:t>
            </w:r>
          </w:p>
        </w:tc>
        <w:tc>
          <w:tcPr>
            <w:tcW w:w="1012" w:type="dxa"/>
            <w:noWrap/>
            <w:vAlign w:val="center"/>
            <w:hideMark/>
          </w:tcPr>
          <w:p w14:paraId="3B584ED4" w14:textId="0D8E94A6" w:rsidR="00997146" w:rsidRPr="00D11DA7" w:rsidRDefault="00997146" w:rsidP="00997146">
            <w:pPr>
              <w:jc w:val="right"/>
              <w:rPr>
                <w:sz w:val="20"/>
                <w:szCs w:val="20"/>
              </w:rPr>
            </w:pPr>
            <w:r w:rsidRPr="00D11DA7">
              <w:rPr>
                <w:rFonts w:ascii="Calibri" w:hAnsi="Calibri" w:cs="Calibri"/>
                <w:color w:val="000000"/>
                <w:sz w:val="20"/>
                <w:szCs w:val="20"/>
              </w:rPr>
              <w:t>3,316</w:t>
            </w:r>
          </w:p>
        </w:tc>
        <w:tc>
          <w:tcPr>
            <w:tcW w:w="1012" w:type="dxa"/>
            <w:noWrap/>
            <w:vAlign w:val="center"/>
            <w:hideMark/>
          </w:tcPr>
          <w:p w14:paraId="45D4FD52" w14:textId="2A680FB6" w:rsidR="00997146" w:rsidRPr="00D11DA7" w:rsidRDefault="00997146" w:rsidP="00997146">
            <w:pPr>
              <w:jc w:val="right"/>
              <w:rPr>
                <w:sz w:val="20"/>
                <w:szCs w:val="20"/>
              </w:rPr>
            </w:pPr>
            <w:r w:rsidRPr="00D11DA7">
              <w:rPr>
                <w:rFonts w:ascii="Calibri" w:hAnsi="Calibri" w:cs="Calibri"/>
                <w:color w:val="000000"/>
                <w:sz w:val="20"/>
                <w:szCs w:val="20"/>
              </w:rPr>
              <w:t>3,098</w:t>
            </w:r>
          </w:p>
        </w:tc>
        <w:tc>
          <w:tcPr>
            <w:tcW w:w="1011" w:type="dxa"/>
            <w:noWrap/>
            <w:vAlign w:val="center"/>
            <w:hideMark/>
          </w:tcPr>
          <w:p w14:paraId="1707189F" w14:textId="6F1F1C63" w:rsidR="00997146" w:rsidRPr="00D11DA7" w:rsidRDefault="00997146" w:rsidP="00997146">
            <w:pPr>
              <w:jc w:val="right"/>
              <w:rPr>
                <w:sz w:val="20"/>
                <w:szCs w:val="20"/>
              </w:rPr>
            </w:pPr>
            <w:r w:rsidRPr="00D11DA7">
              <w:rPr>
                <w:rFonts w:ascii="Calibri" w:hAnsi="Calibri" w:cs="Calibri"/>
                <w:color w:val="000000"/>
                <w:sz w:val="20"/>
                <w:szCs w:val="20"/>
              </w:rPr>
              <w:t>3,279</w:t>
            </w:r>
          </w:p>
        </w:tc>
        <w:tc>
          <w:tcPr>
            <w:tcW w:w="1012" w:type="dxa"/>
            <w:noWrap/>
            <w:vAlign w:val="center"/>
            <w:hideMark/>
          </w:tcPr>
          <w:p w14:paraId="06483979" w14:textId="6B72B83C" w:rsidR="00997146" w:rsidRPr="00D11DA7" w:rsidRDefault="00997146" w:rsidP="00997146">
            <w:pPr>
              <w:jc w:val="right"/>
              <w:rPr>
                <w:sz w:val="20"/>
                <w:szCs w:val="20"/>
              </w:rPr>
            </w:pPr>
            <w:r w:rsidRPr="00D11DA7">
              <w:rPr>
                <w:rFonts w:ascii="Calibri" w:hAnsi="Calibri" w:cs="Calibri"/>
                <w:color w:val="000000"/>
                <w:sz w:val="20"/>
                <w:szCs w:val="20"/>
              </w:rPr>
              <w:t>3,524</w:t>
            </w:r>
          </w:p>
        </w:tc>
        <w:tc>
          <w:tcPr>
            <w:tcW w:w="1012" w:type="dxa"/>
            <w:noWrap/>
            <w:vAlign w:val="center"/>
            <w:hideMark/>
          </w:tcPr>
          <w:p w14:paraId="1BD182CB" w14:textId="684AF2CA" w:rsidR="00997146" w:rsidRPr="00D11DA7" w:rsidRDefault="00997146" w:rsidP="00997146">
            <w:pPr>
              <w:jc w:val="right"/>
              <w:rPr>
                <w:sz w:val="20"/>
                <w:szCs w:val="20"/>
              </w:rPr>
            </w:pPr>
            <w:r w:rsidRPr="00D11DA7">
              <w:rPr>
                <w:rFonts w:ascii="Calibri" w:hAnsi="Calibri" w:cs="Calibri"/>
                <w:color w:val="000000"/>
                <w:sz w:val="20"/>
                <w:szCs w:val="20"/>
              </w:rPr>
              <w:t>16,480</w:t>
            </w:r>
          </w:p>
        </w:tc>
      </w:tr>
      <w:tr w:rsidR="00997146" w:rsidRPr="00D11DA7" w14:paraId="4F5BA625" w14:textId="77777777" w:rsidTr="00997146">
        <w:trPr>
          <w:trHeight w:val="300"/>
        </w:trPr>
        <w:tc>
          <w:tcPr>
            <w:tcW w:w="2877" w:type="dxa"/>
            <w:noWrap/>
            <w:vAlign w:val="center"/>
            <w:hideMark/>
          </w:tcPr>
          <w:p w14:paraId="6451002D" w14:textId="77777777" w:rsidR="00997146" w:rsidRPr="00D11DA7" w:rsidRDefault="00997146" w:rsidP="00997146">
            <w:pPr>
              <w:rPr>
                <w:sz w:val="20"/>
                <w:szCs w:val="20"/>
              </w:rPr>
            </w:pPr>
            <w:proofErr w:type="spellStart"/>
            <w:r w:rsidRPr="00D11DA7">
              <w:rPr>
                <w:sz w:val="20"/>
                <w:szCs w:val="20"/>
              </w:rPr>
              <w:t>Leuprorelin</w:t>
            </w:r>
            <w:proofErr w:type="spellEnd"/>
            <w:r w:rsidRPr="00D11DA7">
              <w:rPr>
                <w:sz w:val="20"/>
                <w:szCs w:val="20"/>
              </w:rPr>
              <w:t xml:space="preserve"> 3 month</w:t>
            </w:r>
          </w:p>
        </w:tc>
        <w:tc>
          <w:tcPr>
            <w:tcW w:w="1011" w:type="dxa"/>
            <w:noWrap/>
            <w:vAlign w:val="center"/>
            <w:hideMark/>
          </w:tcPr>
          <w:p w14:paraId="1280B317" w14:textId="492A9F68" w:rsidR="00997146" w:rsidRPr="00D11DA7" w:rsidRDefault="00997146" w:rsidP="00997146">
            <w:pPr>
              <w:jc w:val="right"/>
              <w:rPr>
                <w:sz w:val="20"/>
                <w:szCs w:val="20"/>
              </w:rPr>
            </w:pPr>
            <w:r w:rsidRPr="00D11DA7">
              <w:rPr>
                <w:rFonts w:ascii="Calibri" w:hAnsi="Calibri" w:cs="Calibri"/>
                <w:color w:val="000000"/>
                <w:sz w:val="20"/>
                <w:szCs w:val="20"/>
              </w:rPr>
              <w:t>17,490</w:t>
            </w:r>
          </w:p>
        </w:tc>
        <w:tc>
          <w:tcPr>
            <w:tcW w:w="1012" w:type="dxa"/>
            <w:noWrap/>
            <w:vAlign w:val="center"/>
            <w:hideMark/>
          </w:tcPr>
          <w:p w14:paraId="6E632CAE" w14:textId="584DA11C" w:rsidR="00997146" w:rsidRPr="00D11DA7" w:rsidRDefault="00997146" w:rsidP="00997146">
            <w:pPr>
              <w:jc w:val="right"/>
              <w:rPr>
                <w:sz w:val="20"/>
                <w:szCs w:val="20"/>
              </w:rPr>
            </w:pPr>
            <w:r w:rsidRPr="00D11DA7">
              <w:rPr>
                <w:rFonts w:ascii="Calibri" w:hAnsi="Calibri" w:cs="Calibri"/>
                <w:color w:val="000000"/>
                <w:sz w:val="20"/>
                <w:szCs w:val="20"/>
              </w:rPr>
              <w:t>18,415</w:t>
            </w:r>
          </w:p>
        </w:tc>
        <w:tc>
          <w:tcPr>
            <w:tcW w:w="1012" w:type="dxa"/>
            <w:noWrap/>
            <w:vAlign w:val="center"/>
            <w:hideMark/>
          </w:tcPr>
          <w:p w14:paraId="6DB5F94F" w14:textId="1BA7E8E9" w:rsidR="00997146" w:rsidRPr="00D11DA7" w:rsidRDefault="00997146" w:rsidP="00997146">
            <w:pPr>
              <w:jc w:val="right"/>
              <w:rPr>
                <w:sz w:val="20"/>
                <w:szCs w:val="20"/>
              </w:rPr>
            </w:pPr>
            <w:r w:rsidRPr="00D11DA7">
              <w:rPr>
                <w:rFonts w:ascii="Calibri" w:hAnsi="Calibri" w:cs="Calibri"/>
                <w:color w:val="000000"/>
                <w:sz w:val="20"/>
                <w:szCs w:val="20"/>
              </w:rPr>
              <w:t>20,253</w:t>
            </w:r>
          </w:p>
        </w:tc>
        <w:tc>
          <w:tcPr>
            <w:tcW w:w="1011" w:type="dxa"/>
            <w:noWrap/>
            <w:vAlign w:val="center"/>
            <w:hideMark/>
          </w:tcPr>
          <w:p w14:paraId="792A2D54" w14:textId="7CF7BB28" w:rsidR="00997146" w:rsidRPr="00D11DA7" w:rsidRDefault="00997146" w:rsidP="00997146">
            <w:pPr>
              <w:jc w:val="right"/>
              <w:rPr>
                <w:sz w:val="20"/>
                <w:szCs w:val="20"/>
              </w:rPr>
            </w:pPr>
            <w:r w:rsidRPr="00D11DA7">
              <w:rPr>
                <w:rFonts w:ascii="Calibri" w:hAnsi="Calibri" w:cs="Calibri"/>
                <w:color w:val="000000"/>
                <w:sz w:val="20"/>
                <w:szCs w:val="20"/>
              </w:rPr>
              <w:t>22,845</w:t>
            </w:r>
          </w:p>
        </w:tc>
        <w:tc>
          <w:tcPr>
            <w:tcW w:w="1012" w:type="dxa"/>
            <w:noWrap/>
            <w:vAlign w:val="center"/>
            <w:hideMark/>
          </w:tcPr>
          <w:p w14:paraId="6219E36E" w14:textId="05FA47F2" w:rsidR="00997146" w:rsidRPr="00D11DA7" w:rsidRDefault="00997146" w:rsidP="00997146">
            <w:pPr>
              <w:jc w:val="right"/>
              <w:rPr>
                <w:sz w:val="20"/>
                <w:szCs w:val="20"/>
              </w:rPr>
            </w:pPr>
            <w:r w:rsidRPr="00D11DA7">
              <w:rPr>
                <w:rFonts w:ascii="Calibri" w:hAnsi="Calibri" w:cs="Calibri"/>
                <w:color w:val="000000"/>
                <w:sz w:val="20"/>
                <w:szCs w:val="20"/>
              </w:rPr>
              <w:t>25,203</w:t>
            </w:r>
          </w:p>
        </w:tc>
        <w:tc>
          <w:tcPr>
            <w:tcW w:w="1012" w:type="dxa"/>
            <w:noWrap/>
            <w:vAlign w:val="center"/>
            <w:hideMark/>
          </w:tcPr>
          <w:p w14:paraId="1636CCCE" w14:textId="2AACA487" w:rsidR="00997146" w:rsidRPr="00D11DA7" w:rsidRDefault="00997146" w:rsidP="00997146">
            <w:pPr>
              <w:jc w:val="right"/>
              <w:rPr>
                <w:sz w:val="20"/>
                <w:szCs w:val="20"/>
              </w:rPr>
            </w:pPr>
            <w:r w:rsidRPr="00D11DA7">
              <w:rPr>
                <w:rFonts w:ascii="Calibri" w:hAnsi="Calibri" w:cs="Calibri"/>
                <w:color w:val="000000"/>
                <w:sz w:val="20"/>
                <w:szCs w:val="20"/>
              </w:rPr>
              <w:t>104,206</w:t>
            </w:r>
          </w:p>
        </w:tc>
      </w:tr>
      <w:tr w:rsidR="00997146" w:rsidRPr="00D11DA7" w14:paraId="7F36B7EC" w14:textId="77777777" w:rsidTr="00997146">
        <w:trPr>
          <w:trHeight w:val="300"/>
        </w:trPr>
        <w:tc>
          <w:tcPr>
            <w:tcW w:w="2877" w:type="dxa"/>
            <w:noWrap/>
            <w:vAlign w:val="center"/>
            <w:hideMark/>
          </w:tcPr>
          <w:p w14:paraId="0A01B2D6" w14:textId="77777777" w:rsidR="00997146" w:rsidRPr="00D11DA7" w:rsidRDefault="00997146" w:rsidP="00997146">
            <w:pPr>
              <w:rPr>
                <w:sz w:val="20"/>
                <w:szCs w:val="20"/>
              </w:rPr>
            </w:pPr>
            <w:proofErr w:type="spellStart"/>
            <w:r w:rsidRPr="00D11DA7">
              <w:rPr>
                <w:sz w:val="20"/>
                <w:szCs w:val="20"/>
              </w:rPr>
              <w:t>Leuprorelin</w:t>
            </w:r>
            <w:proofErr w:type="spellEnd"/>
            <w:r w:rsidRPr="00D11DA7">
              <w:rPr>
                <w:sz w:val="20"/>
                <w:szCs w:val="20"/>
              </w:rPr>
              <w:t xml:space="preserve"> 4 month</w:t>
            </w:r>
          </w:p>
        </w:tc>
        <w:tc>
          <w:tcPr>
            <w:tcW w:w="1011" w:type="dxa"/>
            <w:noWrap/>
            <w:vAlign w:val="center"/>
            <w:hideMark/>
          </w:tcPr>
          <w:p w14:paraId="7E36639A" w14:textId="259DB870" w:rsidR="00997146" w:rsidRPr="00D11DA7" w:rsidRDefault="00997146" w:rsidP="00997146">
            <w:pPr>
              <w:jc w:val="right"/>
              <w:rPr>
                <w:sz w:val="20"/>
                <w:szCs w:val="20"/>
              </w:rPr>
            </w:pPr>
            <w:r w:rsidRPr="00D11DA7">
              <w:rPr>
                <w:rFonts w:ascii="Calibri" w:hAnsi="Calibri" w:cs="Calibri"/>
                <w:color w:val="000000"/>
                <w:sz w:val="20"/>
                <w:szCs w:val="20"/>
              </w:rPr>
              <w:t>10,143</w:t>
            </w:r>
          </w:p>
        </w:tc>
        <w:tc>
          <w:tcPr>
            <w:tcW w:w="1012" w:type="dxa"/>
            <w:noWrap/>
            <w:vAlign w:val="center"/>
            <w:hideMark/>
          </w:tcPr>
          <w:p w14:paraId="0797FD11" w14:textId="7C57572B" w:rsidR="00997146" w:rsidRPr="00D11DA7" w:rsidRDefault="00997146" w:rsidP="00997146">
            <w:pPr>
              <w:jc w:val="right"/>
              <w:rPr>
                <w:sz w:val="20"/>
                <w:szCs w:val="20"/>
              </w:rPr>
            </w:pPr>
            <w:r w:rsidRPr="00D11DA7">
              <w:rPr>
                <w:rFonts w:ascii="Calibri" w:hAnsi="Calibri" w:cs="Calibri"/>
                <w:color w:val="000000"/>
                <w:sz w:val="20"/>
                <w:szCs w:val="20"/>
              </w:rPr>
              <w:t>9,949</w:t>
            </w:r>
          </w:p>
        </w:tc>
        <w:tc>
          <w:tcPr>
            <w:tcW w:w="1012" w:type="dxa"/>
            <w:noWrap/>
            <w:vAlign w:val="center"/>
            <w:hideMark/>
          </w:tcPr>
          <w:p w14:paraId="6CD41ADD" w14:textId="202F41B6" w:rsidR="00997146" w:rsidRPr="00D11DA7" w:rsidRDefault="00997146" w:rsidP="00997146">
            <w:pPr>
              <w:jc w:val="right"/>
              <w:rPr>
                <w:sz w:val="20"/>
                <w:szCs w:val="20"/>
              </w:rPr>
            </w:pPr>
            <w:r w:rsidRPr="00D11DA7">
              <w:rPr>
                <w:rFonts w:ascii="Calibri" w:hAnsi="Calibri" w:cs="Calibri"/>
                <w:color w:val="000000"/>
                <w:sz w:val="20"/>
                <w:szCs w:val="20"/>
              </w:rPr>
              <w:t>8,928</w:t>
            </w:r>
          </w:p>
        </w:tc>
        <w:tc>
          <w:tcPr>
            <w:tcW w:w="1011" w:type="dxa"/>
            <w:noWrap/>
            <w:vAlign w:val="center"/>
            <w:hideMark/>
          </w:tcPr>
          <w:p w14:paraId="20177823" w14:textId="5614A814" w:rsidR="00997146" w:rsidRPr="00D11DA7" w:rsidRDefault="00997146" w:rsidP="00997146">
            <w:pPr>
              <w:jc w:val="right"/>
              <w:rPr>
                <w:sz w:val="20"/>
                <w:szCs w:val="20"/>
              </w:rPr>
            </w:pPr>
            <w:r w:rsidRPr="00D11DA7">
              <w:rPr>
                <w:rFonts w:ascii="Calibri" w:hAnsi="Calibri" w:cs="Calibri"/>
                <w:color w:val="000000"/>
                <w:sz w:val="20"/>
                <w:szCs w:val="20"/>
              </w:rPr>
              <w:t>8,011</w:t>
            </w:r>
          </w:p>
        </w:tc>
        <w:tc>
          <w:tcPr>
            <w:tcW w:w="1012" w:type="dxa"/>
            <w:noWrap/>
            <w:vAlign w:val="center"/>
            <w:hideMark/>
          </w:tcPr>
          <w:p w14:paraId="3F68A743" w14:textId="73633404" w:rsidR="00997146" w:rsidRPr="00D11DA7" w:rsidRDefault="00997146" w:rsidP="00997146">
            <w:pPr>
              <w:jc w:val="right"/>
              <w:rPr>
                <w:sz w:val="20"/>
                <w:szCs w:val="20"/>
              </w:rPr>
            </w:pPr>
            <w:r w:rsidRPr="00D11DA7">
              <w:rPr>
                <w:rFonts w:ascii="Calibri" w:hAnsi="Calibri" w:cs="Calibri"/>
                <w:color w:val="000000"/>
                <w:sz w:val="20"/>
                <w:szCs w:val="20"/>
              </w:rPr>
              <w:t>7,371</w:t>
            </w:r>
          </w:p>
        </w:tc>
        <w:tc>
          <w:tcPr>
            <w:tcW w:w="1012" w:type="dxa"/>
            <w:noWrap/>
            <w:vAlign w:val="center"/>
            <w:hideMark/>
          </w:tcPr>
          <w:p w14:paraId="2CE5994C" w14:textId="753E03F9" w:rsidR="00997146" w:rsidRPr="00D11DA7" w:rsidRDefault="00997146" w:rsidP="00997146">
            <w:pPr>
              <w:jc w:val="right"/>
              <w:rPr>
                <w:sz w:val="20"/>
                <w:szCs w:val="20"/>
              </w:rPr>
            </w:pPr>
            <w:r w:rsidRPr="00D11DA7">
              <w:rPr>
                <w:rFonts w:ascii="Calibri" w:hAnsi="Calibri" w:cs="Calibri"/>
                <w:color w:val="000000"/>
                <w:sz w:val="20"/>
                <w:szCs w:val="20"/>
              </w:rPr>
              <w:t>44,402</w:t>
            </w:r>
          </w:p>
        </w:tc>
      </w:tr>
      <w:tr w:rsidR="00997146" w:rsidRPr="00D11DA7" w14:paraId="69F48C89" w14:textId="77777777" w:rsidTr="00997146">
        <w:trPr>
          <w:trHeight w:val="300"/>
        </w:trPr>
        <w:tc>
          <w:tcPr>
            <w:tcW w:w="2877" w:type="dxa"/>
            <w:noWrap/>
            <w:vAlign w:val="center"/>
            <w:hideMark/>
          </w:tcPr>
          <w:p w14:paraId="713AC53A" w14:textId="77777777" w:rsidR="00997146" w:rsidRPr="00D11DA7" w:rsidRDefault="00997146" w:rsidP="00997146">
            <w:pPr>
              <w:rPr>
                <w:sz w:val="20"/>
                <w:szCs w:val="20"/>
              </w:rPr>
            </w:pPr>
            <w:proofErr w:type="spellStart"/>
            <w:r w:rsidRPr="00D11DA7">
              <w:rPr>
                <w:sz w:val="20"/>
                <w:szCs w:val="20"/>
              </w:rPr>
              <w:t>Leuprorelin</w:t>
            </w:r>
            <w:proofErr w:type="spellEnd"/>
            <w:r w:rsidRPr="00D11DA7">
              <w:rPr>
                <w:sz w:val="20"/>
                <w:szCs w:val="20"/>
              </w:rPr>
              <w:t xml:space="preserve"> 6 month</w:t>
            </w:r>
          </w:p>
        </w:tc>
        <w:tc>
          <w:tcPr>
            <w:tcW w:w="1011" w:type="dxa"/>
            <w:noWrap/>
            <w:vAlign w:val="center"/>
            <w:hideMark/>
          </w:tcPr>
          <w:p w14:paraId="76AD42DE" w14:textId="4A8FC80E" w:rsidR="00997146" w:rsidRPr="00D11DA7" w:rsidRDefault="00997146" w:rsidP="00997146">
            <w:pPr>
              <w:jc w:val="right"/>
              <w:rPr>
                <w:sz w:val="20"/>
                <w:szCs w:val="20"/>
              </w:rPr>
            </w:pPr>
            <w:r w:rsidRPr="00D11DA7">
              <w:rPr>
                <w:rFonts w:ascii="Calibri" w:hAnsi="Calibri" w:cs="Calibri"/>
                <w:color w:val="000000"/>
                <w:sz w:val="20"/>
                <w:szCs w:val="20"/>
              </w:rPr>
              <w:t>3,428</w:t>
            </w:r>
          </w:p>
        </w:tc>
        <w:tc>
          <w:tcPr>
            <w:tcW w:w="1012" w:type="dxa"/>
            <w:noWrap/>
            <w:vAlign w:val="center"/>
            <w:hideMark/>
          </w:tcPr>
          <w:p w14:paraId="6FEB4824" w14:textId="548A85DA" w:rsidR="00997146" w:rsidRPr="00D11DA7" w:rsidRDefault="00997146" w:rsidP="00997146">
            <w:pPr>
              <w:jc w:val="right"/>
              <w:rPr>
                <w:sz w:val="20"/>
                <w:szCs w:val="20"/>
              </w:rPr>
            </w:pPr>
            <w:r w:rsidRPr="00D11DA7">
              <w:rPr>
                <w:rFonts w:ascii="Calibri" w:hAnsi="Calibri" w:cs="Calibri"/>
                <w:color w:val="000000"/>
                <w:sz w:val="20"/>
                <w:szCs w:val="20"/>
              </w:rPr>
              <w:t>3,668</w:t>
            </w:r>
          </w:p>
        </w:tc>
        <w:tc>
          <w:tcPr>
            <w:tcW w:w="1012" w:type="dxa"/>
            <w:noWrap/>
            <w:vAlign w:val="center"/>
            <w:hideMark/>
          </w:tcPr>
          <w:p w14:paraId="303B72E8" w14:textId="6FE3EF32" w:rsidR="00997146" w:rsidRPr="00D11DA7" w:rsidRDefault="00997146" w:rsidP="00997146">
            <w:pPr>
              <w:jc w:val="right"/>
              <w:rPr>
                <w:sz w:val="20"/>
                <w:szCs w:val="20"/>
              </w:rPr>
            </w:pPr>
            <w:r w:rsidRPr="00D11DA7">
              <w:rPr>
                <w:rFonts w:ascii="Calibri" w:hAnsi="Calibri" w:cs="Calibri"/>
                <w:color w:val="000000"/>
                <w:sz w:val="20"/>
                <w:szCs w:val="20"/>
              </w:rPr>
              <w:t>4,993</w:t>
            </w:r>
          </w:p>
        </w:tc>
        <w:tc>
          <w:tcPr>
            <w:tcW w:w="1011" w:type="dxa"/>
            <w:noWrap/>
            <w:vAlign w:val="center"/>
            <w:hideMark/>
          </w:tcPr>
          <w:p w14:paraId="73B4026C" w14:textId="3A2B3B09" w:rsidR="00997146" w:rsidRPr="00D11DA7" w:rsidRDefault="00997146" w:rsidP="00997146">
            <w:pPr>
              <w:jc w:val="right"/>
              <w:rPr>
                <w:sz w:val="20"/>
                <w:szCs w:val="20"/>
              </w:rPr>
            </w:pPr>
            <w:r w:rsidRPr="00D11DA7">
              <w:rPr>
                <w:rFonts w:ascii="Calibri" w:hAnsi="Calibri" w:cs="Calibri"/>
                <w:color w:val="000000"/>
                <w:sz w:val="20"/>
                <w:szCs w:val="20"/>
              </w:rPr>
              <w:t>6,312</w:t>
            </w:r>
          </w:p>
        </w:tc>
        <w:tc>
          <w:tcPr>
            <w:tcW w:w="1012" w:type="dxa"/>
            <w:noWrap/>
            <w:vAlign w:val="center"/>
            <w:hideMark/>
          </w:tcPr>
          <w:p w14:paraId="5BCDE8C3" w14:textId="06916323" w:rsidR="00997146" w:rsidRPr="00D11DA7" w:rsidRDefault="00997146" w:rsidP="00997146">
            <w:pPr>
              <w:jc w:val="right"/>
              <w:rPr>
                <w:sz w:val="20"/>
                <w:szCs w:val="20"/>
              </w:rPr>
            </w:pPr>
            <w:r w:rsidRPr="00D11DA7">
              <w:rPr>
                <w:rFonts w:ascii="Calibri" w:hAnsi="Calibri" w:cs="Calibri"/>
                <w:color w:val="000000"/>
                <w:sz w:val="20"/>
                <w:szCs w:val="20"/>
              </w:rPr>
              <w:t>7,267</w:t>
            </w:r>
          </w:p>
        </w:tc>
        <w:tc>
          <w:tcPr>
            <w:tcW w:w="1012" w:type="dxa"/>
            <w:noWrap/>
            <w:vAlign w:val="center"/>
            <w:hideMark/>
          </w:tcPr>
          <w:p w14:paraId="056760AD" w14:textId="5E8FAA37" w:rsidR="00997146" w:rsidRPr="00D11DA7" w:rsidRDefault="00997146" w:rsidP="00997146">
            <w:pPr>
              <w:jc w:val="right"/>
              <w:rPr>
                <w:sz w:val="20"/>
                <w:szCs w:val="20"/>
              </w:rPr>
            </w:pPr>
            <w:r w:rsidRPr="00D11DA7">
              <w:rPr>
                <w:rFonts w:ascii="Calibri" w:hAnsi="Calibri" w:cs="Calibri"/>
                <w:color w:val="000000"/>
                <w:sz w:val="20"/>
                <w:szCs w:val="20"/>
              </w:rPr>
              <w:t>25,668</w:t>
            </w:r>
          </w:p>
        </w:tc>
      </w:tr>
      <w:tr w:rsidR="00997146" w:rsidRPr="00D11DA7" w14:paraId="0A16D1AC" w14:textId="77777777" w:rsidTr="00997146">
        <w:trPr>
          <w:trHeight w:val="300"/>
        </w:trPr>
        <w:tc>
          <w:tcPr>
            <w:tcW w:w="2877" w:type="dxa"/>
            <w:noWrap/>
            <w:vAlign w:val="center"/>
            <w:hideMark/>
          </w:tcPr>
          <w:p w14:paraId="65C04CBE" w14:textId="77777777" w:rsidR="00997146" w:rsidRPr="00D11DA7" w:rsidRDefault="00997146" w:rsidP="00997146">
            <w:pPr>
              <w:rPr>
                <w:sz w:val="20"/>
                <w:szCs w:val="20"/>
              </w:rPr>
            </w:pPr>
            <w:proofErr w:type="spellStart"/>
            <w:r w:rsidRPr="00D11DA7">
              <w:rPr>
                <w:sz w:val="20"/>
                <w:szCs w:val="20"/>
              </w:rPr>
              <w:t>Leuprorelin</w:t>
            </w:r>
            <w:proofErr w:type="spellEnd"/>
            <w:r w:rsidRPr="00D11DA7">
              <w:rPr>
                <w:sz w:val="20"/>
                <w:szCs w:val="20"/>
              </w:rPr>
              <w:t xml:space="preserve"> </w:t>
            </w:r>
            <w:proofErr w:type="spellStart"/>
            <w:r w:rsidRPr="00D11DA7">
              <w:rPr>
                <w:sz w:val="20"/>
                <w:szCs w:val="20"/>
              </w:rPr>
              <w:t>Bicalutamide</w:t>
            </w:r>
            <w:proofErr w:type="spellEnd"/>
            <w:r w:rsidRPr="00D11DA7">
              <w:rPr>
                <w:sz w:val="20"/>
                <w:szCs w:val="20"/>
              </w:rPr>
              <w:t xml:space="preserve"> 1 month</w:t>
            </w:r>
          </w:p>
        </w:tc>
        <w:tc>
          <w:tcPr>
            <w:tcW w:w="1011" w:type="dxa"/>
            <w:noWrap/>
            <w:vAlign w:val="center"/>
            <w:hideMark/>
          </w:tcPr>
          <w:p w14:paraId="1D4D0139" w14:textId="77777777" w:rsidR="00997146" w:rsidRPr="00D11DA7" w:rsidRDefault="00997146" w:rsidP="00997146">
            <w:pPr>
              <w:jc w:val="right"/>
              <w:rPr>
                <w:sz w:val="20"/>
                <w:szCs w:val="20"/>
              </w:rPr>
            </w:pPr>
          </w:p>
        </w:tc>
        <w:tc>
          <w:tcPr>
            <w:tcW w:w="1012" w:type="dxa"/>
            <w:noWrap/>
            <w:vAlign w:val="center"/>
            <w:hideMark/>
          </w:tcPr>
          <w:p w14:paraId="2E34A646" w14:textId="77777777" w:rsidR="00997146" w:rsidRPr="00D11DA7" w:rsidRDefault="00997146" w:rsidP="00997146">
            <w:pPr>
              <w:jc w:val="right"/>
              <w:rPr>
                <w:sz w:val="20"/>
                <w:szCs w:val="20"/>
              </w:rPr>
            </w:pPr>
          </w:p>
        </w:tc>
        <w:tc>
          <w:tcPr>
            <w:tcW w:w="1012" w:type="dxa"/>
            <w:noWrap/>
            <w:vAlign w:val="center"/>
            <w:hideMark/>
          </w:tcPr>
          <w:p w14:paraId="34DB989B" w14:textId="77777777" w:rsidR="00997146" w:rsidRPr="00D11DA7" w:rsidRDefault="00997146" w:rsidP="00997146">
            <w:pPr>
              <w:jc w:val="right"/>
              <w:rPr>
                <w:sz w:val="20"/>
                <w:szCs w:val="20"/>
              </w:rPr>
            </w:pPr>
          </w:p>
        </w:tc>
        <w:tc>
          <w:tcPr>
            <w:tcW w:w="1011" w:type="dxa"/>
            <w:noWrap/>
            <w:vAlign w:val="center"/>
            <w:hideMark/>
          </w:tcPr>
          <w:p w14:paraId="677A4F98" w14:textId="4EA81313" w:rsidR="00997146" w:rsidRPr="00D11DA7" w:rsidRDefault="00997146" w:rsidP="00997146">
            <w:pPr>
              <w:jc w:val="right"/>
              <w:rPr>
                <w:sz w:val="20"/>
                <w:szCs w:val="20"/>
              </w:rPr>
            </w:pPr>
            <w:r w:rsidRPr="00D11DA7">
              <w:rPr>
                <w:rFonts w:ascii="Calibri" w:hAnsi="Calibri" w:cs="Calibri"/>
                <w:color w:val="000000"/>
                <w:sz w:val="20"/>
                <w:szCs w:val="20"/>
              </w:rPr>
              <w:t>21</w:t>
            </w:r>
          </w:p>
        </w:tc>
        <w:tc>
          <w:tcPr>
            <w:tcW w:w="1012" w:type="dxa"/>
            <w:noWrap/>
            <w:vAlign w:val="center"/>
            <w:hideMark/>
          </w:tcPr>
          <w:p w14:paraId="5A4C5987" w14:textId="6B0E6F33" w:rsidR="00997146" w:rsidRPr="00D11DA7" w:rsidRDefault="00997146" w:rsidP="00997146">
            <w:pPr>
              <w:jc w:val="right"/>
              <w:rPr>
                <w:sz w:val="20"/>
                <w:szCs w:val="20"/>
              </w:rPr>
            </w:pPr>
            <w:r w:rsidRPr="00D11DA7">
              <w:rPr>
                <w:rFonts w:ascii="Calibri" w:hAnsi="Calibri" w:cs="Calibri"/>
                <w:color w:val="000000"/>
                <w:sz w:val="20"/>
                <w:szCs w:val="20"/>
              </w:rPr>
              <w:t>24</w:t>
            </w:r>
          </w:p>
        </w:tc>
        <w:tc>
          <w:tcPr>
            <w:tcW w:w="1012" w:type="dxa"/>
            <w:noWrap/>
            <w:vAlign w:val="center"/>
            <w:hideMark/>
          </w:tcPr>
          <w:p w14:paraId="3E136BAE" w14:textId="20042C12" w:rsidR="00997146" w:rsidRPr="00D11DA7" w:rsidRDefault="00997146" w:rsidP="00997146">
            <w:pPr>
              <w:jc w:val="right"/>
              <w:rPr>
                <w:sz w:val="20"/>
                <w:szCs w:val="20"/>
              </w:rPr>
            </w:pPr>
            <w:r w:rsidRPr="00D11DA7">
              <w:rPr>
                <w:rFonts w:ascii="Calibri" w:hAnsi="Calibri" w:cs="Calibri"/>
                <w:color w:val="000000"/>
                <w:sz w:val="20"/>
                <w:szCs w:val="20"/>
              </w:rPr>
              <w:t>45</w:t>
            </w:r>
          </w:p>
        </w:tc>
      </w:tr>
      <w:tr w:rsidR="00997146" w:rsidRPr="00D11DA7" w14:paraId="29486370" w14:textId="77777777" w:rsidTr="00997146">
        <w:trPr>
          <w:trHeight w:val="300"/>
        </w:trPr>
        <w:tc>
          <w:tcPr>
            <w:tcW w:w="2877" w:type="dxa"/>
            <w:noWrap/>
            <w:vAlign w:val="center"/>
            <w:hideMark/>
          </w:tcPr>
          <w:p w14:paraId="287676B2" w14:textId="77777777" w:rsidR="00997146" w:rsidRPr="00D11DA7" w:rsidRDefault="00997146" w:rsidP="00997146">
            <w:pPr>
              <w:rPr>
                <w:sz w:val="20"/>
                <w:szCs w:val="20"/>
              </w:rPr>
            </w:pPr>
            <w:proofErr w:type="spellStart"/>
            <w:r w:rsidRPr="00D11DA7">
              <w:rPr>
                <w:sz w:val="20"/>
                <w:szCs w:val="20"/>
              </w:rPr>
              <w:t>Leuprorelin</w:t>
            </w:r>
            <w:proofErr w:type="spellEnd"/>
            <w:r w:rsidRPr="00D11DA7">
              <w:rPr>
                <w:sz w:val="20"/>
                <w:szCs w:val="20"/>
              </w:rPr>
              <w:t xml:space="preserve"> </w:t>
            </w:r>
            <w:proofErr w:type="spellStart"/>
            <w:r w:rsidRPr="00D11DA7">
              <w:rPr>
                <w:sz w:val="20"/>
                <w:szCs w:val="20"/>
              </w:rPr>
              <w:t>Bicalutamide</w:t>
            </w:r>
            <w:proofErr w:type="spellEnd"/>
            <w:r w:rsidRPr="00D11DA7">
              <w:rPr>
                <w:sz w:val="20"/>
                <w:szCs w:val="20"/>
              </w:rPr>
              <w:t xml:space="preserve"> 3 month</w:t>
            </w:r>
          </w:p>
        </w:tc>
        <w:tc>
          <w:tcPr>
            <w:tcW w:w="1011" w:type="dxa"/>
            <w:noWrap/>
            <w:vAlign w:val="center"/>
            <w:hideMark/>
          </w:tcPr>
          <w:p w14:paraId="63B461E1" w14:textId="77777777" w:rsidR="00997146" w:rsidRPr="00D11DA7" w:rsidRDefault="00997146" w:rsidP="00997146">
            <w:pPr>
              <w:jc w:val="right"/>
              <w:rPr>
                <w:sz w:val="20"/>
                <w:szCs w:val="20"/>
              </w:rPr>
            </w:pPr>
          </w:p>
        </w:tc>
        <w:tc>
          <w:tcPr>
            <w:tcW w:w="1012" w:type="dxa"/>
            <w:noWrap/>
            <w:vAlign w:val="center"/>
            <w:hideMark/>
          </w:tcPr>
          <w:p w14:paraId="1A1BDF10" w14:textId="77777777" w:rsidR="00997146" w:rsidRPr="00D11DA7" w:rsidRDefault="00997146" w:rsidP="00997146">
            <w:pPr>
              <w:jc w:val="right"/>
              <w:rPr>
                <w:sz w:val="20"/>
                <w:szCs w:val="20"/>
              </w:rPr>
            </w:pPr>
          </w:p>
        </w:tc>
        <w:tc>
          <w:tcPr>
            <w:tcW w:w="1012" w:type="dxa"/>
            <w:noWrap/>
            <w:vAlign w:val="center"/>
            <w:hideMark/>
          </w:tcPr>
          <w:p w14:paraId="3A4938FD" w14:textId="2F062870" w:rsidR="00997146" w:rsidRPr="00D11DA7" w:rsidRDefault="00450B92" w:rsidP="00997146">
            <w:pPr>
              <w:jc w:val="right"/>
              <w:rPr>
                <w:sz w:val="20"/>
                <w:szCs w:val="20"/>
              </w:rPr>
            </w:pPr>
            <w:r>
              <w:rPr>
                <w:rFonts w:ascii="Calibri" w:hAnsi="Calibri" w:cs="Calibri"/>
                <w:color w:val="000000"/>
                <w:sz w:val="20"/>
                <w:szCs w:val="20"/>
              </w:rPr>
              <w:t>≤</w:t>
            </w:r>
            <w:r w:rsidR="00564E52" w:rsidRPr="00D11DA7">
              <w:rPr>
                <w:rFonts w:ascii="Calibri" w:hAnsi="Calibri" w:cs="Calibri"/>
                <w:color w:val="000000"/>
                <w:sz w:val="20"/>
                <w:szCs w:val="20"/>
              </w:rPr>
              <w:t>5</w:t>
            </w:r>
          </w:p>
        </w:tc>
        <w:tc>
          <w:tcPr>
            <w:tcW w:w="1011" w:type="dxa"/>
            <w:noWrap/>
            <w:vAlign w:val="center"/>
            <w:hideMark/>
          </w:tcPr>
          <w:p w14:paraId="261C0306" w14:textId="5E5639FF" w:rsidR="00997146" w:rsidRPr="00D11DA7" w:rsidRDefault="00997146" w:rsidP="00997146">
            <w:pPr>
              <w:jc w:val="right"/>
              <w:rPr>
                <w:sz w:val="20"/>
                <w:szCs w:val="20"/>
              </w:rPr>
            </w:pPr>
            <w:r w:rsidRPr="00D11DA7">
              <w:rPr>
                <w:rFonts w:ascii="Calibri" w:hAnsi="Calibri" w:cs="Calibri"/>
                <w:color w:val="000000"/>
                <w:sz w:val="20"/>
                <w:szCs w:val="20"/>
              </w:rPr>
              <w:t>355</w:t>
            </w:r>
          </w:p>
        </w:tc>
        <w:tc>
          <w:tcPr>
            <w:tcW w:w="1012" w:type="dxa"/>
            <w:noWrap/>
            <w:vAlign w:val="center"/>
            <w:hideMark/>
          </w:tcPr>
          <w:p w14:paraId="1BACD11A" w14:textId="53F5603D" w:rsidR="00997146" w:rsidRPr="00D11DA7" w:rsidRDefault="00997146" w:rsidP="00997146">
            <w:pPr>
              <w:jc w:val="right"/>
              <w:rPr>
                <w:sz w:val="20"/>
                <w:szCs w:val="20"/>
              </w:rPr>
            </w:pPr>
            <w:r w:rsidRPr="00D11DA7">
              <w:rPr>
                <w:rFonts w:ascii="Calibri" w:hAnsi="Calibri" w:cs="Calibri"/>
                <w:color w:val="000000"/>
                <w:sz w:val="20"/>
                <w:szCs w:val="20"/>
              </w:rPr>
              <w:t>488</w:t>
            </w:r>
          </w:p>
        </w:tc>
        <w:tc>
          <w:tcPr>
            <w:tcW w:w="1012" w:type="dxa"/>
            <w:noWrap/>
            <w:vAlign w:val="center"/>
            <w:hideMark/>
          </w:tcPr>
          <w:p w14:paraId="4FDE96B4" w14:textId="33D78988" w:rsidR="00997146" w:rsidRPr="00D11DA7" w:rsidRDefault="00997146" w:rsidP="00997146">
            <w:pPr>
              <w:jc w:val="right"/>
              <w:rPr>
                <w:sz w:val="20"/>
                <w:szCs w:val="20"/>
              </w:rPr>
            </w:pPr>
            <w:r w:rsidRPr="00D11DA7">
              <w:rPr>
                <w:rFonts w:ascii="Calibri" w:hAnsi="Calibri" w:cs="Calibri"/>
                <w:color w:val="000000"/>
                <w:sz w:val="20"/>
                <w:szCs w:val="20"/>
              </w:rPr>
              <w:t>844</w:t>
            </w:r>
          </w:p>
        </w:tc>
      </w:tr>
      <w:tr w:rsidR="00997146" w:rsidRPr="00D11DA7" w14:paraId="725963CF" w14:textId="77777777" w:rsidTr="00997146">
        <w:trPr>
          <w:trHeight w:val="300"/>
        </w:trPr>
        <w:tc>
          <w:tcPr>
            <w:tcW w:w="2877" w:type="dxa"/>
            <w:noWrap/>
            <w:vAlign w:val="center"/>
            <w:hideMark/>
          </w:tcPr>
          <w:p w14:paraId="591B96AE" w14:textId="77777777" w:rsidR="00997146" w:rsidRPr="00D11DA7" w:rsidRDefault="00997146" w:rsidP="00997146">
            <w:pPr>
              <w:rPr>
                <w:sz w:val="20"/>
                <w:szCs w:val="20"/>
              </w:rPr>
            </w:pPr>
            <w:proofErr w:type="spellStart"/>
            <w:r w:rsidRPr="00D11DA7">
              <w:rPr>
                <w:sz w:val="20"/>
                <w:szCs w:val="20"/>
              </w:rPr>
              <w:t>Leuprorelin</w:t>
            </w:r>
            <w:proofErr w:type="spellEnd"/>
            <w:r w:rsidRPr="00D11DA7">
              <w:rPr>
                <w:sz w:val="20"/>
                <w:szCs w:val="20"/>
              </w:rPr>
              <w:t xml:space="preserve"> Paediatric</w:t>
            </w:r>
          </w:p>
        </w:tc>
        <w:tc>
          <w:tcPr>
            <w:tcW w:w="1011" w:type="dxa"/>
            <w:noWrap/>
            <w:vAlign w:val="center"/>
            <w:hideMark/>
          </w:tcPr>
          <w:p w14:paraId="127066A2" w14:textId="77777777" w:rsidR="00997146" w:rsidRPr="00D11DA7" w:rsidRDefault="00997146" w:rsidP="00997146">
            <w:pPr>
              <w:jc w:val="right"/>
              <w:rPr>
                <w:sz w:val="20"/>
                <w:szCs w:val="20"/>
              </w:rPr>
            </w:pPr>
          </w:p>
        </w:tc>
        <w:tc>
          <w:tcPr>
            <w:tcW w:w="1012" w:type="dxa"/>
            <w:noWrap/>
            <w:vAlign w:val="center"/>
            <w:hideMark/>
          </w:tcPr>
          <w:p w14:paraId="7D1E0B05" w14:textId="1F526F62" w:rsidR="00997146" w:rsidRPr="00D11DA7" w:rsidRDefault="00997146" w:rsidP="00997146">
            <w:pPr>
              <w:jc w:val="right"/>
              <w:rPr>
                <w:sz w:val="20"/>
                <w:szCs w:val="20"/>
              </w:rPr>
            </w:pPr>
            <w:r w:rsidRPr="00D11DA7">
              <w:rPr>
                <w:rFonts w:ascii="Calibri" w:hAnsi="Calibri" w:cs="Calibri"/>
                <w:color w:val="000000"/>
                <w:sz w:val="20"/>
                <w:szCs w:val="20"/>
              </w:rPr>
              <w:t>676</w:t>
            </w:r>
          </w:p>
        </w:tc>
        <w:tc>
          <w:tcPr>
            <w:tcW w:w="1012" w:type="dxa"/>
            <w:noWrap/>
            <w:vAlign w:val="center"/>
            <w:hideMark/>
          </w:tcPr>
          <w:p w14:paraId="0499CB89" w14:textId="5911E290" w:rsidR="00997146" w:rsidRPr="00D11DA7" w:rsidRDefault="00997146" w:rsidP="00997146">
            <w:pPr>
              <w:jc w:val="right"/>
              <w:rPr>
                <w:sz w:val="20"/>
                <w:szCs w:val="20"/>
              </w:rPr>
            </w:pPr>
            <w:r w:rsidRPr="00D11DA7">
              <w:rPr>
                <w:rFonts w:ascii="Calibri" w:hAnsi="Calibri" w:cs="Calibri"/>
                <w:color w:val="000000"/>
                <w:sz w:val="20"/>
                <w:szCs w:val="20"/>
              </w:rPr>
              <w:t>1,458</w:t>
            </w:r>
          </w:p>
        </w:tc>
        <w:tc>
          <w:tcPr>
            <w:tcW w:w="1011" w:type="dxa"/>
            <w:noWrap/>
            <w:vAlign w:val="center"/>
            <w:hideMark/>
          </w:tcPr>
          <w:p w14:paraId="1B21FF0B" w14:textId="65F3233E" w:rsidR="00997146" w:rsidRPr="00D11DA7" w:rsidRDefault="00997146" w:rsidP="00997146">
            <w:pPr>
              <w:jc w:val="right"/>
              <w:rPr>
                <w:sz w:val="20"/>
                <w:szCs w:val="20"/>
              </w:rPr>
            </w:pPr>
            <w:r w:rsidRPr="00D11DA7">
              <w:rPr>
                <w:rFonts w:ascii="Calibri" w:hAnsi="Calibri" w:cs="Calibri"/>
                <w:color w:val="000000"/>
                <w:sz w:val="20"/>
                <w:szCs w:val="20"/>
              </w:rPr>
              <w:t>1,810</w:t>
            </w:r>
          </w:p>
        </w:tc>
        <w:tc>
          <w:tcPr>
            <w:tcW w:w="1012" w:type="dxa"/>
            <w:noWrap/>
            <w:vAlign w:val="center"/>
            <w:hideMark/>
          </w:tcPr>
          <w:p w14:paraId="02420C49" w14:textId="76544B6D" w:rsidR="00997146" w:rsidRPr="00D11DA7" w:rsidRDefault="00997146" w:rsidP="00997146">
            <w:pPr>
              <w:jc w:val="right"/>
              <w:rPr>
                <w:sz w:val="20"/>
                <w:szCs w:val="20"/>
              </w:rPr>
            </w:pPr>
            <w:r w:rsidRPr="00D11DA7">
              <w:rPr>
                <w:rFonts w:ascii="Calibri" w:hAnsi="Calibri" w:cs="Calibri"/>
                <w:color w:val="000000"/>
                <w:sz w:val="20"/>
                <w:szCs w:val="20"/>
              </w:rPr>
              <w:t>2,008</w:t>
            </w:r>
          </w:p>
        </w:tc>
        <w:tc>
          <w:tcPr>
            <w:tcW w:w="1012" w:type="dxa"/>
            <w:noWrap/>
            <w:vAlign w:val="center"/>
            <w:hideMark/>
          </w:tcPr>
          <w:p w14:paraId="3ADE0457" w14:textId="62C67808" w:rsidR="00997146" w:rsidRPr="00D11DA7" w:rsidRDefault="00997146" w:rsidP="00997146">
            <w:pPr>
              <w:jc w:val="right"/>
              <w:rPr>
                <w:sz w:val="20"/>
                <w:szCs w:val="20"/>
              </w:rPr>
            </w:pPr>
            <w:r w:rsidRPr="00D11DA7">
              <w:rPr>
                <w:rFonts w:ascii="Calibri" w:hAnsi="Calibri" w:cs="Calibri"/>
                <w:color w:val="000000"/>
                <w:sz w:val="20"/>
                <w:szCs w:val="20"/>
              </w:rPr>
              <w:t>5,952</w:t>
            </w:r>
          </w:p>
        </w:tc>
      </w:tr>
      <w:tr w:rsidR="00997146" w:rsidRPr="00D11DA7" w14:paraId="1C7AEF77" w14:textId="77777777" w:rsidTr="00997146">
        <w:trPr>
          <w:trHeight w:val="300"/>
        </w:trPr>
        <w:tc>
          <w:tcPr>
            <w:tcW w:w="2877" w:type="dxa"/>
            <w:noWrap/>
            <w:vAlign w:val="center"/>
            <w:hideMark/>
          </w:tcPr>
          <w:p w14:paraId="6A56E3BF" w14:textId="77777777" w:rsidR="00997146" w:rsidRPr="00D11DA7" w:rsidRDefault="00997146" w:rsidP="00997146">
            <w:pPr>
              <w:rPr>
                <w:sz w:val="20"/>
                <w:szCs w:val="20"/>
              </w:rPr>
            </w:pPr>
            <w:proofErr w:type="spellStart"/>
            <w:r w:rsidRPr="00D11DA7">
              <w:rPr>
                <w:sz w:val="20"/>
                <w:szCs w:val="20"/>
              </w:rPr>
              <w:t>Nafarelin</w:t>
            </w:r>
            <w:proofErr w:type="spellEnd"/>
          </w:p>
        </w:tc>
        <w:tc>
          <w:tcPr>
            <w:tcW w:w="1011" w:type="dxa"/>
            <w:noWrap/>
            <w:vAlign w:val="center"/>
            <w:hideMark/>
          </w:tcPr>
          <w:p w14:paraId="226C17CA" w14:textId="3D7D3D98" w:rsidR="00997146" w:rsidRPr="00D11DA7" w:rsidRDefault="00997146" w:rsidP="00997146">
            <w:pPr>
              <w:jc w:val="right"/>
              <w:rPr>
                <w:sz w:val="20"/>
                <w:szCs w:val="20"/>
              </w:rPr>
            </w:pPr>
            <w:r w:rsidRPr="00D11DA7">
              <w:rPr>
                <w:rFonts w:ascii="Calibri" w:hAnsi="Calibri" w:cs="Calibri"/>
                <w:color w:val="000000"/>
                <w:sz w:val="20"/>
                <w:szCs w:val="20"/>
              </w:rPr>
              <w:t>1,166</w:t>
            </w:r>
          </w:p>
        </w:tc>
        <w:tc>
          <w:tcPr>
            <w:tcW w:w="1012" w:type="dxa"/>
            <w:noWrap/>
            <w:vAlign w:val="center"/>
            <w:hideMark/>
          </w:tcPr>
          <w:p w14:paraId="27D96E76" w14:textId="6BDCBC17" w:rsidR="00997146" w:rsidRPr="00D11DA7" w:rsidRDefault="00997146" w:rsidP="00997146">
            <w:pPr>
              <w:jc w:val="right"/>
              <w:rPr>
                <w:sz w:val="20"/>
                <w:szCs w:val="20"/>
              </w:rPr>
            </w:pPr>
            <w:r w:rsidRPr="00D11DA7">
              <w:rPr>
                <w:rFonts w:ascii="Calibri" w:hAnsi="Calibri" w:cs="Calibri"/>
                <w:color w:val="000000"/>
                <w:sz w:val="20"/>
                <w:szCs w:val="20"/>
              </w:rPr>
              <w:t>1,391</w:t>
            </w:r>
          </w:p>
        </w:tc>
        <w:tc>
          <w:tcPr>
            <w:tcW w:w="1012" w:type="dxa"/>
            <w:noWrap/>
            <w:vAlign w:val="center"/>
            <w:hideMark/>
          </w:tcPr>
          <w:p w14:paraId="5B6F62AF" w14:textId="1CB4A3E4" w:rsidR="00997146" w:rsidRPr="00D11DA7" w:rsidRDefault="00997146" w:rsidP="00997146">
            <w:pPr>
              <w:jc w:val="right"/>
              <w:rPr>
                <w:sz w:val="20"/>
                <w:szCs w:val="20"/>
              </w:rPr>
            </w:pPr>
            <w:r w:rsidRPr="00D11DA7">
              <w:rPr>
                <w:rFonts w:ascii="Calibri" w:hAnsi="Calibri" w:cs="Calibri"/>
                <w:color w:val="000000"/>
                <w:sz w:val="20"/>
                <w:szCs w:val="20"/>
              </w:rPr>
              <w:t>1,743</w:t>
            </w:r>
          </w:p>
        </w:tc>
        <w:tc>
          <w:tcPr>
            <w:tcW w:w="1011" w:type="dxa"/>
            <w:noWrap/>
            <w:vAlign w:val="center"/>
            <w:hideMark/>
          </w:tcPr>
          <w:p w14:paraId="5B29A7CB" w14:textId="2E5FBD91" w:rsidR="00997146" w:rsidRPr="00D11DA7" w:rsidRDefault="00997146" w:rsidP="00997146">
            <w:pPr>
              <w:jc w:val="right"/>
              <w:rPr>
                <w:sz w:val="20"/>
                <w:szCs w:val="20"/>
              </w:rPr>
            </w:pPr>
            <w:r w:rsidRPr="00D11DA7">
              <w:rPr>
                <w:rFonts w:ascii="Calibri" w:hAnsi="Calibri" w:cs="Calibri"/>
                <w:color w:val="000000"/>
                <w:sz w:val="20"/>
                <w:szCs w:val="20"/>
              </w:rPr>
              <w:t>3,576</w:t>
            </w:r>
          </w:p>
        </w:tc>
        <w:tc>
          <w:tcPr>
            <w:tcW w:w="1012" w:type="dxa"/>
            <w:noWrap/>
            <w:vAlign w:val="center"/>
            <w:hideMark/>
          </w:tcPr>
          <w:p w14:paraId="6816F6E1" w14:textId="04943AB6" w:rsidR="00997146" w:rsidRPr="00D11DA7" w:rsidRDefault="00997146" w:rsidP="00997146">
            <w:pPr>
              <w:jc w:val="right"/>
              <w:rPr>
                <w:sz w:val="20"/>
                <w:szCs w:val="20"/>
              </w:rPr>
            </w:pPr>
            <w:r w:rsidRPr="00D11DA7">
              <w:rPr>
                <w:rFonts w:ascii="Calibri" w:hAnsi="Calibri" w:cs="Calibri"/>
                <w:color w:val="000000"/>
                <w:sz w:val="20"/>
                <w:szCs w:val="20"/>
              </w:rPr>
              <w:t>4,349</w:t>
            </w:r>
          </w:p>
        </w:tc>
        <w:tc>
          <w:tcPr>
            <w:tcW w:w="1012" w:type="dxa"/>
            <w:noWrap/>
            <w:vAlign w:val="center"/>
            <w:hideMark/>
          </w:tcPr>
          <w:p w14:paraId="5409F14D" w14:textId="42653822" w:rsidR="00997146" w:rsidRPr="00D11DA7" w:rsidRDefault="00997146" w:rsidP="00997146">
            <w:pPr>
              <w:jc w:val="right"/>
              <w:rPr>
                <w:sz w:val="20"/>
                <w:szCs w:val="20"/>
              </w:rPr>
            </w:pPr>
            <w:r w:rsidRPr="00D11DA7">
              <w:rPr>
                <w:rFonts w:ascii="Calibri" w:hAnsi="Calibri" w:cs="Calibri"/>
                <w:color w:val="000000"/>
                <w:sz w:val="20"/>
                <w:szCs w:val="20"/>
              </w:rPr>
              <w:t>12,225</w:t>
            </w:r>
          </w:p>
        </w:tc>
      </w:tr>
      <w:tr w:rsidR="00997146" w:rsidRPr="00D11DA7" w14:paraId="54E18DD1" w14:textId="77777777" w:rsidTr="00997146">
        <w:trPr>
          <w:trHeight w:val="300"/>
        </w:trPr>
        <w:tc>
          <w:tcPr>
            <w:tcW w:w="2877" w:type="dxa"/>
            <w:noWrap/>
            <w:vAlign w:val="center"/>
            <w:hideMark/>
          </w:tcPr>
          <w:p w14:paraId="33416F90" w14:textId="77777777" w:rsidR="00997146" w:rsidRPr="00D11DA7" w:rsidRDefault="00997146" w:rsidP="00997146">
            <w:pPr>
              <w:rPr>
                <w:sz w:val="20"/>
                <w:szCs w:val="20"/>
              </w:rPr>
            </w:pPr>
            <w:proofErr w:type="spellStart"/>
            <w:r w:rsidRPr="00D11DA7">
              <w:rPr>
                <w:sz w:val="20"/>
                <w:szCs w:val="20"/>
              </w:rPr>
              <w:t>Triptorelin</w:t>
            </w:r>
            <w:proofErr w:type="spellEnd"/>
            <w:r w:rsidRPr="00D11DA7">
              <w:rPr>
                <w:sz w:val="20"/>
                <w:szCs w:val="20"/>
              </w:rPr>
              <w:t xml:space="preserve"> 1 month</w:t>
            </w:r>
          </w:p>
        </w:tc>
        <w:tc>
          <w:tcPr>
            <w:tcW w:w="1011" w:type="dxa"/>
            <w:noWrap/>
            <w:vAlign w:val="center"/>
            <w:hideMark/>
          </w:tcPr>
          <w:p w14:paraId="7061BE27" w14:textId="279F80C5" w:rsidR="00997146" w:rsidRPr="00D11DA7" w:rsidRDefault="00997146" w:rsidP="00997146">
            <w:pPr>
              <w:jc w:val="right"/>
              <w:rPr>
                <w:sz w:val="20"/>
                <w:szCs w:val="20"/>
              </w:rPr>
            </w:pPr>
            <w:r w:rsidRPr="00D11DA7">
              <w:rPr>
                <w:rFonts w:ascii="Calibri" w:hAnsi="Calibri" w:cs="Calibri"/>
                <w:color w:val="000000"/>
                <w:sz w:val="20"/>
                <w:szCs w:val="20"/>
              </w:rPr>
              <w:t>87</w:t>
            </w:r>
          </w:p>
        </w:tc>
        <w:tc>
          <w:tcPr>
            <w:tcW w:w="1012" w:type="dxa"/>
            <w:noWrap/>
            <w:vAlign w:val="center"/>
            <w:hideMark/>
          </w:tcPr>
          <w:p w14:paraId="70C8CC03" w14:textId="77E09C78" w:rsidR="00997146" w:rsidRPr="00D11DA7" w:rsidRDefault="00997146" w:rsidP="00997146">
            <w:pPr>
              <w:jc w:val="right"/>
              <w:rPr>
                <w:sz w:val="20"/>
                <w:szCs w:val="20"/>
              </w:rPr>
            </w:pPr>
            <w:r w:rsidRPr="00D11DA7">
              <w:rPr>
                <w:rFonts w:ascii="Calibri" w:hAnsi="Calibri" w:cs="Calibri"/>
                <w:color w:val="000000"/>
                <w:sz w:val="20"/>
                <w:szCs w:val="20"/>
              </w:rPr>
              <w:t>154</w:t>
            </w:r>
          </w:p>
        </w:tc>
        <w:tc>
          <w:tcPr>
            <w:tcW w:w="1012" w:type="dxa"/>
            <w:noWrap/>
            <w:vAlign w:val="center"/>
            <w:hideMark/>
          </w:tcPr>
          <w:p w14:paraId="62477404" w14:textId="53C47DC4" w:rsidR="00997146" w:rsidRPr="00D11DA7" w:rsidRDefault="00997146" w:rsidP="00997146">
            <w:pPr>
              <w:jc w:val="right"/>
              <w:rPr>
                <w:sz w:val="20"/>
                <w:szCs w:val="20"/>
              </w:rPr>
            </w:pPr>
            <w:r w:rsidRPr="00D11DA7">
              <w:rPr>
                <w:rFonts w:ascii="Calibri" w:hAnsi="Calibri" w:cs="Calibri"/>
                <w:color w:val="000000"/>
                <w:sz w:val="20"/>
                <w:szCs w:val="20"/>
              </w:rPr>
              <w:t>195</w:t>
            </w:r>
          </w:p>
        </w:tc>
        <w:tc>
          <w:tcPr>
            <w:tcW w:w="1011" w:type="dxa"/>
            <w:noWrap/>
            <w:vAlign w:val="center"/>
            <w:hideMark/>
          </w:tcPr>
          <w:p w14:paraId="6A3AB111" w14:textId="39BC2459" w:rsidR="00997146" w:rsidRPr="00D11DA7" w:rsidRDefault="00997146" w:rsidP="00997146">
            <w:pPr>
              <w:jc w:val="right"/>
              <w:rPr>
                <w:sz w:val="20"/>
                <w:szCs w:val="20"/>
              </w:rPr>
            </w:pPr>
            <w:r w:rsidRPr="00D11DA7">
              <w:rPr>
                <w:rFonts w:ascii="Calibri" w:hAnsi="Calibri" w:cs="Calibri"/>
                <w:color w:val="000000"/>
                <w:sz w:val="20"/>
                <w:szCs w:val="20"/>
              </w:rPr>
              <w:t>199</w:t>
            </w:r>
          </w:p>
        </w:tc>
        <w:tc>
          <w:tcPr>
            <w:tcW w:w="1012" w:type="dxa"/>
            <w:noWrap/>
            <w:vAlign w:val="center"/>
            <w:hideMark/>
          </w:tcPr>
          <w:p w14:paraId="68A7BD6D" w14:textId="7153DDCD" w:rsidR="00997146" w:rsidRPr="00D11DA7" w:rsidRDefault="00997146" w:rsidP="00997146">
            <w:pPr>
              <w:jc w:val="right"/>
              <w:rPr>
                <w:sz w:val="20"/>
                <w:szCs w:val="20"/>
              </w:rPr>
            </w:pPr>
            <w:r w:rsidRPr="00D11DA7">
              <w:rPr>
                <w:rFonts w:ascii="Calibri" w:hAnsi="Calibri" w:cs="Calibri"/>
                <w:color w:val="000000"/>
                <w:sz w:val="20"/>
                <w:szCs w:val="20"/>
              </w:rPr>
              <w:t>253</w:t>
            </w:r>
          </w:p>
        </w:tc>
        <w:tc>
          <w:tcPr>
            <w:tcW w:w="1012" w:type="dxa"/>
            <w:noWrap/>
            <w:vAlign w:val="center"/>
            <w:hideMark/>
          </w:tcPr>
          <w:p w14:paraId="061B0027" w14:textId="6D78C5FA" w:rsidR="00997146" w:rsidRPr="00D11DA7" w:rsidRDefault="00997146" w:rsidP="00997146">
            <w:pPr>
              <w:jc w:val="right"/>
              <w:rPr>
                <w:sz w:val="20"/>
                <w:szCs w:val="20"/>
              </w:rPr>
            </w:pPr>
            <w:r w:rsidRPr="00D11DA7">
              <w:rPr>
                <w:rFonts w:ascii="Calibri" w:hAnsi="Calibri" w:cs="Calibri"/>
                <w:color w:val="000000"/>
                <w:sz w:val="20"/>
                <w:szCs w:val="20"/>
              </w:rPr>
              <w:t>888</w:t>
            </w:r>
          </w:p>
        </w:tc>
      </w:tr>
      <w:tr w:rsidR="00997146" w:rsidRPr="00D11DA7" w14:paraId="78665D24" w14:textId="77777777" w:rsidTr="00997146">
        <w:trPr>
          <w:trHeight w:val="300"/>
        </w:trPr>
        <w:tc>
          <w:tcPr>
            <w:tcW w:w="2877" w:type="dxa"/>
            <w:noWrap/>
            <w:vAlign w:val="center"/>
            <w:hideMark/>
          </w:tcPr>
          <w:p w14:paraId="6C0A66DC" w14:textId="77777777" w:rsidR="00997146" w:rsidRPr="00D11DA7" w:rsidRDefault="00997146" w:rsidP="00997146">
            <w:pPr>
              <w:rPr>
                <w:sz w:val="20"/>
                <w:szCs w:val="20"/>
              </w:rPr>
            </w:pPr>
            <w:proofErr w:type="spellStart"/>
            <w:r w:rsidRPr="00D11DA7">
              <w:rPr>
                <w:sz w:val="20"/>
                <w:szCs w:val="20"/>
              </w:rPr>
              <w:t>Triptorelin</w:t>
            </w:r>
            <w:proofErr w:type="spellEnd"/>
            <w:r w:rsidRPr="00D11DA7">
              <w:rPr>
                <w:sz w:val="20"/>
                <w:szCs w:val="20"/>
              </w:rPr>
              <w:t xml:space="preserve"> 3 month</w:t>
            </w:r>
          </w:p>
        </w:tc>
        <w:tc>
          <w:tcPr>
            <w:tcW w:w="1011" w:type="dxa"/>
            <w:noWrap/>
            <w:vAlign w:val="center"/>
            <w:hideMark/>
          </w:tcPr>
          <w:p w14:paraId="66190140" w14:textId="448467BB" w:rsidR="00997146" w:rsidRPr="00D11DA7" w:rsidRDefault="00997146" w:rsidP="00997146">
            <w:pPr>
              <w:jc w:val="right"/>
              <w:rPr>
                <w:sz w:val="20"/>
                <w:szCs w:val="20"/>
              </w:rPr>
            </w:pPr>
            <w:r w:rsidRPr="00D11DA7">
              <w:rPr>
                <w:rFonts w:ascii="Calibri" w:hAnsi="Calibri" w:cs="Calibri"/>
                <w:color w:val="000000"/>
                <w:sz w:val="20"/>
                <w:szCs w:val="20"/>
              </w:rPr>
              <w:t>1,431</w:t>
            </w:r>
          </w:p>
        </w:tc>
        <w:tc>
          <w:tcPr>
            <w:tcW w:w="1012" w:type="dxa"/>
            <w:noWrap/>
            <w:vAlign w:val="center"/>
            <w:hideMark/>
          </w:tcPr>
          <w:p w14:paraId="6851F3DA" w14:textId="032A5537" w:rsidR="00997146" w:rsidRPr="00D11DA7" w:rsidRDefault="00997146" w:rsidP="00997146">
            <w:pPr>
              <w:jc w:val="right"/>
              <w:rPr>
                <w:sz w:val="20"/>
                <w:szCs w:val="20"/>
              </w:rPr>
            </w:pPr>
            <w:r w:rsidRPr="00D11DA7">
              <w:rPr>
                <w:rFonts w:ascii="Calibri" w:hAnsi="Calibri" w:cs="Calibri"/>
                <w:color w:val="000000"/>
                <w:sz w:val="20"/>
                <w:szCs w:val="20"/>
              </w:rPr>
              <w:t>1,643</w:t>
            </w:r>
          </w:p>
        </w:tc>
        <w:tc>
          <w:tcPr>
            <w:tcW w:w="1012" w:type="dxa"/>
            <w:noWrap/>
            <w:vAlign w:val="center"/>
            <w:hideMark/>
          </w:tcPr>
          <w:p w14:paraId="2B04D8D9" w14:textId="6435E2F0" w:rsidR="00997146" w:rsidRPr="00D11DA7" w:rsidRDefault="00997146" w:rsidP="00997146">
            <w:pPr>
              <w:jc w:val="right"/>
              <w:rPr>
                <w:sz w:val="20"/>
                <w:szCs w:val="20"/>
              </w:rPr>
            </w:pPr>
            <w:r w:rsidRPr="00D11DA7">
              <w:rPr>
                <w:rFonts w:ascii="Calibri" w:hAnsi="Calibri" w:cs="Calibri"/>
                <w:color w:val="000000"/>
                <w:sz w:val="20"/>
                <w:szCs w:val="20"/>
              </w:rPr>
              <w:t>1,758</w:t>
            </w:r>
          </w:p>
        </w:tc>
        <w:tc>
          <w:tcPr>
            <w:tcW w:w="1011" w:type="dxa"/>
            <w:noWrap/>
            <w:vAlign w:val="center"/>
            <w:hideMark/>
          </w:tcPr>
          <w:p w14:paraId="73FFD0D3" w14:textId="773C95B3" w:rsidR="00997146" w:rsidRPr="00D11DA7" w:rsidRDefault="00997146" w:rsidP="00997146">
            <w:pPr>
              <w:jc w:val="right"/>
              <w:rPr>
                <w:sz w:val="20"/>
                <w:szCs w:val="20"/>
              </w:rPr>
            </w:pPr>
            <w:r w:rsidRPr="00D11DA7">
              <w:rPr>
                <w:rFonts w:ascii="Calibri" w:hAnsi="Calibri" w:cs="Calibri"/>
                <w:color w:val="000000"/>
                <w:sz w:val="20"/>
                <w:szCs w:val="20"/>
              </w:rPr>
              <w:t>2,234</w:t>
            </w:r>
          </w:p>
        </w:tc>
        <w:tc>
          <w:tcPr>
            <w:tcW w:w="1012" w:type="dxa"/>
            <w:noWrap/>
            <w:vAlign w:val="center"/>
            <w:hideMark/>
          </w:tcPr>
          <w:p w14:paraId="37FB203F" w14:textId="15CCD8CF" w:rsidR="00997146" w:rsidRPr="00D11DA7" w:rsidRDefault="00997146" w:rsidP="00997146">
            <w:pPr>
              <w:jc w:val="right"/>
              <w:rPr>
                <w:sz w:val="20"/>
                <w:szCs w:val="20"/>
              </w:rPr>
            </w:pPr>
            <w:r w:rsidRPr="00D11DA7">
              <w:rPr>
                <w:rFonts w:ascii="Calibri" w:hAnsi="Calibri" w:cs="Calibri"/>
                <w:color w:val="000000"/>
                <w:sz w:val="20"/>
                <w:szCs w:val="20"/>
              </w:rPr>
              <w:t>2,315</w:t>
            </w:r>
          </w:p>
        </w:tc>
        <w:tc>
          <w:tcPr>
            <w:tcW w:w="1012" w:type="dxa"/>
            <w:noWrap/>
            <w:vAlign w:val="center"/>
            <w:hideMark/>
          </w:tcPr>
          <w:p w14:paraId="3810D273" w14:textId="171972AB" w:rsidR="00997146" w:rsidRPr="00D11DA7" w:rsidRDefault="00997146" w:rsidP="00997146">
            <w:pPr>
              <w:jc w:val="right"/>
              <w:rPr>
                <w:sz w:val="20"/>
                <w:szCs w:val="20"/>
              </w:rPr>
            </w:pPr>
            <w:r w:rsidRPr="00D11DA7">
              <w:rPr>
                <w:rFonts w:ascii="Calibri" w:hAnsi="Calibri" w:cs="Calibri"/>
                <w:color w:val="000000"/>
                <w:sz w:val="20"/>
                <w:szCs w:val="20"/>
              </w:rPr>
              <w:t>9,381</w:t>
            </w:r>
          </w:p>
        </w:tc>
      </w:tr>
      <w:tr w:rsidR="00997146" w:rsidRPr="00D11DA7" w14:paraId="416FA7D2" w14:textId="77777777" w:rsidTr="00997146">
        <w:trPr>
          <w:trHeight w:val="300"/>
        </w:trPr>
        <w:tc>
          <w:tcPr>
            <w:tcW w:w="2877" w:type="dxa"/>
            <w:noWrap/>
            <w:vAlign w:val="center"/>
            <w:hideMark/>
          </w:tcPr>
          <w:p w14:paraId="0A102657" w14:textId="77777777" w:rsidR="00997146" w:rsidRPr="00D11DA7" w:rsidRDefault="00997146" w:rsidP="00997146">
            <w:pPr>
              <w:rPr>
                <w:sz w:val="20"/>
                <w:szCs w:val="20"/>
              </w:rPr>
            </w:pPr>
            <w:proofErr w:type="spellStart"/>
            <w:r w:rsidRPr="00D11DA7">
              <w:rPr>
                <w:sz w:val="20"/>
                <w:szCs w:val="20"/>
              </w:rPr>
              <w:t>Triptorelin</w:t>
            </w:r>
            <w:proofErr w:type="spellEnd"/>
            <w:r w:rsidRPr="00D11DA7">
              <w:rPr>
                <w:sz w:val="20"/>
                <w:szCs w:val="20"/>
              </w:rPr>
              <w:t xml:space="preserve"> 6 month</w:t>
            </w:r>
          </w:p>
        </w:tc>
        <w:tc>
          <w:tcPr>
            <w:tcW w:w="1011" w:type="dxa"/>
            <w:noWrap/>
            <w:vAlign w:val="center"/>
            <w:hideMark/>
          </w:tcPr>
          <w:p w14:paraId="289B9F9D" w14:textId="269468EA" w:rsidR="00997146" w:rsidRPr="00D11DA7" w:rsidRDefault="00997146" w:rsidP="00997146">
            <w:pPr>
              <w:jc w:val="right"/>
              <w:rPr>
                <w:sz w:val="20"/>
                <w:szCs w:val="20"/>
              </w:rPr>
            </w:pPr>
            <w:r w:rsidRPr="00D11DA7">
              <w:rPr>
                <w:rFonts w:ascii="Calibri" w:hAnsi="Calibri" w:cs="Calibri"/>
                <w:color w:val="000000"/>
                <w:sz w:val="20"/>
                <w:szCs w:val="20"/>
              </w:rPr>
              <w:t>491</w:t>
            </w:r>
          </w:p>
        </w:tc>
        <w:tc>
          <w:tcPr>
            <w:tcW w:w="1012" w:type="dxa"/>
            <w:noWrap/>
            <w:vAlign w:val="center"/>
            <w:hideMark/>
          </w:tcPr>
          <w:p w14:paraId="754712DD" w14:textId="5995B033" w:rsidR="00997146" w:rsidRPr="00D11DA7" w:rsidRDefault="00997146" w:rsidP="00997146">
            <w:pPr>
              <w:jc w:val="right"/>
              <w:rPr>
                <w:sz w:val="20"/>
                <w:szCs w:val="20"/>
              </w:rPr>
            </w:pPr>
            <w:r w:rsidRPr="00D11DA7">
              <w:rPr>
                <w:rFonts w:ascii="Calibri" w:hAnsi="Calibri" w:cs="Calibri"/>
                <w:color w:val="000000"/>
                <w:sz w:val="20"/>
                <w:szCs w:val="20"/>
              </w:rPr>
              <w:t>684</w:t>
            </w:r>
          </w:p>
        </w:tc>
        <w:tc>
          <w:tcPr>
            <w:tcW w:w="1012" w:type="dxa"/>
            <w:noWrap/>
            <w:vAlign w:val="center"/>
            <w:hideMark/>
          </w:tcPr>
          <w:p w14:paraId="42AB9767" w14:textId="58A3A43A" w:rsidR="00997146" w:rsidRPr="00D11DA7" w:rsidRDefault="00997146" w:rsidP="00997146">
            <w:pPr>
              <w:jc w:val="right"/>
              <w:rPr>
                <w:sz w:val="20"/>
                <w:szCs w:val="20"/>
              </w:rPr>
            </w:pPr>
            <w:r w:rsidRPr="00D11DA7">
              <w:rPr>
                <w:rFonts w:ascii="Calibri" w:hAnsi="Calibri" w:cs="Calibri"/>
                <w:color w:val="000000"/>
                <w:sz w:val="20"/>
                <w:szCs w:val="20"/>
              </w:rPr>
              <w:t>868</w:t>
            </w:r>
          </w:p>
        </w:tc>
        <w:tc>
          <w:tcPr>
            <w:tcW w:w="1011" w:type="dxa"/>
            <w:noWrap/>
            <w:vAlign w:val="center"/>
            <w:hideMark/>
          </w:tcPr>
          <w:p w14:paraId="4BDC32A5" w14:textId="0CE2C6A2" w:rsidR="00997146" w:rsidRPr="00D11DA7" w:rsidRDefault="00997146" w:rsidP="00997146">
            <w:pPr>
              <w:jc w:val="right"/>
              <w:rPr>
                <w:sz w:val="20"/>
                <w:szCs w:val="20"/>
              </w:rPr>
            </w:pPr>
            <w:r w:rsidRPr="00D11DA7">
              <w:rPr>
                <w:rFonts w:ascii="Calibri" w:hAnsi="Calibri" w:cs="Calibri"/>
                <w:color w:val="000000"/>
                <w:sz w:val="20"/>
                <w:szCs w:val="20"/>
              </w:rPr>
              <w:t>1,037</w:t>
            </w:r>
          </w:p>
        </w:tc>
        <w:tc>
          <w:tcPr>
            <w:tcW w:w="1012" w:type="dxa"/>
            <w:noWrap/>
            <w:vAlign w:val="center"/>
            <w:hideMark/>
          </w:tcPr>
          <w:p w14:paraId="598FB0D1" w14:textId="379EE930" w:rsidR="00997146" w:rsidRPr="00D11DA7" w:rsidRDefault="00997146" w:rsidP="00997146">
            <w:pPr>
              <w:jc w:val="right"/>
              <w:rPr>
                <w:sz w:val="20"/>
                <w:szCs w:val="20"/>
              </w:rPr>
            </w:pPr>
            <w:r w:rsidRPr="00D11DA7">
              <w:rPr>
                <w:rFonts w:ascii="Calibri" w:hAnsi="Calibri" w:cs="Calibri"/>
                <w:color w:val="000000"/>
                <w:sz w:val="20"/>
                <w:szCs w:val="20"/>
              </w:rPr>
              <w:t>1,318</w:t>
            </w:r>
          </w:p>
        </w:tc>
        <w:tc>
          <w:tcPr>
            <w:tcW w:w="1012" w:type="dxa"/>
            <w:noWrap/>
            <w:vAlign w:val="center"/>
            <w:hideMark/>
          </w:tcPr>
          <w:p w14:paraId="787F29B3" w14:textId="0DEA9224" w:rsidR="00997146" w:rsidRPr="00D11DA7" w:rsidRDefault="00997146" w:rsidP="00997146">
            <w:pPr>
              <w:jc w:val="right"/>
              <w:rPr>
                <w:sz w:val="20"/>
                <w:szCs w:val="20"/>
              </w:rPr>
            </w:pPr>
            <w:r w:rsidRPr="00D11DA7">
              <w:rPr>
                <w:rFonts w:ascii="Calibri" w:hAnsi="Calibri" w:cs="Calibri"/>
                <w:color w:val="000000"/>
                <w:sz w:val="20"/>
                <w:szCs w:val="20"/>
              </w:rPr>
              <w:t>4,398</w:t>
            </w:r>
          </w:p>
        </w:tc>
      </w:tr>
      <w:tr w:rsidR="00997146" w:rsidRPr="00D11DA7" w14:paraId="4BF06D19" w14:textId="77777777" w:rsidTr="00997146">
        <w:trPr>
          <w:trHeight w:val="300"/>
        </w:trPr>
        <w:tc>
          <w:tcPr>
            <w:tcW w:w="2877" w:type="dxa"/>
            <w:noWrap/>
            <w:vAlign w:val="center"/>
            <w:hideMark/>
          </w:tcPr>
          <w:p w14:paraId="7385FD6D" w14:textId="43763EF5" w:rsidR="00997146" w:rsidRPr="00D11DA7" w:rsidRDefault="00997146" w:rsidP="00997146">
            <w:pPr>
              <w:rPr>
                <w:b/>
                <w:bCs/>
                <w:sz w:val="20"/>
                <w:szCs w:val="20"/>
              </w:rPr>
            </w:pPr>
            <w:r w:rsidRPr="00D11DA7">
              <w:rPr>
                <w:b/>
                <w:bCs/>
                <w:sz w:val="20"/>
                <w:szCs w:val="20"/>
              </w:rPr>
              <w:t>Total</w:t>
            </w:r>
          </w:p>
        </w:tc>
        <w:tc>
          <w:tcPr>
            <w:tcW w:w="1011" w:type="dxa"/>
            <w:noWrap/>
            <w:vAlign w:val="center"/>
            <w:hideMark/>
          </w:tcPr>
          <w:p w14:paraId="76582C24" w14:textId="3B9D2282" w:rsidR="00997146" w:rsidRPr="00D11DA7" w:rsidRDefault="00997146" w:rsidP="00997146">
            <w:pPr>
              <w:jc w:val="right"/>
              <w:rPr>
                <w:b/>
                <w:bCs/>
                <w:sz w:val="20"/>
                <w:szCs w:val="20"/>
              </w:rPr>
            </w:pPr>
            <w:r w:rsidRPr="00D11DA7">
              <w:rPr>
                <w:rFonts w:ascii="Calibri" w:hAnsi="Calibri" w:cs="Calibri"/>
                <w:b/>
                <w:bCs/>
                <w:color w:val="000000"/>
                <w:sz w:val="20"/>
                <w:szCs w:val="20"/>
              </w:rPr>
              <w:t>111,791</w:t>
            </w:r>
          </w:p>
        </w:tc>
        <w:tc>
          <w:tcPr>
            <w:tcW w:w="1012" w:type="dxa"/>
            <w:noWrap/>
            <w:vAlign w:val="center"/>
            <w:hideMark/>
          </w:tcPr>
          <w:p w14:paraId="2FA2507F" w14:textId="59FEA95E" w:rsidR="00997146" w:rsidRPr="00D11DA7" w:rsidRDefault="00997146" w:rsidP="00997146">
            <w:pPr>
              <w:jc w:val="right"/>
              <w:rPr>
                <w:b/>
                <w:bCs/>
                <w:sz w:val="20"/>
                <w:szCs w:val="20"/>
              </w:rPr>
            </w:pPr>
            <w:r w:rsidRPr="00D11DA7">
              <w:rPr>
                <w:rFonts w:ascii="Calibri" w:hAnsi="Calibri" w:cs="Calibri"/>
                <w:b/>
                <w:bCs/>
                <w:color w:val="000000"/>
                <w:sz w:val="20"/>
                <w:szCs w:val="20"/>
              </w:rPr>
              <w:t>117,000</w:t>
            </w:r>
          </w:p>
        </w:tc>
        <w:tc>
          <w:tcPr>
            <w:tcW w:w="1012" w:type="dxa"/>
            <w:noWrap/>
            <w:vAlign w:val="center"/>
            <w:hideMark/>
          </w:tcPr>
          <w:p w14:paraId="00F6F5E0" w14:textId="5870702C" w:rsidR="00997146" w:rsidRPr="00D11DA7" w:rsidRDefault="00997146" w:rsidP="00997146">
            <w:pPr>
              <w:jc w:val="right"/>
              <w:rPr>
                <w:b/>
                <w:bCs/>
                <w:sz w:val="20"/>
                <w:szCs w:val="20"/>
              </w:rPr>
            </w:pPr>
            <w:r w:rsidRPr="00D11DA7">
              <w:rPr>
                <w:rFonts w:ascii="Calibri" w:hAnsi="Calibri" w:cs="Calibri"/>
                <w:b/>
                <w:bCs/>
                <w:color w:val="000000"/>
                <w:sz w:val="20"/>
                <w:szCs w:val="20"/>
              </w:rPr>
              <w:t>127,848</w:t>
            </w:r>
          </w:p>
        </w:tc>
        <w:tc>
          <w:tcPr>
            <w:tcW w:w="1011" w:type="dxa"/>
            <w:noWrap/>
            <w:vAlign w:val="center"/>
            <w:hideMark/>
          </w:tcPr>
          <w:p w14:paraId="1D434EC5" w14:textId="3CBBE4B9" w:rsidR="00997146" w:rsidRPr="00D11DA7" w:rsidRDefault="00997146" w:rsidP="00997146">
            <w:pPr>
              <w:jc w:val="right"/>
              <w:rPr>
                <w:b/>
                <w:bCs/>
                <w:sz w:val="20"/>
                <w:szCs w:val="20"/>
              </w:rPr>
            </w:pPr>
            <w:r w:rsidRPr="00D11DA7">
              <w:rPr>
                <w:rFonts w:ascii="Calibri" w:hAnsi="Calibri" w:cs="Calibri"/>
                <w:b/>
                <w:bCs/>
                <w:color w:val="000000"/>
                <w:sz w:val="20"/>
                <w:szCs w:val="20"/>
              </w:rPr>
              <w:t>139,688</w:t>
            </w:r>
          </w:p>
        </w:tc>
        <w:tc>
          <w:tcPr>
            <w:tcW w:w="1012" w:type="dxa"/>
            <w:noWrap/>
            <w:vAlign w:val="center"/>
            <w:hideMark/>
          </w:tcPr>
          <w:p w14:paraId="3A319E7B" w14:textId="610EB58B" w:rsidR="00997146" w:rsidRPr="00D11DA7" w:rsidRDefault="00997146" w:rsidP="00997146">
            <w:pPr>
              <w:jc w:val="right"/>
              <w:rPr>
                <w:b/>
                <w:bCs/>
                <w:sz w:val="20"/>
                <w:szCs w:val="20"/>
              </w:rPr>
            </w:pPr>
            <w:r w:rsidRPr="00D11DA7">
              <w:rPr>
                <w:rFonts w:ascii="Calibri" w:hAnsi="Calibri" w:cs="Calibri"/>
                <w:b/>
                <w:bCs/>
                <w:color w:val="000000"/>
                <w:sz w:val="20"/>
                <w:szCs w:val="20"/>
              </w:rPr>
              <w:t>153,220</w:t>
            </w:r>
          </w:p>
        </w:tc>
        <w:tc>
          <w:tcPr>
            <w:tcW w:w="1012" w:type="dxa"/>
            <w:noWrap/>
            <w:vAlign w:val="center"/>
            <w:hideMark/>
          </w:tcPr>
          <w:p w14:paraId="1C999B88" w14:textId="7262FF95" w:rsidR="00997146" w:rsidRPr="00D11DA7" w:rsidRDefault="00997146" w:rsidP="00997146">
            <w:pPr>
              <w:jc w:val="right"/>
              <w:rPr>
                <w:b/>
                <w:bCs/>
                <w:sz w:val="20"/>
                <w:szCs w:val="20"/>
              </w:rPr>
            </w:pPr>
            <w:r w:rsidRPr="00D11DA7">
              <w:rPr>
                <w:rFonts w:ascii="Calibri" w:hAnsi="Calibri" w:cs="Calibri"/>
                <w:b/>
                <w:bCs/>
                <w:color w:val="000000"/>
                <w:sz w:val="20"/>
                <w:szCs w:val="20"/>
              </w:rPr>
              <w:t>649,547</w:t>
            </w:r>
          </w:p>
        </w:tc>
      </w:tr>
    </w:tbl>
    <w:p w14:paraId="478824DA" w14:textId="77777777" w:rsidR="009539EC" w:rsidRPr="00997146" w:rsidRDefault="009539EC" w:rsidP="005C2994"/>
    <w:p w14:paraId="71905AAD" w14:textId="22293E97" w:rsidR="00383392" w:rsidRPr="004459DA" w:rsidRDefault="005B593B" w:rsidP="005C2994">
      <w:r w:rsidRPr="004459DA">
        <w:t xml:space="preserve">Overall the greatest increase in </w:t>
      </w:r>
      <w:r w:rsidR="001E7C22" w:rsidRPr="004459DA">
        <w:t>prescriptions</w:t>
      </w:r>
      <w:r w:rsidRPr="004459DA">
        <w:t xml:space="preserve"> has come from 3.6 mg subcutaneous implant of </w:t>
      </w:r>
      <w:proofErr w:type="spellStart"/>
      <w:r w:rsidRPr="004459DA">
        <w:t>goserelin</w:t>
      </w:r>
      <w:proofErr w:type="spellEnd"/>
      <w:r w:rsidRPr="004459DA">
        <w:t xml:space="preserve"> </w:t>
      </w:r>
      <w:r w:rsidR="009539EC" w:rsidRPr="004459DA">
        <w:t>which is administered once every four weeks.</w:t>
      </w:r>
      <w:r w:rsidR="001E7C22" w:rsidRPr="004459DA">
        <w:t xml:space="preserve"> The use of 10.8 mg </w:t>
      </w:r>
      <w:proofErr w:type="spellStart"/>
      <w:r w:rsidR="001E7C22" w:rsidRPr="004459DA">
        <w:t>goserelin</w:t>
      </w:r>
      <w:proofErr w:type="spellEnd"/>
      <w:r w:rsidR="001E7C22" w:rsidRPr="004459DA">
        <w:t xml:space="preserve"> </w:t>
      </w:r>
      <w:r w:rsidR="00A53F3B">
        <w:t xml:space="preserve">(3 month) </w:t>
      </w:r>
      <w:r w:rsidR="001E7C22" w:rsidRPr="004459DA">
        <w:t>is higher than 3.</w:t>
      </w:r>
      <w:r w:rsidR="00A53F3B">
        <w:t>6</w:t>
      </w:r>
      <w:r w:rsidR="001E7C22" w:rsidRPr="004459DA">
        <w:t xml:space="preserve"> mg </w:t>
      </w:r>
      <w:proofErr w:type="spellStart"/>
      <w:r w:rsidR="001E7C22" w:rsidRPr="004459DA">
        <w:t>goserelin</w:t>
      </w:r>
      <w:proofErr w:type="spellEnd"/>
      <w:r w:rsidR="001E7C22" w:rsidRPr="004459DA">
        <w:t>. The product information recommends the 10.8 mg implant be used in male</w:t>
      </w:r>
      <w:r w:rsidR="002B75C5">
        <w:t xml:space="preserve"> patient</w:t>
      </w:r>
      <w:r w:rsidR="001E7C22" w:rsidRPr="004459DA">
        <w:t>s for prostate cancer and</w:t>
      </w:r>
      <w:r w:rsidR="002B75C5">
        <w:t xml:space="preserve"> is not indicated for use in female patients or children.</w:t>
      </w:r>
      <w:r w:rsidR="001E7C22" w:rsidRPr="004459DA">
        <w:t xml:space="preserve"> </w:t>
      </w:r>
      <w:r w:rsidR="002B75C5">
        <w:t>T</w:t>
      </w:r>
      <w:r w:rsidR="001E7C22" w:rsidRPr="004459DA">
        <w:t>he 3.6</w:t>
      </w:r>
      <w:r w:rsidR="00A53F3B">
        <w:t xml:space="preserve"> </w:t>
      </w:r>
      <w:r w:rsidR="001E7C22" w:rsidRPr="004459DA">
        <w:t>mg implant</w:t>
      </w:r>
      <w:r w:rsidR="002B75C5">
        <w:t xml:space="preserve"> may be </w:t>
      </w:r>
      <w:r w:rsidR="002B75C5" w:rsidRPr="004459DA">
        <w:t>used in male</w:t>
      </w:r>
      <w:r w:rsidR="002B75C5">
        <w:t xml:space="preserve"> patient</w:t>
      </w:r>
      <w:r w:rsidR="002B75C5" w:rsidRPr="004459DA">
        <w:t>s for prostate cancer</w:t>
      </w:r>
      <w:r w:rsidR="002B75C5">
        <w:t xml:space="preserve"> and </w:t>
      </w:r>
      <w:r w:rsidR="001E7C22" w:rsidRPr="004459DA">
        <w:t>in female</w:t>
      </w:r>
      <w:r w:rsidR="002B75C5">
        <w:t xml:space="preserve"> patient</w:t>
      </w:r>
      <w:r w:rsidR="001E7C22" w:rsidRPr="004459DA">
        <w:t>s</w:t>
      </w:r>
      <w:r w:rsidR="00A53F3B">
        <w:t xml:space="preserve"> for endometriosis, hormone receptor positive breast cancer and anticipated premature ovarian failure</w:t>
      </w:r>
      <w:r w:rsidR="001E7C22" w:rsidRPr="004459DA">
        <w:t xml:space="preserve">. </w:t>
      </w:r>
      <w:r w:rsidR="004459DA" w:rsidRPr="004459DA">
        <w:t>The increase in prescriptions</w:t>
      </w:r>
      <w:r w:rsidR="00FF5CDB" w:rsidRPr="004459DA">
        <w:t xml:space="preserve"> </w:t>
      </w:r>
      <w:r w:rsidR="00A53F3B">
        <w:t xml:space="preserve">for </w:t>
      </w:r>
      <w:proofErr w:type="spellStart"/>
      <w:r w:rsidR="00A53F3B">
        <w:t>goserelin</w:t>
      </w:r>
      <w:proofErr w:type="spellEnd"/>
      <w:r w:rsidR="00A53F3B">
        <w:t xml:space="preserve"> </w:t>
      </w:r>
      <w:r w:rsidR="00FF5CDB" w:rsidRPr="004459DA">
        <w:t xml:space="preserve">is likely due to a combination of factors, </w:t>
      </w:r>
      <w:r w:rsidR="00A53F3B">
        <w:t xml:space="preserve">including </w:t>
      </w:r>
      <w:r w:rsidR="00FF5CDB" w:rsidRPr="004459DA">
        <w:t>the cha</w:t>
      </w:r>
      <w:r w:rsidR="00522A8C">
        <w:t xml:space="preserve">nge </w:t>
      </w:r>
      <w:r w:rsidR="00A53F3B">
        <w:t xml:space="preserve">in restriction level </w:t>
      </w:r>
      <w:r w:rsidR="00522A8C">
        <w:t xml:space="preserve">to </w:t>
      </w:r>
      <w:r w:rsidR="00F717D4">
        <w:t>R</w:t>
      </w:r>
      <w:r w:rsidR="00522A8C">
        <w:t xml:space="preserve">estricted </w:t>
      </w:r>
      <w:r w:rsidR="00F717D4">
        <w:t>B</w:t>
      </w:r>
      <w:r w:rsidR="00522A8C">
        <w:t>enefits on 1 </w:t>
      </w:r>
      <w:r w:rsidR="00FF5CDB" w:rsidRPr="004459DA">
        <w:t xml:space="preserve">May 2015, the listing for hormone </w:t>
      </w:r>
      <w:r w:rsidR="00A53F3B" w:rsidRPr="004459DA">
        <w:t>recep</w:t>
      </w:r>
      <w:r w:rsidR="00A53F3B">
        <w:t>tor positive</w:t>
      </w:r>
      <w:r w:rsidR="00A53F3B" w:rsidRPr="004459DA">
        <w:t xml:space="preserve"> </w:t>
      </w:r>
      <w:r w:rsidR="00946640">
        <w:t>breast cancer on 1 </w:t>
      </w:r>
      <w:r w:rsidR="00FF5CDB" w:rsidRPr="004459DA">
        <w:t>October 2015, and the listing for anticipated premature ovar</w:t>
      </w:r>
      <w:r w:rsidR="00946640">
        <w:t>ian failure on 1 </w:t>
      </w:r>
      <w:r w:rsidR="00FF5CDB" w:rsidRPr="004459DA">
        <w:t>December 2017.</w:t>
      </w:r>
    </w:p>
    <w:p w14:paraId="5136283D" w14:textId="5BFDBAE3" w:rsidR="00FF5CDB" w:rsidRDefault="009D4AA3" w:rsidP="005C2994">
      <w:r>
        <w:t>U</w:t>
      </w:r>
      <w:r w:rsidR="00FF5CDB" w:rsidRPr="004459DA">
        <w:t xml:space="preserve">se of the paediatric </w:t>
      </w:r>
      <w:proofErr w:type="spellStart"/>
      <w:r w:rsidR="00FF5CDB" w:rsidRPr="004459DA">
        <w:t>leuprorelin</w:t>
      </w:r>
      <w:proofErr w:type="spellEnd"/>
      <w:r w:rsidR="00FF5CDB" w:rsidRPr="004459DA">
        <w:t xml:space="preserve"> product </w:t>
      </w:r>
      <w:r w:rsidR="008F698C">
        <w:t xml:space="preserve">for </w:t>
      </w:r>
      <w:r w:rsidR="002B654E">
        <w:t>CPP</w:t>
      </w:r>
      <w:r w:rsidR="008F698C">
        <w:t xml:space="preserve"> </w:t>
      </w:r>
      <w:r w:rsidR="00FA613E">
        <w:t>h</w:t>
      </w:r>
      <w:r w:rsidR="008C4203">
        <w:t>ad</w:t>
      </w:r>
      <w:r w:rsidR="00FA613E">
        <w:t xml:space="preserve"> grown since its first listing in 2015, </w:t>
      </w:r>
      <w:r w:rsidR="00F37DA7">
        <w:t>w</w:t>
      </w:r>
      <w:r w:rsidR="00FA613E">
        <w:t>ith</w:t>
      </w:r>
      <w:r w:rsidR="00FF5CDB" w:rsidRPr="004459DA">
        <w:t xml:space="preserve"> 2,00</w:t>
      </w:r>
      <w:r w:rsidR="00D30214">
        <w:t>8</w:t>
      </w:r>
      <w:r w:rsidR="00FF5CDB" w:rsidRPr="004459DA">
        <w:t xml:space="preserve"> prescriptions dispensed in 2018.</w:t>
      </w:r>
    </w:p>
    <w:p w14:paraId="2FF77B3F" w14:textId="43171DB2" w:rsidR="008C4203" w:rsidRDefault="008C4203">
      <w:pPr>
        <w:spacing w:line="276" w:lineRule="auto"/>
      </w:pPr>
      <w:r>
        <w:br w:type="page"/>
      </w:r>
    </w:p>
    <w:p w14:paraId="36B7DDF0" w14:textId="08336B10" w:rsidR="00551D2E" w:rsidRDefault="004C1DC3" w:rsidP="00A35800">
      <w:pPr>
        <w:rPr>
          <w:highlight w:val="yellow"/>
        </w:rPr>
      </w:pPr>
      <w:r>
        <w:rPr>
          <w:noProof/>
        </w:rPr>
        <w:lastRenderedPageBreak/>
        <w:drawing>
          <wp:inline distT="0" distB="0" distL="0" distR="0" wp14:anchorId="379F046D" wp14:editId="7BE82628">
            <wp:extent cx="5687695" cy="3520440"/>
            <wp:effectExtent l="0" t="0" r="8255" b="3810"/>
            <wp:docPr id="1" name="Chart 1" descr="Initiating and prevalent treated patients supplied goserelin, leuprorelin, triptorelin or nafarelin by month of supply" title="Initiating and prevalent treated patients supplied goserelin, leuprorelin, triptorelin or nafarelin by month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8A04045" w14:textId="59340273" w:rsidR="0050566F" w:rsidRPr="00551D2E" w:rsidRDefault="00D9012E" w:rsidP="0050566F">
      <w:pPr>
        <w:pStyle w:val="Figuretitle"/>
      </w:pPr>
      <w:r>
        <w:t>Figure 3</w:t>
      </w:r>
      <w:r w:rsidR="0050566F" w:rsidRPr="00551D2E">
        <w:t xml:space="preserve">: Initiating and prevalent treated patients </w:t>
      </w:r>
      <w:r w:rsidR="003C6A8C">
        <w:t xml:space="preserve">supplied </w:t>
      </w:r>
      <w:proofErr w:type="spellStart"/>
      <w:r w:rsidR="003C6A8C">
        <w:rPr>
          <w:rFonts w:cs="Calibri"/>
          <w:color w:val="000000"/>
        </w:rPr>
        <w:t>goserelin</w:t>
      </w:r>
      <w:proofErr w:type="spellEnd"/>
      <w:r w:rsidR="003C6A8C">
        <w:rPr>
          <w:rFonts w:cs="Calibri"/>
          <w:color w:val="000000"/>
        </w:rPr>
        <w:t xml:space="preserve">, </w:t>
      </w:r>
      <w:proofErr w:type="spellStart"/>
      <w:r w:rsidR="003C6A8C">
        <w:rPr>
          <w:rFonts w:cs="Calibri"/>
          <w:color w:val="000000"/>
        </w:rPr>
        <w:t>leuprorelin</w:t>
      </w:r>
      <w:proofErr w:type="spellEnd"/>
      <w:r w:rsidR="003C6A8C">
        <w:rPr>
          <w:rFonts w:cs="Calibri"/>
          <w:color w:val="000000"/>
        </w:rPr>
        <w:t xml:space="preserve">, </w:t>
      </w:r>
      <w:proofErr w:type="spellStart"/>
      <w:r w:rsidR="003C6A8C">
        <w:rPr>
          <w:rFonts w:cs="Calibri"/>
          <w:color w:val="000000"/>
        </w:rPr>
        <w:t>triptorelin</w:t>
      </w:r>
      <w:proofErr w:type="spellEnd"/>
      <w:r w:rsidR="003C6A8C">
        <w:rPr>
          <w:rFonts w:cs="Calibri"/>
          <w:color w:val="000000"/>
        </w:rPr>
        <w:t xml:space="preserve"> or </w:t>
      </w:r>
      <w:proofErr w:type="spellStart"/>
      <w:r w:rsidR="003C6A8C">
        <w:rPr>
          <w:rFonts w:cs="Calibri"/>
          <w:color w:val="000000"/>
        </w:rPr>
        <w:t>nafarelin</w:t>
      </w:r>
      <w:proofErr w:type="spellEnd"/>
      <w:r w:rsidR="003C6A8C" w:rsidRPr="00330ADB">
        <w:rPr>
          <w:rFonts w:cs="Calibri"/>
          <w:color w:val="000000"/>
        </w:rPr>
        <w:t xml:space="preserve"> </w:t>
      </w:r>
      <w:r w:rsidR="0050566F" w:rsidRPr="00551D2E">
        <w:t>by month of supply</w:t>
      </w:r>
    </w:p>
    <w:p w14:paraId="116F81B6" w14:textId="2377163D" w:rsidR="00551D2E" w:rsidRDefault="00551D2E" w:rsidP="0050566F">
      <w:pPr>
        <w:rPr>
          <w:highlight w:val="green"/>
        </w:rPr>
      </w:pPr>
    </w:p>
    <w:p w14:paraId="2A9CF050" w14:textId="7CD208BA" w:rsidR="0050566F" w:rsidRDefault="00D9012E" w:rsidP="0050566F">
      <w:r>
        <w:t>Figure 3</w:t>
      </w:r>
      <w:r w:rsidR="0050566F" w:rsidRPr="0050566F">
        <w:t xml:space="preserve"> abo</w:t>
      </w:r>
      <w:r w:rsidR="0050566F">
        <w:t xml:space="preserve">ve shows the number of initiating patients </w:t>
      </w:r>
      <w:r w:rsidR="003C6A8C">
        <w:t xml:space="preserve">has been </w:t>
      </w:r>
      <w:r w:rsidR="0050566F">
        <w:t>relatively stable</w:t>
      </w:r>
      <w:r w:rsidR="003C6A8C">
        <w:t xml:space="preserve"> since 2015</w:t>
      </w:r>
      <w:r w:rsidR="0050566F">
        <w:t xml:space="preserve">. </w:t>
      </w:r>
      <w:r w:rsidR="003C6A8C">
        <w:t xml:space="preserve">A total of </w:t>
      </w:r>
      <w:r w:rsidR="0050566F">
        <w:t>15,</w:t>
      </w:r>
      <w:r w:rsidR="004C1DC3">
        <w:t>859</w:t>
      </w:r>
      <w:r w:rsidR="0050566F">
        <w:t xml:space="preserve"> patients </w:t>
      </w:r>
      <w:r w:rsidR="003C6A8C">
        <w:t xml:space="preserve">first </w:t>
      </w:r>
      <w:r w:rsidR="0050566F">
        <w:t xml:space="preserve">initiated treatment in 2018. The number of prevalent treated patients is gradually growing over time. There were </w:t>
      </w:r>
      <w:r w:rsidR="004C1DC3">
        <w:t>46,739</w:t>
      </w:r>
      <w:r w:rsidR="0050566F">
        <w:t xml:space="preserve"> </w:t>
      </w:r>
      <w:r w:rsidR="003A5E96">
        <w:t xml:space="preserve">total </w:t>
      </w:r>
      <w:r w:rsidR="0050566F">
        <w:t xml:space="preserve">patients treated in 2018, compared to </w:t>
      </w:r>
      <w:r w:rsidR="004C1DC3">
        <w:t>40,123</w:t>
      </w:r>
      <w:r w:rsidR="0050566F">
        <w:t xml:space="preserve"> in 2016.</w:t>
      </w:r>
    </w:p>
    <w:p w14:paraId="20B96192" w14:textId="7BC4CFC8" w:rsidR="0050566F" w:rsidRDefault="0050566F" w:rsidP="0050566F">
      <w:pPr>
        <w:pStyle w:val="Tabletitle"/>
      </w:pPr>
      <w:r>
        <w:t>Table</w:t>
      </w:r>
      <w:r w:rsidR="00D9012E">
        <w:t xml:space="preserve"> 7</w:t>
      </w:r>
      <w:r w:rsidRPr="00551D2E">
        <w:t xml:space="preserve">: Initiating and prevalent treated patients </w:t>
      </w:r>
      <w:r w:rsidR="003A5E96">
        <w:t xml:space="preserve">supplied </w:t>
      </w:r>
      <w:proofErr w:type="spellStart"/>
      <w:r w:rsidR="003A5E96">
        <w:rPr>
          <w:rFonts w:cs="Calibri"/>
          <w:color w:val="000000"/>
        </w:rPr>
        <w:t>goserelin</w:t>
      </w:r>
      <w:proofErr w:type="spellEnd"/>
      <w:r w:rsidR="003A5E96">
        <w:rPr>
          <w:rFonts w:cs="Calibri"/>
          <w:color w:val="000000"/>
        </w:rPr>
        <w:t xml:space="preserve">, </w:t>
      </w:r>
      <w:proofErr w:type="spellStart"/>
      <w:r w:rsidR="003A5E96">
        <w:rPr>
          <w:rFonts w:cs="Calibri"/>
          <w:color w:val="000000"/>
        </w:rPr>
        <w:t>leuprorelin</w:t>
      </w:r>
      <w:proofErr w:type="spellEnd"/>
      <w:r w:rsidR="003A5E96">
        <w:rPr>
          <w:rFonts w:cs="Calibri"/>
          <w:color w:val="000000"/>
        </w:rPr>
        <w:t xml:space="preserve">, </w:t>
      </w:r>
      <w:proofErr w:type="spellStart"/>
      <w:r w:rsidR="003A5E96">
        <w:rPr>
          <w:rFonts w:cs="Calibri"/>
          <w:color w:val="000000"/>
        </w:rPr>
        <w:t>triptorelin</w:t>
      </w:r>
      <w:proofErr w:type="spellEnd"/>
      <w:r w:rsidR="003A5E96">
        <w:rPr>
          <w:rFonts w:cs="Calibri"/>
          <w:color w:val="000000"/>
        </w:rPr>
        <w:t xml:space="preserve"> or </w:t>
      </w:r>
      <w:proofErr w:type="spellStart"/>
      <w:r w:rsidR="003A5E96">
        <w:rPr>
          <w:rFonts w:cs="Calibri"/>
          <w:color w:val="000000"/>
        </w:rPr>
        <w:t>nafarelin</w:t>
      </w:r>
      <w:proofErr w:type="spellEnd"/>
      <w:r w:rsidR="003A5E96" w:rsidRPr="00330ADB">
        <w:rPr>
          <w:rFonts w:cs="Calibri"/>
          <w:color w:val="000000"/>
        </w:rPr>
        <w:t xml:space="preserve"> </w:t>
      </w:r>
      <w:r w:rsidRPr="00551D2E">
        <w:t xml:space="preserve">by </w:t>
      </w:r>
      <w:r>
        <w:t>year</w:t>
      </w:r>
      <w:r w:rsidRPr="00551D2E">
        <w:t xml:space="preserve"> of supply</w:t>
      </w:r>
    </w:p>
    <w:tbl>
      <w:tblPr>
        <w:tblStyle w:val="TableGrid"/>
        <w:tblW w:w="0" w:type="auto"/>
        <w:tblLayout w:type="fixed"/>
        <w:tblLook w:val="04A0" w:firstRow="1" w:lastRow="0" w:firstColumn="1" w:lastColumn="0" w:noHBand="0" w:noVBand="1"/>
        <w:tblCaption w:val="Initiating and prevalent treated patients supplied goserelin, leuprorelin, triptorelin or nafarelin by year of supply"/>
        <w:tblDescription w:val="Initiating and prevalent treated patients supplied goserelin, leuprorelin, triptorelin or nafarelin by year of supply"/>
      </w:tblPr>
      <w:tblGrid>
        <w:gridCol w:w="960"/>
        <w:gridCol w:w="1785"/>
        <w:gridCol w:w="1786"/>
      </w:tblGrid>
      <w:tr w:rsidR="0050566F" w:rsidRPr="0050566F" w14:paraId="0631F52D" w14:textId="77777777" w:rsidTr="0094329A">
        <w:trPr>
          <w:trHeight w:val="300"/>
          <w:tblHeader/>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44B7F31" w14:textId="5F62A12F" w:rsidR="0050566F" w:rsidRPr="0050566F" w:rsidRDefault="0050566F" w:rsidP="0050566F">
            <w:pPr>
              <w:rPr>
                <w:b/>
                <w:sz w:val="20"/>
                <w:szCs w:val="20"/>
              </w:rPr>
            </w:pPr>
            <w:r w:rsidRPr="0050566F">
              <w:rPr>
                <w:b/>
                <w:sz w:val="20"/>
                <w:szCs w:val="20"/>
              </w:rPr>
              <w:t>Year</w:t>
            </w:r>
          </w:p>
        </w:tc>
        <w:tc>
          <w:tcPr>
            <w:tcW w:w="17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F5B6007" w14:textId="5B6084D6" w:rsidR="0050566F" w:rsidRPr="0050566F" w:rsidRDefault="0050566F" w:rsidP="0050566F">
            <w:pPr>
              <w:jc w:val="center"/>
              <w:rPr>
                <w:b/>
                <w:sz w:val="20"/>
                <w:szCs w:val="20"/>
              </w:rPr>
            </w:pPr>
            <w:r w:rsidRPr="0050566F">
              <w:rPr>
                <w:b/>
                <w:sz w:val="20"/>
                <w:szCs w:val="20"/>
              </w:rPr>
              <w:t>Initiating patients</w:t>
            </w:r>
          </w:p>
        </w:tc>
        <w:tc>
          <w:tcPr>
            <w:tcW w:w="1786" w:type="dxa"/>
            <w:tcBorders>
              <w:left w:val="single" w:sz="4" w:space="0" w:color="auto"/>
            </w:tcBorders>
            <w:shd w:val="clear" w:color="auto" w:fill="BFBFBF" w:themeFill="background1" w:themeFillShade="BF"/>
            <w:noWrap/>
            <w:vAlign w:val="center"/>
            <w:hideMark/>
          </w:tcPr>
          <w:p w14:paraId="1F7FD598" w14:textId="7AAFA1AE" w:rsidR="0050566F" w:rsidRPr="0050566F" w:rsidRDefault="0050566F" w:rsidP="0050566F">
            <w:pPr>
              <w:jc w:val="center"/>
              <w:rPr>
                <w:b/>
                <w:sz w:val="20"/>
                <w:szCs w:val="20"/>
              </w:rPr>
            </w:pPr>
            <w:r w:rsidRPr="0050566F">
              <w:rPr>
                <w:b/>
                <w:sz w:val="20"/>
                <w:szCs w:val="20"/>
              </w:rPr>
              <w:t>Treated patients</w:t>
            </w:r>
          </w:p>
        </w:tc>
      </w:tr>
      <w:tr w:rsidR="004C1DC3" w:rsidRPr="0050566F" w14:paraId="0B4B527B" w14:textId="77777777" w:rsidTr="00E22E13">
        <w:trPr>
          <w:trHeight w:val="30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4597615D" w14:textId="77777777" w:rsidR="004C1DC3" w:rsidRPr="0050566F" w:rsidRDefault="004C1DC3" w:rsidP="004C1DC3">
            <w:pPr>
              <w:rPr>
                <w:sz w:val="20"/>
                <w:szCs w:val="20"/>
              </w:rPr>
            </w:pPr>
            <w:r w:rsidRPr="0050566F">
              <w:rPr>
                <w:sz w:val="20"/>
                <w:szCs w:val="20"/>
              </w:rPr>
              <w:t>2014</w:t>
            </w:r>
          </w:p>
        </w:tc>
        <w:tc>
          <w:tcPr>
            <w:tcW w:w="1785" w:type="dxa"/>
            <w:tcBorders>
              <w:top w:val="single" w:sz="4" w:space="0" w:color="auto"/>
              <w:left w:val="single" w:sz="4" w:space="0" w:color="auto"/>
              <w:bottom w:val="single" w:sz="4" w:space="0" w:color="auto"/>
              <w:right w:val="single" w:sz="4" w:space="0" w:color="auto"/>
            </w:tcBorders>
            <w:noWrap/>
            <w:vAlign w:val="center"/>
            <w:hideMark/>
          </w:tcPr>
          <w:p w14:paraId="5B7F1875" w14:textId="3F6002A0" w:rsidR="004C1DC3" w:rsidRPr="004C1DC3" w:rsidRDefault="004C1DC3" w:rsidP="004C1DC3">
            <w:pPr>
              <w:jc w:val="right"/>
              <w:rPr>
                <w:sz w:val="20"/>
                <w:szCs w:val="20"/>
              </w:rPr>
            </w:pPr>
          </w:p>
        </w:tc>
        <w:tc>
          <w:tcPr>
            <w:tcW w:w="1786" w:type="dxa"/>
            <w:tcBorders>
              <w:left w:val="single" w:sz="4" w:space="0" w:color="auto"/>
            </w:tcBorders>
            <w:noWrap/>
            <w:vAlign w:val="center"/>
            <w:hideMark/>
          </w:tcPr>
          <w:p w14:paraId="35DA1B05" w14:textId="4892263F" w:rsidR="004C1DC3" w:rsidRPr="004C1DC3" w:rsidRDefault="004C1DC3" w:rsidP="004C1DC3">
            <w:pPr>
              <w:jc w:val="right"/>
              <w:rPr>
                <w:sz w:val="20"/>
                <w:szCs w:val="20"/>
              </w:rPr>
            </w:pPr>
            <w:r w:rsidRPr="004C1DC3">
              <w:rPr>
                <w:rFonts w:ascii="Calibri" w:hAnsi="Calibri" w:cs="Calibri"/>
                <w:color w:val="000000"/>
                <w:sz w:val="20"/>
                <w:szCs w:val="20"/>
              </w:rPr>
              <w:t>36</w:t>
            </w:r>
            <w:r>
              <w:rPr>
                <w:rFonts w:ascii="Calibri" w:hAnsi="Calibri" w:cs="Calibri"/>
                <w:color w:val="000000"/>
                <w:sz w:val="20"/>
                <w:szCs w:val="20"/>
              </w:rPr>
              <w:t>,</w:t>
            </w:r>
            <w:r w:rsidRPr="004C1DC3">
              <w:rPr>
                <w:rFonts w:ascii="Calibri" w:hAnsi="Calibri" w:cs="Calibri"/>
                <w:color w:val="000000"/>
                <w:sz w:val="20"/>
                <w:szCs w:val="20"/>
              </w:rPr>
              <w:t>004</w:t>
            </w:r>
          </w:p>
        </w:tc>
      </w:tr>
      <w:tr w:rsidR="004C1DC3" w:rsidRPr="0050566F" w14:paraId="2F0752A2" w14:textId="77777777" w:rsidTr="00E22E13">
        <w:trPr>
          <w:trHeight w:val="30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3A7ECFB" w14:textId="77777777" w:rsidR="004C1DC3" w:rsidRPr="0050566F" w:rsidRDefault="004C1DC3" w:rsidP="004C1DC3">
            <w:pPr>
              <w:rPr>
                <w:sz w:val="20"/>
                <w:szCs w:val="20"/>
              </w:rPr>
            </w:pPr>
            <w:r w:rsidRPr="0050566F">
              <w:rPr>
                <w:sz w:val="20"/>
                <w:szCs w:val="20"/>
              </w:rPr>
              <w:t>2015</w:t>
            </w:r>
          </w:p>
        </w:tc>
        <w:tc>
          <w:tcPr>
            <w:tcW w:w="1785" w:type="dxa"/>
            <w:tcBorders>
              <w:top w:val="single" w:sz="4" w:space="0" w:color="auto"/>
              <w:left w:val="single" w:sz="4" w:space="0" w:color="auto"/>
              <w:bottom w:val="single" w:sz="4" w:space="0" w:color="auto"/>
              <w:right w:val="single" w:sz="4" w:space="0" w:color="auto"/>
            </w:tcBorders>
            <w:noWrap/>
            <w:vAlign w:val="center"/>
            <w:hideMark/>
          </w:tcPr>
          <w:p w14:paraId="3C3B5125" w14:textId="3E9A32BF" w:rsidR="004C1DC3" w:rsidRPr="004C1DC3" w:rsidRDefault="004C1DC3" w:rsidP="004C1DC3">
            <w:pPr>
              <w:jc w:val="right"/>
              <w:rPr>
                <w:sz w:val="20"/>
                <w:szCs w:val="20"/>
              </w:rPr>
            </w:pPr>
            <w:r w:rsidRPr="004C1DC3">
              <w:rPr>
                <w:rFonts w:ascii="Calibri" w:hAnsi="Calibri" w:cs="Calibri"/>
                <w:color w:val="000000"/>
                <w:sz w:val="20"/>
                <w:szCs w:val="20"/>
              </w:rPr>
              <w:t>13</w:t>
            </w:r>
            <w:r>
              <w:rPr>
                <w:rFonts w:ascii="Calibri" w:hAnsi="Calibri" w:cs="Calibri"/>
                <w:color w:val="000000"/>
                <w:sz w:val="20"/>
                <w:szCs w:val="20"/>
              </w:rPr>
              <w:t>,</w:t>
            </w:r>
            <w:r w:rsidRPr="004C1DC3">
              <w:rPr>
                <w:rFonts w:ascii="Calibri" w:hAnsi="Calibri" w:cs="Calibri"/>
                <w:color w:val="000000"/>
                <w:sz w:val="20"/>
                <w:szCs w:val="20"/>
              </w:rPr>
              <w:t>109</w:t>
            </w:r>
          </w:p>
        </w:tc>
        <w:tc>
          <w:tcPr>
            <w:tcW w:w="1786" w:type="dxa"/>
            <w:tcBorders>
              <w:left w:val="single" w:sz="4" w:space="0" w:color="auto"/>
            </w:tcBorders>
            <w:noWrap/>
            <w:vAlign w:val="center"/>
            <w:hideMark/>
          </w:tcPr>
          <w:p w14:paraId="4AA4CADD" w14:textId="43115FC8" w:rsidR="004C1DC3" w:rsidRPr="004C1DC3" w:rsidRDefault="004C1DC3" w:rsidP="004C1DC3">
            <w:pPr>
              <w:jc w:val="right"/>
              <w:rPr>
                <w:sz w:val="20"/>
                <w:szCs w:val="20"/>
              </w:rPr>
            </w:pPr>
            <w:r w:rsidRPr="004C1DC3">
              <w:rPr>
                <w:rFonts w:ascii="Calibri" w:hAnsi="Calibri" w:cs="Calibri"/>
                <w:color w:val="000000"/>
                <w:sz w:val="20"/>
                <w:szCs w:val="20"/>
              </w:rPr>
              <w:t>37</w:t>
            </w:r>
            <w:r>
              <w:rPr>
                <w:rFonts w:ascii="Calibri" w:hAnsi="Calibri" w:cs="Calibri"/>
                <w:color w:val="000000"/>
                <w:sz w:val="20"/>
                <w:szCs w:val="20"/>
              </w:rPr>
              <w:t>,</w:t>
            </w:r>
            <w:r w:rsidRPr="004C1DC3">
              <w:rPr>
                <w:rFonts w:ascii="Calibri" w:hAnsi="Calibri" w:cs="Calibri"/>
                <w:color w:val="000000"/>
                <w:sz w:val="20"/>
                <w:szCs w:val="20"/>
              </w:rPr>
              <w:t>570</w:t>
            </w:r>
          </w:p>
        </w:tc>
      </w:tr>
      <w:tr w:rsidR="004C1DC3" w:rsidRPr="0050566F" w14:paraId="37C3A1ED" w14:textId="77777777" w:rsidTr="00E22E13">
        <w:trPr>
          <w:trHeight w:val="30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46F9DC3B" w14:textId="77777777" w:rsidR="004C1DC3" w:rsidRPr="0050566F" w:rsidRDefault="004C1DC3" w:rsidP="004C1DC3">
            <w:pPr>
              <w:rPr>
                <w:sz w:val="20"/>
                <w:szCs w:val="20"/>
              </w:rPr>
            </w:pPr>
            <w:r w:rsidRPr="0050566F">
              <w:rPr>
                <w:sz w:val="20"/>
                <w:szCs w:val="20"/>
              </w:rPr>
              <w:t>2016</w:t>
            </w:r>
          </w:p>
        </w:tc>
        <w:tc>
          <w:tcPr>
            <w:tcW w:w="1785" w:type="dxa"/>
            <w:tcBorders>
              <w:top w:val="single" w:sz="4" w:space="0" w:color="auto"/>
              <w:left w:val="single" w:sz="4" w:space="0" w:color="auto"/>
              <w:bottom w:val="single" w:sz="4" w:space="0" w:color="auto"/>
              <w:right w:val="single" w:sz="4" w:space="0" w:color="auto"/>
            </w:tcBorders>
            <w:noWrap/>
            <w:vAlign w:val="center"/>
            <w:hideMark/>
          </w:tcPr>
          <w:p w14:paraId="7A8292EE" w14:textId="1E2E2B84" w:rsidR="004C1DC3" w:rsidRPr="004C1DC3" w:rsidRDefault="004C1DC3" w:rsidP="004C1DC3">
            <w:pPr>
              <w:jc w:val="right"/>
              <w:rPr>
                <w:sz w:val="20"/>
                <w:szCs w:val="20"/>
              </w:rPr>
            </w:pPr>
            <w:r w:rsidRPr="004C1DC3">
              <w:rPr>
                <w:rFonts w:ascii="Calibri" w:hAnsi="Calibri" w:cs="Calibri"/>
                <w:color w:val="000000"/>
                <w:sz w:val="20"/>
                <w:szCs w:val="20"/>
              </w:rPr>
              <w:t>13</w:t>
            </w:r>
            <w:r>
              <w:rPr>
                <w:rFonts w:ascii="Calibri" w:hAnsi="Calibri" w:cs="Calibri"/>
                <w:color w:val="000000"/>
                <w:sz w:val="20"/>
                <w:szCs w:val="20"/>
              </w:rPr>
              <w:t>,</w:t>
            </w:r>
            <w:r w:rsidRPr="004C1DC3">
              <w:rPr>
                <w:rFonts w:ascii="Calibri" w:hAnsi="Calibri" w:cs="Calibri"/>
                <w:color w:val="000000"/>
                <w:sz w:val="20"/>
                <w:szCs w:val="20"/>
              </w:rPr>
              <w:t>400</w:t>
            </w:r>
          </w:p>
        </w:tc>
        <w:tc>
          <w:tcPr>
            <w:tcW w:w="1786" w:type="dxa"/>
            <w:tcBorders>
              <w:left w:val="single" w:sz="4" w:space="0" w:color="auto"/>
            </w:tcBorders>
            <w:noWrap/>
            <w:vAlign w:val="center"/>
            <w:hideMark/>
          </w:tcPr>
          <w:p w14:paraId="7E4BA9F2" w14:textId="1C42E404" w:rsidR="004C1DC3" w:rsidRPr="004C1DC3" w:rsidRDefault="004C1DC3" w:rsidP="004C1DC3">
            <w:pPr>
              <w:jc w:val="right"/>
              <w:rPr>
                <w:sz w:val="20"/>
                <w:szCs w:val="20"/>
              </w:rPr>
            </w:pPr>
            <w:r w:rsidRPr="004C1DC3">
              <w:rPr>
                <w:rFonts w:ascii="Calibri" w:hAnsi="Calibri" w:cs="Calibri"/>
                <w:color w:val="000000"/>
                <w:sz w:val="20"/>
                <w:szCs w:val="20"/>
              </w:rPr>
              <w:t>40</w:t>
            </w:r>
            <w:r>
              <w:rPr>
                <w:rFonts w:ascii="Calibri" w:hAnsi="Calibri" w:cs="Calibri"/>
                <w:color w:val="000000"/>
                <w:sz w:val="20"/>
                <w:szCs w:val="20"/>
              </w:rPr>
              <w:t>,</w:t>
            </w:r>
            <w:r w:rsidRPr="004C1DC3">
              <w:rPr>
                <w:rFonts w:ascii="Calibri" w:hAnsi="Calibri" w:cs="Calibri"/>
                <w:color w:val="000000"/>
                <w:sz w:val="20"/>
                <w:szCs w:val="20"/>
              </w:rPr>
              <w:t>123</w:t>
            </w:r>
          </w:p>
        </w:tc>
      </w:tr>
      <w:tr w:rsidR="004C1DC3" w:rsidRPr="0050566F" w14:paraId="69D7FF0B" w14:textId="77777777" w:rsidTr="00E22E13">
        <w:trPr>
          <w:trHeight w:val="30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727C20F" w14:textId="77777777" w:rsidR="004C1DC3" w:rsidRPr="0050566F" w:rsidRDefault="004C1DC3" w:rsidP="004C1DC3">
            <w:pPr>
              <w:rPr>
                <w:sz w:val="20"/>
                <w:szCs w:val="20"/>
              </w:rPr>
            </w:pPr>
            <w:r w:rsidRPr="0050566F">
              <w:rPr>
                <w:sz w:val="20"/>
                <w:szCs w:val="20"/>
              </w:rPr>
              <w:t>2017</w:t>
            </w:r>
          </w:p>
        </w:tc>
        <w:tc>
          <w:tcPr>
            <w:tcW w:w="1785" w:type="dxa"/>
            <w:tcBorders>
              <w:top w:val="single" w:sz="4" w:space="0" w:color="auto"/>
              <w:left w:val="single" w:sz="4" w:space="0" w:color="auto"/>
              <w:bottom w:val="single" w:sz="4" w:space="0" w:color="auto"/>
              <w:right w:val="single" w:sz="4" w:space="0" w:color="auto"/>
            </w:tcBorders>
            <w:noWrap/>
            <w:vAlign w:val="center"/>
            <w:hideMark/>
          </w:tcPr>
          <w:p w14:paraId="7B4CA5CB" w14:textId="2B91623A" w:rsidR="004C1DC3" w:rsidRPr="004C1DC3" w:rsidRDefault="004C1DC3" w:rsidP="004C1DC3">
            <w:pPr>
              <w:jc w:val="right"/>
              <w:rPr>
                <w:sz w:val="20"/>
                <w:szCs w:val="20"/>
              </w:rPr>
            </w:pPr>
            <w:r w:rsidRPr="004C1DC3">
              <w:rPr>
                <w:rFonts w:ascii="Calibri" w:hAnsi="Calibri" w:cs="Calibri"/>
                <w:color w:val="000000"/>
                <w:sz w:val="20"/>
                <w:szCs w:val="20"/>
              </w:rPr>
              <w:t>14</w:t>
            </w:r>
            <w:r>
              <w:rPr>
                <w:rFonts w:ascii="Calibri" w:hAnsi="Calibri" w:cs="Calibri"/>
                <w:color w:val="000000"/>
                <w:sz w:val="20"/>
                <w:szCs w:val="20"/>
              </w:rPr>
              <w:t>,</w:t>
            </w:r>
            <w:r w:rsidRPr="004C1DC3">
              <w:rPr>
                <w:rFonts w:ascii="Calibri" w:hAnsi="Calibri" w:cs="Calibri"/>
                <w:color w:val="000000"/>
                <w:sz w:val="20"/>
                <w:szCs w:val="20"/>
              </w:rPr>
              <w:t>730</w:t>
            </w:r>
          </w:p>
        </w:tc>
        <w:tc>
          <w:tcPr>
            <w:tcW w:w="1786" w:type="dxa"/>
            <w:tcBorders>
              <w:left w:val="single" w:sz="4" w:space="0" w:color="auto"/>
            </w:tcBorders>
            <w:noWrap/>
            <w:vAlign w:val="center"/>
            <w:hideMark/>
          </w:tcPr>
          <w:p w14:paraId="46814F9C" w14:textId="36420B47" w:rsidR="004C1DC3" w:rsidRPr="004C1DC3" w:rsidRDefault="004C1DC3" w:rsidP="004C1DC3">
            <w:pPr>
              <w:jc w:val="right"/>
              <w:rPr>
                <w:sz w:val="20"/>
                <w:szCs w:val="20"/>
              </w:rPr>
            </w:pPr>
            <w:r w:rsidRPr="004C1DC3">
              <w:rPr>
                <w:rFonts w:ascii="Calibri" w:hAnsi="Calibri" w:cs="Calibri"/>
                <w:color w:val="000000"/>
                <w:sz w:val="20"/>
                <w:szCs w:val="20"/>
              </w:rPr>
              <w:t>43</w:t>
            </w:r>
            <w:r>
              <w:rPr>
                <w:rFonts w:ascii="Calibri" w:hAnsi="Calibri" w:cs="Calibri"/>
                <w:color w:val="000000"/>
                <w:sz w:val="20"/>
                <w:szCs w:val="20"/>
              </w:rPr>
              <w:t>,</w:t>
            </w:r>
            <w:r w:rsidRPr="004C1DC3">
              <w:rPr>
                <w:rFonts w:ascii="Calibri" w:hAnsi="Calibri" w:cs="Calibri"/>
                <w:color w:val="000000"/>
                <w:sz w:val="20"/>
                <w:szCs w:val="20"/>
              </w:rPr>
              <w:t>631</w:t>
            </w:r>
          </w:p>
        </w:tc>
      </w:tr>
      <w:tr w:rsidR="004C1DC3" w:rsidRPr="0050566F" w14:paraId="3311C825" w14:textId="77777777" w:rsidTr="00E22E13">
        <w:trPr>
          <w:trHeight w:val="30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E602E00" w14:textId="77777777" w:rsidR="004C1DC3" w:rsidRPr="0050566F" w:rsidRDefault="004C1DC3" w:rsidP="004C1DC3">
            <w:pPr>
              <w:rPr>
                <w:sz w:val="20"/>
                <w:szCs w:val="20"/>
              </w:rPr>
            </w:pPr>
            <w:r w:rsidRPr="0050566F">
              <w:rPr>
                <w:sz w:val="20"/>
                <w:szCs w:val="20"/>
              </w:rPr>
              <w:t>2018</w:t>
            </w:r>
          </w:p>
        </w:tc>
        <w:tc>
          <w:tcPr>
            <w:tcW w:w="1785" w:type="dxa"/>
            <w:tcBorders>
              <w:top w:val="single" w:sz="4" w:space="0" w:color="auto"/>
              <w:left w:val="single" w:sz="4" w:space="0" w:color="auto"/>
              <w:bottom w:val="single" w:sz="4" w:space="0" w:color="auto"/>
              <w:right w:val="single" w:sz="4" w:space="0" w:color="auto"/>
            </w:tcBorders>
            <w:noWrap/>
            <w:vAlign w:val="center"/>
            <w:hideMark/>
          </w:tcPr>
          <w:p w14:paraId="6AD18A24" w14:textId="65718C5A" w:rsidR="004C1DC3" w:rsidRPr="004C1DC3" w:rsidRDefault="004C1DC3" w:rsidP="004C1DC3">
            <w:pPr>
              <w:jc w:val="right"/>
              <w:rPr>
                <w:sz w:val="20"/>
                <w:szCs w:val="20"/>
              </w:rPr>
            </w:pPr>
            <w:r w:rsidRPr="004C1DC3">
              <w:rPr>
                <w:rFonts w:ascii="Calibri" w:hAnsi="Calibri" w:cs="Calibri"/>
                <w:color w:val="000000"/>
                <w:sz w:val="20"/>
                <w:szCs w:val="20"/>
              </w:rPr>
              <w:t>15</w:t>
            </w:r>
            <w:r>
              <w:rPr>
                <w:rFonts w:ascii="Calibri" w:hAnsi="Calibri" w:cs="Calibri"/>
                <w:color w:val="000000"/>
                <w:sz w:val="20"/>
                <w:szCs w:val="20"/>
              </w:rPr>
              <w:t>,</w:t>
            </w:r>
            <w:r w:rsidRPr="004C1DC3">
              <w:rPr>
                <w:rFonts w:ascii="Calibri" w:hAnsi="Calibri" w:cs="Calibri"/>
                <w:color w:val="000000"/>
                <w:sz w:val="20"/>
                <w:szCs w:val="20"/>
              </w:rPr>
              <w:t>859</w:t>
            </w:r>
          </w:p>
        </w:tc>
        <w:tc>
          <w:tcPr>
            <w:tcW w:w="1786" w:type="dxa"/>
            <w:tcBorders>
              <w:left w:val="single" w:sz="4" w:space="0" w:color="auto"/>
            </w:tcBorders>
            <w:noWrap/>
            <w:vAlign w:val="center"/>
            <w:hideMark/>
          </w:tcPr>
          <w:p w14:paraId="03AD869C" w14:textId="6791C418" w:rsidR="004C1DC3" w:rsidRPr="004C1DC3" w:rsidRDefault="004C1DC3" w:rsidP="004C1DC3">
            <w:pPr>
              <w:jc w:val="right"/>
              <w:rPr>
                <w:sz w:val="20"/>
                <w:szCs w:val="20"/>
              </w:rPr>
            </w:pPr>
            <w:r w:rsidRPr="004C1DC3">
              <w:rPr>
                <w:rFonts w:ascii="Calibri" w:hAnsi="Calibri" w:cs="Calibri"/>
                <w:color w:val="000000"/>
                <w:sz w:val="20"/>
                <w:szCs w:val="20"/>
              </w:rPr>
              <w:t>46</w:t>
            </w:r>
            <w:r>
              <w:rPr>
                <w:rFonts w:ascii="Calibri" w:hAnsi="Calibri" w:cs="Calibri"/>
                <w:color w:val="000000"/>
                <w:sz w:val="20"/>
                <w:szCs w:val="20"/>
              </w:rPr>
              <w:t>,</w:t>
            </w:r>
            <w:r w:rsidRPr="004C1DC3">
              <w:rPr>
                <w:rFonts w:ascii="Calibri" w:hAnsi="Calibri" w:cs="Calibri"/>
                <w:color w:val="000000"/>
                <w:sz w:val="20"/>
                <w:szCs w:val="20"/>
              </w:rPr>
              <w:t>739</w:t>
            </w:r>
          </w:p>
        </w:tc>
      </w:tr>
    </w:tbl>
    <w:p w14:paraId="24F3D430" w14:textId="77777777" w:rsidR="0050566F" w:rsidRPr="0050566F" w:rsidRDefault="0050566F" w:rsidP="0050566F"/>
    <w:p w14:paraId="31F3C115" w14:textId="0A818638" w:rsidR="007E51F0" w:rsidRDefault="00CB406F" w:rsidP="00551D2E">
      <w:r>
        <w:rPr>
          <w:noProof/>
        </w:rPr>
        <w:lastRenderedPageBreak/>
        <w:drawing>
          <wp:inline distT="0" distB="0" distL="0" distR="0" wp14:anchorId="2606B5C9" wp14:editId="49BD18C6">
            <wp:extent cx="5687695" cy="4442460"/>
            <wp:effectExtent l="0" t="0" r="8255" b="15240"/>
            <wp:docPr id="31" name="Chart 31" descr="Initiating and prevalent treated patients supplied goserelin, leuprorelin, triptorelin or nafarelin by gender and month of supply" title="Initiating and prevalent treated patients supplied goserelin, leuprorelin, triptorelin or nafarelin by gender and month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DF34DA8" w14:textId="7E66A084" w:rsidR="0003329D" w:rsidRPr="00CB406F" w:rsidRDefault="00D9012E" w:rsidP="0003329D">
      <w:pPr>
        <w:pStyle w:val="Figuretitle"/>
      </w:pPr>
      <w:r>
        <w:t>Figure 4</w:t>
      </w:r>
      <w:r w:rsidR="0003329D" w:rsidRPr="00CB406F">
        <w:t xml:space="preserve">: Initiating and prevalent treated patients </w:t>
      </w:r>
      <w:r w:rsidR="003A1149">
        <w:t xml:space="preserve">supplied </w:t>
      </w:r>
      <w:proofErr w:type="spellStart"/>
      <w:r w:rsidR="003A1149">
        <w:rPr>
          <w:rFonts w:cs="Calibri"/>
          <w:color w:val="000000"/>
        </w:rPr>
        <w:t>goserelin</w:t>
      </w:r>
      <w:proofErr w:type="spellEnd"/>
      <w:r w:rsidR="003A1149">
        <w:rPr>
          <w:rFonts w:cs="Calibri"/>
          <w:color w:val="000000"/>
        </w:rPr>
        <w:t xml:space="preserve">, </w:t>
      </w:r>
      <w:proofErr w:type="spellStart"/>
      <w:r w:rsidR="003A1149">
        <w:rPr>
          <w:rFonts w:cs="Calibri"/>
          <w:color w:val="000000"/>
        </w:rPr>
        <w:t>leuprorelin</w:t>
      </w:r>
      <w:proofErr w:type="spellEnd"/>
      <w:r w:rsidR="003A1149">
        <w:rPr>
          <w:rFonts w:cs="Calibri"/>
          <w:color w:val="000000"/>
        </w:rPr>
        <w:t xml:space="preserve">, </w:t>
      </w:r>
      <w:proofErr w:type="spellStart"/>
      <w:r w:rsidR="003A1149">
        <w:rPr>
          <w:rFonts w:cs="Calibri"/>
          <w:color w:val="000000"/>
        </w:rPr>
        <w:t>triptorelin</w:t>
      </w:r>
      <w:proofErr w:type="spellEnd"/>
      <w:r w:rsidR="003A1149">
        <w:rPr>
          <w:rFonts w:cs="Calibri"/>
          <w:color w:val="000000"/>
        </w:rPr>
        <w:t xml:space="preserve"> or </w:t>
      </w:r>
      <w:proofErr w:type="spellStart"/>
      <w:r w:rsidR="003A1149">
        <w:rPr>
          <w:rFonts w:cs="Calibri"/>
          <w:color w:val="000000"/>
        </w:rPr>
        <w:t>nafarelin</w:t>
      </w:r>
      <w:proofErr w:type="spellEnd"/>
      <w:r w:rsidR="003A1149" w:rsidRPr="00330ADB">
        <w:rPr>
          <w:rFonts w:cs="Calibri"/>
          <w:color w:val="000000"/>
        </w:rPr>
        <w:t xml:space="preserve"> </w:t>
      </w:r>
      <w:r w:rsidR="0003329D" w:rsidRPr="00CB406F">
        <w:t>by gender and month of supply</w:t>
      </w:r>
    </w:p>
    <w:p w14:paraId="77F04F0C" w14:textId="2A4A348F" w:rsidR="0003329D" w:rsidRPr="00CB406F" w:rsidRDefault="0003329D" w:rsidP="00551D2E"/>
    <w:p w14:paraId="7BCF2CAF" w14:textId="0EA33BB4" w:rsidR="0050566F" w:rsidRPr="00CB406F" w:rsidRDefault="00D9012E" w:rsidP="00551D2E">
      <w:r>
        <w:t>Figure 4</w:t>
      </w:r>
      <w:r w:rsidR="0050566F" w:rsidRPr="00CB406F">
        <w:t xml:space="preserve"> above shows the number of male patients who </w:t>
      </w:r>
      <w:r w:rsidR="00CC0B54">
        <w:t xml:space="preserve">first </w:t>
      </w:r>
      <w:r w:rsidR="0050566F" w:rsidRPr="00CB406F">
        <w:t xml:space="preserve">initiate </w:t>
      </w:r>
      <w:r w:rsidR="00CC0B54">
        <w:t xml:space="preserve">on </w:t>
      </w:r>
      <w:r w:rsidR="0050566F" w:rsidRPr="00CB406F">
        <w:t>treatment per month is higher than the number of female patients</w:t>
      </w:r>
      <w:r w:rsidR="00330D1A" w:rsidRPr="00CB406F">
        <w:t>. In 2018 approximately 1.</w:t>
      </w:r>
      <w:r w:rsidR="00EA26AD">
        <w:t>8</w:t>
      </w:r>
      <w:r w:rsidR="00330D1A" w:rsidRPr="00CB406F">
        <w:t xml:space="preserve"> times more men </w:t>
      </w:r>
      <w:r w:rsidR="00D84DA9">
        <w:t xml:space="preserve">first </w:t>
      </w:r>
      <w:r w:rsidR="00330D1A" w:rsidRPr="00CB406F">
        <w:t xml:space="preserve">initiated </w:t>
      </w:r>
      <w:r w:rsidR="00D84DA9">
        <w:t xml:space="preserve">on therapy </w:t>
      </w:r>
      <w:r w:rsidR="00330D1A" w:rsidRPr="00CB406F">
        <w:t>than women.</w:t>
      </w:r>
      <w:r w:rsidR="0050566F" w:rsidRPr="00CB406F">
        <w:t xml:space="preserve"> </w:t>
      </w:r>
      <w:r w:rsidR="00330D1A" w:rsidRPr="00CB406F">
        <w:t>The</w:t>
      </w:r>
      <w:r w:rsidR="0050566F" w:rsidRPr="00CB406F">
        <w:t xml:space="preserve"> </w:t>
      </w:r>
      <w:r w:rsidR="003A1149">
        <w:t xml:space="preserve">total </w:t>
      </w:r>
      <w:r w:rsidR="0050566F" w:rsidRPr="00CB406F">
        <w:t xml:space="preserve">number of male patients who are treated is </w:t>
      </w:r>
      <w:r w:rsidR="00330D1A" w:rsidRPr="00CB406F">
        <w:t xml:space="preserve">also </w:t>
      </w:r>
      <w:r w:rsidR="0050566F" w:rsidRPr="00CB406F">
        <w:t>higher than the number of female patients</w:t>
      </w:r>
      <w:r w:rsidR="00330D1A" w:rsidRPr="00CB406F">
        <w:t xml:space="preserve">, in 2018 approximately </w:t>
      </w:r>
      <w:r w:rsidR="00EA26AD">
        <w:t>four</w:t>
      </w:r>
      <w:r w:rsidR="00330D1A" w:rsidRPr="00CB406F">
        <w:t xml:space="preserve"> times more men</w:t>
      </w:r>
      <w:r w:rsidR="00EA26AD">
        <w:t xml:space="preserve"> (37,330)</w:t>
      </w:r>
      <w:r w:rsidR="00330D1A" w:rsidRPr="00CB406F">
        <w:t xml:space="preserve"> were treated with </w:t>
      </w:r>
      <w:proofErr w:type="spellStart"/>
      <w:r w:rsidR="00330D1A" w:rsidRPr="00CB406F">
        <w:t>GnRH</w:t>
      </w:r>
      <w:proofErr w:type="spellEnd"/>
      <w:r w:rsidR="00330D1A" w:rsidRPr="00CB406F">
        <w:t xml:space="preserve"> agonists than women</w:t>
      </w:r>
      <w:r w:rsidR="00EA26AD">
        <w:t xml:space="preserve"> (9,403)</w:t>
      </w:r>
      <w:r w:rsidR="0050566F" w:rsidRPr="00CB406F">
        <w:t xml:space="preserve">. </w:t>
      </w:r>
    </w:p>
    <w:p w14:paraId="083CFF74" w14:textId="074F8133" w:rsidR="0003329D" w:rsidRDefault="00FB45D8" w:rsidP="00551D2E">
      <w:r>
        <w:rPr>
          <w:noProof/>
        </w:rPr>
        <w:lastRenderedPageBreak/>
        <w:drawing>
          <wp:inline distT="0" distB="0" distL="0" distR="0" wp14:anchorId="101C2AD1" wp14:editId="1EF7B9B6">
            <wp:extent cx="5687695" cy="3953510"/>
            <wp:effectExtent l="0" t="0" r="8255" b="8890"/>
            <wp:docPr id="30" name="Chart 30" descr="Gender and age of patients first initiating on GnRH agonist therapy" title="Gender and age of patients first initiating on GnRH agonist therapy"/>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57C79B1" w14:textId="435C3E89" w:rsidR="000A7AD9" w:rsidRPr="00551D2E" w:rsidRDefault="00D9012E" w:rsidP="000A7AD9">
      <w:pPr>
        <w:pStyle w:val="Figuretitle"/>
      </w:pPr>
      <w:r>
        <w:t>Figure 5</w:t>
      </w:r>
      <w:r w:rsidR="000A7AD9" w:rsidRPr="00551D2E">
        <w:t xml:space="preserve">: </w:t>
      </w:r>
      <w:r w:rsidR="000A7AD9">
        <w:t xml:space="preserve">Gender </w:t>
      </w:r>
      <w:r w:rsidR="001375C8">
        <w:t xml:space="preserve">and age </w:t>
      </w:r>
      <w:r w:rsidR="000A7AD9">
        <w:t xml:space="preserve">of </w:t>
      </w:r>
      <w:r w:rsidR="000A7AD9" w:rsidRPr="00551D2E">
        <w:t xml:space="preserve">patients </w:t>
      </w:r>
      <w:r w:rsidR="00FA28AB">
        <w:t xml:space="preserve">first initiating on </w:t>
      </w:r>
      <w:proofErr w:type="spellStart"/>
      <w:r w:rsidR="00FA28AB">
        <w:t>GnRH</w:t>
      </w:r>
      <w:proofErr w:type="spellEnd"/>
      <w:r w:rsidR="00FA28AB">
        <w:t xml:space="preserve"> agonist therapy</w:t>
      </w:r>
    </w:p>
    <w:p w14:paraId="09BEC1AA" w14:textId="77777777" w:rsidR="00B762F0" w:rsidRDefault="00B762F0" w:rsidP="00551D2E"/>
    <w:p w14:paraId="76F11A6B" w14:textId="614C1713" w:rsidR="001364B9" w:rsidRDefault="001364B9" w:rsidP="001364B9">
      <w:r>
        <w:t xml:space="preserve">Of </w:t>
      </w:r>
      <w:r w:rsidRPr="004C1DC3">
        <w:t>93</w:t>
      </w:r>
      <w:r>
        <w:t>,</w:t>
      </w:r>
      <w:r w:rsidRPr="004C1DC3">
        <w:t>102</w:t>
      </w:r>
      <w:r>
        <w:t xml:space="preserve"> patients in the complete five year dataset, 21,204 were determined to be female, 71,882 were determined to be male, and 16 were excluded because their gender could not be determined. Eleven patients are excluded in </w:t>
      </w:r>
      <w:r w:rsidR="00FA28AB">
        <w:t>F</w:t>
      </w:r>
      <w:r>
        <w:t xml:space="preserve">igure </w:t>
      </w:r>
      <w:r w:rsidR="00D9012E">
        <w:t>5</w:t>
      </w:r>
      <w:r w:rsidR="008F6FD4">
        <w:t xml:space="preserve"> </w:t>
      </w:r>
      <w:r>
        <w:t xml:space="preserve">because their age was not recorded </w:t>
      </w:r>
      <w:r w:rsidR="008F6FD4">
        <w:t xml:space="preserve">for </w:t>
      </w:r>
      <w:r>
        <w:t>their initial prescription.</w:t>
      </w:r>
      <w:r w:rsidR="0083473B">
        <w:t xml:space="preserve"> </w:t>
      </w:r>
      <w:r w:rsidR="0083473B" w:rsidRPr="00FB45D8">
        <w:t>The number of patients in</w:t>
      </w:r>
      <w:r w:rsidR="0083473B">
        <w:t xml:space="preserve"> each age group can be found in Appendix C.</w:t>
      </w:r>
    </w:p>
    <w:p w14:paraId="5B17CF74" w14:textId="1CAF3521" w:rsidR="00330D1A" w:rsidRDefault="00B762F0" w:rsidP="00551D2E">
      <w:r>
        <w:t xml:space="preserve">The use of </w:t>
      </w:r>
      <w:proofErr w:type="spellStart"/>
      <w:r>
        <w:t>GnRH</w:t>
      </w:r>
      <w:proofErr w:type="spellEnd"/>
      <w:r>
        <w:t xml:space="preserve"> agonists by age and gender shows that male patients </w:t>
      </w:r>
      <w:r w:rsidR="00C13E24">
        <w:t xml:space="preserve">generally first </w:t>
      </w:r>
      <w:r>
        <w:t xml:space="preserve">initiate treatment after the age of 55, </w:t>
      </w:r>
      <w:r w:rsidR="00106033">
        <w:t>which correlates with the expected onset of</w:t>
      </w:r>
      <w:r>
        <w:t xml:space="preserve"> prostate cancer. </w:t>
      </w:r>
      <w:r w:rsidR="00330D1A">
        <w:t xml:space="preserve">Conversely, there are very small numbers of women treated with </w:t>
      </w:r>
      <w:proofErr w:type="spellStart"/>
      <w:r w:rsidR="00330D1A">
        <w:t>GnRH</w:t>
      </w:r>
      <w:proofErr w:type="spellEnd"/>
      <w:r w:rsidR="00330D1A">
        <w:t xml:space="preserve"> agonists after the age of 55. </w:t>
      </w:r>
      <w:proofErr w:type="spellStart"/>
      <w:r w:rsidR="00330D1A">
        <w:t>GnRH</w:t>
      </w:r>
      <w:proofErr w:type="spellEnd"/>
      <w:r w:rsidR="00330D1A">
        <w:t xml:space="preserve"> agonists block hormones and are used to treat endometriosis, the symptoms of which tend to lessen after menopause, and </w:t>
      </w:r>
      <w:r>
        <w:t xml:space="preserve">breast cancer </w:t>
      </w:r>
      <w:r w:rsidR="00330D1A">
        <w:t xml:space="preserve">in premenopausal </w:t>
      </w:r>
      <w:r>
        <w:t xml:space="preserve">women. </w:t>
      </w:r>
    </w:p>
    <w:p w14:paraId="41982FFD" w14:textId="455F8146" w:rsidR="00B762F0" w:rsidRDefault="00B762F0" w:rsidP="00551D2E">
      <w:r w:rsidRPr="00FB45D8">
        <w:t xml:space="preserve">The use of </w:t>
      </w:r>
      <w:proofErr w:type="spellStart"/>
      <w:r w:rsidRPr="00FB45D8">
        <w:t>GnRH</w:t>
      </w:r>
      <w:proofErr w:type="spellEnd"/>
      <w:r w:rsidRPr="00FB45D8">
        <w:t xml:space="preserve"> agonists for </w:t>
      </w:r>
      <w:r w:rsidR="002B654E">
        <w:t>CPP</w:t>
      </w:r>
      <w:r w:rsidRPr="00FB45D8">
        <w:t xml:space="preserve"> is h</w:t>
      </w:r>
      <w:r w:rsidR="00920BD8" w:rsidRPr="00FB45D8">
        <w:t xml:space="preserve">igher in females than males; </w:t>
      </w:r>
      <w:r w:rsidR="00FB45D8" w:rsidRPr="00FB45D8">
        <w:t>102 male patients and 609</w:t>
      </w:r>
      <w:r w:rsidR="00920BD8" w:rsidRPr="00FB45D8">
        <w:t xml:space="preserve"> female patients initiated before the age of 10.</w:t>
      </w:r>
      <w:r w:rsidR="002130A7" w:rsidRPr="00FB45D8">
        <w:t xml:space="preserve"> </w:t>
      </w:r>
    </w:p>
    <w:p w14:paraId="09F9D349" w14:textId="555DF24D" w:rsidR="00736041" w:rsidRPr="000449C4" w:rsidRDefault="00736041" w:rsidP="00330D1A">
      <w:pPr>
        <w:pStyle w:val="Heading3"/>
        <w:keepNext/>
      </w:pPr>
      <w:r w:rsidRPr="000449C4">
        <w:lastRenderedPageBreak/>
        <w:t xml:space="preserve">Utilisation </w:t>
      </w:r>
      <w:r w:rsidR="00B762F0" w:rsidRPr="000449C4">
        <w:t>of</w:t>
      </w:r>
      <w:r w:rsidRPr="000449C4">
        <w:t xml:space="preserve"> </w:t>
      </w:r>
      <w:proofErr w:type="spellStart"/>
      <w:r w:rsidR="00920BD8" w:rsidRPr="000449C4">
        <w:t>GnRH</w:t>
      </w:r>
      <w:proofErr w:type="spellEnd"/>
      <w:r w:rsidR="00920BD8" w:rsidRPr="000449C4">
        <w:t xml:space="preserve"> agonists in </w:t>
      </w:r>
      <w:r w:rsidR="00B762F0" w:rsidRPr="000449C4">
        <w:t>female patients</w:t>
      </w:r>
    </w:p>
    <w:p w14:paraId="3854A6B0" w14:textId="324655FE" w:rsidR="007E4236" w:rsidRPr="000449C4" w:rsidRDefault="007E4236" w:rsidP="00853F97">
      <w:r w:rsidRPr="000449C4">
        <w:t xml:space="preserve"> </w:t>
      </w:r>
      <w:r w:rsidR="001364B9">
        <w:rPr>
          <w:noProof/>
        </w:rPr>
        <w:drawing>
          <wp:inline distT="0" distB="0" distL="0" distR="0" wp14:anchorId="4F5DC62B" wp14:editId="28646252">
            <wp:extent cx="5687695" cy="3804920"/>
            <wp:effectExtent l="0" t="0" r="8255" b="5080"/>
            <wp:docPr id="2" name="Chart 2" descr="Prescriptions for female patients by medicine and month of supply" title="Prescriptions for female patients by medicine and month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1189BA0" w14:textId="0A23E13B" w:rsidR="00BD4CA3" w:rsidRPr="000449C4" w:rsidRDefault="00D9012E" w:rsidP="00BD4CA3">
      <w:pPr>
        <w:pStyle w:val="Figuretitle"/>
      </w:pPr>
      <w:r>
        <w:t>Figure 6</w:t>
      </w:r>
      <w:r w:rsidR="00BD4CA3" w:rsidRPr="000449C4">
        <w:t xml:space="preserve">: Prescriptions for </w:t>
      </w:r>
      <w:r w:rsidR="00141590" w:rsidRPr="000449C4">
        <w:t xml:space="preserve">female </w:t>
      </w:r>
      <w:r w:rsidR="00BD4CA3" w:rsidRPr="000449C4">
        <w:t>patients by medicine and month of supply</w:t>
      </w:r>
    </w:p>
    <w:p w14:paraId="496F97C4" w14:textId="3A063F5B" w:rsidR="00BD4CA3" w:rsidRPr="000449C4" w:rsidRDefault="00BD4CA3" w:rsidP="00BD4CA3"/>
    <w:p w14:paraId="1CB94B5F" w14:textId="53A78198" w:rsidR="00330D1A" w:rsidRPr="000449C4" w:rsidRDefault="00330D1A" w:rsidP="00BD4CA3">
      <w:r w:rsidRPr="000449C4">
        <w:t>Figure</w:t>
      </w:r>
      <w:r w:rsidR="00D9012E">
        <w:t xml:space="preserve"> 6</w:t>
      </w:r>
      <w:r w:rsidRPr="000449C4">
        <w:t xml:space="preserve"> shows that in female patients the most commonly </w:t>
      </w:r>
      <w:r w:rsidR="009B6961" w:rsidRPr="000449C4">
        <w:t xml:space="preserve">used </w:t>
      </w:r>
      <w:proofErr w:type="spellStart"/>
      <w:r w:rsidR="009B6961" w:rsidRPr="000449C4">
        <w:t>GnRH</w:t>
      </w:r>
      <w:proofErr w:type="spellEnd"/>
      <w:r w:rsidR="009B6961" w:rsidRPr="000449C4">
        <w:t xml:space="preserve"> agonist is </w:t>
      </w:r>
      <w:proofErr w:type="spellStart"/>
      <w:r w:rsidR="009B6961" w:rsidRPr="000449C4">
        <w:t>goserelin</w:t>
      </w:r>
      <w:proofErr w:type="spellEnd"/>
      <w:r w:rsidR="009B6961" w:rsidRPr="000449C4">
        <w:t xml:space="preserve">, and </w:t>
      </w:r>
      <w:r w:rsidRPr="000449C4">
        <w:t xml:space="preserve">Figure </w:t>
      </w:r>
      <w:r w:rsidR="00D9012E">
        <w:t>7</w:t>
      </w:r>
      <w:r w:rsidRPr="000449C4">
        <w:t xml:space="preserve"> shows the most common product</w:t>
      </w:r>
      <w:r w:rsidR="007B6031">
        <w:t xml:space="preserve"> supplied to female patients</w:t>
      </w:r>
      <w:r w:rsidRPr="000449C4">
        <w:t xml:space="preserve"> is </w:t>
      </w:r>
      <w:r w:rsidR="00946640">
        <w:t>the 3.6 mg (1 </w:t>
      </w:r>
      <w:r w:rsidR="007B6031">
        <w:t>month) implant</w:t>
      </w:r>
      <w:r w:rsidRPr="000449C4">
        <w:t>.</w:t>
      </w:r>
    </w:p>
    <w:p w14:paraId="678A8608" w14:textId="4A720BF6" w:rsidR="007E4236" w:rsidRPr="00CE5564" w:rsidRDefault="00CE5564" w:rsidP="00CE5564">
      <w:r>
        <w:t xml:space="preserve">Some prescriptions of </w:t>
      </w:r>
      <w:proofErr w:type="spellStart"/>
      <w:r>
        <w:t>triptorelin</w:t>
      </w:r>
      <w:proofErr w:type="spellEnd"/>
      <w:r>
        <w:t xml:space="preserve"> (139 over five years) and </w:t>
      </w:r>
      <w:proofErr w:type="spellStart"/>
      <w:r w:rsidR="00946640">
        <w:t>goserelin</w:t>
      </w:r>
      <w:proofErr w:type="spellEnd"/>
      <w:r w:rsidR="00946640">
        <w:t xml:space="preserve"> and </w:t>
      </w:r>
      <w:proofErr w:type="spellStart"/>
      <w:r w:rsidRPr="00CE5564">
        <w:t>bicalutamide</w:t>
      </w:r>
      <w:proofErr w:type="spellEnd"/>
      <w:r>
        <w:t xml:space="preserve"> (282 over five years) that were supplied to female patients are not shown in Figure </w:t>
      </w:r>
      <w:r w:rsidR="00D9012E">
        <w:t>6 or 7</w:t>
      </w:r>
      <w:r w:rsidR="007B6031">
        <w:t xml:space="preserve"> due to small prescription numbers. These supplies may have been recorded as being supplied to females</w:t>
      </w:r>
      <w:r>
        <w:t xml:space="preserve"> due to miscoding</w:t>
      </w:r>
      <w:r w:rsidR="007B6031">
        <w:t>,</w:t>
      </w:r>
      <w:r w:rsidR="00092461">
        <w:t xml:space="preserve"> or </w:t>
      </w:r>
      <w:r w:rsidR="007B6031">
        <w:t>may reflect</w:t>
      </w:r>
      <w:r w:rsidR="00092461">
        <w:t xml:space="preserve"> outside of the </w:t>
      </w:r>
      <w:r w:rsidR="007B6031">
        <w:t xml:space="preserve">PBS </w:t>
      </w:r>
      <w:r w:rsidR="00092461">
        <w:t>restrictions</w:t>
      </w:r>
      <w:r>
        <w:t>.</w:t>
      </w:r>
    </w:p>
    <w:p w14:paraId="2798E768" w14:textId="105779C4" w:rsidR="001C3EAE" w:rsidRPr="000449C4" w:rsidRDefault="00CE5564" w:rsidP="00BD4CA3">
      <w:r>
        <w:rPr>
          <w:noProof/>
        </w:rPr>
        <w:lastRenderedPageBreak/>
        <w:drawing>
          <wp:inline distT="0" distB="0" distL="0" distR="0" wp14:anchorId="06E6FFF7" wp14:editId="493E8800">
            <wp:extent cx="5581650" cy="3668232"/>
            <wp:effectExtent l="0" t="0" r="0" b="8890"/>
            <wp:docPr id="3" name="Chart 3" descr="Prescriptions for female patients by product and month of supply" title="Prescriptions for female patients by product and month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A83229A" w14:textId="36DB98A4" w:rsidR="00BD4CA3" w:rsidRPr="000449C4" w:rsidRDefault="00BD4CA3" w:rsidP="00BD4CA3">
      <w:pPr>
        <w:pStyle w:val="Figuretitle"/>
      </w:pPr>
      <w:r w:rsidRPr="000449C4">
        <w:t xml:space="preserve">Figure </w:t>
      </w:r>
      <w:r w:rsidR="00D9012E">
        <w:t>7</w:t>
      </w:r>
      <w:r w:rsidRPr="000449C4">
        <w:t xml:space="preserve">: Prescriptions for </w:t>
      </w:r>
      <w:r w:rsidR="00141590" w:rsidRPr="000449C4">
        <w:t xml:space="preserve">female </w:t>
      </w:r>
      <w:r w:rsidRPr="000449C4">
        <w:t>patients by product and month of supply</w:t>
      </w:r>
    </w:p>
    <w:p w14:paraId="557D9DC8" w14:textId="2CAAD82A" w:rsidR="00BD4CA3" w:rsidRPr="00946640" w:rsidRDefault="00BD4CA3" w:rsidP="00BD4CA3"/>
    <w:p w14:paraId="0458B509" w14:textId="043A5B95" w:rsidR="00BD4CA3" w:rsidRPr="000449C4" w:rsidRDefault="00092461" w:rsidP="00BD4CA3">
      <w:pPr>
        <w:pStyle w:val="Figuretitle"/>
      </w:pPr>
      <w:r>
        <w:rPr>
          <w:noProof/>
          <w:lang w:val="en-AU"/>
        </w:rPr>
        <w:lastRenderedPageBreak/>
        <w:drawing>
          <wp:inline distT="0" distB="0" distL="0" distR="0" wp14:anchorId="53CB40A6" wp14:editId="259FBA11">
            <wp:extent cx="5687695" cy="4575175"/>
            <wp:effectExtent l="0" t="0" r="8255" b="15875"/>
            <wp:docPr id="8" name="Chart 8" descr="Prescriptions for female patients in 2018 by product and age" title="Prescriptions for female patients in 2018 by product and 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BD4CA3" w:rsidRPr="000449C4">
        <w:t xml:space="preserve">Figure </w:t>
      </w:r>
      <w:r w:rsidR="00D9012E">
        <w:t>8</w:t>
      </w:r>
      <w:r w:rsidR="00BD4CA3" w:rsidRPr="000449C4">
        <w:t xml:space="preserve">: Prescriptions for </w:t>
      </w:r>
      <w:r w:rsidR="00141590" w:rsidRPr="000449C4">
        <w:t xml:space="preserve">female </w:t>
      </w:r>
      <w:r w:rsidR="00BD4CA3" w:rsidRPr="000449C4">
        <w:t>patients</w:t>
      </w:r>
      <w:r w:rsidR="001C3EAE" w:rsidRPr="000449C4">
        <w:t xml:space="preserve"> in 2018</w:t>
      </w:r>
      <w:r w:rsidR="00BD4CA3" w:rsidRPr="000449C4">
        <w:t xml:space="preserve"> by product and age</w:t>
      </w:r>
    </w:p>
    <w:p w14:paraId="548A3945" w14:textId="77777777" w:rsidR="00946640" w:rsidRDefault="00946640" w:rsidP="00BD4CA3"/>
    <w:p w14:paraId="245E232C" w14:textId="42856A15" w:rsidR="00BD4CA3" w:rsidRPr="000449C4" w:rsidRDefault="00330D1A" w:rsidP="00BD4CA3">
      <w:r w:rsidRPr="000449C4">
        <w:t xml:space="preserve">Figure </w:t>
      </w:r>
      <w:r w:rsidR="00D9012E">
        <w:t>8</w:t>
      </w:r>
      <w:r w:rsidRPr="000449C4">
        <w:t xml:space="preserve"> shows that women aged 15 to 59 </w:t>
      </w:r>
      <w:r w:rsidR="005D7A76">
        <w:t>have predominantly been supplied</w:t>
      </w:r>
      <w:r w:rsidRPr="000449C4">
        <w:t xml:space="preserve"> </w:t>
      </w:r>
      <w:r w:rsidR="007B6031">
        <w:t xml:space="preserve">the </w:t>
      </w:r>
      <w:r w:rsidRPr="000449C4">
        <w:t xml:space="preserve">1 month </w:t>
      </w:r>
      <w:r w:rsidR="007B6031">
        <w:t xml:space="preserve">implant of </w:t>
      </w:r>
      <w:proofErr w:type="spellStart"/>
      <w:r w:rsidRPr="000449C4">
        <w:t>goserelin</w:t>
      </w:r>
      <w:proofErr w:type="spellEnd"/>
      <w:r w:rsidRPr="000449C4">
        <w:t xml:space="preserve"> and </w:t>
      </w:r>
      <w:proofErr w:type="spellStart"/>
      <w:r w:rsidRPr="000449C4">
        <w:t>nafarelin</w:t>
      </w:r>
      <w:proofErr w:type="spellEnd"/>
      <w:r w:rsidR="007B6031">
        <w:t xml:space="preserve">, and that </w:t>
      </w:r>
      <w:proofErr w:type="spellStart"/>
      <w:r w:rsidR="007B6031">
        <w:t>goserelin</w:t>
      </w:r>
      <w:proofErr w:type="spellEnd"/>
      <w:r w:rsidR="007B6031">
        <w:t xml:space="preserve"> is used more than </w:t>
      </w:r>
      <w:proofErr w:type="spellStart"/>
      <w:r w:rsidR="007B6031">
        <w:t>nafarelin</w:t>
      </w:r>
      <w:proofErr w:type="spellEnd"/>
      <w:r w:rsidRPr="000449C4">
        <w:t>.</w:t>
      </w:r>
      <w:r w:rsidR="000449C4">
        <w:t xml:space="preserve"> </w:t>
      </w:r>
      <w:proofErr w:type="spellStart"/>
      <w:r w:rsidR="000449C4">
        <w:t>Leuprorelin</w:t>
      </w:r>
      <w:proofErr w:type="spellEnd"/>
      <w:r w:rsidR="000449C4">
        <w:t xml:space="preserve"> Pae</w:t>
      </w:r>
      <w:r w:rsidR="005D5D19" w:rsidRPr="000449C4">
        <w:t xml:space="preserve">diatric </w:t>
      </w:r>
      <w:r w:rsidR="005D7A76">
        <w:t>has mainly been</w:t>
      </w:r>
      <w:r w:rsidR="005D5D19" w:rsidRPr="000449C4">
        <w:t xml:space="preserve"> </w:t>
      </w:r>
      <w:r w:rsidR="005D3F18">
        <w:t xml:space="preserve">used to treat </w:t>
      </w:r>
      <w:r w:rsidR="000449C4">
        <w:t>young female patients.</w:t>
      </w:r>
    </w:p>
    <w:p w14:paraId="70118855" w14:textId="7D19DA92" w:rsidR="005D5D19" w:rsidRPr="009C7C68" w:rsidRDefault="005D5D19" w:rsidP="005D5D19">
      <w:pPr>
        <w:pStyle w:val="Heading3"/>
        <w:keepNext/>
      </w:pPr>
      <w:r w:rsidRPr="009C7C68">
        <w:t xml:space="preserve">Duration of </w:t>
      </w:r>
      <w:proofErr w:type="spellStart"/>
      <w:r w:rsidRPr="009C7C68">
        <w:t>GnRH</w:t>
      </w:r>
      <w:proofErr w:type="spellEnd"/>
      <w:r w:rsidRPr="009C7C68">
        <w:t xml:space="preserve"> agonist treatment in female patients</w:t>
      </w:r>
    </w:p>
    <w:p w14:paraId="7D31F9AF" w14:textId="3448EE2B" w:rsidR="00141590" w:rsidRPr="009C7C68" w:rsidRDefault="005D5D19" w:rsidP="005D5D19">
      <w:pPr>
        <w:pStyle w:val="Heading4"/>
        <w:rPr>
          <w:b w:val="0"/>
          <w:i w:val="0"/>
          <w:sz w:val="24"/>
          <w:szCs w:val="24"/>
          <w:u w:val="single"/>
        </w:rPr>
      </w:pPr>
      <w:r w:rsidRPr="009C7C68">
        <w:rPr>
          <w:b w:val="0"/>
          <w:i w:val="0"/>
          <w:sz w:val="24"/>
          <w:szCs w:val="24"/>
          <w:u w:val="single"/>
        </w:rPr>
        <w:t>Breast cancer</w:t>
      </w:r>
    </w:p>
    <w:p w14:paraId="3861046E" w14:textId="08122739" w:rsidR="007B6031" w:rsidRPr="00E47183" w:rsidRDefault="000D5428" w:rsidP="007B6031">
      <w:r w:rsidRPr="009C7C68">
        <w:t xml:space="preserve">The analyses below </w:t>
      </w:r>
      <w:r w:rsidR="007B6031">
        <w:t xml:space="preserve">examine the length of treatment for </w:t>
      </w:r>
      <w:r w:rsidR="009C7C68" w:rsidRPr="009C7C68">
        <w:t>5,</w:t>
      </w:r>
      <w:r w:rsidR="00867AED">
        <w:t>898</w:t>
      </w:r>
      <w:r w:rsidR="00867AED" w:rsidRPr="009C7C68">
        <w:t xml:space="preserve"> </w:t>
      </w:r>
      <w:r w:rsidR="00A557A2" w:rsidRPr="009C7C68">
        <w:t xml:space="preserve">female patients who </w:t>
      </w:r>
      <w:r w:rsidR="00867AED">
        <w:t xml:space="preserve">were supplied </w:t>
      </w:r>
      <w:proofErr w:type="spellStart"/>
      <w:r w:rsidR="00867AED">
        <w:t>goserelin</w:t>
      </w:r>
      <w:proofErr w:type="spellEnd"/>
      <w:r w:rsidR="00E302B5">
        <w:t xml:space="preserve"> and also </w:t>
      </w:r>
      <w:r w:rsidR="00A557A2" w:rsidRPr="009C7C68">
        <w:t xml:space="preserve">a chemotherapy which may be used for breast cancer, and </w:t>
      </w:r>
      <w:r w:rsidR="007B6031">
        <w:t>who were</w:t>
      </w:r>
      <w:r w:rsidR="00A557A2" w:rsidRPr="009C7C68">
        <w:t xml:space="preserve"> treated by an oncologist. </w:t>
      </w:r>
    </w:p>
    <w:p w14:paraId="6CE5AF8D" w14:textId="71CE62E9" w:rsidR="000D5428" w:rsidRPr="000449C4" w:rsidRDefault="000D5428" w:rsidP="000D5428">
      <w:r w:rsidRPr="000449C4">
        <w:t>The</w:t>
      </w:r>
      <w:r w:rsidR="000449C4" w:rsidRPr="000449C4">
        <w:t xml:space="preserve"> median</w:t>
      </w:r>
      <w:r w:rsidRPr="000449C4">
        <w:t xml:space="preserve"> length of treatment of </w:t>
      </w:r>
      <w:proofErr w:type="spellStart"/>
      <w:r w:rsidRPr="000449C4">
        <w:t>GnRH</w:t>
      </w:r>
      <w:proofErr w:type="spellEnd"/>
      <w:r w:rsidRPr="000449C4">
        <w:t xml:space="preserve"> agonists in breast cancer </w:t>
      </w:r>
      <w:r w:rsidR="005941AE" w:rsidRPr="000449C4">
        <w:t>was less than 10 months, and less than eight months not including breaks.</w:t>
      </w:r>
    </w:p>
    <w:p w14:paraId="2FE16233" w14:textId="5757D04A" w:rsidR="00141590" w:rsidRPr="00E47183" w:rsidRDefault="000A1184" w:rsidP="00BD4CA3">
      <w:r>
        <w:rPr>
          <w:rFonts w:ascii="Arial" w:hAnsi="Arial" w:cs="Arial"/>
          <w:noProof/>
          <w:color w:val="000000"/>
          <w:sz w:val="20"/>
          <w:szCs w:val="20"/>
        </w:rPr>
        <w:lastRenderedPageBreak/>
        <w:drawing>
          <wp:inline distT="0" distB="0" distL="0" distR="0" wp14:anchorId="0C1C2ECB" wp14:editId="6AF2FCB6">
            <wp:extent cx="5687695" cy="4265771"/>
            <wp:effectExtent l="0" t="0" r="8255" b="1905"/>
            <wp:docPr id="10" name="Picture 10" descr="Length of treatment with goserelin in days for female breast cancer patients not accounting for breaks" title="Length of treatment with goserelin in days for female breast cancer patients not accounting for br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7695" cy="4265771"/>
                    </a:xfrm>
                    <a:prstGeom prst="rect">
                      <a:avLst/>
                    </a:prstGeom>
                    <a:noFill/>
                    <a:ln>
                      <a:noFill/>
                    </a:ln>
                  </pic:spPr>
                </pic:pic>
              </a:graphicData>
            </a:graphic>
          </wp:inline>
        </w:drawing>
      </w:r>
    </w:p>
    <w:p w14:paraId="78224B43" w14:textId="240B1A86" w:rsidR="00BD4CA3" w:rsidRPr="00E47183" w:rsidRDefault="00BD4CA3" w:rsidP="00BD4CA3">
      <w:pPr>
        <w:pStyle w:val="Figuretitle"/>
      </w:pPr>
      <w:r w:rsidRPr="00E47183">
        <w:t xml:space="preserve">Figure </w:t>
      </w:r>
      <w:r w:rsidR="00D9012E">
        <w:t>9</w:t>
      </w:r>
      <w:r w:rsidRPr="00E47183">
        <w:t xml:space="preserve">: Length of treatment </w:t>
      </w:r>
      <w:r w:rsidR="00AA1C5F">
        <w:t xml:space="preserve">with </w:t>
      </w:r>
      <w:proofErr w:type="spellStart"/>
      <w:r w:rsidR="00AA1C5F">
        <w:t>goserelin</w:t>
      </w:r>
      <w:proofErr w:type="spellEnd"/>
      <w:r w:rsidR="00AA1C5F">
        <w:t xml:space="preserve"> in days </w:t>
      </w:r>
      <w:r w:rsidRPr="00E47183">
        <w:t xml:space="preserve">for </w:t>
      </w:r>
      <w:r w:rsidR="00141590" w:rsidRPr="00E47183">
        <w:t>female breast cancer</w:t>
      </w:r>
      <w:r w:rsidRPr="00E47183">
        <w:t xml:space="preserve"> patients not accounting for breaks</w:t>
      </w:r>
    </w:p>
    <w:p w14:paraId="2003BB2A" w14:textId="77777777" w:rsidR="00A557A2" w:rsidRPr="00E47183" w:rsidRDefault="00A557A2" w:rsidP="00BD4CA3"/>
    <w:p w14:paraId="35E6E1F3" w14:textId="5E27E7C7" w:rsidR="00141590" w:rsidRPr="00E47183" w:rsidRDefault="00141590" w:rsidP="00141590">
      <w:pPr>
        <w:pStyle w:val="Figuretitle"/>
      </w:pPr>
      <w:r w:rsidRPr="00E47183">
        <w:t xml:space="preserve">Table </w:t>
      </w:r>
      <w:r w:rsidR="00D9012E">
        <w:t>8</w:t>
      </w:r>
      <w:r w:rsidRPr="00E47183">
        <w:t xml:space="preserve">: Length of treatment </w:t>
      </w:r>
      <w:r w:rsidR="00217E32">
        <w:t xml:space="preserve">in days </w:t>
      </w:r>
      <w:r w:rsidRPr="00E47183">
        <w:t>for female breast cancer patients not accounting for breaks</w:t>
      </w:r>
    </w:p>
    <w:tbl>
      <w:tblPr>
        <w:tblStyle w:val="TableGrid"/>
        <w:tblW w:w="0" w:type="auto"/>
        <w:tblLayout w:type="fixed"/>
        <w:tblLook w:val="04A0" w:firstRow="1" w:lastRow="0" w:firstColumn="1" w:lastColumn="0" w:noHBand="0" w:noVBand="1"/>
        <w:tblCaption w:val="Length of treatment in days for female breast cancer patients not accounting for breaks"/>
        <w:tblDescription w:val="Length of treatment in days for female breast cancer patients not accounting for breaks"/>
      </w:tblPr>
      <w:tblGrid>
        <w:gridCol w:w="892"/>
        <w:gridCol w:w="893"/>
        <w:gridCol w:w="892"/>
        <w:gridCol w:w="893"/>
        <w:gridCol w:w="893"/>
        <w:gridCol w:w="892"/>
        <w:gridCol w:w="893"/>
        <w:gridCol w:w="892"/>
        <w:gridCol w:w="893"/>
        <w:gridCol w:w="893"/>
      </w:tblGrid>
      <w:tr w:rsidR="00192793" w:rsidRPr="00E47183" w14:paraId="3EC53B7D" w14:textId="77777777" w:rsidTr="0094329A">
        <w:trPr>
          <w:trHeight w:val="300"/>
          <w:tblHeader/>
        </w:trPr>
        <w:tc>
          <w:tcPr>
            <w:tcW w:w="892" w:type="dxa"/>
            <w:shd w:val="clear" w:color="auto" w:fill="BFBFBF" w:themeFill="background1" w:themeFillShade="BF"/>
            <w:noWrap/>
            <w:hideMark/>
          </w:tcPr>
          <w:p w14:paraId="7576FA4C" w14:textId="77777777" w:rsidR="00192793" w:rsidRPr="00E47183" w:rsidRDefault="00192793" w:rsidP="007E4236">
            <w:pPr>
              <w:rPr>
                <w:b/>
                <w:sz w:val="20"/>
                <w:szCs w:val="20"/>
              </w:rPr>
            </w:pPr>
            <w:r w:rsidRPr="00E47183">
              <w:rPr>
                <w:b/>
                <w:sz w:val="20"/>
                <w:szCs w:val="20"/>
              </w:rPr>
              <w:t>n</w:t>
            </w:r>
          </w:p>
        </w:tc>
        <w:tc>
          <w:tcPr>
            <w:tcW w:w="893" w:type="dxa"/>
            <w:shd w:val="clear" w:color="auto" w:fill="BFBFBF" w:themeFill="background1" w:themeFillShade="BF"/>
            <w:noWrap/>
            <w:hideMark/>
          </w:tcPr>
          <w:p w14:paraId="706D1956" w14:textId="77777777" w:rsidR="00192793" w:rsidRPr="00E47183" w:rsidRDefault="00192793" w:rsidP="007E4236">
            <w:pPr>
              <w:rPr>
                <w:b/>
                <w:sz w:val="20"/>
                <w:szCs w:val="20"/>
              </w:rPr>
            </w:pPr>
            <w:r w:rsidRPr="00E47183">
              <w:rPr>
                <w:b/>
                <w:sz w:val="20"/>
                <w:szCs w:val="20"/>
              </w:rPr>
              <w:t>mean</w:t>
            </w:r>
          </w:p>
        </w:tc>
        <w:tc>
          <w:tcPr>
            <w:tcW w:w="892" w:type="dxa"/>
            <w:shd w:val="clear" w:color="auto" w:fill="BFBFBF" w:themeFill="background1" w:themeFillShade="BF"/>
            <w:noWrap/>
            <w:hideMark/>
          </w:tcPr>
          <w:p w14:paraId="7DCC055F" w14:textId="39F3EEA5" w:rsidR="00192793" w:rsidRPr="00E47183" w:rsidRDefault="00192793" w:rsidP="007E4236">
            <w:pPr>
              <w:rPr>
                <w:b/>
                <w:sz w:val="20"/>
                <w:szCs w:val="20"/>
              </w:rPr>
            </w:pPr>
            <w:r>
              <w:rPr>
                <w:b/>
                <w:sz w:val="20"/>
                <w:szCs w:val="20"/>
              </w:rPr>
              <w:t>median</w:t>
            </w:r>
          </w:p>
        </w:tc>
        <w:tc>
          <w:tcPr>
            <w:tcW w:w="893" w:type="dxa"/>
            <w:shd w:val="clear" w:color="auto" w:fill="BFBFBF" w:themeFill="background1" w:themeFillShade="BF"/>
            <w:noWrap/>
            <w:hideMark/>
          </w:tcPr>
          <w:p w14:paraId="16F6F763" w14:textId="77777777" w:rsidR="00192793" w:rsidRPr="00E47183" w:rsidRDefault="00192793" w:rsidP="007E4236">
            <w:pPr>
              <w:rPr>
                <w:b/>
                <w:sz w:val="20"/>
                <w:szCs w:val="20"/>
              </w:rPr>
            </w:pPr>
            <w:r w:rsidRPr="00E47183">
              <w:rPr>
                <w:b/>
                <w:sz w:val="20"/>
                <w:szCs w:val="20"/>
              </w:rPr>
              <w:t>P90</w:t>
            </w:r>
          </w:p>
        </w:tc>
        <w:tc>
          <w:tcPr>
            <w:tcW w:w="893" w:type="dxa"/>
            <w:shd w:val="clear" w:color="auto" w:fill="BFBFBF" w:themeFill="background1" w:themeFillShade="BF"/>
            <w:noWrap/>
            <w:hideMark/>
          </w:tcPr>
          <w:p w14:paraId="1B7D5DC5" w14:textId="77777777" w:rsidR="00192793" w:rsidRPr="00E47183" w:rsidRDefault="00192793" w:rsidP="007E4236">
            <w:pPr>
              <w:rPr>
                <w:b/>
                <w:sz w:val="20"/>
                <w:szCs w:val="20"/>
              </w:rPr>
            </w:pPr>
            <w:r w:rsidRPr="00E47183">
              <w:rPr>
                <w:b/>
                <w:sz w:val="20"/>
                <w:szCs w:val="20"/>
              </w:rPr>
              <w:t>P95</w:t>
            </w:r>
          </w:p>
        </w:tc>
        <w:tc>
          <w:tcPr>
            <w:tcW w:w="892" w:type="dxa"/>
            <w:shd w:val="clear" w:color="auto" w:fill="BFBFBF" w:themeFill="background1" w:themeFillShade="BF"/>
            <w:noWrap/>
            <w:hideMark/>
          </w:tcPr>
          <w:p w14:paraId="33830903" w14:textId="77777777" w:rsidR="00192793" w:rsidRPr="00E47183" w:rsidRDefault="00192793" w:rsidP="007E4236">
            <w:pPr>
              <w:rPr>
                <w:b/>
                <w:sz w:val="20"/>
                <w:szCs w:val="20"/>
              </w:rPr>
            </w:pPr>
            <w:r w:rsidRPr="00E47183">
              <w:rPr>
                <w:b/>
                <w:sz w:val="20"/>
                <w:szCs w:val="20"/>
              </w:rPr>
              <w:t>P96</w:t>
            </w:r>
          </w:p>
        </w:tc>
        <w:tc>
          <w:tcPr>
            <w:tcW w:w="893" w:type="dxa"/>
            <w:shd w:val="clear" w:color="auto" w:fill="BFBFBF" w:themeFill="background1" w:themeFillShade="BF"/>
            <w:noWrap/>
            <w:hideMark/>
          </w:tcPr>
          <w:p w14:paraId="44FD85A4" w14:textId="77777777" w:rsidR="00192793" w:rsidRPr="00E47183" w:rsidRDefault="00192793" w:rsidP="007E4236">
            <w:pPr>
              <w:rPr>
                <w:b/>
                <w:sz w:val="20"/>
                <w:szCs w:val="20"/>
              </w:rPr>
            </w:pPr>
            <w:r w:rsidRPr="00E47183">
              <w:rPr>
                <w:b/>
                <w:sz w:val="20"/>
                <w:szCs w:val="20"/>
              </w:rPr>
              <w:t>P97</w:t>
            </w:r>
          </w:p>
        </w:tc>
        <w:tc>
          <w:tcPr>
            <w:tcW w:w="892" w:type="dxa"/>
            <w:shd w:val="clear" w:color="auto" w:fill="BFBFBF" w:themeFill="background1" w:themeFillShade="BF"/>
            <w:noWrap/>
            <w:hideMark/>
          </w:tcPr>
          <w:p w14:paraId="4CFCBE57" w14:textId="77777777" w:rsidR="00192793" w:rsidRPr="00E47183" w:rsidRDefault="00192793" w:rsidP="007E4236">
            <w:pPr>
              <w:rPr>
                <w:b/>
                <w:sz w:val="20"/>
                <w:szCs w:val="20"/>
              </w:rPr>
            </w:pPr>
            <w:r w:rsidRPr="00E47183">
              <w:rPr>
                <w:b/>
                <w:sz w:val="20"/>
                <w:szCs w:val="20"/>
              </w:rPr>
              <w:t>P98</w:t>
            </w:r>
          </w:p>
        </w:tc>
        <w:tc>
          <w:tcPr>
            <w:tcW w:w="893" w:type="dxa"/>
            <w:shd w:val="clear" w:color="auto" w:fill="BFBFBF" w:themeFill="background1" w:themeFillShade="BF"/>
            <w:noWrap/>
            <w:hideMark/>
          </w:tcPr>
          <w:p w14:paraId="171F00AD" w14:textId="77777777" w:rsidR="00192793" w:rsidRPr="00E47183" w:rsidRDefault="00192793" w:rsidP="007E4236">
            <w:pPr>
              <w:rPr>
                <w:b/>
                <w:sz w:val="20"/>
                <w:szCs w:val="20"/>
              </w:rPr>
            </w:pPr>
            <w:r w:rsidRPr="00E47183">
              <w:rPr>
                <w:b/>
                <w:sz w:val="20"/>
                <w:szCs w:val="20"/>
              </w:rPr>
              <w:t>P99</w:t>
            </w:r>
          </w:p>
        </w:tc>
        <w:tc>
          <w:tcPr>
            <w:tcW w:w="893" w:type="dxa"/>
            <w:shd w:val="clear" w:color="auto" w:fill="BFBFBF" w:themeFill="background1" w:themeFillShade="BF"/>
            <w:noWrap/>
            <w:hideMark/>
          </w:tcPr>
          <w:p w14:paraId="1B69A3FF" w14:textId="77777777" w:rsidR="00192793" w:rsidRPr="00E47183" w:rsidRDefault="00192793" w:rsidP="007E4236">
            <w:pPr>
              <w:rPr>
                <w:b/>
                <w:sz w:val="20"/>
                <w:szCs w:val="20"/>
              </w:rPr>
            </w:pPr>
            <w:r w:rsidRPr="00E47183">
              <w:rPr>
                <w:b/>
                <w:sz w:val="20"/>
                <w:szCs w:val="20"/>
              </w:rPr>
              <w:t>P100</w:t>
            </w:r>
          </w:p>
        </w:tc>
      </w:tr>
      <w:tr w:rsidR="00192793" w:rsidRPr="000A1184" w14:paraId="5B8ADF39" w14:textId="77777777" w:rsidTr="00192793">
        <w:trPr>
          <w:trHeight w:val="300"/>
        </w:trPr>
        <w:tc>
          <w:tcPr>
            <w:tcW w:w="892" w:type="dxa"/>
            <w:noWrap/>
            <w:hideMark/>
          </w:tcPr>
          <w:p w14:paraId="2F87F9B0" w14:textId="3CF4D2A4" w:rsidR="00192793" w:rsidRPr="000A1184" w:rsidRDefault="00192793" w:rsidP="000A1184">
            <w:pPr>
              <w:rPr>
                <w:sz w:val="20"/>
                <w:szCs w:val="20"/>
              </w:rPr>
            </w:pPr>
            <w:r w:rsidRPr="000A1184">
              <w:rPr>
                <w:sz w:val="20"/>
                <w:szCs w:val="20"/>
              </w:rPr>
              <w:t>5898</w:t>
            </w:r>
          </w:p>
        </w:tc>
        <w:tc>
          <w:tcPr>
            <w:tcW w:w="893" w:type="dxa"/>
            <w:noWrap/>
            <w:hideMark/>
          </w:tcPr>
          <w:p w14:paraId="0E828F29" w14:textId="056FE48C" w:rsidR="00192793" w:rsidRPr="000A1184" w:rsidRDefault="00192793" w:rsidP="000A1184">
            <w:pPr>
              <w:rPr>
                <w:sz w:val="20"/>
                <w:szCs w:val="20"/>
              </w:rPr>
            </w:pPr>
            <w:r w:rsidRPr="000A1184">
              <w:rPr>
                <w:sz w:val="20"/>
                <w:szCs w:val="20"/>
              </w:rPr>
              <w:t>45</w:t>
            </w:r>
            <w:r>
              <w:rPr>
                <w:sz w:val="20"/>
                <w:szCs w:val="20"/>
              </w:rPr>
              <w:t>2</w:t>
            </w:r>
          </w:p>
        </w:tc>
        <w:tc>
          <w:tcPr>
            <w:tcW w:w="892" w:type="dxa"/>
            <w:noWrap/>
            <w:hideMark/>
          </w:tcPr>
          <w:p w14:paraId="297EE7EC" w14:textId="77B26ECD" w:rsidR="00192793" w:rsidRPr="000A1184" w:rsidRDefault="00192793" w:rsidP="000A1184">
            <w:pPr>
              <w:rPr>
                <w:sz w:val="20"/>
                <w:szCs w:val="20"/>
              </w:rPr>
            </w:pPr>
            <w:r w:rsidRPr="000A1184">
              <w:rPr>
                <w:sz w:val="20"/>
                <w:szCs w:val="20"/>
              </w:rPr>
              <w:t>290</w:t>
            </w:r>
          </w:p>
        </w:tc>
        <w:tc>
          <w:tcPr>
            <w:tcW w:w="893" w:type="dxa"/>
            <w:noWrap/>
            <w:hideMark/>
          </w:tcPr>
          <w:p w14:paraId="04940A73" w14:textId="07D18400" w:rsidR="00192793" w:rsidRPr="000A1184" w:rsidRDefault="00192793" w:rsidP="000A1184">
            <w:pPr>
              <w:rPr>
                <w:sz w:val="20"/>
                <w:szCs w:val="20"/>
              </w:rPr>
            </w:pPr>
            <w:r w:rsidRPr="000A1184">
              <w:rPr>
                <w:sz w:val="20"/>
                <w:szCs w:val="20"/>
              </w:rPr>
              <w:t>1</w:t>
            </w:r>
            <w:r>
              <w:rPr>
                <w:sz w:val="20"/>
                <w:szCs w:val="20"/>
              </w:rPr>
              <w:t>,</w:t>
            </w:r>
            <w:r w:rsidRPr="000A1184">
              <w:rPr>
                <w:sz w:val="20"/>
                <w:szCs w:val="20"/>
              </w:rPr>
              <w:t>103</w:t>
            </w:r>
          </w:p>
        </w:tc>
        <w:tc>
          <w:tcPr>
            <w:tcW w:w="893" w:type="dxa"/>
            <w:noWrap/>
            <w:hideMark/>
          </w:tcPr>
          <w:p w14:paraId="3E619CB8" w14:textId="5EBEB5B2" w:rsidR="00192793" w:rsidRPr="000A1184" w:rsidRDefault="00192793" w:rsidP="000A1184">
            <w:pPr>
              <w:rPr>
                <w:sz w:val="20"/>
                <w:szCs w:val="20"/>
              </w:rPr>
            </w:pPr>
            <w:r w:rsidRPr="000A1184">
              <w:rPr>
                <w:sz w:val="20"/>
                <w:szCs w:val="20"/>
              </w:rPr>
              <w:t>1</w:t>
            </w:r>
            <w:r>
              <w:rPr>
                <w:sz w:val="20"/>
                <w:szCs w:val="20"/>
              </w:rPr>
              <w:t>,</w:t>
            </w:r>
            <w:r w:rsidRPr="000A1184">
              <w:rPr>
                <w:sz w:val="20"/>
                <w:szCs w:val="20"/>
              </w:rPr>
              <w:t>372</w:t>
            </w:r>
          </w:p>
        </w:tc>
        <w:tc>
          <w:tcPr>
            <w:tcW w:w="892" w:type="dxa"/>
            <w:noWrap/>
            <w:hideMark/>
          </w:tcPr>
          <w:p w14:paraId="41C60880" w14:textId="1623FBFE" w:rsidR="00192793" w:rsidRPr="000A1184" w:rsidRDefault="00192793" w:rsidP="000A1184">
            <w:pPr>
              <w:rPr>
                <w:sz w:val="20"/>
                <w:szCs w:val="20"/>
              </w:rPr>
            </w:pPr>
            <w:r w:rsidRPr="000A1184">
              <w:rPr>
                <w:sz w:val="20"/>
                <w:szCs w:val="20"/>
              </w:rPr>
              <w:t>1</w:t>
            </w:r>
            <w:r>
              <w:rPr>
                <w:sz w:val="20"/>
                <w:szCs w:val="20"/>
              </w:rPr>
              <w:t>,</w:t>
            </w:r>
            <w:r w:rsidRPr="000A1184">
              <w:rPr>
                <w:sz w:val="20"/>
                <w:szCs w:val="20"/>
              </w:rPr>
              <w:t>454</w:t>
            </w:r>
          </w:p>
        </w:tc>
        <w:tc>
          <w:tcPr>
            <w:tcW w:w="893" w:type="dxa"/>
            <w:noWrap/>
            <w:hideMark/>
          </w:tcPr>
          <w:p w14:paraId="6540DF2E" w14:textId="42348E6B" w:rsidR="00192793" w:rsidRPr="000A1184" w:rsidRDefault="00192793" w:rsidP="000A1184">
            <w:pPr>
              <w:rPr>
                <w:sz w:val="20"/>
                <w:szCs w:val="20"/>
              </w:rPr>
            </w:pPr>
            <w:r w:rsidRPr="000A1184">
              <w:rPr>
                <w:sz w:val="20"/>
                <w:szCs w:val="20"/>
              </w:rPr>
              <w:t>1</w:t>
            </w:r>
            <w:r>
              <w:rPr>
                <w:sz w:val="20"/>
                <w:szCs w:val="20"/>
              </w:rPr>
              <w:t>,</w:t>
            </w:r>
            <w:r w:rsidRPr="000A1184">
              <w:rPr>
                <w:sz w:val="20"/>
                <w:szCs w:val="20"/>
              </w:rPr>
              <w:t>574</w:t>
            </w:r>
          </w:p>
        </w:tc>
        <w:tc>
          <w:tcPr>
            <w:tcW w:w="892" w:type="dxa"/>
            <w:noWrap/>
            <w:hideMark/>
          </w:tcPr>
          <w:p w14:paraId="04BEC8E6" w14:textId="66E292D7" w:rsidR="00192793" w:rsidRPr="000A1184" w:rsidRDefault="00192793" w:rsidP="000A1184">
            <w:pPr>
              <w:rPr>
                <w:sz w:val="20"/>
                <w:szCs w:val="20"/>
              </w:rPr>
            </w:pPr>
            <w:r w:rsidRPr="000A1184">
              <w:rPr>
                <w:sz w:val="20"/>
                <w:szCs w:val="20"/>
              </w:rPr>
              <w:t>1</w:t>
            </w:r>
            <w:r>
              <w:rPr>
                <w:sz w:val="20"/>
                <w:szCs w:val="20"/>
              </w:rPr>
              <w:t>,</w:t>
            </w:r>
            <w:r w:rsidRPr="000A1184">
              <w:rPr>
                <w:sz w:val="20"/>
                <w:szCs w:val="20"/>
              </w:rPr>
              <w:t>692</w:t>
            </w:r>
          </w:p>
        </w:tc>
        <w:tc>
          <w:tcPr>
            <w:tcW w:w="893" w:type="dxa"/>
            <w:noWrap/>
            <w:hideMark/>
          </w:tcPr>
          <w:p w14:paraId="262DC339" w14:textId="7918EDD8" w:rsidR="00192793" w:rsidRPr="000A1184" w:rsidRDefault="00192793" w:rsidP="000A1184">
            <w:pPr>
              <w:rPr>
                <w:sz w:val="20"/>
                <w:szCs w:val="20"/>
              </w:rPr>
            </w:pPr>
            <w:r w:rsidRPr="000A1184">
              <w:rPr>
                <w:sz w:val="20"/>
                <w:szCs w:val="20"/>
              </w:rPr>
              <w:t>1</w:t>
            </w:r>
            <w:r>
              <w:rPr>
                <w:sz w:val="20"/>
                <w:szCs w:val="20"/>
              </w:rPr>
              <w:t>,</w:t>
            </w:r>
            <w:r w:rsidRPr="000A1184">
              <w:rPr>
                <w:sz w:val="20"/>
                <w:szCs w:val="20"/>
              </w:rPr>
              <w:t>803</w:t>
            </w:r>
          </w:p>
        </w:tc>
        <w:tc>
          <w:tcPr>
            <w:tcW w:w="893" w:type="dxa"/>
            <w:noWrap/>
            <w:hideMark/>
          </w:tcPr>
          <w:p w14:paraId="44A726DE" w14:textId="579C00CA" w:rsidR="00192793" w:rsidRPr="000A1184" w:rsidRDefault="00192793" w:rsidP="000A1184">
            <w:pPr>
              <w:rPr>
                <w:sz w:val="20"/>
                <w:szCs w:val="20"/>
              </w:rPr>
            </w:pPr>
            <w:r w:rsidRPr="000A1184">
              <w:rPr>
                <w:sz w:val="20"/>
                <w:szCs w:val="20"/>
              </w:rPr>
              <w:t>1</w:t>
            </w:r>
            <w:r>
              <w:rPr>
                <w:sz w:val="20"/>
                <w:szCs w:val="20"/>
              </w:rPr>
              <w:t>,</w:t>
            </w:r>
            <w:r w:rsidRPr="000A1184">
              <w:rPr>
                <w:sz w:val="20"/>
                <w:szCs w:val="20"/>
              </w:rPr>
              <w:t>824</w:t>
            </w:r>
          </w:p>
        </w:tc>
      </w:tr>
    </w:tbl>
    <w:p w14:paraId="79A27FF8" w14:textId="77777777" w:rsidR="00141590" w:rsidRPr="00E47183" w:rsidRDefault="00141590" w:rsidP="00141590"/>
    <w:p w14:paraId="27E90E27" w14:textId="2E01BC57" w:rsidR="00141590" w:rsidRPr="00E47183" w:rsidRDefault="00141590" w:rsidP="00141590">
      <w:pPr>
        <w:pStyle w:val="Figuretitle"/>
      </w:pPr>
      <w:r w:rsidRPr="00E47183">
        <w:t xml:space="preserve">Table </w:t>
      </w:r>
      <w:r w:rsidR="00D9012E">
        <w:t>9</w:t>
      </w:r>
      <w:r w:rsidRPr="00E47183">
        <w:t xml:space="preserve">: Length of treatment </w:t>
      </w:r>
      <w:r w:rsidR="00217E32">
        <w:t xml:space="preserve">in days </w:t>
      </w:r>
      <w:r w:rsidRPr="00E47183">
        <w:t>for female breast cancer patients accounting for breaks</w:t>
      </w:r>
    </w:p>
    <w:tbl>
      <w:tblPr>
        <w:tblStyle w:val="TableGrid"/>
        <w:tblW w:w="0" w:type="auto"/>
        <w:tblLayout w:type="fixed"/>
        <w:tblLook w:val="04A0" w:firstRow="1" w:lastRow="0" w:firstColumn="1" w:lastColumn="0" w:noHBand="0" w:noVBand="1"/>
        <w:tblCaption w:val="Length of treatment in days for female breast cancer patients accounting for breaks"/>
        <w:tblDescription w:val="Length of treatment in days for female breast cancer patients accounting for breaks"/>
      </w:tblPr>
      <w:tblGrid>
        <w:gridCol w:w="892"/>
        <w:gridCol w:w="893"/>
        <w:gridCol w:w="892"/>
        <w:gridCol w:w="893"/>
        <w:gridCol w:w="893"/>
        <w:gridCol w:w="892"/>
        <w:gridCol w:w="893"/>
        <w:gridCol w:w="892"/>
        <w:gridCol w:w="893"/>
        <w:gridCol w:w="893"/>
      </w:tblGrid>
      <w:tr w:rsidR="00192793" w:rsidRPr="007B6031" w14:paraId="1BE58A84" w14:textId="77777777" w:rsidTr="0094329A">
        <w:trPr>
          <w:trHeight w:val="300"/>
          <w:tblHeader/>
        </w:trPr>
        <w:tc>
          <w:tcPr>
            <w:tcW w:w="892" w:type="dxa"/>
            <w:shd w:val="clear" w:color="auto" w:fill="BFBFBF" w:themeFill="background1" w:themeFillShade="BF"/>
            <w:noWrap/>
            <w:hideMark/>
          </w:tcPr>
          <w:p w14:paraId="32D0C370" w14:textId="77777777" w:rsidR="00192793" w:rsidRPr="007B6031" w:rsidRDefault="00192793" w:rsidP="007E4236">
            <w:pPr>
              <w:rPr>
                <w:b/>
                <w:sz w:val="20"/>
                <w:szCs w:val="20"/>
              </w:rPr>
            </w:pPr>
            <w:r w:rsidRPr="007B6031">
              <w:rPr>
                <w:b/>
                <w:sz w:val="20"/>
                <w:szCs w:val="20"/>
              </w:rPr>
              <w:t>n</w:t>
            </w:r>
          </w:p>
        </w:tc>
        <w:tc>
          <w:tcPr>
            <w:tcW w:w="893" w:type="dxa"/>
            <w:shd w:val="clear" w:color="auto" w:fill="BFBFBF" w:themeFill="background1" w:themeFillShade="BF"/>
            <w:noWrap/>
            <w:hideMark/>
          </w:tcPr>
          <w:p w14:paraId="0DE66E4A" w14:textId="77777777" w:rsidR="00192793" w:rsidRPr="007B6031" w:rsidRDefault="00192793" w:rsidP="007E4236">
            <w:pPr>
              <w:rPr>
                <w:b/>
                <w:sz w:val="20"/>
                <w:szCs w:val="20"/>
              </w:rPr>
            </w:pPr>
            <w:r w:rsidRPr="007B6031">
              <w:rPr>
                <w:b/>
                <w:sz w:val="20"/>
                <w:szCs w:val="20"/>
              </w:rPr>
              <w:t>mean</w:t>
            </w:r>
          </w:p>
        </w:tc>
        <w:tc>
          <w:tcPr>
            <w:tcW w:w="892" w:type="dxa"/>
            <w:shd w:val="clear" w:color="auto" w:fill="BFBFBF" w:themeFill="background1" w:themeFillShade="BF"/>
            <w:noWrap/>
            <w:hideMark/>
          </w:tcPr>
          <w:p w14:paraId="3A2D14D3" w14:textId="1D358807" w:rsidR="00192793" w:rsidRPr="007B6031" w:rsidRDefault="00192793" w:rsidP="007E4236">
            <w:pPr>
              <w:rPr>
                <w:b/>
                <w:sz w:val="20"/>
                <w:szCs w:val="20"/>
              </w:rPr>
            </w:pPr>
            <w:r>
              <w:rPr>
                <w:b/>
                <w:sz w:val="20"/>
                <w:szCs w:val="20"/>
              </w:rPr>
              <w:t>median</w:t>
            </w:r>
          </w:p>
        </w:tc>
        <w:tc>
          <w:tcPr>
            <w:tcW w:w="893" w:type="dxa"/>
            <w:shd w:val="clear" w:color="auto" w:fill="BFBFBF" w:themeFill="background1" w:themeFillShade="BF"/>
            <w:noWrap/>
            <w:hideMark/>
          </w:tcPr>
          <w:p w14:paraId="6E84A590" w14:textId="77777777" w:rsidR="00192793" w:rsidRPr="007B6031" w:rsidRDefault="00192793" w:rsidP="007E4236">
            <w:pPr>
              <w:rPr>
                <w:b/>
                <w:sz w:val="20"/>
                <w:szCs w:val="20"/>
              </w:rPr>
            </w:pPr>
            <w:r w:rsidRPr="007B6031">
              <w:rPr>
                <w:b/>
                <w:sz w:val="20"/>
                <w:szCs w:val="20"/>
              </w:rPr>
              <w:t>P90</w:t>
            </w:r>
          </w:p>
        </w:tc>
        <w:tc>
          <w:tcPr>
            <w:tcW w:w="893" w:type="dxa"/>
            <w:shd w:val="clear" w:color="auto" w:fill="BFBFBF" w:themeFill="background1" w:themeFillShade="BF"/>
            <w:noWrap/>
            <w:hideMark/>
          </w:tcPr>
          <w:p w14:paraId="71D06704" w14:textId="77777777" w:rsidR="00192793" w:rsidRPr="007B6031" w:rsidRDefault="00192793" w:rsidP="007E4236">
            <w:pPr>
              <w:rPr>
                <w:b/>
                <w:sz w:val="20"/>
                <w:szCs w:val="20"/>
              </w:rPr>
            </w:pPr>
            <w:r w:rsidRPr="007B6031">
              <w:rPr>
                <w:b/>
                <w:sz w:val="20"/>
                <w:szCs w:val="20"/>
              </w:rPr>
              <w:t>P95</w:t>
            </w:r>
          </w:p>
        </w:tc>
        <w:tc>
          <w:tcPr>
            <w:tcW w:w="892" w:type="dxa"/>
            <w:shd w:val="clear" w:color="auto" w:fill="BFBFBF" w:themeFill="background1" w:themeFillShade="BF"/>
            <w:noWrap/>
            <w:hideMark/>
          </w:tcPr>
          <w:p w14:paraId="630CFF42" w14:textId="77777777" w:rsidR="00192793" w:rsidRPr="007B6031" w:rsidRDefault="00192793" w:rsidP="007E4236">
            <w:pPr>
              <w:rPr>
                <w:b/>
                <w:sz w:val="20"/>
                <w:szCs w:val="20"/>
              </w:rPr>
            </w:pPr>
            <w:r w:rsidRPr="007B6031">
              <w:rPr>
                <w:b/>
                <w:sz w:val="20"/>
                <w:szCs w:val="20"/>
              </w:rPr>
              <w:t>P96</w:t>
            </w:r>
          </w:p>
        </w:tc>
        <w:tc>
          <w:tcPr>
            <w:tcW w:w="893" w:type="dxa"/>
            <w:shd w:val="clear" w:color="auto" w:fill="BFBFBF" w:themeFill="background1" w:themeFillShade="BF"/>
            <w:noWrap/>
            <w:hideMark/>
          </w:tcPr>
          <w:p w14:paraId="04A97C18" w14:textId="77777777" w:rsidR="00192793" w:rsidRPr="007B6031" w:rsidRDefault="00192793" w:rsidP="007E4236">
            <w:pPr>
              <w:rPr>
                <w:b/>
                <w:sz w:val="20"/>
                <w:szCs w:val="20"/>
              </w:rPr>
            </w:pPr>
            <w:r w:rsidRPr="007B6031">
              <w:rPr>
                <w:b/>
                <w:sz w:val="20"/>
                <w:szCs w:val="20"/>
              </w:rPr>
              <w:t>P97</w:t>
            </w:r>
          </w:p>
        </w:tc>
        <w:tc>
          <w:tcPr>
            <w:tcW w:w="892" w:type="dxa"/>
            <w:shd w:val="clear" w:color="auto" w:fill="BFBFBF" w:themeFill="background1" w:themeFillShade="BF"/>
            <w:noWrap/>
            <w:hideMark/>
          </w:tcPr>
          <w:p w14:paraId="750A5485" w14:textId="77777777" w:rsidR="00192793" w:rsidRPr="007B6031" w:rsidRDefault="00192793" w:rsidP="007E4236">
            <w:pPr>
              <w:rPr>
                <w:b/>
                <w:sz w:val="20"/>
                <w:szCs w:val="20"/>
              </w:rPr>
            </w:pPr>
            <w:r w:rsidRPr="007B6031">
              <w:rPr>
                <w:b/>
                <w:sz w:val="20"/>
                <w:szCs w:val="20"/>
              </w:rPr>
              <w:t>P98</w:t>
            </w:r>
          </w:p>
        </w:tc>
        <w:tc>
          <w:tcPr>
            <w:tcW w:w="893" w:type="dxa"/>
            <w:shd w:val="clear" w:color="auto" w:fill="BFBFBF" w:themeFill="background1" w:themeFillShade="BF"/>
            <w:noWrap/>
            <w:hideMark/>
          </w:tcPr>
          <w:p w14:paraId="28596E2D" w14:textId="77777777" w:rsidR="00192793" w:rsidRPr="007B6031" w:rsidRDefault="00192793" w:rsidP="007E4236">
            <w:pPr>
              <w:rPr>
                <w:b/>
                <w:sz w:val="20"/>
                <w:szCs w:val="20"/>
              </w:rPr>
            </w:pPr>
            <w:r w:rsidRPr="007B6031">
              <w:rPr>
                <w:b/>
                <w:sz w:val="20"/>
                <w:szCs w:val="20"/>
              </w:rPr>
              <w:t>P99</w:t>
            </w:r>
          </w:p>
        </w:tc>
        <w:tc>
          <w:tcPr>
            <w:tcW w:w="893" w:type="dxa"/>
            <w:shd w:val="clear" w:color="auto" w:fill="BFBFBF" w:themeFill="background1" w:themeFillShade="BF"/>
            <w:noWrap/>
            <w:hideMark/>
          </w:tcPr>
          <w:p w14:paraId="09E47191" w14:textId="77777777" w:rsidR="00192793" w:rsidRPr="007B6031" w:rsidRDefault="00192793" w:rsidP="007E4236">
            <w:pPr>
              <w:rPr>
                <w:b/>
                <w:sz w:val="20"/>
                <w:szCs w:val="20"/>
              </w:rPr>
            </w:pPr>
            <w:r w:rsidRPr="007B6031">
              <w:rPr>
                <w:b/>
                <w:sz w:val="20"/>
                <w:szCs w:val="20"/>
              </w:rPr>
              <w:t>P100</w:t>
            </w:r>
          </w:p>
        </w:tc>
      </w:tr>
      <w:tr w:rsidR="00192793" w:rsidRPr="000A1184" w14:paraId="43453BC2" w14:textId="77777777" w:rsidTr="00192793">
        <w:trPr>
          <w:trHeight w:val="300"/>
        </w:trPr>
        <w:tc>
          <w:tcPr>
            <w:tcW w:w="892" w:type="dxa"/>
            <w:noWrap/>
            <w:hideMark/>
          </w:tcPr>
          <w:p w14:paraId="4FFF9E54" w14:textId="0B2022F8" w:rsidR="00192793" w:rsidRPr="000A1184" w:rsidRDefault="00192793" w:rsidP="000A1184">
            <w:pPr>
              <w:rPr>
                <w:sz w:val="20"/>
                <w:szCs w:val="20"/>
              </w:rPr>
            </w:pPr>
            <w:r w:rsidRPr="000A1184">
              <w:rPr>
                <w:sz w:val="20"/>
                <w:szCs w:val="20"/>
              </w:rPr>
              <w:t>5898</w:t>
            </w:r>
          </w:p>
        </w:tc>
        <w:tc>
          <w:tcPr>
            <w:tcW w:w="893" w:type="dxa"/>
            <w:noWrap/>
            <w:hideMark/>
          </w:tcPr>
          <w:p w14:paraId="1C69D515" w14:textId="0583B903" w:rsidR="00192793" w:rsidRPr="000A1184" w:rsidRDefault="00192793" w:rsidP="000A1184">
            <w:pPr>
              <w:rPr>
                <w:sz w:val="20"/>
                <w:szCs w:val="20"/>
              </w:rPr>
            </w:pPr>
            <w:r w:rsidRPr="000A1184">
              <w:rPr>
                <w:sz w:val="20"/>
                <w:szCs w:val="20"/>
              </w:rPr>
              <w:t>37</w:t>
            </w:r>
            <w:r>
              <w:rPr>
                <w:sz w:val="20"/>
                <w:szCs w:val="20"/>
              </w:rPr>
              <w:t>6</w:t>
            </w:r>
          </w:p>
        </w:tc>
        <w:tc>
          <w:tcPr>
            <w:tcW w:w="892" w:type="dxa"/>
            <w:noWrap/>
            <w:hideMark/>
          </w:tcPr>
          <w:p w14:paraId="4CA52FEE" w14:textId="2BD20B6C" w:rsidR="00192793" w:rsidRPr="000A1184" w:rsidRDefault="00192793" w:rsidP="000A1184">
            <w:pPr>
              <w:rPr>
                <w:sz w:val="20"/>
                <w:szCs w:val="20"/>
              </w:rPr>
            </w:pPr>
            <w:r w:rsidRPr="000A1184">
              <w:rPr>
                <w:sz w:val="20"/>
                <w:szCs w:val="20"/>
              </w:rPr>
              <w:t>226</w:t>
            </w:r>
          </w:p>
        </w:tc>
        <w:tc>
          <w:tcPr>
            <w:tcW w:w="893" w:type="dxa"/>
            <w:noWrap/>
            <w:hideMark/>
          </w:tcPr>
          <w:p w14:paraId="782C9EB7" w14:textId="735D4E2D" w:rsidR="00192793" w:rsidRPr="000A1184" w:rsidRDefault="00192793" w:rsidP="000A1184">
            <w:pPr>
              <w:rPr>
                <w:sz w:val="20"/>
                <w:szCs w:val="20"/>
              </w:rPr>
            </w:pPr>
            <w:r w:rsidRPr="000A1184">
              <w:rPr>
                <w:sz w:val="20"/>
                <w:szCs w:val="20"/>
              </w:rPr>
              <w:t>909</w:t>
            </w:r>
          </w:p>
        </w:tc>
        <w:tc>
          <w:tcPr>
            <w:tcW w:w="893" w:type="dxa"/>
            <w:noWrap/>
            <w:hideMark/>
          </w:tcPr>
          <w:p w14:paraId="62D1C9D7" w14:textId="09548265" w:rsidR="00192793" w:rsidRPr="000A1184" w:rsidRDefault="00192793" w:rsidP="000A1184">
            <w:pPr>
              <w:rPr>
                <w:sz w:val="20"/>
                <w:szCs w:val="20"/>
              </w:rPr>
            </w:pPr>
            <w:r w:rsidRPr="000A1184">
              <w:rPr>
                <w:sz w:val="20"/>
                <w:szCs w:val="20"/>
              </w:rPr>
              <w:t>1</w:t>
            </w:r>
            <w:r>
              <w:rPr>
                <w:sz w:val="20"/>
                <w:szCs w:val="20"/>
              </w:rPr>
              <w:t>,</w:t>
            </w:r>
            <w:r w:rsidRPr="000A1184">
              <w:rPr>
                <w:sz w:val="20"/>
                <w:szCs w:val="20"/>
              </w:rPr>
              <w:t>179</w:t>
            </w:r>
          </w:p>
        </w:tc>
        <w:tc>
          <w:tcPr>
            <w:tcW w:w="892" w:type="dxa"/>
            <w:noWrap/>
            <w:hideMark/>
          </w:tcPr>
          <w:p w14:paraId="25392495" w14:textId="5D068676" w:rsidR="00192793" w:rsidRPr="000A1184" w:rsidRDefault="00192793" w:rsidP="000A1184">
            <w:pPr>
              <w:rPr>
                <w:sz w:val="20"/>
                <w:szCs w:val="20"/>
              </w:rPr>
            </w:pPr>
            <w:r w:rsidRPr="000A1184">
              <w:rPr>
                <w:sz w:val="20"/>
                <w:szCs w:val="20"/>
              </w:rPr>
              <w:t>1</w:t>
            </w:r>
            <w:r>
              <w:rPr>
                <w:sz w:val="20"/>
                <w:szCs w:val="20"/>
              </w:rPr>
              <w:t>,</w:t>
            </w:r>
            <w:r w:rsidRPr="000A1184">
              <w:rPr>
                <w:sz w:val="20"/>
                <w:szCs w:val="20"/>
              </w:rPr>
              <w:t>272</w:t>
            </w:r>
          </w:p>
        </w:tc>
        <w:tc>
          <w:tcPr>
            <w:tcW w:w="893" w:type="dxa"/>
            <w:noWrap/>
            <w:hideMark/>
          </w:tcPr>
          <w:p w14:paraId="1C3D3C0D" w14:textId="18844090" w:rsidR="00192793" w:rsidRPr="000A1184" w:rsidRDefault="00192793" w:rsidP="000A1184">
            <w:pPr>
              <w:rPr>
                <w:sz w:val="20"/>
                <w:szCs w:val="20"/>
              </w:rPr>
            </w:pPr>
            <w:r w:rsidRPr="000A1184">
              <w:rPr>
                <w:sz w:val="20"/>
                <w:szCs w:val="20"/>
              </w:rPr>
              <w:t>1</w:t>
            </w:r>
            <w:r>
              <w:rPr>
                <w:sz w:val="20"/>
                <w:szCs w:val="20"/>
              </w:rPr>
              <w:t>,</w:t>
            </w:r>
            <w:r w:rsidRPr="000A1184">
              <w:rPr>
                <w:sz w:val="20"/>
                <w:szCs w:val="20"/>
              </w:rPr>
              <w:t>378</w:t>
            </w:r>
          </w:p>
        </w:tc>
        <w:tc>
          <w:tcPr>
            <w:tcW w:w="892" w:type="dxa"/>
            <w:noWrap/>
            <w:hideMark/>
          </w:tcPr>
          <w:p w14:paraId="743582FB" w14:textId="559BCF21" w:rsidR="00192793" w:rsidRPr="000A1184" w:rsidRDefault="00192793" w:rsidP="000A1184">
            <w:pPr>
              <w:rPr>
                <w:sz w:val="20"/>
                <w:szCs w:val="20"/>
              </w:rPr>
            </w:pPr>
            <w:r w:rsidRPr="000A1184">
              <w:rPr>
                <w:sz w:val="20"/>
                <w:szCs w:val="20"/>
              </w:rPr>
              <w:t>1</w:t>
            </w:r>
            <w:r>
              <w:rPr>
                <w:sz w:val="20"/>
                <w:szCs w:val="20"/>
              </w:rPr>
              <w:t>,</w:t>
            </w:r>
            <w:r w:rsidRPr="000A1184">
              <w:rPr>
                <w:sz w:val="20"/>
                <w:szCs w:val="20"/>
              </w:rPr>
              <w:t>526</w:t>
            </w:r>
          </w:p>
        </w:tc>
        <w:tc>
          <w:tcPr>
            <w:tcW w:w="893" w:type="dxa"/>
            <w:noWrap/>
            <w:hideMark/>
          </w:tcPr>
          <w:p w14:paraId="43EEC33B" w14:textId="6F96C267" w:rsidR="00192793" w:rsidRPr="000A1184" w:rsidRDefault="00192793" w:rsidP="000A1184">
            <w:pPr>
              <w:rPr>
                <w:sz w:val="20"/>
                <w:szCs w:val="20"/>
              </w:rPr>
            </w:pPr>
            <w:r w:rsidRPr="000A1184">
              <w:rPr>
                <w:sz w:val="20"/>
                <w:szCs w:val="20"/>
              </w:rPr>
              <w:t>1</w:t>
            </w:r>
            <w:r>
              <w:rPr>
                <w:sz w:val="20"/>
                <w:szCs w:val="20"/>
              </w:rPr>
              <w:t>,</w:t>
            </w:r>
            <w:r w:rsidRPr="000A1184">
              <w:rPr>
                <w:sz w:val="20"/>
                <w:szCs w:val="20"/>
              </w:rPr>
              <w:t>732</w:t>
            </w:r>
          </w:p>
        </w:tc>
        <w:tc>
          <w:tcPr>
            <w:tcW w:w="893" w:type="dxa"/>
            <w:noWrap/>
            <w:hideMark/>
          </w:tcPr>
          <w:p w14:paraId="39C48593" w14:textId="15CB3C71" w:rsidR="00192793" w:rsidRPr="000A1184" w:rsidRDefault="00192793" w:rsidP="000A1184">
            <w:pPr>
              <w:rPr>
                <w:sz w:val="20"/>
                <w:szCs w:val="20"/>
              </w:rPr>
            </w:pPr>
            <w:r w:rsidRPr="000A1184">
              <w:rPr>
                <w:sz w:val="20"/>
                <w:szCs w:val="20"/>
              </w:rPr>
              <w:t>1</w:t>
            </w:r>
            <w:r>
              <w:rPr>
                <w:sz w:val="20"/>
                <w:szCs w:val="20"/>
              </w:rPr>
              <w:t>,</w:t>
            </w:r>
            <w:r w:rsidRPr="000A1184">
              <w:rPr>
                <w:sz w:val="20"/>
                <w:szCs w:val="20"/>
              </w:rPr>
              <w:t>824</w:t>
            </w:r>
          </w:p>
        </w:tc>
      </w:tr>
    </w:tbl>
    <w:p w14:paraId="521255C5" w14:textId="77777777" w:rsidR="00141590" w:rsidRPr="00E47183" w:rsidRDefault="00141590" w:rsidP="00141590"/>
    <w:p w14:paraId="0C82CC41" w14:textId="68CE379F" w:rsidR="00141590" w:rsidRPr="009C7C68" w:rsidRDefault="005D5D19" w:rsidP="005D5D19">
      <w:pPr>
        <w:pStyle w:val="Heading4"/>
        <w:rPr>
          <w:b w:val="0"/>
          <w:i w:val="0"/>
          <w:sz w:val="24"/>
          <w:szCs w:val="24"/>
          <w:u w:val="single"/>
        </w:rPr>
      </w:pPr>
      <w:r w:rsidRPr="009C7C68">
        <w:rPr>
          <w:b w:val="0"/>
          <w:i w:val="0"/>
          <w:sz w:val="24"/>
          <w:szCs w:val="24"/>
          <w:u w:val="single"/>
        </w:rPr>
        <w:t>Endometriosis</w:t>
      </w:r>
    </w:p>
    <w:p w14:paraId="26608146" w14:textId="6F2E28C9" w:rsidR="00A557A2" w:rsidRPr="009C7C68" w:rsidRDefault="007B6031" w:rsidP="00A557A2">
      <w:r w:rsidRPr="009C7C68">
        <w:t xml:space="preserve">The analyses below </w:t>
      </w:r>
      <w:r>
        <w:t xml:space="preserve">examine the length of treatment for </w:t>
      </w:r>
      <w:r w:rsidR="009C7C68" w:rsidRPr="009C7C68">
        <w:t>8,068</w:t>
      </w:r>
      <w:r w:rsidR="00A557A2" w:rsidRPr="009C7C68">
        <w:t xml:space="preserve"> female patients </w:t>
      </w:r>
      <w:r w:rsidR="009142D4">
        <w:t>categorised as being supplied</w:t>
      </w:r>
      <w:r w:rsidR="00B76C75">
        <w:t xml:space="preserve"> </w:t>
      </w:r>
      <w:r w:rsidR="00BA0EFC">
        <w:t xml:space="preserve">a </w:t>
      </w:r>
      <w:proofErr w:type="spellStart"/>
      <w:r w:rsidR="00BA0EFC">
        <w:t>GnRH</w:t>
      </w:r>
      <w:proofErr w:type="spellEnd"/>
      <w:r w:rsidR="00BA0EFC">
        <w:t xml:space="preserve"> agonist</w:t>
      </w:r>
      <w:r w:rsidR="009142D4">
        <w:t xml:space="preserve"> for endometriosis</w:t>
      </w:r>
      <w:r w:rsidR="00B76C75">
        <w:t xml:space="preserve">, </w:t>
      </w:r>
      <w:r w:rsidR="009142D4">
        <w:t xml:space="preserve">i.e. </w:t>
      </w:r>
      <w:r w:rsidR="00A557A2" w:rsidRPr="009C7C68">
        <w:t>did not receive chemotherapy</w:t>
      </w:r>
      <w:r w:rsidR="009142D4">
        <w:t xml:space="preserve"> for breast cancer</w:t>
      </w:r>
      <w:r w:rsidR="00A557A2" w:rsidRPr="009C7C68">
        <w:t xml:space="preserve">, and their most common prescriber </w:t>
      </w:r>
      <w:r w:rsidR="00946640">
        <w:t xml:space="preserve">of </w:t>
      </w:r>
      <w:proofErr w:type="spellStart"/>
      <w:r w:rsidR="00946640">
        <w:t>GnRH</w:t>
      </w:r>
      <w:proofErr w:type="spellEnd"/>
      <w:r w:rsidR="00946640">
        <w:t xml:space="preserve"> agonists </w:t>
      </w:r>
      <w:r w:rsidR="00A557A2" w:rsidRPr="009C7C68">
        <w:t>was a gyn</w:t>
      </w:r>
      <w:r w:rsidR="00226C92">
        <w:t>a</w:t>
      </w:r>
      <w:r w:rsidR="00A557A2" w:rsidRPr="009C7C68">
        <w:t>ecologist or obstetrician.</w:t>
      </w:r>
      <w:r w:rsidR="00BA0EFC">
        <w:t xml:space="preserve"> This cohort may include patients treated for premature ovarian failure after </w:t>
      </w:r>
      <w:r w:rsidR="00BA0EFC">
        <w:lastRenderedPageBreak/>
        <w:t>1</w:t>
      </w:r>
      <w:r w:rsidR="00946640">
        <w:t> </w:t>
      </w:r>
      <w:r w:rsidR="00BA0EFC">
        <w:t>December 2017, or prior to this date outside of the PBS restrictions, and outside the PBS restrictions for uterine fibroids.</w:t>
      </w:r>
    </w:p>
    <w:p w14:paraId="047B6D9C" w14:textId="77777777" w:rsidR="00E04C10" w:rsidRPr="009C7C68" w:rsidRDefault="00E04C10" w:rsidP="005D5D19"/>
    <w:p w14:paraId="08D86531" w14:textId="10123B41" w:rsidR="00141590" w:rsidRPr="00AF4DD6" w:rsidRDefault="00AF4DD6" w:rsidP="00141590">
      <w:r w:rsidRPr="00AF4DD6">
        <w:rPr>
          <w:rFonts w:ascii="Arial" w:hAnsi="Arial" w:cs="Arial"/>
          <w:noProof/>
          <w:sz w:val="20"/>
          <w:szCs w:val="20"/>
        </w:rPr>
        <w:drawing>
          <wp:inline distT="0" distB="0" distL="0" distR="0" wp14:anchorId="084DF1E1" wp14:editId="1DB0E63F">
            <wp:extent cx="5687695" cy="4268439"/>
            <wp:effectExtent l="0" t="0" r="8255" b="0"/>
            <wp:docPr id="23" name="Picture 23" descr="Length of treatment for female endometriosis patients in days not accounting for breaks" title="Length of treatment for female endometriosis patients in days not accounting for br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87695" cy="4268439"/>
                    </a:xfrm>
                    <a:prstGeom prst="rect">
                      <a:avLst/>
                    </a:prstGeom>
                    <a:noFill/>
                    <a:ln>
                      <a:noFill/>
                    </a:ln>
                  </pic:spPr>
                </pic:pic>
              </a:graphicData>
            </a:graphic>
          </wp:inline>
        </w:drawing>
      </w:r>
    </w:p>
    <w:p w14:paraId="70AEADF6" w14:textId="38AC07D9" w:rsidR="00141590" w:rsidRPr="00AF4DD6" w:rsidRDefault="00141590" w:rsidP="00141590">
      <w:pPr>
        <w:pStyle w:val="Figuretitle"/>
      </w:pPr>
      <w:r w:rsidRPr="00AF4DD6">
        <w:t xml:space="preserve">Figure </w:t>
      </w:r>
      <w:r w:rsidR="00D9012E">
        <w:t>10</w:t>
      </w:r>
      <w:r w:rsidRPr="00AF4DD6">
        <w:t>: Length of treatment</w:t>
      </w:r>
      <w:r w:rsidR="00226C92">
        <w:t xml:space="preserve"> </w:t>
      </w:r>
      <w:r w:rsidRPr="00AF4DD6">
        <w:t xml:space="preserve">for female endometriosis patients </w:t>
      </w:r>
      <w:r w:rsidR="00226C92">
        <w:t xml:space="preserve">in days </w:t>
      </w:r>
      <w:r w:rsidRPr="00AF4DD6">
        <w:t>not accounting for breaks</w:t>
      </w:r>
    </w:p>
    <w:p w14:paraId="1ACB68F3" w14:textId="58B14735" w:rsidR="00E04C10" w:rsidRPr="00AF4DD6" w:rsidRDefault="00E04C10" w:rsidP="00E04C10"/>
    <w:p w14:paraId="24058E9A" w14:textId="1E974C08" w:rsidR="00E04C10" w:rsidRPr="00AF4DD6" w:rsidRDefault="00E04C10" w:rsidP="00E04C10">
      <w:r w:rsidRPr="00AF4DD6">
        <w:t>The median length of treatment for endometriosis patients was approximately three months.</w:t>
      </w:r>
      <w:r w:rsidR="006729AD" w:rsidRPr="00AF4DD6">
        <w:t xml:space="preserve"> </w:t>
      </w:r>
      <w:r w:rsidR="00333454">
        <w:t xml:space="preserve">The PBS restriction </w:t>
      </w:r>
      <w:r w:rsidR="00D15BD9">
        <w:t xml:space="preserve">for </w:t>
      </w:r>
      <w:proofErr w:type="spellStart"/>
      <w:r w:rsidR="00D15BD9">
        <w:t>goserelin</w:t>
      </w:r>
      <w:proofErr w:type="spellEnd"/>
      <w:r w:rsidR="00D15BD9">
        <w:t xml:space="preserve"> </w:t>
      </w:r>
      <w:r w:rsidR="00333454">
        <w:t>allows for only one course of not more than 6 month’s trea</w:t>
      </w:r>
      <w:r w:rsidR="00946640">
        <w:t xml:space="preserve">tment. </w:t>
      </w:r>
      <w:r w:rsidR="00333454">
        <w:t xml:space="preserve">The PBS restriction for </w:t>
      </w:r>
      <w:proofErr w:type="spellStart"/>
      <w:r w:rsidR="00D15BD9">
        <w:t>nafarelin</w:t>
      </w:r>
      <w:proofErr w:type="spellEnd"/>
      <w:r w:rsidR="00D15BD9">
        <w:t xml:space="preserve"> allow</w:t>
      </w:r>
      <w:r w:rsidR="00333454">
        <w:t>s</w:t>
      </w:r>
      <w:r w:rsidR="00D15BD9">
        <w:t xml:space="preserve"> for up to 6 months of initial treatment and for up to 6 months of subsequent treatment. </w:t>
      </w:r>
      <w:r w:rsidR="009164CB" w:rsidRPr="00AF4DD6">
        <w:t xml:space="preserve">Approximately 80% of patients stop treatment by six months after </w:t>
      </w:r>
      <w:r w:rsidR="00397FCC">
        <w:t xml:space="preserve">first </w:t>
      </w:r>
      <w:r w:rsidR="009164CB" w:rsidRPr="00AF4DD6">
        <w:t>initiation.</w:t>
      </w:r>
    </w:p>
    <w:p w14:paraId="1FB8FFE2" w14:textId="77777777" w:rsidR="00141590" w:rsidRPr="00AF4DD6" w:rsidRDefault="00141590" w:rsidP="00BD4CA3"/>
    <w:p w14:paraId="649598EC" w14:textId="7DDD3348" w:rsidR="00141590" w:rsidRPr="00AF4DD6" w:rsidRDefault="00141590" w:rsidP="00141590">
      <w:pPr>
        <w:pStyle w:val="Figuretitle"/>
      </w:pPr>
      <w:r w:rsidRPr="00AF4DD6">
        <w:t xml:space="preserve">Table </w:t>
      </w:r>
      <w:r w:rsidR="00D9012E">
        <w:t>10</w:t>
      </w:r>
      <w:r w:rsidRPr="00AF4DD6">
        <w:t>: Length of treatment</w:t>
      </w:r>
      <w:r w:rsidR="001F7A1F">
        <w:t xml:space="preserve"> in days</w:t>
      </w:r>
      <w:r w:rsidRPr="00AF4DD6">
        <w:t xml:space="preserve"> for female endometriosis patients not accounting for breaks</w:t>
      </w:r>
    </w:p>
    <w:tbl>
      <w:tblPr>
        <w:tblStyle w:val="TableGrid"/>
        <w:tblW w:w="0" w:type="auto"/>
        <w:tblLayout w:type="fixed"/>
        <w:tblLook w:val="04A0" w:firstRow="1" w:lastRow="0" w:firstColumn="1" w:lastColumn="0" w:noHBand="0" w:noVBand="1"/>
        <w:tblCaption w:val="Length of treatment in days for female endometriosis patients not accounting for breaks"/>
        <w:tblDescription w:val="Length of treatment in days for female endometriosis patients not accounting for breaks"/>
      </w:tblPr>
      <w:tblGrid>
        <w:gridCol w:w="892"/>
        <w:gridCol w:w="893"/>
        <w:gridCol w:w="892"/>
        <w:gridCol w:w="893"/>
        <w:gridCol w:w="893"/>
        <w:gridCol w:w="892"/>
        <w:gridCol w:w="893"/>
        <w:gridCol w:w="892"/>
        <w:gridCol w:w="893"/>
        <w:gridCol w:w="893"/>
      </w:tblGrid>
      <w:tr w:rsidR="00192793" w:rsidRPr="00AF4DD6" w14:paraId="4D5BDDEE" w14:textId="77777777" w:rsidTr="0094329A">
        <w:trPr>
          <w:trHeight w:val="300"/>
          <w:tblHeader/>
        </w:trPr>
        <w:tc>
          <w:tcPr>
            <w:tcW w:w="892" w:type="dxa"/>
            <w:shd w:val="clear" w:color="auto" w:fill="BFBFBF" w:themeFill="background1" w:themeFillShade="BF"/>
            <w:noWrap/>
            <w:hideMark/>
          </w:tcPr>
          <w:p w14:paraId="5A1889A6" w14:textId="77777777" w:rsidR="00192793" w:rsidRPr="00192793" w:rsidRDefault="00192793" w:rsidP="007E4236">
            <w:pPr>
              <w:rPr>
                <w:b/>
                <w:sz w:val="20"/>
                <w:szCs w:val="20"/>
              </w:rPr>
            </w:pPr>
            <w:r w:rsidRPr="00192793">
              <w:rPr>
                <w:b/>
                <w:sz w:val="20"/>
                <w:szCs w:val="20"/>
              </w:rPr>
              <w:t>n</w:t>
            </w:r>
          </w:p>
        </w:tc>
        <w:tc>
          <w:tcPr>
            <w:tcW w:w="893" w:type="dxa"/>
            <w:shd w:val="clear" w:color="auto" w:fill="BFBFBF" w:themeFill="background1" w:themeFillShade="BF"/>
            <w:noWrap/>
            <w:hideMark/>
          </w:tcPr>
          <w:p w14:paraId="7A657F11" w14:textId="77777777" w:rsidR="00192793" w:rsidRPr="00192793" w:rsidRDefault="00192793" w:rsidP="007E4236">
            <w:pPr>
              <w:rPr>
                <w:b/>
                <w:sz w:val="20"/>
                <w:szCs w:val="20"/>
              </w:rPr>
            </w:pPr>
            <w:r w:rsidRPr="00192793">
              <w:rPr>
                <w:b/>
                <w:sz w:val="20"/>
                <w:szCs w:val="20"/>
              </w:rPr>
              <w:t>mean</w:t>
            </w:r>
          </w:p>
        </w:tc>
        <w:tc>
          <w:tcPr>
            <w:tcW w:w="892" w:type="dxa"/>
            <w:shd w:val="clear" w:color="auto" w:fill="BFBFBF" w:themeFill="background1" w:themeFillShade="BF"/>
            <w:noWrap/>
            <w:hideMark/>
          </w:tcPr>
          <w:p w14:paraId="09B32EFF" w14:textId="2711EAE0" w:rsidR="00192793" w:rsidRPr="00192793" w:rsidRDefault="00192793" w:rsidP="007E4236">
            <w:pPr>
              <w:rPr>
                <w:b/>
                <w:sz w:val="20"/>
                <w:szCs w:val="20"/>
              </w:rPr>
            </w:pPr>
            <w:r>
              <w:rPr>
                <w:b/>
                <w:sz w:val="20"/>
                <w:szCs w:val="20"/>
              </w:rPr>
              <w:t>median</w:t>
            </w:r>
          </w:p>
        </w:tc>
        <w:tc>
          <w:tcPr>
            <w:tcW w:w="893" w:type="dxa"/>
            <w:shd w:val="clear" w:color="auto" w:fill="BFBFBF" w:themeFill="background1" w:themeFillShade="BF"/>
            <w:noWrap/>
            <w:hideMark/>
          </w:tcPr>
          <w:p w14:paraId="3A1E916D" w14:textId="77777777" w:rsidR="00192793" w:rsidRPr="00192793" w:rsidRDefault="00192793" w:rsidP="007E4236">
            <w:pPr>
              <w:rPr>
                <w:b/>
                <w:sz w:val="20"/>
                <w:szCs w:val="20"/>
              </w:rPr>
            </w:pPr>
            <w:r w:rsidRPr="00192793">
              <w:rPr>
                <w:b/>
                <w:sz w:val="20"/>
                <w:szCs w:val="20"/>
              </w:rPr>
              <w:t>P90</w:t>
            </w:r>
          </w:p>
        </w:tc>
        <w:tc>
          <w:tcPr>
            <w:tcW w:w="893" w:type="dxa"/>
            <w:shd w:val="clear" w:color="auto" w:fill="BFBFBF" w:themeFill="background1" w:themeFillShade="BF"/>
            <w:noWrap/>
            <w:hideMark/>
          </w:tcPr>
          <w:p w14:paraId="41BDE38E" w14:textId="77777777" w:rsidR="00192793" w:rsidRPr="00192793" w:rsidRDefault="00192793" w:rsidP="007E4236">
            <w:pPr>
              <w:rPr>
                <w:b/>
                <w:sz w:val="20"/>
                <w:szCs w:val="20"/>
              </w:rPr>
            </w:pPr>
            <w:r w:rsidRPr="00192793">
              <w:rPr>
                <w:b/>
                <w:sz w:val="20"/>
                <w:szCs w:val="20"/>
              </w:rPr>
              <w:t>P95</w:t>
            </w:r>
          </w:p>
        </w:tc>
        <w:tc>
          <w:tcPr>
            <w:tcW w:w="892" w:type="dxa"/>
            <w:shd w:val="clear" w:color="auto" w:fill="BFBFBF" w:themeFill="background1" w:themeFillShade="BF"/>
            <w:noWrap/>
            <w:hideMark/>
          </w:tcPr>
          <w:p w14:paraId="2CCF9A13" w14:textId="77777777" w:rsidR="00192793" w:rsidRPr="00192793" w:rsidRDefault="00192793" w:rsidP="007E4236">
            <w:pPr>
              <w:rPr>
                <w:b/>
                <w:sz w:val="20"/>
                <w:szCs w:val="20"/>
              </w:rPr>
            </w:pPr>
            <w:r w:rsidRPr="00192793">
              <w:rPr>
                <w:b/>
                <w:sz w:val="20"/>
                <w:szCs w:val="20"/>
              </w:rPr>
              <w:t>P96</w:t>
            </w:r>
          </w:p>
        </w:tc>
        <w:tc>
          <w:tcPr>
            <w:tcW w:w="893" w:type="dxa"/>
            <w:shd w:val="clear" w:color="auto" w:fill="BFBFBF" w:themeFill="background1" w:themeFillShade="BF"/>
            <w:noWrap/>
            <w:hideMark/>
          </w:tcPr>
          <w:p w14:paraId="33569C6D" w14:textId="77777777" w:rsidR="00192793" w:rsidRPr="00192793" w:rsidRDefault="00192793" w:rsidP="007E4236">
            <w:pPr>
              <w:rPr>
                <w:b/>
                <w:sz w:val="20"/>
                <w:szCs w:val="20"/>
              </w:rPr>
            </w:pPr>
            <w:r w:rsidRPr="00192793">
              <w:rPr>
                <w:b/>
                <w:sz w:val="20"/>
                <w:szCs w:val="20"/>
              </w:rPr>
              <w:t>P97</w:t>
            </w:r>
          </w:p>
        </w:tc>
        <w:tc>
          <w:tcPr>
            <w:tcW w:w="892" w:type="dxa"/>
            <w:shd w:val="clear" w:color="auto" w:fill="BFBFBF" w:themeFill="background1" w:themeFillShade="BF"/>
            <w:noWrap/>
            <w:hideMark/>
          </w:tcPr>
          <w:p w14:paraId="1CBBCD0E" w14:textId="77777777" w:rsidR="00192793" w:rsidRPr="00192793" w:rsidRDefault="00192793" w:rsidP="007E4236">
            <w:pPr>
              <w:rPr>
                <w:b/>
                <w:sz w:val="20"/>
                <w:szCs w:val="20"/>
              </w:rPr>
            </w:pPr>
            <w:r w:rsidRPr="00192793">
              <w:rPr>
                <w:b/>
                <w:sz w:val="20"/>
                <w:szCs w:val="20"/>
              </w:rPr>
              <w:t>P98</w:t>
            </w:r>
          </w:p>
        </w:tc>
        <w:tc>
          <w:tcPr>
            <w:tcW w:w="893" w:type="dxa"/>
            <w:shd w:val="clear" w:color="auto" w:fill="BFBFBF" w:themeFill="background1" w:themeFillShade="BF"/>
            <w:noWrap/>
            <w:hideMark/>
          </w:tcPr>
          <w:p w14:paraId="6BB64230" w14:textId="77777777" w:rsidR="00192793" w:rsidRPr="00192793" w:rsidRDefault="00192793" w:rsidP="007E4236">
            <w:pPr>
              <w:rPr>
                <w:b/>
                <w:sz w:val="20"/>
                <w:szCs w:val="20"/>
              </w:rPr>
            </w:pPr>
            <w:r w:rsidRPr="00192793">
              <w:rPr>
                <w:b/>
                <w:sz w:val="20"/>
                <w:szCs w:val="20"/>
              </w:rPr>
              <w:t>P99</w:t>
            </w:r>
          </w:p>
        </w:tc>
        <w:tc>
          <w:tcPr>
            <w:tcW w:w="893" w:type="dxa"/>
            <w:shd w:val="clear" w:color="auto" w:fill="BFBFBF" w:themeFill="background1" w:themeFillShade="BF"/>
            <w:noWrap/>
            <w:hideMark/>
          </w:tcPr>
          <w:p w14:paraId="4A161CCE" w14:textId="77777777" w:rsidR="00192793" w:rsidRPr="00192793" w:rsidRDefault="00192793" w:rsidP="007E4236">
            <w:pPr>
              <w:rPr>
                <w:b/>
                <w:sz w:val="20"/>
                <w:szCs w:val="20"/>
              </w:rPr>
            </w:pPr>
            <w:r w:rsidRPr="00192793">
              <w:rPr>
                <w:b/>
                <w:sz w:val="20"/>
                <w:szCs w:val="20"/>
              </w:rPr>
              <w:t>P100</w:t>
            </w:r>
          </w:p>
        </w:tc>
      </w:tr>
      <w:tr w:rsidR="00192793" w:rsidRPr="00AF4DD6" w14:paraId="695A196E" w14:textId="77777777" w:rsidTr="00192793">
        <w:trPr>
          <w:trHeight w:val="300"/>
        </w:trPr>
        <w:tc>
          <w:tcPr>
            <w:tcW w:w="892" w:type="dxa"/>
            <w:noWrap/>
            <w:hideMark/>
          </w:tcPr>
          <w:p w14:paraId="585DDE28" w14:textId="229802D6" w:rsidR="00192793" w:rsidRPr="00AF4DD6" w:rsidRDefault="00192793" w:rsidP="00AF4DD6">
            <w:pPr>
              <w:rPr>
                <w:sz w:val="20"/>
                <w:szCs w:val="20"/>
              </w:rPr>
            </w:pPr>
            <w:r w:rsidRPr="00AF4DD6">
              <w:rPr>
                <w:sz w:val="20"/>
                <w:szCs w:val="20"/>
              </w:rPr>
              <w:t>8</w:t>
            </w:r>
            <w:r>
              <w:rPr>
                <w:sz w:val="20"/>
                <w:szCs w:val="20"/>
              </w:rPr>
              <w:t>,</w:t>
            </w:r>
            <w:r w:rsidRPr="00AF4DD6">
              <w:rPr>
                <w:sz w:val="20"/>
                <w:szCs w:val="20"/>
              </w:rPr>
              <w:t>068</w:t>
            </w:r>
          </w:p>
        </w:tc>
        <w:tc>
          <w:tcPr>
            <w:tcW w:w="893" w:type="dxa"/>
            <w:noWrap/>
            <w:hideMark/>
          </w:tcPr>
          <w:p w14:paraId="2420978C" w14:textId="12EE0E27" w:rsidR="00192793" w:rsidRPr="00AF4DD6" w:rsidRDefault="00192793" w:rsidP="00AF4DD6">
            <w:pPr>
              <w:rPr>
                <w:sz w:val="20"/>
                <w:szCs w:val="20"/>
              </w:rPr>
            </w:pPr>
            <w:r w:rsidRPr="00AF4DD6">
              <w:rPr>
                <w:sz w:val="20"/>
                <w:szCs w:val="20"/>
              </w:rPr>
              <w:t>145</w:t>
            </w:r>
          </w:p>
        </w:tc>
        <w:tc>
          <w:tcPr>
            <w:tcW w:w="892" w:type="dxa"/>
            <w:noWrap/>
            <w:hideMark/>
          </w:tcPr>
          <w:p w14:paraId="5E002F95" w14:textId="63CB7874" w:rsidR="00192793" w:rsidRPr="00AF4DD6" w:rsidRDefault="00192793" w:rsidP="00AF4DD6">
            <w:pPr>
              <w:rPr>
                <w:sz w:val="20"/>
                <w:szCs w:val="20"/>
              </w:rPr>
            </w:pPr>
            <w:r w:rsidRPr="00AF4DD6">
              <w:rPr>
                <w:sz w:val="20"/>
                <w:szCs w:val="20"/>
              </w:rPr>
              <w:t>87</w:t>
            </w:r>
          </w:p>
        </w:tc>
        <w:tc>
          <w:tcPr>
            <w:tcW w:w="893" w:type="dxa"/>
            <w:noWrap/>
            <w:hideMark/>
          </w:tcPr>
          <w:p w14:paraId="482E5F3D" w14:textId="0F5412D0" w:rsidR="00192793" w:rsidRPr="00AF4DD6" w:rsidRDefault="00192793" w:rsidP="00AF4DD6">
            <w:pPr>
              <w:rPr>
                <w:sz w:val="20"/>
                <w:szCs w:val="20"/>
              </w:rPr>
            </w:pPr>
            <w:r w:rsidRPr="00AF4DD6">
              <w:rPr>
                <w:sz w:val="20"/>
                <w:szCs w:val="20"/>
              </w:rPr>
              <w:t>263</w:t>
            </w:r>
          </w:p>
        </w:tc>
        <w:tc>
          <w:tcPr>
            <w:tcW w:w="893" w:type="dxa"/>
            <w:noWrap/>
            <w:hideMark/>
          </w:tcPr>
          <w:p w14:paraId="36088785" w14:textId="04AF5E75" w:rsidR="00192793" w:rsidRPr="00AF4DD6" w:rsidRDefault="00192793" w:rsidP="00AF4DD6">
            <w:pPr>
              <w:rPr>
                <w:sz w:val="20"/>
                <w:szCs w:val="20"/>
              </w:rPr>
            </w:pPr>
            <w:r w:rsidRPr="00AF4DD6">
              <w:rPr>
                <w:sz w:val="20"/>
                <w:szCs w:val="20"/>
              </w:rPr>
              <w:t>490</w:t>
            </w:r>
          </w:p>
        </w:tc>
        <w:tc>
          <w:tcPr>
            <w:tcW w:w="892" w:type="dxa"/>
            <w:noWrap/>
            <w:hideMark/>
          </w:tcPr>
          <w:p w14:paraId="0043C36D" w14:textId="389F5C06" w:rsidR="00192793" w:rsidRPr="00AF4DD6" w:rsidRDefault="00192793" w:rsidP="00AF4DD6">
            <w:pPr>
              <w:rPr>
                <w:sz w:val="20"/>
                <w:szCs w:val="20"/>
              </w:rPr>
            </w:pPr>
            <w:r w:rsidRPr="00AF4DD6">
              <w:rPr>
                <w:sz w:val="20"/>
                <w:szCs w:val="20"/>
              </w:rPr>
              <w:t>590</w:t>
            </w:r>
          </w:p>
        </w:tc>
        <w:tc>
          <w:tcPr>
            <w:tcW w:w="893" w:type="dxa"/>
            <w:noWrap/>
            <w:hideMark/>
          </w:tcPr>
          <w:p w14:paraId="42ACD25D" w14:textId="363C1428" w:rsidR="00192793" w:rsidRPr="00AF4DD6" w:rsidRDefault="00192793" w:rsidP="00AF4DD6">
            <w:pPr>
              <w:rPr>
                <w:sz w:val="20"/>
                <w:szCs w:val="20"/>
              </w:rPr>
            </w:pPr>
            <w:r w:rsidRPr="00AF4DD6">
              <w:rPr>
                <w:sz w:val="20"/>
                <w:szCs w:val="20"/>
              </w:rPr>
              <w:t>711</w:t>
            </w:r>
          </w:p>
        </w:tc>
        <w:tc>
          <w:tcPr>
            <w:tcW w:w="892" w:type="dxa"/>
            <w:noWrap/>
            <w:hideMark/>
          </w:tcPr>
          <w:p w14:paraId="7B0F023D" w14:textId="19915313" w:rsidR="00192793" w:rsidRPr="00AF4DD6" w:rsidRDefault="00192793" w:rsidP="00AF4DD6">
            <w:pPr>
              <w:rPr>
                <w:sz w:val="20"/>
                <w:szCs w:val="20"/>
              </w:rPr>
            </w:pPr>
            <w:r w:rsidRPr="00AF4DD6">
              <w:rPr>
                <w:sz w:val="20"/>
                <w:szCs w:val="20"/>
              </w:rPr>
              <w:t>891</w:t>
            </w:r>
          </w:p>
        </w:tc>
        <w:tc>
          <w:tcPr>
            <w:tcW w:w="893" w:type="dxa"/>
            <w:noWrap/>
            <w:hideMark/>
          </w:tcPr>
          <w:p w14:paraId="09D5DF31" w14:textId="09603C9D" w:rsidR="00192793" w:rsidRPr="00AF4DD6" w:rsidRDefault="00192793" w:rsidP="00AF4DD6">
            <w:pPr>
              <w:rPr>
                <w:sz w:val="20"/>
                <w:szCs w:val="20"/>
              </w:rPr>
            </w:pPr>
            <w:r w:rsidRPr="00AF4DD6">
              <w:rPr>
                <w:sz w:val="20"/>
                <w:szCs w:val="20"/>
              </w:rPr>
              <w:t>1132</w:t>
            </w:r>
          </w:p>
        </w:tc>
        <w:tc>
          <w:tcPr>
            <w:tcW w:w="893" w:type="dxa"/>
            <w:noWrap/>
            <w:hideMark/>
          </w:tcPr>
          <w:p w14:paraId="6CE0062F" w14:textId="38FF8F44" w:rsidR="00192793" w:rsidRPr="00AF4DD6" w:rsidRDefault="00192793" w:rsidP="00AF4DD6">
            <w:pPr>
              <w:rPr>
                <w:sz w:val="20"/>
                <w:szCs w:val="20"/>
              </w:rPr>
            </w:pPr>
            <w:r w:rsidRPr="00AF4DD6">
              <w:rPr>
                <w:sz w:val="20"/>
                <w:szCs w:val="20"/>
              </w:rPr>
              <w:t>1</w:t>
            </w:r>
            <w:r>
              <w:rPr>
                <w:sz w:val="20"/>
                <w:szCs w:val="20"/>
              </w:rPr>
              <w:t>,</w:t>
            </w:r>
            <w:r w:rsidRPr="00AF4DD6">
              <w:rPr>
                <w:sz w:val="20"/>
                <w:szCs w:val="20"/>
              </w:rPr>
              <w:t>809</w:t>
            </w:r>
          </w:p>
        </w:tc>
      </w:tr>
    </w:tbl>
    <w:p w14:paraId="360DE4D5" w14:textId="77777777" w:rsidR="00141590" w:rsidRPr="00AF4DD6" w:rsidRDefault="00141590" w:rsidP="00141590"/>
    <w:p w14:paraId="4E107F98" w14:textId="35AF1910" w:rsidR="00141590" w:rsidRPr="00AF4DD6" w:rsidRDefault="00D9012E" w:rsidP="00141590">
      <w:pPr>
        <w:pStyle w:val="Figuretitle"/>
      </w:pPr>
      <w:r>
        <w:lastRenderedPageBreak/>
        <w:t>Table 11</w:t>
      </w:r>
      <w:r w:rsidR="00141590" w:rsidRPr="00AF4DD6">
        <w:t>: Length of treatment</w:t>
      </w:r>
      <w:r w:rsidR="001F7A1F">
        <w:t xml:space="preserve"> in days</w:t>
      </w:r>
      <w:r w:rsidR="00141590" w:rsidRPr="00AF4DD6">
        <w:t xml:space="preserve"> for female endometriosis patients accounting for breaks</w:t>
      </w:r>
    </w:p>
    <w:tbl>
      <w:tblPr>
        <w:tblStyle w:val="TableGrid"/>
        <w:tblW w:w="0" w:type="auto"/>
        <w:tblLayout w:type="fixed"/>
        <w:tblLook w:val="04A0" w:firstRow="1" w:lastRow="0" w:firstColumn="1" w:lastColumn="0" w:noHBand="0" w:noVBand="1"/>
        <w:tblCaption w:val="Length of treatment in days for female endometriosis patients accounting for breaks"/>
        <w:tblDescription w:val="Length of treatment in days for female endometriosis patients accounting for breaks"/>
      </w:tblPr>
      <w:tblGrid>
        <w:gridCol w:w="892"/>
        <w:gridCol w:w="893"/>
        <w:gridCol w:w="892"/>
        <w:gridCol w:w="893"/>
        <w:gridCol w:w="893"/>
        <w:gridCol w:w="892"/>
        <w:gridCol w:w="893"/>
        <w:gridCol w:w="892"/>
        <w:gridCol w:w="893"/>
        <w:gridCol w:w="893"/>
      </w:tblGrid>
      <w:tr w:rsidR="00192793" w:rsidRPr="00192793" w14:paraId="5FD8B8D3" w14:textId="77777777" w:rsidTr="0094329A">
        <w:trPr>
          <w:trHeight w:val="300"/>
          <w:tblHeader/>
        </w:trPr>
        <w:tc>
          <w:tcPr>
            <w:tcW w:w="892" w:type="dxa"/>
            <w:shd w:val="clear" w:color="auto" w:fill="BFBFBF" w:themeFill="background1" w:themeFillShade="BF"/>
            <w:noWrap/>
            <w:hideMark/>
          </w:tcPr>
          <w:p w14:paraId="69FBB73E" w14:textId="77777777" w:rsidR="00192793" w:rsidRPr="00192793" w:rsidRDefault="00192793" w:rsidP="007E4236">
            <w:pPr>
              <w:rPr>
                <w:b/>
                <w:sz w:val="20"/>
                <w:szCs w:val="20"/>
              </w:rPr>
            </w:pPr>
            <w:r w:rsidRPr="00192793">
              <w:rPr>
                <w:b/>
                <w:sz w:val="20"/>
                <w:szCs w:val="20"/>
              </w:rPr>
              <w:t>n</w:t>
            </w:r>
          </w:p>
        </w:tc>
        <w:tc>
          <w:tcPr>
            <w:tcW w:w="893" w:type="dxa"/>
            <w:shd w:val="clear" w:color="auto" w:fill="BFBFBF" w:themeFill="background1" w:themeFillShade="BF"/>
            <w:noWrap/>
            <w:hideMark/>
          </w:tcPr>
          <w:p w14:paraId="78B1BB3C" w14:textId="77777777" w:rsidR="00192793" w:rsidRPr="00192793" w:rsidRDefault="00192793" w:rsidP="007E4236">
            <w:pPr>
              <w:rPr>
                <w:b/>
                <w:sz w:val="20"/>
                <w:szCs w:val="20"/>
              </w:rPr>
            </w:pPr>
            <w:r w:rsidRPr="00192793">
              <w:rPr>
                <w:b/>
                <w:sz w:val="20"/>
                <w:szCs w:val="20"/>
              </w:rPr>
              <w:t>mean</w:t>
            </w:r>
          </w:p>
        </w:tc>
        <w:tc>
          <w:tcPr>
            <w:tcW w:w="892" w:type="dxa"/>
            <w:shd w:val="clear" w:color="auto" w:fill="BFBFBF" w:themeFill="background1" w:themeFillShade="BF"/>
            <w:noWrap/>
            <w:hideMark/>
          </w:tcPr>
          <w:p w14:paraId="76B74B96" w14:textId="42A636E8" w:rsidR="00192793" w:rsidRPr="00192793" w:rsidRDefault="00192793" w:rsidP="007E4236">
            <w:pPr>
              <w:rPr>
                <w:b/>
                <w:sz w:val="20"/>
                <w:szCs w:val="20"/>
              </w:rPr>
            </w:pPr>
            <w:r>
              <w:rPr>
                <w:b/>
                <w:sz w:val="20"/>
                <w:szCs w:val="20"/>
              </w:rPr>
              <w:t>median</w:t>
            </w:r>
          </w:p>
        </w:tc>
        <w:tc>
          <w:tcPr>
            <w:tcW w:w="893" w:type="dxa"/>
            <w:shd w:val="clear" w:color="auto" w:fill="BFBFBF" w:themeFill="background1" w:themeFillShade="BF"/>
            <w:noWrap/>
            <w:hideMark/>
          </w:tcPr>
          <w:p w14:paraId="70DB9DAB" w14:textId="77777777" w:rsidR="00192793" w:rsidRPr="00192793" w:rsidRDefault="00192793" w:rsidP="007E4236">
            <w:pPr>
              <w:rPr>
                <w:b/>
                <w:sz w:val="20"/>
                <w:szCs w:val="20"/>
              </w:rPr>
            </w:pPr>
            <w:r w:rsidRPr="00192793">
              <w:rPr>
                <w:b/>
                <w:sz w:val="20"/>
                <w:szCs w:val="20"/>
              </w:rPr>
              <w:t>P90</w:t>
            </w:r>
          </w:p>
        </w:tc>
        <w:tc>
          <w:tcPr>
            <w:tcW w:w="893" w:type="dxa"/>
            <w:shd w:val="clear" w:color="auto" w:fill="BFBFBF" w:themeFill="background1" w:themeFillShade="BF"/>
            <w:noWrap/>
            <w:hideMark/>
          </w:tcPr>
          <w:p w14:paraId="343CA3C8" w14:textId="77777777" w:rsidR="00192793" w:rsidRPr="00192793" w:rsidRDefault="00192793" w:rsidP="007E4236">
            <w:pPr>
              <w:rPr>
                <w:b/>
                <w:sz w:val="20"/>
                <w:szCs w:val="20"/>
              </w:rPr>
            </w:pPr>
            <w:r w:rsidRPr="00192793">
              <w:rPr>
                <w:b/>
                <w:sz w:val="20"/>
                <w:szCs w:val="20"/>
              </w:rPr>
              <w:t>P95</w:t>
            </w:r>
          </w:p>
        </w:tc>
        <w:tc>
          <w:tcPr>
            <w:tcW w:w="892" w:type="dxa"/>
            <w:shd w:val="clear" w:color="auto" w:fill="BFBFBF" w:themeFill="background1" w:themeFillShade="BF"/>
            <w:noWrap/>
            <w:hideMark/>
          </w:tcPr>
          <w:p w14:paraId="1563F079" w14:textId="77777777" w:rsidR="00192793" w:rsidRPr="00192793" w:rsidRDefault="00192793" w:rsidP="007E4236">
            <w:pPr>
              <w:rPr>
                <w:b/>
                <w:sz w:val="20"/>
                <w:szCs w:val="20"/>
              </w:rPr>
            </w:pPr>
            <w:r w:rsidRPr="00192793">
              <w:rPr>
                <w:b/>
                <w:sz w:val="20"/>
                <w:szCs w:val="20"/>
              </w:rPr>
              <w:t>P96</w:t>
            </w:r>
          </w:p>
        </w:tc>
        <w:tc>
          <w:tcPr>
            <w:tcW w:w="893" w:type="dxa"/>
            <w:shd w:val="clear" w:color="auto" w:fill="BFBFBF" w:themeFill="background1" w:themeFillShade="BF"/>
            <w:noWrap/>
            <w:hideMark/>
          </w:tcPr>
          <w:p w14:paraId="360D0A01" w14:textId="77777777" w:rsidR="00192793" w:rsidRPr="00192793" w:rsidRDefault="00192793" w:rsidP="007E4236">
            <w:pPr>
              <w:rPr>
                <w:b/>
                <w:sz w:val="20"/>
                <w:szCs w:val="20"/>
              </w:rPr>
            </w:pPr>
            <w:r w:rsidRPr="00192793">
              <w:rPr>
                <w:b/>
                <w:sz w:val="20"/>
                <w:szCs w:val="20"/>
              </w:rPr>
              <w:t>P97</w:t>
            </w:r>
          </w:p>
        </w:tc>
        <w:tc>
          <w:tcPr>
            <w:tcW w:w="892" w:type="dxa"/>
            <w:shd w:val="clear" w:color="auto" w:fill="BFBFBF" w:themeFill="background1" w:themeFillShade="BF"/>
            <w:noWrap/>
            <w:hideMark/>
          </w:tcPr>
          <w:p w14:paraId="2D459D1C" w14:textId="77777777" w:rsidR="00192793" w:rsidRPr="00192793" w:rsidRDefault="00192793" w:rsidP="007E4236">
            <w:pPr>
              <w:rPr>
                <w:b/>
                <w:sz w:val="20"/>
                <w:szCs w:val="20"/>
              </w:rPr>
            </w:pPr>
            <w:r w:rsidRPr="00192793">
              <w:rPr>
                <w:b/>
                <w:sz w:val="20"/>
                <w:szCs w:val="20"/>
              </w:rPr>
              <w:t>P98</w:t>
            </w:r>
          </w:p>
        </w:tc>
        <w:tc>
          <w:tcPr>
            <w:tcW w:w="893" w:type="dxa"/>
            <w:shd w:val="clear" w:color="auto" w:fill="BFBFBF" w:themeFill="background1" w:themeFillShade="BF"/>
            <w:noWrap/>
            <w:hideMark/>
          </w:tcPr>
          <w:p w14:paraId="62A8FF5B" w14:textId="77777777" w:rsidR="00192793" w:rsidRPr="00192793" w:rsidRDefault="00192793" w:rsidP="007E4236">
            <w:pPr>
              <w:rPr>
                <w:b/>
                <w:sz w:val="20"/>
                <w:szCs w:val="20"/>
              </w:rPr>
            </w:pPr>
            <w:r w:rsidRPr="00192793">
              <w:rPr>
                <w:b/>
                <w:sz w:val="20"/>
                <w:szCs w:val="20"/>
              </w:rPr>
              <w:t>P99</w:t>
            </w:r>
          </w:p>
        </w:tc>
        <w:tc>
          <w:tcPr>
            <w:tcW w:w="893" w:type="dxa"/>
            <w:shd w:val="clear" w:color="auto" w:fill="BFBFBF" w:themeFill="background1" w:themeFillShade="BF"/>
            <w:noWrap/>
            <w:hideMark/>
          </w:tcPr>
          <w:p w14:paraId="08592B24" w14:textId="77777777" w:rsidR="00192793" w:rsidRPr="00192793" w:rsidRDefault="00192793" w:rsidP="007E4236">
            <w:pPr>
              <w:rPr>
                <w:b/>
                <w:sz w:val="20"/>
                <w:szCs w:val="20"/>
              </w:rPr>
            </w:pPr>
            <w:r w:rsidRPr="00192793">
              <w:rPr>
                <w:b/>
                <w:sz w:val="20"/>
                <w:szCs w:val="20"/>
              </w:rPr>
              <w:t>P100</w:t>
            </w:r>
          </w:p>
        </w:tc>
      </w:tr>
      <w:tr w:rsidR="00192793" w:rsidRPr="00AF4DD6" w14:paraId="2DDFA840" w14:textId="77777777" w:rsidTr="00192793">
        <w:trPr>
          <w:trHeight w:val="300"/>
        </w:trPr>
        <w:tc>
          <w:tcPr>
            <w:tcW w:w="892" w:type="dxa"/>
            <w:noWrap/>
            <w:hideMark/>
          </w:tcPr>
          <w:p w14:paraId="18377210" w14:textId="15AAA3A6" w:rsidR="00192793" w:rsidRPr="00AF4DD6" w:rsidRDefault="00192793" w:rsidP="00AF4DD6">
            <w:pPr>
              <w:rPr>
                <w:sz w:val="20"/>
                <w:szCs w:val="20"/>
              </w:rPr>
            </w:pPr>
            <w:r w:rsidRPr="00AF4DD6">
              <w:rPr>
                <w:sz w:val="20"/>
                <w:szCs w:val="20"/>
              </w:rPr>
              <w:t>8</w:t>
            </w:r>
            <w:r>
              <w:rPr>
                <w:sz w:val="20"/>
                <w:szCs w:val="20"/>
              </w:rPr>
              <w:t>,</w:t>
            </w:r>
            <w:r w:rsidRPr="00AF4DD6">
              <w:rPr>
                <w:sz w:val="20"/>
                <w:szCs w:val="20"/>
              </w:rPr>
              <w:t>068</w:t>
            </w:r>
          </w:p>
        </w:tc>
        <w:tc>
          <w:tcPr>
            <w:tcW w:w="893" w:type="dxa"/>
            <w:noWrap/>
            <w:hideMark/>
          </w:tcPr>
          <w:p w14:paraId="221F8982" w14:textId="0299D341" w:rsidR="00192793" w:rsidRPr="00AF4DD6" w:rsidRDefault="00192793" w:rsidP="00AF4DD6">
            <w:pPr>
              <w:rPr>
                <w:sz w:val="20"/>
                <w:szCs w:val="20"/>
              </w:rPr>
            </w:pPr>
            <w:r>
              <w:rPr>
                <w:sz w:val="20"/>
                <w:szCs w:val="20"/>
              </w:rPr>
              <w:t>106</w:t>
            </w:r>
          </w:p>
        </w:tc>
        <w:tc>
          <w:tcPr>
            <w:tcW w:w="892" w:type="dxa"/>
            <w:noWrap/>
            <w:hideMark/>
          </w:tcPr>
          <w:p w14:paraId="5F189CE0" w14:textId="3DCD3D46" w:rsidR="00192793" w:rsidRPr="00AF4DD6" w:rsidRDefault="00192793" w:rsidP="00AF4DD6">
            <w:pPr>
              <w:rPr>
                <w:sz w:val="20"/>
                <w:szCs w:val="20"/>
              </w:rPr>
            </w:pPr>
            <w:r w:rsidRPr="00AF4DD6">
              <w:rPr>
                <w:sz w:val="20"/>
                <w:szCs w:val="20"/>
              </w:rPr>
              <w:t>83</w:t>
            </w:r>
          </w:p>
        </w:tc>
        <w:tc>
          <w:tcPr>
            <w:tcW w:w="893" w:type="dxa"/>
            <w:noWrap/>
            <w:hideMark/>
          </w:tcPr>
          <w:p w14:paraId="4E4717BD" w14:textId="777BD650" w:rsidR="00192793" w:rsidRPr="00AF4DD6" w:rsidRDefault="00192793" w:rsidP="00AF4DD6">
            <w:pPr>
              <w:rPr>
                <w:sz w:val="20"/>
                <w:szCs w:val="20"/>
              </w:rPr>
            </w:pPr>
            <w:r w:rsidRPr="00AF4DD6">
              <w:rPr>
                <w:sz w:val="20"/>
                <w:szCs w:val="20"/>
              </w:rPr>
              <w:t>193</w:t>
            </w:r>
          </w:p>
        </w:tc>
        <w:tc>
          <w:tcPr>
            <w:tcW w:w="893" w:type="dxa"/>
            <w:noWrap/>
            <w:hideMark/>
          </w:tcPr>
          <w:p w14:paraId="186689C0" w14:textId="117BBFA9" w:rsidR="00192793" w:rsidRPr="00AF4DD6" w:rsidRDefault="00192793" w:rsidP="00AF4DD6">
            <w:pPr>
              <w:rPr>
                <w:sz w:val="20"/>
                <w:szCs w:val="20"/>
              </w:rPr>
            </w:pPr>
            <w:r w:rsidRPr="00AF4DD6">
              <w:rPr>
                <w:sz w:val="20"/>
                <w:szCs w:val="20"/>
              </w:rPr>
              <w:t>238</w:t>
            </w:r>
          </w:p>
        </w:tc>
        <w:tc>
          <w:tcPr>
            <w:tcW w:w="892" w:type="dxa"/>
            <w:noWrap/>
            <w:hideMark/>
          </w:tcPr>
          <w:p w14:paraId="30BF474B" w14:textId="359DEFB5" w:rsidR="00192793" w:rsidRPr="00AF4DD6" w:rsidRDefault="00192793" w:rsidP="00AF4DD6">
            <w:pPr>
              <w:rPr>
                <w:sz w:val="20"/>
                <w:szCs w:val="20"/>
              </w:rPr>
            </w:pPr>
            <w:r w:rsidRPr="00AF4DD6">
              <w:rPr>
                <w:sz w:val="20"/>
                <w:szCs w:val="20"/>
              </w:rPr>
              <w:t>255</w:t>
            </w:r>
          </w:p>
        </w:tc>
        <w:tc>
          <w:tcPr>
            <w:tcW w:w="893" w:type="dxa"/>
            <w:noWrap/>
            <w:hideMark/>
          </w:tcPr>
          <w:p w14:paraId="351ED918" w14:textId="6B661123" w:rsidR="00192793" w:rsidRPr="00AF4DD6" w:rsidRDefault="00192793" w:rsidP="00AF4DD6">
            <w:pPr>
              <w:rPr>
                <w:sz w:val="20"/>
                <w:szCs w:val="20"/>
              </w:rPr>
            </w:pPr>
            <w:r w:rsidRPr="00AF4DD6">
              <w:rPr>
                <w:sz w:val="20"/>
                <w:szCs w:val="20"/>
              </w:rPr>
              <w:t>287</w:t>
            </w:r>
          </w:p>
        </w:tc>
        <w:tc>
          <w:tcPr>
            <w:tcW w:w="892" w:type="dxa"/>
            <w:noWrap/>
            <w:hideMark/>
          </w:tcPr>
          <w:p w14:paraId="7B7B472E" w14:textId="01FA109A" w:rsidR="00192793" w:rsidRPr="00AF4DD6" w:rsidRDefault="00192793" w:rsidP="00AF4DD6">
            <w:pPr>
              <w:rPr>
                <w:sz w:val="20"/>
                <w:szCs w:val="20"/>
              </w:rPr>
            </w:pPr>
            <w:r w:rsidRPr="00AF4DD6">
              <w:rPr>
                <w:sz w:val="20"/>
                <w:szCs w:val="20"/>
              </w:rPr>
              <w:t>342</w:t>
            </w:r>
          </w:p>
        </w:tc>
        <w:tc>
          <w:tcPr>
            <w:tcW w:w="893" w:type="dxa"/>
            <w:noWrap/>
            <w:hideMark/>
          </w:tcPr>
          <w:p w14:paraId="4366AB45" w14:textId="63B865CB" w:rsidR="00192793" w:rsidRPr="00AF4DD6" w:rsidRDefault="00192793" w:rsidP="00AF4DD6">
            <w:pPr>
              <w:rPr>
                <w:sz w:val="20"/>
                <w:szCs w:val="20"/>
              </w:rPr>
            </w:pPr>
            <w:r w:rsidRPr="00AF4DD6">
              <w:rPr>
                <w:sz w:val="20"/>
                <w:szCs w:val="20"/>
              </w:rPr>
              <w:t>480</w:t>
            </w:r>
          </w:p>
        </w:tc>
        <w:tc>
          <w:tcPr>
            <w:tcW w:w="893" w:type="dxa"/>
            <w:noWrap/>
            <w:hideMark/>
          </w:tcPr>
          <w:p w14:paraId="54C53DC6" w14:textId="55CAB255" w:rsidR="00192793" w:rsidRPr="00AF4DD6" w:rsidRDefault="00192793" w:rsidP="00AF4DD6">
            <w:pPr>
              <w:rPr>
                <w:sz w:val="20"/>
                <w:szCs w:val="20"/>
              </w:rPr>
            </w:pPr>
            <w:r w:rsidRPr="00AF4DD6">
              <w:rPr>
                <w:sz w:val="20"/>
                <w:szCs w:val="20"/>
              </w:rPr>
              <w:t>1</w:t>
            </w:r>
            <w:r>
              <w:rPr>
                <w:sz w:val="20"/>
                <w:szCs w:val="20"/>
              </w:rPr>
              <w:t>,</w:t>
            </w:r>
            <w:r w:rsidRPr="00AF4DD6">
              <w:rPr>
                <w:sz w:val="20"/>
                <w:szCs w:val="20"/>
              </w:rPr>
              <w:t>809</w:t>
            </w:r>
          </w:p>
        </w:tc>
      </w:tr>
    </w:tbl>
    <w:p w14:paraId="7846787D" w14:textId="4369CF42" w:rsidR="00141590" w:rsidRDefault="00141590" w:rsidP="00141590"/>
    <w:p w14:paraId="4D40E5CD" w14:textId="42AE21AF" w:rsidR="00C80616" w:rsidRPr="00AF4DD6" w:rsidRDefault="00C80616" w:rsidP="00141590">
      <w:r>
        <w:t xml:space="preserve">The analyses below examine the length of treatment for patients in the endometriosis cohort who were exclusively treated with </w:t>
      </w:r>
      <w:r w:rsidR="00C55DDD">
        <w:t xml:space="preserve">either </w:t>
      </w:r>
      <w:proofErr w:type="spellStart"/>
      <w:r w:rsidR="00C55DDD">
        <w:t>goserelin</w:t>
      </w:r>
      <w:proofErr w:type="spellEnd"/>
      <w:r w:rsidR="00C55DDD">
        <w:t xml:space="preserve"> or </w:t>
      </w:r>
      <w:proofErr w:type="spellStart"/>
      <w:r>
        <w:t>nafarelin</w:t>
      </w:r>
      <w:proofErr w:type="spellEnd"/>
      <w:r>
        <w:t xml:space="preserve">. Of the 8,068 patients in the cohort, 4,920 were treated with </w:t>
      </w:r>
      <w:proofErr w:type="spellStart"/>
      <w:r>
        <w:t>goserelin</w:t>
      </w:r>
      <w:proofErr w:type="spellEnd"/>
      <w:r>
        <w:t xml:space="preserve"> and did not receive other </w:t>
      </w:r>
      <w:proofErr w:type="spellStart"/>
      <w:r>
        <w:t>GnRH</w:t>
      </w:r>
      <w:proofErr w:type="spellEnd"/>
      <w:r>
        <w:t xml:space="preserve"> agonists, and 2,</w:t>
      </w:r>
      <w:r w:rsidR="00C55DDD">
        <w:t>8</w:t>
      </w:r>
      <w:r>
        <w:t>50</w:t>
      </w:r>
      <w:r w:rsidRPr="00C80616">
        <w:t xml:space="preserve"> </w:t>
      </w:r>
      <w:r>
        <w:t xml:space="preserve">were treated with </w:t>
      </w:r>
      <w:proofErr w:type="spellStart"/>
      <w:r>
        <w:t>nafarelin</w:t>
      </w:r>
      <w:proofErr w:type="spellEnd"/>
      <w:r>
        <w:t xml:space="preserve"> and did not receive other </w:t>
      </w:r>
      <w:proofErr w:type="spellStart"/>
      <w:r>
        <w:t>GnRH</w:t>
      </w:r>
      <w:proofErr w:type="spellEnd"/>
      <w:r>
        <w:t xml:space="preserve"> agonists.</w:t>
      </w:r>
    </w:p>
    <w:p w14:paraId="4E4F2F9B" w14:textId="227F21BF" w:rsidR="00BD4CA3" w:rsidRPr="00AF4DD6" w:rsidRDefault="00C80616" w:rsidP="00BD4CA3">
      <w:r>
        <w:rPr>
          <w:noProof/>
        </w:rPr>
        <w:drawing>
          <wp:inline distT="0" distB="0" distL="0" distR="0" wp14:anchorId="023E72C8" wp14:editId="5C8375DF">
            <wp:extent cx="5687695" cy="4265930"/>
            <wp:effectExtent l="0" t="0" r="8255" b="1270"/>
            <wp:docPr id="5" name="Picture 1" descr="Length of treatment with goserelin for female endometriosis patients in days not accounting for breaks" title="Length of treatment with goserelin for female endometriosis patients in days not accounting for br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87695" cy="4265930"/>
                    </a:xfrm>
                    <a:prstGeom prst="rect">
                      <a:avLst/>
                    </a:prstGeom>
                    <a:noFill/>
                    <a:extLst/>
                  </pic:spPr>
                </pic:pic>
              </a:graphicData>
            </a:graphic>
          </wp:inline>
        </w:drawing>
      </w:r>
    </w:p>
    <w:p w14:paraId="474047C9" w14:textId="7F2645BB" w:rsidR="00C80616" w:rsidRPr="00853F97" w:rsidRDefault="00D9012E" w:rsidP="00867AED">
      <w:pPr>
        <w:pStyle w:val="Figuretitle"/>
      </w:pPr>
      <w:r>
        <w:t>Figure 11</w:t>
      </w:r>
      <w:r w:rsidR="00C80616" w:rsidRPr="00867AED">
        <w:t xml:space="preserve">: Length of treatment with </w:t>
      </w:r>
      <w:proofErr w:type="spellStart"/>
      <w:r w:rsidR="00C80616" w:rsidRPr="00867AED">
        <w:t>goserelin</w:t>
      </w:r>
      <w:proofErr w:type="spellEnd"/>
      <w:r w:rsidR="00C80616" w:rsidRPr="00867AED">
        <w:t xml:space="preserve"> fo</w:t>
      </w:r>
      <w:r w:rsidR="00C80616" w:rsidRPr="00853F97">
        <w:t>r female endometriosis patients in days not accounting for breaks</w:t>
      </w:r>
    </w:p>
    <w:p w14:paraId="5FDC8054" w14:textId="77777777" w:rsidR="00C80616" w:rsidRDefault="00C80616" w:rsidP="00853F97"/>
    <w:p w14:paraId="7D92CEC6" w14:textId="2B2214ED" w:rsidR="00C80616" w:rsidRPr="00AF4DD6" w:rsidRDefault="00D9012E" w:rsidP="00C80616">
      <w:pPr>
        <w:pStyle w:val="Figuretitle"/>
      </w:pPr>
      <w:r>
        <w:t>Table 12</w:t>
      </w:r>
      <w:r w:rsidR="00C80616" w:rsidRPr="00AF4DD6">
        <w:t xml:space="preserve">: Length of treatment </w:t>
      </w:r>
      <w:r w:rsidR="008F3F1F">
        <w:t xml:space="preserve">in days </w:t>
      </w:r>
      <w:r w:rsidR="00C80616">
        <w:t xml:space="preserve">with </w:t>
      </w:r>
      <w:proofErr w:type="spellStart"/>
      <w:r w:rsidR="00C80616">
        <w:t>goserelin</w:t>
      </w:r>
      <w:proofErr w:type="spellEnd"/>
      <w:r w:rsidR="00C80616">
        <w:t xml:space="preserve"> </w:t>
      </w:r>
      <w:r w:rsidR="00C80616" w:rsidRPr="00AF4DD6">
        <w:t>for female endometriosis patients not accounting for breaks</w:t>
      </w:r>
    </w:p>
    <w:tbl>
      <w:tblPr>
        <w:tblStyle w:val="TableGrid"/>
        <w:tblW w:w="0" w:type="auto"/>
        <w:tblLayout w:type="fixed"/>
        <w:tblLook w:val="04A0" w:firstRow="1" w:lastRow="0" w:firstColumn="1" w:lastColumn="0" w:noHBand="0" w:noVBand="1"/>
        <w:tblCaption w:val="Length of treatment in days with goserelin for female endometriosis patients not accounting for breaks"/>
        <w:tblDescription w:val="Length of treatment in days with goserelin for female endometriosis patients not accounting for breaks"/>
      </w:tblPr>
      <w:tblGrid>
        <w:gridCol w:w="892"/>
        <w:gridCol w:w="893"/>
        <w:gridCol w:w="892"/>
        <w:gridCol w:w="893"/>
        <w:gridCol w:w="893"/>
        <w:gridCol w:w="892"/>
        <w:gridCol w:w="893"/>
        <w:gridCol w:w="892"/>
        <w:gridCol w:w="893"/>
        <w:gridCol w:w="893"/>
      </w:tblGrid>
      <w:tr w:rsidR="00192793" w:rsidRPr="00EA401F" w14:paraId="20A90C87" w14:textId="77777777" w:rsidTr="0094329A">
        <w:trPr>
          <w:trHeight w:val="300"/>
          <w:tblHeader/>
        </w:trPr>
        <w:tc>
          <w:tcPr>
            <w:tcW w:w="892" w:type="dxa"/>
            <w:shd w:val="clear" w:color="auto" w:fill="BFBFBF" w:themeFill="background1" w:themeFillShade="BF"/>
            <w:noWrap/>
            <w:hideMark/>
          </w:tcPr>
          <w:p w14:paraId="0D853B4A" w14:textId="77777777" w:rsidR="00192793" w:rsidRPr="000A1184" w:rsidRDefault="00192793">
            <w:pPr>
              <w:rPr>
                <w:b/>
                <w:sz w:val="20"/>
                <w:szCs w:val="20"/>
              </w:rPr>
            </w:pPr>
            <w:r w:rsidRPr="000A1184">
              <w:rPr>
                <w:b/>
                <w:sz w:val="20"/>
                <w:szCs w:val="20"/>
              </w:rPr>
              <w:t>n</w:t>
            </w:r>
          </w:p>
        </w:tc>
        <w:tc>
          <w:tcPr>
            <w:tcW w:w="893" w:type="dxa"/>
            <w:shd w:val="clear" w:color="auto" w:fill="BFBFBF" w:themeFill="background1" w:themeFillShade="BF"/>
            <w:noWrap/>
            <w:hideMark/>
          </w:tcPr>
          <w:p w14:paraId="4B4050E3" w14:textId="77777777" w:rsidR="00192793" w:rsidRPr="000A1184" w:rsidRDefault="00192793">
            <w:pPr>
              <w:rPr>
                <w:b/>
                <w:sz w:val="20"/>
                <w:szCs w:val="20"/>
              </w:rPr>
            </w:pPr>
            <w:r w:rsidRPr="000A1184">
              <w:rPr>
                <w:b/>
                <w:sz w:val="20"/>
                <w:szCs w:val="20"/>
              </w:rPr>
              <w:t>mean</w:t>
            </w:r>
          </w:p>
        </w:tc>
        <w:tc>
          <w:tcPr>
            <w:tcW w:w="892" w:type="dxa"/>
            <w:shd w:val="clear" w:color="auto" w:fill="BFBFBF" w:themeFill="background1" w:themeFillShade="BF"/>
            <w:noWrap/>
            <w:hideMark/>
          </w:tcPr>
          <w:p w14:paraId="1DAC9A25" w14:textId="7F69FCBC" w:rsidR="00192793" w:rsidRPr="000A1184" w:rsidRDefault="00192793">
            <w:pPr>
              <w:rPr>
                <w:b/>
                <w:sz w:val="20"/>
                <w:szCs w:val="20"/>
              </w:rPr>
            </w:pPr>
            <w:r>
              <w:rPr>
                <w:b/>
                <w:sz w:val="20"/>
                <w:szCs w:val="20"/>
              </w:rPr>
              <w:t>median</w:t>
            </w:r>
          </w:p>
        </w:tc>
        <w:tc>
          <w:tcPr>
            <w:tcW w:w="893" w:type="dxa"/>
            <w:shd w:val="clear" w:color="auto" w:fill="BFBFBF" w:themeFill="background1" w:themeFillShade="BF"/>
            <w:noWrap/>
            <w:hideMark/>
          </w:tcPr>
          <w:p w14:paraId="01A2308C" w14:textId="77777777" w:rsidR="00192793" w:rsidRPr="000A1184" w:rsidRDefault="00192793">
            <w:pPr>
              <w:rPr>
                <w:b/>
                <w:sz w:val="20"/>
                <w:szCs w:val="20"/>
              </w:rPr>
            </w:pPr>
            <w:r w:rsidRPr="000A1184">
              <w:rPr>
                <w:b/>
                <w:sz w:val="20"/>
                <w:szCs w:val="20"/>
              </w:rPr>
              <w:t>P90</w:t>
            </w:r>
          </w:p>
        </w:tc>
        <w:tc>
          <w:tcPr>
            <w:tcW w:w="893" w:type="dxa"/>
            <w:shd w:val="clear" w:color="auto" w:fill="BFBFBF" w:themeFill="background1" w:themeFillShade="BF"/>
            <w:noWrap/>
            <w:hideMark/>
          </w:tcPr>
          <w:p w14:paraId="462D19B1" w14:textId="77777777" w:rsidR="00192793" w:rsidRPr="000A1184" w:rsidRDefault="00192793">
            <w:pPr>
              <w:rPr>
                <w:b/>
                <w:sz w:val="20"/>
                <w:szCs w:val="20"/>
              </w:rPr>
            </w:pPr>
            <w:r w:rsidRPr="000A1184">
              <w:rPr>
                <w:b/>
                <w:sz w:val="20"/>
                <w:szCs w:val="20"/>
              </w:rPr>
              <w:t>P95</w:t>
            </w:r>
          </w:p>
        </w:tc>
        <w:tc>
          <w:tcPr>
            <w:tcW w:w="892" w:type="dxa"/>
            <w:shd w:val="clear" w:color="auto" w:fill="BFBFBF" w:themeFill="background1" w:themeFillShade="BF"/>
            <w:noWrap/>
            <w:hideMark/>
          </w:tcPr>
          <w:p w14:paraId="4B3F62EF" w14:textId="77777777" w:rsidR="00192793" w:rsidRPr="000A1184" w:rsidRDefault="00192793">
            <w:pPr>
              <w:rPr>
                <w:b/>
                <w:sz w:val="20"/>
                <w:szCs w:val="20"/>
              </w:rPr>
            </w:pPr>
            <w:r w:rsidRPr="000A1184">
              <w:rPr>
                <w:b/>
                <w:sz w:val="20"/>
                <w:szCs w:val="20"/>
              </w:rPr>
              <w:t>P96</w:t>
            </w:r>
          </w:p>
        </w:tc>
        <w:tc>
          <w:tcPr>
            <w:tcW w:w="893" w:type="dxa"/>
            <w:shd w:val="clear" w:color="auto" w:fill="BFBFBF" w:themeFill="background1" w:themeFillShade="BF"/>
            <w:noWrap/>
            <w:hideMark/>
          </w:tcPr>
          <w:p w14:paraId="59C342A4" w14:textId="77777777" w:rsidR="00192793" w:rsidRPr="000A1184" w:rsidRDefault="00192793">
            <w:pPr>
              <w:rPr>
                <w:b/>
                <w:sz w:val="20"/>
                <w:szCs w:val="20"/>
              </w:rPr>
            </w:pPr>
            <w:r w:rsidRPr="000A1184">
              <w:rPr>
                <w:b/>
                <w:sz w:val="20"/>
                <w:szCs w:val="20"/>
              </w:rPr>
              <w:t>P97</w:t>
            </w:r>
          </w:p>
        </w:tc>
        <w:tc>
          <w:tcPr>
            <w:tcW w:w="892" w:type="dxa"/>
            <w:shd w:val="clear" w:color="auto" w:fill="BFBFBF" w:themeFill="background1" w:themeFillShade="BF"/>
            <w:noWrap/>
            <w:hideMark/>
          </w:tcPr>
          <w:p w14:paraId="32E062EC" w14:textId="77777777" w:rsidR="00192793" w:rsidRPr="000A1184" w:rsidRDefault="00192793">
            <w:pPr>
              <w:rPr>
                <w:b/>
                <w:sz w:val="20"/>
                <w:szCs w:val="20"/>
              </w:rPr>
            </w:pPr>
            <w:r w:rsidRPr="000A1184">
              <w:rPr>
                <w:b/>
                <w:sz w:val="20"/>
                <w:szCs w:val="20"/>
              </w:rPr>
              <w:t>P98</w:t>
            </w:r>
          </w:p>
        </w:tc>
        <w:tc>
          <w:tcPr>
            <w:tcW w:w="893" w:type="dxa"/>
            <w:shd w:val="clear" w:color="auto" w:fill="BFBFBF" w:themeFill="background1" w:themeFillShade="BF"/>
            <w:noWrap/>
            <w:hideMark/>
          </w:tcPr>
          <w:p w14:paraId="653FCD4D" w14:textId="77777777" w:rsidR="00192793" w:rsidRPr="000A1184" w:rsidRDefault="00192793">
            <w:pPr>
              <w:rPr>
                <w:b/>
                <w:sz w:val="20"/>
                <w:szCs w:val="20"/>
              </w:rPr>
            </w:pPr>
            <w:r w:rsidRPr="000A1184">
              <w:rPr>
                <w:b/>
                <w:sz w:val="20"/>
                <w:szCs w:val="20"/>
              </w:rPr>
              <w:t>P99</w:t>
            </w:r>
          </w:p>
        </w:tc>
        <w:tc>
          <w:tcPr>
            <w:tcW w:w="893" w:type="dxa"/>
            <w:shd w:val="clear" w:color="auto" w:fill="BFBFBF" w:themeFill="background1" w:themeFillShade="BF"/>
            <w:noWrap/>
            <w:hideMark/>
          </w:tcPr>
          <w:p w14:paraId="5BB3ED72" w14:textId="77777777" w:rsidR="00192793" w:rsidRPr="000A1184" w:rsidRDefault="00192793">
            <w:pPr>
              <w:rPr>
                <w:b/>
                <w:sz w:val="20"/>
                <w:szCs w:val="20"/>
              </w:rPr>
            </w:pPr>
            <w:r w:rsidRPr="000A1184">
              <w:rPr>
                <w:b/>
                <w:sz w:val="20"/>
                <w:szCs w:val="20"/>
              </w:rPr>
              <w:t>P100</w:t>
            </w:r>
          </w:p>
        </w:tc>
      </w:tr>
      <w:tr w:rsidR="00192793" w:rsidRPr="00C80616" w14:paraId="021032E0" w14:textId="77777777" w:rsidTr="00192793">
        <w:trPr>
          <w:trHeight w:val="300"/>
        </w:trPr>
        <w:tc>
          <w:tcPr>
            <w:tcW w:w="892" w:type="dxa"/>
            <w:noWrap/>
            <w:hideMark/>
          </w:tcPr>
          <w:p w14:paraId="10524FEB" w14:textId="5C0533D4" w:rsidR="00192793" w:rsidRPr="000A1184" w:rsidRDefault="00192793" w:rsidP="00C80616">
            <w:pPr>
              <w:rPr>
                <w:sz w:val="20"/>
                <w:szCs w:val="20"/>
              </w:rPr>
            </w:pPr>
            <w:r w:rsidRPr="000A1184">
              <w:rPr>
                <w:sz w:val="20"/>
                <w:szCs w:val="20"/>
              </w:rPr>
              <w:t>4</w:t>
            </w:r>
            <w:r>
              <w:rPr>
                <w:sz w:val="20"/>
                <w:szCs w:val="20"/>
              </w:rPr>
              <w:t>,</w:t>
            </w:r>
            <w:r w:rsidRPr="000A1184">
              <w:rPr>
                <w:sz w:val="20"/>
                <w:szCs w:val="20"/>
              </w:rPr>
              <w:t>920</w:t>
            </w:r>
          </w:p>
        </w:tc>
        <w:tc>
          <w:tcPr>
            <w:tcW w:w="893" w:type="dxa"/>
            <w:noWrap/>
            <w:hideMark/>
          </w:tcPr>
          <w:p w14:paraId="40D098AD" w14:textId="3DF4A634" w:rsidR="00192793" w:rsidRPr="000A1184" w:rsidRDefault="00192793" w:rsidP="009F43FE">
            <w:pPr>
              <w:rPr>
                <w:sz w:val="20"/>
                <w:szCs w:val="20"/>
              </w:rPr>
            </w:pPr>
            <w:r w:rsidRPr="000A1184">
              <w:rPr>
                <w:sz w:val="20"/>
                <w:szCs w:val="20"/>
              </w:rPr>
              <w:t>14</w:t>
            </w:r>
            <w:r>
              <w:rPr>
                <w:sz w:val="20"/>
                <w:szCs w:val="20"/>
              </w:rPr>
              <w:t>7</w:t>
            </w:r>
          </w:p>
        </w:tc>
        <w:tc>
          <w:tcPr>
            <w:tcW w:w="892" w:type="dxa"/>
            <w:noWrap/>
            <w:hideMark/>
          </w:tcPr>
          <w:p w14:paraId="77DB3AD8" w14:textId="77777777" w:rsidR="00192793" w:rsidRPr="000A1184" w:rsidRDefault="00192793" w:rsidP="00C80616">
            <w:pPr>
              <w:rPr>
                <w:sz w:val="20"/>
                <w:szCs w:val="20"/>
              </w:rPr>
            </w:pPr>
            <w:r w:rsidRPr="000A1184">
              <w:rPr>
                <w:sz w:val="20"/>
                <w:szCs w:val="20"/>
              </w:rPr>
              <w:t>102</w:t>
            </w:r>
          </w:p>
        </w:tc>
        <w:tc>
          <w:tcPr>
            <w:tcW w:w="893" w:type="dxa"/>
            <w:noWrap/>
            <w:hideMark/>
          </w:tcPr>
          <w:p w14:paraId="306D6F66" w14:textId="77777777" w:rsidR="00192793" w:rsidRPr="000A1184" w:rsidRDefault="00192793" w:rsidP="00C80616">
            <w:pPr>
              <w:rPr>
                <w:sz w:val="20"/>
                <w:szCs w:val="20"/>
              </w:rPr>
            </w:pPr>
            <w:r w:rsidRPr="000A1184">
              <w:rPr>
                <w:sz w:val="20"/>
                <w:szCs w:val="20"/>
              </w:rPr>
              <w:t>231.5</w:t>
            </w:r>
          </w:p>
        </w:tc>
        <w:tc>
          <w:tcPr>
            <w:tcW w:w="893" w:type="dxa"/>
            <w:noWrap/>
            <w:hideMark/>
          </w:tcPr>
          <w:p w14:paraId="71576A80" w14:textId="77777777" w:rsidR="00192793" w:rsidRPr="000A1184" w:rsidRDefault="00192793" w:rsidP="00C80616">
            <w:pPr>
              <w:rPr>
                <w:sz w:val="20"/>
                <w:szCs w:val="20"/>
              </w:rPr>
            </w:pPr>
            <w:r w:rsidRPr="000A1184">
              <w:rPr>
                <w:sz w:val="20"/>
                <w:szCs w:val="20"/>
              </w:rPr>
              <w:t>406</w:t>
            </w:r>
          </w:p>
        </w:tc>
        <w:tc>
          <w:tcPr>
            <w:tcW w:w="892" w:type="dxa"/>
            <w:noWrap/>
            <w:hideMark/>
          </w:tcPr>
          <w:p w14:paraId="419DB785" w14:textId="77777777" w:rsidR="00192793" w:rsidRPr="000A1184" w:rsidRDefault="00192793" w:rsidP="00C80616">
            <w:pPr>
              <w:rPr>
                <w:sz w:val="20"/>
                <w:szCs w:val="20"/>
              </w:rPr>
            </w:pPr>
            <w:r w:rsidRPr="000A1184">
              <w:rPr>
                <w:sz w:val="20"/>
                <w:szCs w:val="20"/>
              </w:rPr>
              <w:t>497</w:t>
            </w:r>
          </w:p>
        </w:tc>
        <w:tc>
          <w:tcPr>
            <w:tcW w:w="893" w:type="dxa"/>
            <w:noWrap/>
            <w:hideMark/>
          </w:tcPr>
          <w:p w14:paraId="5A964F71" w14:textId="77777777" w:rsidR="00192793" w:rsidRPr="000A1184" w:rsidRDefault="00192793" w:rsidP="00C80616">
            <w:pPr>
              <w:rPr>
                <w:sz w:val="20"/>
                <w:szCs w:val="20"/>
              </w:rPr>
            </w:pPr>
            <w:r w:rsidRPr="000A1184">
              <w:rPr>
                <w:sz w:val="20"/>
                <w:szCs w:val="20"/>
              </w:rPr>
              <w:t>630</w:t>
            </w:r>
          </w:p>
        </w:tc>
        <w:tc>
          <w:tcPr>
            <w:tcW w:w="892" w:type="dxa"/>
            <w:noWrap/>
            <w:hideMark/>
          </w:tcPr>
          <w:p w14:paraId="537291FE" w14:textId="77777777" w:rsidR="00192793" w:rsidRPr="000A1184" w:rsidRDefault="00192793" w:rsidP="00C80616">
            <w:pPr>
              <w:rPr>
                <w:sz w:val="20"/>
                <w:szCs w:val="20"/>
              </w:rPr>
            </w:pPr>
            <w:r w:rsidRPr="000A1184">
              <w:rPr>
                <w:sz w:val="20"/>
                <w:szCs w:val="20"/>
              </w:rPr>
              <w:t>876</w:t>
            </w:r>
          </w:p>
        </w:tc>
        <w:tc>
          <w:tcPr>
            <w:tcW w:w="893" w:type="dxa"/>
            <w:noWrap/>
            <w:hideMark/>
          </w:tcPr>
          <w:p w14:paraId="6D57A559" w14:textId="5A26C90F" w:rsidR="00192793" w:rsidRPr="000A1184" w:rsidRDefault="00192793" w:rsidP="00C80616">
            <w:pPr>
              <w:rPr>
                <w:sz w:val="20"/>
                <w:szCs w:val="20"/>
              </w:rPr>
            </w:pPr>
            <w:r w:rsidRPr="000A1184">
              <w:rPr>
                <w:sz w:val="20"/>
                <w:szCs w:val="20"/>
              </w:rPr>
              <w:t>1</w:t>
            </w:r>
            <w:r>
              <w:rPr>
                <w:sz w:val="20"/>
                <w:szCs w:val="20"/>
              </w:rPr>
              <w:t>,</w:t>
            </w:r>
            <w:r w:rsidRPr="000A1184">
              <w:rPr>
                <w:sz w:val="20"/>
                <w:szCs w:val="20"/>
              </w:rPr>
              <w:t>098</w:t>
            </w:r>
          </w:p>
        </w:tc>
        <w:tc>
          <w:tcPr>
            <w:tcW w:w="893" w:type="dxa"/>
            <w:noWrap/>
            <w:hideMark/>
          </w:tcPr>
          <w:p w14:paraId="566F2CA2" w14:textId="61C68102" w:rsidR="00192793" w:rsidRPr="000A1184" w:rsidRDefault="00192793" w:rsidP="00C80616">
            <w:pPr>
              <w:rPr>
                <w:sz w:val="20"/>
                <w:szCs w:val="20"/>
              </w:rPr>
            </w:pPr>
            <w:r w:rsidRPr="000A1184">
              <w:rPr>
                <w:sz w:val="20"/>
                <w:szCs w:val="20"/>
              </w:rPr>
              <w:t>1</w:t>
            </w:r>
            <w:r>
              <w:rPr>
                <w:sz w:val="20"/>
                <w:szCs w:val="20"/>
              </w:rPr>
              <w:t>,</w:t>
            </w:r>
            <w:r w:rsidRPr="000A1184">
              <w:rPr>
                <w:sz w:val="20"/>
                <w:szCs w:val="20"/>
              </w:rPr>
              <w:t>809</w:t>
            </w:r>
          </w:p>
        </w:tc>
      </w:tr>
    </w:tbl>
    <w:p w14:paraId="6865E390" w14:textId="173C2012" w:rsidR="00C80616" w:rsidRDefault="00C80616" w:rsidP="00BD4CA3"/>
    <w:p w14:paraId="2A46AA4E" w14:textId="5899350A" w:rsidR="00C80616" w:rsidRPr="00AF4DD6" w:rsidRDefault="00C80616" w:rsidP="00C80616">
      <w:pPr>
        <w:pStyle w:val="Figuretitle"/>
      </w:pPr>
      <w:r w:rsidRPr="00AF4DD6">
        <w:lastRenderedPageBreak/>
        <w:t>Table</w:t>
      </w:r>
      <w:r w:rsidR="00D9012E">
        <w:t xml:space="preserve"> 13</w:t>
      </w:r>
      <w:r w:rsidRPr="00AF4DD6">
        <w:t xml:space="preserve">: Length of treatment </w:t>
      </w:r>
      <w:r w:rsidR="008F3F1F">
        <w:t xml:space="preserve">in days </w:t>
      </w:r>
      <w:r>
        <w:t xml:space="preserve">with </w:t>
      </w:r>
      <w:proofErr w:type="spellStart"/>
      <w:r>
        <w:t>goserelin</w:t>
      </w:r>
      <w:proofErr w:type="spellEnd"/>
      <w:r>
        <w:t xml:space="preserve"> </w:t>
      </w:r>
      <w:r w:rsidRPr="00AF4DD6">
        <w:t>for female endometriosis patients accounting for breaks</w:t>
      </w:r>
    </w:p>
    <w:tbl>
      <w:tblPr>
        <w:tblStyle w:val="TableGrid"/>
        <w:tblW w:w="0" w:type="auto"/>
        <w:tblLayout w:type="fixed"/>
        <w:tblLook w:val="04A0" w:firstRow="1" w:lastRow="0" w:firstColumn="1" w:lastColumn="0" w:noHBand="0" w:noVBand="1"/>
        <w:tblCaption w:val="Length of treatment in days with goserelin for female endometriosis patients accounting for breaks"/>
        <w:tblDescription w:val="Length of treatment in days with goserelin for female endometriosis patients accounting for breaks"/>
      </w:tblPr>
      <w:tblGrid>
        <w:gridCol w:w="892"/>
        <w:gridCol w:w="893"/>
        <w:gridCol w:w="892"/>
        <w:gridCol w:w="893"/>
        <w:gridCol w:w="893"/>
        <w:gridCol w:w="892"/>
        <w:gridCol w:w="893"/>
        <w:gridCol w:w="892"/>
        <w:gridCol w:w="893"/>
        <w:gridCol w:w="893"/>
      </w:tblGrid>
      <w:tr w:rsidR="00192793" w:rsidRPr="00EA401F" w14:paraId="47C13384" w14:textId="77777777" w:rsidTr="0094329A">
        <w:trPr>
          <w:trHeight w:val="300"/>
          <w:tblHeader/>
        </w:trPr>
        <w:tc>
          <w:tcPr>
            <w:tcW w:w="892" w:type="dxa"/>
            <w:shd w:val="clear" w:color="auto" w:fill="BFBFBF" w:themeFill="background1" w:themeFillShade="BF"/>
            <w:noWrap/>
            <w:hideMark/>
          </w:tcPr>
          <w:p w14:paraId="2322B5D7" w14:textId="77777777" w:rsidR="00192793" w:rsidRPr="000A1184" w:rsidRDefault="00192793">
            <w:pPr>
              <w:rPr>
                <w:b/>
                <w:sz w:val="20"/>
                <w:szCs w:val="20"/>
              </w:rPr>
            </w:pPr>
            <w:r w:rsidRPr="000A1184">
              <w:rPr>
                <w:b/>
                <w:sz w:val="20"/>
                <w:szCs w:val="20"/>
              </w:rPr>
              <w:t>n</w:t>
            </w:r>
          </w:p>
        </w:tc>
        <w:tc>
          <w:tcPr>
            <w:tcW w:w="893" w:type="dxa"/>
            <w:shd w:val="clear" w:color="auto" w:fill="BFBFBF" w:themeFill="background1" w:themeFillShade="BF"/>
            <w:noWrap/>
            <w:hideMark/>
          </w:tcPr>
          <w:p w14:paraId="05A6B6ED" w14:textId="77777777" w:rsidR="00192793" w:rsidRPr="000A1184" w:rsidRDefault="00192793">
            <w:pPr>
              <w:rPr>
                <w:b/>
                <w:sz w:val="20"/>
                <w:szCs w:val="20"/>
              </w:rPr>
            </w:pPr>
            <w:r w:rsidRPr="000A1184">
              <w:rPr>
                <w:b/>
                <w:sz w:val="20"/>
                <w:szCs w:val="20"/>
              </w:rPr>
              <w:t>mean</w:t>
            </w:r>
          </w:p>
        </w:tc>
        <w:tc>
          <w:tcPr>
            <w:tcW w:w="892" w:type="dxa"/>
            <w:shd w:val="clear" w:color="auto" w:fill="BFBFBF" w:themeFill="background1" w:themeFillShade="BF"/>
            <w:noWrap/>
            <w:hideMark/>
          </w:tcPr>
          <w:p w14:paraId="2B353E7E" w14:textId="20074377" w:rsidR="00192793" w:rsidRPr="000A1184" w:rsidRDefault="00192793">
            <w:pPr>
              <w:rPr>
                <w:b/>
                <w:sz w:val="20"/>
                <w:szCs w:val="20"/>
              </w:rPr>
            </w:pPr>
            <w:r>
              <w:rPr>
                <w:b/>
                <w:sz w:val="20"/>
                <w:szCs w:val="20"/>
              </w:rPr>
              <w:t>median</w:t>
            </w:r>
          </w:p>
        </w:tc>
        <w:tc>
          <w:tcPr>
            <w:tcW w:w="893" w:type="dxa"/>
            <w:shd w:val="clear" w:color="auto" w:fill="BFBFBF" w:themeFill="background1" w:themeFillShade="BF"/>
            <w:noWrap/>
            <w:hideMark/>
          </w:tcPr>
          <w:p w14:paraId="34AB406A" w14:textId="77777777" w:rsidR="00192793" w:rsidRPr="000A1184" w:rsidRDefault="00192793">
            <w:pPr>
              <w:rPr>
                <w:b/>
                <w:sz w:val="20"/>
                <w:szCs w:val="20"/>
              </w:rPr>
            </w:pPr>
            <w:r w:rsidRPr="000A1184">
              <w:rPr>
                <w:b/>
                <w:sz w:val="20"/>
                <w:szCs w:val="20"/>
              </w:rPr>
              <w:t>P90</w:t>
            </w:r>
          </w:p>
        </w:tc>
        <w:tc>
          <w:tcPr>
            <w:tcW w:w="893" w:type="dxa"/>
            <w:shd w:val="clear" w:color="auto" w:fill="BFBFBF" w:themeFill="background1" w:themeFillShade="BF"/>
            <w:noWrap/>
            <w:hideMark/>
          </w:tcPr>
          <w:p w14:paraId="28D2F7C7" w14:textId="77777777" w:rsidR="00192793" w:rsidRPr="000A1184" w:rsidRDefault="00192793">
            <w:pPr>
              <w:rPr>
                <w:b/>
                <w:sz w:val="20"/>
                <w:szCs w:val="20"/>
              </w:rPr>
            </w:pPr>
            <w:r w:rsidRPr="000A1184">
              <w:rPr>
                <w:b/>
                <w:sz w:val="20"/>
                <w:szCs w:val="20"/>
              </w:rPr>
              <w:t>P95</w:t>
            </w:r>
          </w:p>
        </w:tc>
        <w:tc>
          <w:tcPr>
            <w:tcW w:w="892" w:type="dxa"/>
            <w:shd w:val="clear" w:color="auto" w:fill="BFBFBF" w:themeFill="background1" w:themeFillShade="BF"/>
            <w:noWrap/>
            <w:hideMark/>
          </w:tcPr>
          <w:p w14:paraId="40785BE5" w14:textId="77777777" w:rsidR="00192793" w:rsidRPr="000A1184" w:rsidRDefault="00192793">
            <w:pPr>
              <w:rPr>
                <w:b/>
                <w:sz w:val="20"/>
                <w:szCs w:val="20"/>
              </w:rPr>
            </w:pPr>
            <w:r w:rsidRPr="000A1184">
              <w:rPr>
                <w:b/>
                <w:sz w:val="20"/>
                <w:szCs w:val="20"/>
              </w:rPr>
              <w:t>P96</w:t>
            </w:r>
          </w:p>
        </w:tc>
        <w:tc>
          <w:tcPr>
            <w:tcW w:w="893" w:type="dxa"/>
            <w:shd w:val="clear" w:color="auto" w:fill="BFBFBF" w:themeFill="background1" w:themeFillShade="BF"/>
            <w:noWrap/>
            <w:hideMark/>
          </w:tcPr>
          <w:p w14:paraId="646A286C" w14:textId="77777777" w:rsidR="00192793" w:rsidRPr="000A1184" w:rsidRDefault="00192793">
            <w:pPr>
              <w:rPr>
                <w:b/>
                <w:sz w:val="20"/>
                <w:szCs w:val="20"/>
              </w:rPr>
            </w:pPr>
            <w:r w:rsidRPr="000A1184">
              <w:rPr>
                <w:b/>
                <w:sz w:val="20"/>
                <w:szCs w:val="20"/>
              </w:rPr>
              <w:t>P97</w:t>
            </w:r>
          </w:p>
        </w:tc>
        <w:tc>
          <w:tcPr>
            <w:tcW w:w="892" w:type="dxa"/>
            <w:shd w:val="clear" w:color="auto" w:fill="BFBFBF" w:themeFill="background1" w:themeFillShade="BF"/>
            <w:noWrap/>
            <w:hideMark/>
          </w:tcPr>
          <w:p w14:paraId="579D94F8" w14:textId="77777777" w:rsidR="00192793" w:rsidRPr="000A1184" w:rsidRDefault="00192793">
            <w:pPr>
              <w:rPr>
                <w:b/>
                <w:sz w:val="20"/>
                <w:szCs w:val="20"/>
              </w:rPr>
            </w:pPr>
            <w:r w:rsidRPr="000A1184">
              <w:rPr>
                <w:b/>
                <w:sz w:val="20"/>
                <w:szCs w:val="20"/>
              </w:rPr>
              <w:t>P98</w:t>
            </w:r>
          </w:p>
        </w:tc>
        <w:tc>
          <w:tcPr>
            <w:tcW w:w="893" w:type="dxa"/>
            <w:shd w:val="clear" w:color="auto" w:fill="BFBFBF" w:themeFill="background1" w:themeFillShade="BF"/>
            <w:noWrap/>
            <w:hideMark/>
          </w:tcPr>
          <w:p w14:paraId="5368D0D9" w14:textId="77777777" w:rsidR="00192793" w:rsidRPr="000A1184" w:rsidRDefault="00192793">
            <w:pPr>
              <w:rPr>
                <w:b/>
                <w:sz w:val="20"/>
                <w:szCs w:val="20"/>
              </w:rPr>
            </w:pPr>
            <w:r w:rsidRPr="000A1184">
              <w:rPr>
                <w:b/>
                <w:sz w:val="20"/>
                <w:szCs w:val="20"/>
              </w:rPr>
              <w:t>P99</w:t>
            </w:r>
          </w:p>
        </w:tc>
        <w:tc>
          <w:tcPr>
            <w:tcW w:w="893" w:type="dxa"/>
            <w:shd w:val="clear" w:color="auto" w:fill="BFBFBF" w:themeFill="background1" w:themeFillShade="BF"/>
            <w:noWrap/>
            <w:hideMark/>
          </w:tcPr>
          <w:p w14:paraId="7720FE1A" w14:textId="77777777" w:rsidR="00192793" w:rsidRPr="000A1184" w:rsidRDefault="00192793">
            <w:pPr>
              <w:rPr>
                <w:b/>
                <w:sz w:val="20"/>
                <w:szCs w:val="20"/>
              </w:rPr>
            </w:pPr>
            <w:r w:rsidRPr="000A1184">
              <w:rPr>
                <w:b/>
                <w:sz w:val="20"/>
                <w:szCs w:val="20"/>
              </w:rPr>
              <w:t>P100</w:t>
            </w:r>
          </w:p>
        </w:tc>
      </w:tr>
      <w:tr w:rsidR="00192793" w:rsidRPr="00C80616" w14:paraId="6B40192C" w14:textId="77777777" w:rsidTr="00192793">
        <w:trPr>
          <w:trHeight w:val="300"/>
        </w:trPr>
        <w:tc>
          <w:tcPr>
            <w:tcW w:w="892" w:type="dxa"/>
            <w:noWrap/>
            <w:hideMark/>
          </w:tcPr>
          <w:p w14:paraId="59E22365" w14:textId="7B3AEB80" w:rsidR="00192793" w:rsidRPr="000A1184" w:rsidRDefault="00192793" w:rsidP="00C80616">
            <w:pPr>
              <w:rPr>
                <w:sz w:val="20"/>
                <w:szCs w:val="20"/>
              </w:rPr>
            </w:pPr>
            <w:r w:rsidRPr="000A1184">
              <w:rPr>
                <w:sz w:val="20"/>
                <w:szCs w:val="20"/>
              </w:rPr>
              <w:t>4</w:t>
            </w:r>
            <w:r>
              <w:rPr>
                <w:sz w:val="20"/>
                <w:szCs w:val="20"/>
              </w:rPr>
              <w:t>,</w:t>
            </w:r>
            <w:r w:rsidRPr="000A1184">
              <w:rPr>
                <w:sz w:val="20"/>
                <w:szCs w:val="20"/>
              </w:rPr>
              <w:t>920</w:t>
            </w:r>
          </w:p>
        </w:tc>
        <w:tc>
          <w:tcPr>
            <w:tcW w:w="893" w:type="dxa"/>
            <w:noWrap/>
            <w:hideMark/>
          </w:tcPr>
          <w:p w14:paraId="5374CEBB" w14:textId="333C04D1" w:rsidR="00192793" w:rsidRPr="000A1184" w:rsidRDefault="00192793" w:rsidP="009F43FE">
            <w:pPr>
              <w:rPr>
                <w:sz w:val="20"/>
                <w:szCs w:val="20"/>
              </w:rPr>
            </w:pPr>
            <w:r w:rsidRPr="000A1184">
              <w:rPr>
                <w:sz w:val="20"/>
                <w:szCs w:val="20"/>
              </w:rPr>
              <w:t>11</w:t>
            </w:r>
            <w:r>
              <w:rPr>
                <w:sz w:val="20"/>
                <w:szCs w:val="20"/>
              </w:rPr>
              <w:t>2</w:t>
            </w:r>
          </w:p>
        </w:tc>
        <w:tc>
          <w:tcPr>
            <w:tcW w:w="892" w:type="dxa"/>
            <w:noWrap/>
            <w:hideMark/>
          </w:tcPr>
          <w:p w14:paraId="2A04B6DD" w14:textId="77777777" w:rsidR="00192793" w:rsidRPr="000A1184" w:rsidRDefault="00192793" w:rsidP="00C80616">
            <w:pPr>
              <w:rPr>
                <w:sz w:val="20"/>
                <w:szCs w:val="20"/>
              </w:rPr>
            </w:pPr>
            <w:r w:rsidRPr="000A1184">
              <w:rPr>
                <w:sz w:val="20"/>
                <w:szCs w:val="20"/>
              </w:rPr>
              <w:t>91</w:t>
            </w:r>
          </w:p>
        </w:tc>
        <w:tc>
          <w:tcPr>
            <w:tcW w:w="893" w:type="dxa"/>
            <w:noWrap/>
            <w:hideMark/>
          </w:tcPr>
          <w:p w14:paraId="11E7FBC1" w14:textId="77777777" w:rsidR="00192793" w:rsidRPr="000A1184" w:rsidRDefault="00192793" w:rsidP="00C80616">
            <w:pPr>
              <w:rPr>
                <w:sz w:val="20"/>
                <w:szCs w:val="20"/>
              </w:rPr>
            </w:pPr>
            <w:r w:rsidRPr="000A1184">
              <w:rPr>
                <w:sz w:val="20"/>
                <w:szCs w:val="20"/>
              </w:rPr>
              <w:t>189</w:t>
            </w:r>
          </w:p>
        </w:tc>
        <w:tc>
          <w:tcPr>
            <w:tcW w:w="893" w:type="dxa"/>
            <w:noWrap/>
            <w:hideMark/>
          </w:tcPr>
          <w:p w14:paraId="0BB1C8D3" w14:textId="77777777" w:rsidR="00192793" w:rsidRPr="000A1184" w:rsidRDefault="00192793" w:rsidP="00C80616">
            <w:pPr>
              <w:rPr>
                <w:sz w:val="20"/>
                <w:szCs w:val="20"/>
              </w:rPr>
            </w:pPr>
            <w:r w:rsidRPr="000A1184">
              <w:rPr>
                <w:sz w:val="20"/>
                <w:szCs w:val="20"/>
              </w:rPr>
              <w:t>224</w:t>
            </w:r>
          </w:p>
        </w:tc>
        <w:tc>
          <w:tcPr>
            <w:tcW w:w="892" w:type="dxa"/>
            <w:noWrap/>
            <w:hideMark/>
          </w:tcPr>
          <w:p w14:paraId="3E71F27C" w14:textId="77777777" w:rsidR="00192793" w:rsidRPr="000A1184" w:rsidRDefault="00192793" w:rsidP="00C80616">
            <w:pPr>
              <w:rPr>
                <w:sz w:val="20"/>
                <w:szCs w:val="20"/>
              </w:rPr>
            </w:pPr>
            <w:r w:rsidRPr="000A1184">
              <w:rPr>
                <w:sz w:val="20"/>
                <w:szCs w:val="20"/>
              </w:rPr>
              <w:t>236</w:t>
            </w:r>
          </w:p>
        </w:tc>
        <w:tc>
          <w:tcPr>
            <w:tcW w:w="893" w:type="dxa"/>
            <w:noWrap/>
            <w:hideMark/>
          </w:tcPr>
          <w:p w14:paraId="347062DA" w14:textId="77777777" w:rsidR="00192793" w:rsidRPr="000A1184" w:rsidRDefault="00192793" w:rsidP="00C80616">
            <w:pPr>
              <w:rPr>
                <w:sz w:val="20"/>
                <w:szCs w:val="20"/>
              </w:rPr>
            </w:pPr>
            <w:r w:rsidRPr="000A1184">
              <w:rPr>
                <w:sz w:val="20"/>
                <w:szCs w:val="20"/>
              </w:rPr>
              <w:t>257</w:t>
            </w:r>
          </w:p>
        </w:tc>
        <w:tc>
          <w:tcPr>
            <w:tcW w:w="892" w:type="dxa"/>
            <w:noWrap/>
            <w:hideMark/>
          </w:tcPr>
          <w:p w14:paraId="568D1CEF" w14:textId="77777777" w:rsidR="00192793" w:rsidRPr="000A1184" w:rsidRDefault="00192793" w:rsidP="00C80616">
            <w:pPr>
              <w:rPr>
                <w:sz w:val="20"/>
                <w:szCs w:val="20"/>
              </w:rPr>
            </w:pPr>
            <w:r w:rsidRPr="000A1184">
              <w:rPr>
                <w:sz w:val="20"/>
                <w:szCs w:val="20"/>
              </w:rPr>
              <w:t>294</w:t>
            </w:r>
          </w:p>
        </w:tc>
        <w:tc>
          <w:tcPr>
            <w:tcW w:w="893" w:type="dxa"/>
            <w:noWrap/>
            <w:hideMark/>
          </w:tcPr>
          <w:p w14:paraId="7E9BF18F" w14:textId="526A34BF" w:rsidR="00192793" w:rsidRPr="000A1184" w:rsidRDefault="00192793" w:rsidP="00C80616">
            <w:pPr>
              <w:rPr>
                <w:sz w:val="20"/>
                <w:szCs w:val="20"/>
              </w:rPr>
            </w:pPr>
            <w:r w:rsidRPr="000A1184">
              <w:rPr>
                <w:sz w:val="20"/>
                <w:szCs w:val="20"/>
              </w:rPr>
              <w:t>364</w:t>
            </w:r>
          </w:p>
        </w:tc>
        <w:tc>
          <w:tcPr>
            <w:tcW w:w="893" w:type="dxa"/>
            <w:noWrap/>
            <w:hideMark/>
          </w:tcPr>
          <w:p w14:paraId="3F8EFB01" w14:textId="3F0E1373" w:rsidR="00192793" w:rsidRPr="000A1184" w:rsidRDefault="00192793" w:rsidP="00C80616">
            <w:pPr>
              <w:rPr>
                <w:sz w:val="20"/>
                <w:szCs w:val="20"/>
              </w:rPr>
            </w:pPr>
            <w:r w:rsidRPr="000A1184">
              <w:rPr>
                <w:sz w:val="20"/>
                <w:szCs w:val="20"/>
              </w:rPr>
              <w:t>1</w:t>
            </w:r>
            <w:r>
              <w:rPr>
                <w:sz w:val="20"/>
                <w:szCs w:val="20"/>
              </w:rPr>
              <w:t>,</w:t>
            </w:r>
            <w:r w:rsidRPr="000A1184">
              <w:rPr>
                <w:sz w:val="20"/>
                <w:szCs w:val="20"/>
              </w:rPr>
              <w:t>809</w:t>
            </w:r>
          </w:p>
        </w:tc>
      </w:tr>
    </w:tbl>
    <w:p w14:paraId="57F1ABDA" w14:textId="176FD6DC" w:rsidR="00BD4CA3" w:rsidRDefault="00BD4CA3" w:rsidP="00BD4CA3"/>
    <w:p w14:paraId="48C1358D" w14:textId="77777777" w:rsidR="00EA401F" w:rsidRDefault="00EA401F" w:rsidP="00BD4CA3">
      <w:r>
        <w:t xml:space="preserve">The PBS restriction for </w:t>
      </w:r>
      <w:proofErr w:type="spellStart"/>
      <w:r>
        <w:t>goserelin</w:t>
      </w:r>
      <w:proofErr w:type="spellEnd"/>
      <w:r>
        <w:t xml:space="preserve"> for endometriosis states that the treatment must be for the short-term (up to 6 months) and that only one course of not more than 6 months' therapy will be authorised. </w:t>
      </w:r>
    </w:p>
    <w:p w14:paraId="1929AFA7" w14:textId="4F5E7C8B" w:rsidR="00EA401F" w:rsidRDefault="00EA401F" w:rsidP="00BD4CA3">
      <w:r>
        <w:t xml:space="preserve">For the 4,920 patients in the endometriosis cohort who were treated exclusively with </w:t>
      </w:r>
      <w:proofErr w:type="spellStart"/>
      <w:r>
        <w:t>goser</w:t>
      </w:r>
      <w:r w:rsidR="00431E00">
        <w:t>e</w:t>
      </w:r>
      <w:r>
        <w:t>lin</w:t>
      </w:r>
      <w:proofErr w:type="spellEnd"/>
      <w:r>
        <w:t>, accounting for breaks shortens the 95</w:t>
      </w:r>
      <w:r w:rsidRPr="00EA401F">
        <w:rPr>
          <w:vertAlign w:val="superscript"/>
        </w:rPr>
        <w:t>th</w:t>
      </w:r>
      <w:r>
        <w:t xml:space="preserve"> percentile duration from 406 days to 224 days. This suggests some patients have had breaks and reinitiated treatment. However, without accounting for breaks 82% of patients </w:t>
      </w:r>
      <w:r w:rsidR="000A1184">
        <w:t>had stopped treatment</w:t>
      </w:r>
      <w:r>
        <w:t xml:space="preserve"> after 6 months.</w:t>
      </w:r>
    </w:p>
    <w:p w14:paraId="2A0EA83D" w14:textId="0DEC735E" w:rsidR="00C80616" w:rsidRDefault="0094329A" w:rsidP="00BD4CA3">
      <w:r w:rsidRPr="00AF4DD6">
        <w:t>Length of treatment</w:t>
      </w:r>
      <w:r>
        <w:t xml:space="preserve"> with </w:t>
      </w:r>
      <w:proofErr w:type="spellStart"/>
      <w:r>
        <w:t>nafarelin</w:t>
      </w:r>
      <w:proofErr w:type="spellEnd"/>
      <w:r>
        <w:t xml:space="preserve"> </w:t>
      </w:r>
      <w:r w:rsidRPr="00AF4DD6">
        <w:t xml:space="preserve">for female endometriosis patients </w:t>
      </w:r>
      <w:r>
        <w:t xml:space="preserve">in days </w:t>
      </w:r>
      <w:r w:rsidRPr="00AF4DD6">
        <w:t>not accounting for breaks</w:t>
      </w:r>
      <w:r>
        <w:rPr>
          <w:noProof/>
        </w:rPr>
        <w:t xml:space="preserve"> </w:t>
      </w:r>
      <w:r w:rsidR="00A10B65">
        <w:rPr>
          <w:noProof/>
        </w:rPr>
        <w:drawing>
          <wp:inline distT="0" distB="0" distL="0" distR="0" wp14:anchorId="46837F46" wp14:editId="2DF8914C">
            <wp:extent cx="5687695" cy="4265930"/>
            <wp:effectExtent l="0" t="0" r="8255" b="1270"/>
            <wp:docPr id="14" name="Picture 3" descr="Length of treatment with nafarelin for female endometriosis patients in days not accounting for breaks" title="Length of treatment with nafarelin for female endometriosis patients in days not accounting for br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87695" cy="4265930"/>
                    </a:xfrm>
                    <a:prstGeom prst="rect">
                      <a:avLst/>
                    </a:prstGeom>
                    <a:noFill/>
                    <a:extLst/>
                  </pic:spPr>
                </pic:pic>
              </a:graphicData>
            </a:graphic>
          </wp:inline>
        </w:drawing>
      </w:r>
    </w:p>
    <w:p w14:paraId="492D0A24" w14:textId="43E1C760" w:rsidR="00C80616" w:rsidRDefault="00D9012E" w:rsidP="00C80616">
      <w:pPr>
        <w:pStyle w:val="Figuretitle"/>
      </w:pPr>
      <w:r>
        <w:t>Figure 12</w:t>
      </w:r>
      <w:r w:rsidR="00C80616" w:rsidRPr="00AF4DD6">
        <w:t>: Length of treatment</w:t>
      </w:r>
      <w:r w:rsidR="00C80616">
        <w:t xml:space="preserve"> with </w:t>
      </w:r>
      <w:proofErr w:type="spellStart"/>
      <w:r w:rsidR="00C80616">
        <w:t>nafarelin</w:t>
      </w:r>
      <w:proofErr w:type="spellEnd"/>
      <w:r w:rsidR="00C80616">
        <w:t xml:space="preserve"> </w:t>
      </w:r>
      <w:r w:rsidR="00C80616" w:rsidRPr="00AF4DD6">
        <w:t xml:space="preserve">for female endometriosis patients </w:t>
      </w:r>
      <w:r w:rsidR="00C80616">
        <w:t xml:space="preserve">in days </w:t>
      </w:r>
      <w:r w:rsidR="00C80616" w:rsidRPr="00AF4DD6">
        <w:t>not accounting for breaks</w:t>
      </w:r>
    </w:p>
    <w:p w14:paraId="3FA35DB6" w14:textId="42B90411" w:rsidR="00A10B65" w:rsidRDefault="00A10B65" w:rsidP="00853F97"/>
    <w:p w14:paraId="4EDDE6AD" w14:textId="5C0CAE73" w:rsidR="00A10B65" w:rsidRPr="00AF4DD6" w:rsidRDefault="00A10B65" w:rsidP="00853F97">
      <w:r>
        <w:rPr>
          <w:noProof/>
        </w:rPr>
        <w:lastRenderedPageBreak/>
        <w:drawing>
          <wp:inline distT="0" distB="0" distL="0" distR="0" wp14:anchorId="6D8D5B0D" wp14:editId="5AEFA853">
            <wp:extent cx="5687695" cy="4265930"/>
            <wp:effectExtent l="0" t="0" r="8255" b="1270"/>
            <wp:docPr id="15" name="Picture 4" descr="Length of treatment with nafarelin for female endometriosis patients in days accounting for breaks" title="Length of treatment with nafarelin for female endometriosis patients in days accounting for br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g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87695" cy="4265930"/>
                    </a:xfrm>
                    <a:prstGeom prst="rect">
                      <a:avLst/>
                    </a:prstGeom>
                    <a:noFill/>
                    <a:extLst/>
                  </pic:spPr>
                </pic:pic>
              </a:graphicData>
            </a:graphic>
          </wp:inline>
        </w:drawing>
      </w:r>
    </w:p>
    <w:p w14:paraId="327E4461" w14:textId="6CC2D2CC" w:rsidR="00A10B65" w:rsidRDefault="00D9012E" w:rsidP="00A10B65">
      <w:pPr>
        <w:pStyle w:val="Figuretitle"/>
      </w:pPr>
      <w:r>
        <w:t>Figure 13</w:t>
      </w:r>
      <w:r w:rsidR="00A10B65" w:rsidRPr="00AF4DD6">
        <w:t>: Length of treatment</w:t>
      </w:r>
      <w:r w:rsidR="00A10B65">
        <w:t xml:space="preserve"> with </w:t>
      </w:r>
      <w:proofErr w:type="spellStart"/>
      <w:r w:rsidR="00A10B65">
        <w:t>nafarelin</w:t>
      </w:r>
      <w:proofErr w:type="spellEnd"/>
      <w:r w:rsidR="00A10B65">
        <w:t xml:space="preserve"> </w:t>
      </w:r>
      <w:r w:rsidR="00A10B65" w:rsidRPr="00AF4DD6">
        <w:t xml:space="preserve">for female endometriosis patients </w:t>
      </w:r>
      <w:r w:rsidR="00A10B65">
        <w:t xml:space="preserve">in days </w:t>
      </w:r>
      <w:r w:rsidR="00A10B65" w:rsidRPr="00AF4DD6">
        <w:t>accounting for breaks</w:t>
      </w:r>
    </w:p>
    <w:p w14:paraId="5FEAEC4E" w14:textId="18AF9D49" w:rsidR="00C80616" w:rsidRDefault="00C80616" w:rsidP="00853F97"/>
    <w:p w14:paraId="43C742D1" w14:textId="28B4FD18" w:rsidR="00A10B65" w:rsidRPr="00AF4DD6" w:rsidRDefault="00D9012E" w:rsidP="00C80616">
      <w:pPr>
        <w:pStyle w:val="Figuretitle"/>
      </w:pPr>
      <w:r>
        <w:t>Table 14</w:t>
      </w:r>
      <w:r w:rsidR="00C80616" w:rsidRPr="00AF4DD6">
        <w:t xml:space="preserve">: Length of treatment </w:t>
      </w:r>
      <w:r w:rsidR="00C80616">
        <w:t xml:space="preserve">with </w:t>
      </w:r>
      <w:proofErr w:type="spellStart"/>
      <w:r w:rsidR="00C80616">
        <w:t>nafarelin</w:t>
      </w:r>
      <w:proofErr w:type="spellEnd"/>
      <w:r w:rsidR="00C80616">
        <w:t xml:space="preserve"> </w:t>
      </w:r>
      <w:r w:rsidR="00C80616" w:rsidRPr="00AF4DD6">
        <w:t>for female endometriosis patients not accounting for breaks</w:t>
      </w:r>
    </w:p>
    <w:tbl>
      <w:tblPr>
        <w:tblStyle w:val="TableGrid"/>
        <w:tblW w:w="8926" w:type="dxa"/>
        <w:tblLayout w:type="fixed"/>
        <w:tblLook w:val="04A0" w:firstRow="1" w:lastRow="0" w:firstColumn="1" w:lastColumn="0" w:noHBand="0" w:noVBand="1"/>
        <w:tblCaption w:val="Length of treatment with nafarelin for female endometriosis patients not accounting for breaks"/>
        <w:tblDescription w:val="Length of treatment with nafarelin for female endometriosis patients not accounting for breaks"/>
      </w:tblPr>
      <w:tblGrid>
        <w:gridCol w:w="892"/>
        <w:gridCol w:w="893"/>
        <w:gridCol w:w="892"/>
        <w:gridCol w:w="893"/>
        <w:gridCol w:w="893"/>
        <w:gridCol w:w="892"/>
        <w:gridCol w:w="893"/>
        <w:gridCol w:w="892"/>
        <w:gridCol w:w="893"/>
        <w:gridCol w:w="893"/>
      </w:tblGrid>
      <w:tr w:rsidR="00D9012E" w:rsidRPr="00EA401F" w14:paraId="4EF9EC3F" w14:textId="77777777" w:rsidTr="0094329A">
        <w:trPr>
          <w:trHeight w:val="300"/>
          <w:tblHeader/>
        </w:trPr>
        <w:tc>
          <w:tcPr>
            <w:tcW w:w="892" w:type="dxa"/>
            <w:shd w:val="clear" w:color="auto" w:fill="BFBFBF" w:themeFill="background1" w:themeFillShade="BF"/>
            <w:noWrap/>
            <w:vAlign w:val="bottom"/>
          </w:tcPr>
          <w:p w14:paraId="6D7083C4" w14:textId="104D2627" w:rsidR="00D9012E" w:rsidRPr="000A1184" w:rsidRDefault="00D9012E" w:rsidP="00C80616">
            <w:pPr>
              <w:rPr>
                <w:b/>
                <w:sz w:val="20"/>
                <w:szCs w:val="20"/>
              </w:rPr>
            </w:pPr>
            <w:r w:rsidRPr="000A1184">
              <w:rPr>
                <w:rFonts w:ascii="Calibri" w:hAnsi="Calibri" w:cs="Calibri"/>
                <w:b/>
                <w:color w:val="000000"/>
                <w:sz w:val="20"/>
                <w:szCs w:val="20"/>
              </w:rPr>
              <w:t>n</w:t>
            </w:r>
          </w:p>
        </w:tc>
        <w:tc>
          <w:tcPr>
            <w:tcW w:w="893" w:type="dxa"/>
            <w:shd w:val="clear" w:color="auto" w:fill="BFBFBF" w:themeFill="background1" w:themeFillShade="BF"/>
            <w:noWrap/>
            <w:vAlign w:val="bottom"/>
          </w:tcPr>
          <w:p w14:paraId="107BD704" w14:textId="7ABD61A8" w:rsidR="00D9012E" w:rsidRPr="000A1184" w:rsidRDefault="00D9012E" w:rsidP="00C80616">
            <w:pPr>
              <w:rPr>
                <w:b/>
                <w:sz w:val="20"/>
                <w:szCs w:val="20"/>
              </w:rPr>
            </w:pPr>
            <w:r w:rsidRPr="000A1184">
              <w:rPr>
                <w:rFonts w:ascii="Calibri" w:hAnsi="Calibri" w:cs="Calibri"/>
                <w:b/>
                <w:color w:val="000000"/>
                <w:sz w:val="20"/>
                <w:szCs w:val="20"/>
              </w:rPr>
              <w:t>mean</w:t>
            </w:r>
          </w:p>
        </w:tc>
        <w:tc>
          <w:tcPr>
            <w:tcW w:w="892" w:type="dxa"/>
            <w:shd w:val="clear" w:color="auto" w:fill="BFBFBF" w:themeFill="background1" w:themeFillShade="BF"/>
            <w:noWrap/>
            <w:vAlign w:val="bottom"/>
          </w:tcPr>
          <w:p w14:paraId="12EB06D3" w14:textId="145368D8" w:rsidR="00D9012E" w:rsidRPr="000A1184" w:rsidRDefault="00D9012E" w:rsidP="00C80616">
            <w:pPr>
              <w:rPr>
                <w:b/>
                <w:sz w:val="20"/>
                <w:szCs w:val="20"/>
              </w:rPr>
            </w:pPr>
            <w:r>
              <w:rPr>
                <w:rFonts w:ascii="Calibri" w:hAnsi="Calibri" w:cs="Calibri"/>
                <w:b/>
                <w:color w:val="000000"/>
                <w:sz w:val="20"/>
                <w:szCs w:val="20"/>
              </w:rPr>
              <w:t>median</w:t>
            </w:r>
          </w:p>
        </w:tc>
        <w:tc>
          <w:tcPr>
            <w:tcW w:w="893" w:type="dxa"/>
            <w:shd w:val="clear" w:color="auto" w:fill="BFBFBF" w:themeFill="background1" w:themeFillShade="BF"/>
            <w:noWrap/>
            <w:vAlign w:val="bottom"/>
          </w:tcPr>
          <w:p w14:paraId="5D7191BC" w14:textId="369C4FC7" w:rsidR="00D9012E" w:rsidRPr="000A1184" w:rsidRDefault="00D9012E" w:rsidP="00C80616">
            <w:pPr>
              <w:rPr>
                <w:b/>
                <w:sz w:val="20"/>
                <w:szCs w:val="20"/>
              </w:rPr>
            </w:pPr>
            <w:r w:rsidRPr="000A1184">
              <w:rPr>
                <w:rFonts w:ascii="Calibri" w:hAnsi="Calibri" w:cs="Calibri"/>
                <w:b/>
                <w:color w:val="000000"/>
                <w:sz w:val="20"/>
                <w:szCs w:val="20"/>
              </w:rPr>
              <w:t>P90</w:t>
            </w:r>
          </w:p>
        </w:tc>
        <w:tc>
          <w:tcPr>
            <w:tcW w:w="893" w:type="dxa"/>
            <w:shd w:val="clear" w:color="auto" w:fill="BFBFBF" w:themeFill="background1" w:themeFillShade="BF"/>
            <w:noWrap/>
            <w:vAlign w:val="bottom"/>
          </w:tcPr>
          <w:p w14:paraId="68F0C544" w14:textId="25AD65F4" w:rsidR="00D9012E" w:rsidRPr="000A1184" w:rsidRDefault="00D9012E" w:rsidP="00C80616">
            <w:pPr>
              <w:rPr>
                <w:b/>
                <w:sz w:val="20"/>
                <w:szCs w:val="20"/>
              </w:rPr>
            </w:pPr>
            <w:r w:rsidRPr="000A1184">
              <w:rPr>
                <w:rFonts w:ascii="Calibri" w:hAnsi="Calibri" w:cs="Calibri"/>
                <w:b/>
                <w:color w:val="000000"/>
                <w:sz w:val="20"/>
                <w:szCs w:val="20"/>
              </w:rPr>
              <w:t>P95</w:t>
            </w:r>
          </w:p>
        </w:tc>
        <w:tc>
          <w:tcPr>
            <w:tcW w:w="892" w:type="dxa"/>
            <w:shd w:val="clear" w:color="auto" w:fill="BFBFBF" w:themeFill="background1" w:themeFillShade="BF"/>
            <w:noWrap/>
            <w:vAlign w:val="bottom"/>
          </w:tcPr>
          <w:p w14:paraId="77CCB816" w14:textId="082D0142" w:rsidR="00D9012E" w:rsidRPr="000A1184" w:rsidRDefault="00D9012E" w:rsidP="00C80616">
            <w:pPr>
              <w:rPr>
                <w:b/>
                <w:sz w:val="20"/>
                <w:szCs w:val="20"/>
              </w:rPr>
            </w:pPr>
            <w:r w:rsidRPr="000A1184">
              <w:rPr>
                <w:rFonts w:ascii="Calibri" w:hAnsi="Calibri" w:cs="Calibri"/>
                <w:b/>
                <w:color w:val="000000"/>
                <w:sz w:val="20"/>
                <w:szCs w:val="20"/>
              </w:rPr>
              <w:t>P96</w:t>
            </w:r>
          </w:p>
        </w:tc>
        <w:tc>
          <w:tcPr>
            <w:tcW w:w="893" w:type="dxa"/>
            <w:shd w:val="clear" w:color="auto" w:fill="BFBFBF" w:themeFill="background1" w:themeFillShade="BF"/>
            <w:noWrap/>
            <w:vAlign w:val="bottom"/>
          </w:tcPr>
          <w:p w14:paraId="03BF23E6" w14:textId="4195FC9F" w:rsidR="00D9012E" w:rsidRPr="000A1184" w:rsidRDefault="00D9012E" w:rsidP="00C80616">
            <w:pPr>
              <w:rPr>
                <w:b/>
                <w:sz w:val="20"/>
                <w:szCs w:val="20"/>
              </w:rPr>
            </w:pPr>
            <w:r w:rsidRPr="000A1184">
              <w:rPr>
                <w:rFonts w:ascii="Calibri" w:hAnsi="Calibri" w:cs="Calibri"/>
                <w:b/>
                <w:color w:val="000000"/>
                <w:sz w:val="20"/>
                <w:szCs w:val="20"/>
              </w:rPr>
              <w:t>P97</w:t>
            </w:r>
          </w:p>
        </w:tc>
        <w:tc>
          <w:tcPr>
            <w:tcW w:w="892" w:type="dxa"/>
            <w:shd w:val="clear" w:color="auto" w:fill="BFBFBF" w:themeFill="background1" w:themeFillShade="BF"/>
            <w:noWrap/>
            <w:vAlign w:val="bottom"/>
          </w:tcPr>
          <w:p w14:paraId="56D0E46D" w14:textId="320929B8" w:rsidR="00D9012E" w:rsidRPr="000A1184" w:rsidRDefault="00D9012E" w:rsidP="00C80616">
            <w:pPr>
              <w:rPr>
                <w:b/>
                <w:sz w:val="20"/>
                <w:szCs w:val="20"/>
              </w:rPr>
            </w:pPr>
            <w:r w:rsidRPr="000A1184">
              <w:rPr>
                <w:rFonts w:ascii="Calibri" w:hAnsi="Calibri" w:cs="Calibri"/>
                <w:b/>
                <w:color w:val="000000"/>
                <w:sz w:val="20"/>
                <w:szCs w:val="20"/>
              </w:rPr>
              <w:t>P98</w:t>
            </w:r>
          </w:p>
        </w:tc>
        <w:tc>
          <w:tcPr>
            <w:tcW w:w="893" w:type="dxa"/>
            <w:shd w:val="clear" w:color="auto" w:fill="BFBFBF" w:themeFill="background1" w:themeFillShade="BF"/>
            <w:noWrap/>
            <w:vAlign w:val="bottom"/>
          </w:tcPr>
          <w:p w14:paraId="26D81A71" w14:textId="24923609" w:rsidR="00D9012E" w:rsidRPr="000A1184" w:rsidRDefault="00D9012E" w:rsidP="00C80616">
            <w:pPr>
              <w:rPr>
                <w:b/>
                <w:sz w:val="20"/>
                <w:szCs w:val="20"/>
              </w:rPr>
            </w:pPr>
            <w:r w:rsidRPr="000A1184">
              <w:rPr>
                <w:rFonts w:ascii="Calibri" w:hAnsi="Calibri" w:cs="Calibri"/>
                <w:b/>
                <w:color w:val="000000"/>
                <w:sz w:val="20"/>
                <w:szCs w:val="20"/>
              </w:rPr>
              <w:t>P99</w:t>
            </w:r>
          </w:p>
        </w:tc>
        <w:tc>
          <w:tcPr>
            <w:tcW w:w="893" w:type="dxa"/>
            <w:shd w:val="clear" w:color="auto" w:fill="BFBFBF" w:themeFill="background1" w:themeFillShade="BF"/>
            <w:noWrap/>
            <w:vAlign w:val="bottom"/>
          </w:tcPr>
          <w:p w14:paraId="4B7B29A8" w14:textId="182FC7F8" w:rsidR="00D9012E" w:rsidRPr="000A1184" w:rsidRDefault="00D9012E" w:rsidP="00C80616">
            <w:pPr>
              <w:rPr>
                <w:b/>
                <w:sz w:val="20"/>
                <w:szCs w:val="20"/>
              </w:rPr>
            </w:pPr>
            <w:r w:rsidRPr="000A1184">
              <w:rPr>
                <w:rFonts w:ascii="Calibri" w:hAnsi="Calibri" w:cs="Calibri"/>
                <w:b/>
                <w:color w:val="000000"/>
                <w:sz w:val="20"/>
                <w:szCs w:val="20"/>
              </w:rPr>
              <w:t>P100</w:t>
            </w:r>
          </w:p>
        </w:tc>
      </w:tr>
      <w:tr w:rsidR="00D9012E" w:rsidRPr="00A10B65" w14:paraId="6380C5E4" w14:textId="77777777" w:rsidTr="00192793">
        <w:trPr>
          <w:trHeight w:val="300"/>
        </w:trPr>
        <w:tc>
          <w:tcPr>
            <w:tcW w:w="892" w:type="dxa"/>
            <w:noWrap/>
            <w:vAlign w:val="bottom"/>
          </w:tcPr>
          <w:p w14:paraId="64E8FB09" w14:textId="49E40DA3" w:rsidR="00D9012E" w:rsidRPr="000A1184" w:rsidRDefault="00D9012E" w:rsidP="00C80616">
            <w:pPr>
              <w:rPr>
                <w:sz w:val="20"/>
                <w:szCs w:val="20"/>
              </w:rPr>
            </w:pPr>
            <w:r w:rsidRPr="000A1184">
              <w:rPr>
                <w:rFonts w:ascii="Calibri" w:hAnsi="Calibri" w:cs="Calibri"/>
                <w:color w:val="000000"/>
                <w:sz w:val="20"/>
                <w:szCs w:val="20"/>
              </w:rPr>
              <w:t>2</w:t>
            </w:r>
            <w:r>
              <w:rPr>
                <w:rFonts w:ascii="Calibri" w:hAnsi="Calibri" w:cs="Calibri"/>
                <w:color w:val="000000"/>
                <w:sz w:val="20"/>
                <w:szCs w:val="20"/>
              </w:rPr>
              <w:t>,</w:t>
            </w:r>
            <w:r w:rsidRPr="000A1184">
              <w:rPr>
                <w:rFonts w:ascii="Calibri" w:hAnsi="Calibri" w:cs="Calibri"/>
                <w:color w:val="000000"/>
                <w:sz w:val="20"/>
                <w:szCs w:val="20"/>
              </w:rPr>
              <w:t>850</w:t>
            </w:r>
          </w:p>
        </w:tc>
        <w:tc>
          <w:tcPr>
            <w:tcW w:w="893" w:type="dxa"/>
            <w:noWrap/>
            <w:vAlign w:val="bottom"/>
          </w:tcPr>
          <w:p w14:paraId="58F3736A" w14:textId="2622EB5B" w:rsidR="00D9012E" w:rsidRPr="000A1184" w:rsidRDefault="00D9012E" w:rsidP="009F43FE">
            <w:pPr>
              <w:rPr>
                <w:sz w:val="20"/>
                <w:szCs w:val="20"/>
              </w:rPr>
            </w:pPr>
            <w:r w:rsidRPr="000A1184">
              <w:rPr>
                <w:rFonts w:ascii="Calibri" w:hAnsi="Calibri" w:cs="Calibri"/>
                <w:color w:val="000000"/>
                <w:sz w:val="20"/>
                <w:szCs w:val="20"/>
              </w:rPr>
              <w:t>10</w:t>
            </w:r>
            <w:r>
              <w:rPr>
                <w:rFonts w:ascii="Calibri" w:hAnsi="Calibri" w:cs="Calibri"/>
                <w:color w:val="000000"/>
                <w:sz w:val="20"/>
                <w:szCs w:val="20"/>
              </w:rPr>
              <w:t>4</w:t>
            </w:r>
          </w:p>
        </w:tc>
        <w:tc>
          <w:tcPr>
            <w:tcW w:w="892" w:type="dxa"/>
            <w:noWrap/>
            <w:vAlign w:val="bottom"/>
          </w:tcPr>
          <w:p w14:paraId="5E8464FC" w14:textId="09C3A33C" w:rsidR="00D9012E" w:rsidRPr="000A1184" w:rsidRDefault="00D9012E" w:rsidP="00C80616">
            <w:pPr>
              <w:rPr>
                <w:sz w:val="20"/>
                <w:szCs w:val="20"/>
              </w:rPr>
            </w:pPr>
            <w:r w:rsidRPr="000A1184">
              <w:rPr>
                <w:rFonts w:ascii="Calibri" w:hAnsi="Calibri" w:cs="Calibri"/>
                <w:color w:val="000000"/>
                <w:sz w:val="20"/>
                <w:szCs w:val="20"/>
              </w:rPr>
              <w:t>34</w:t>
            </w:r>
          </w:p>
        </w:tc>
        <w:tc>
          <w:tcPr>
            <w:tcW w:w="893" w:type="dxa"/>
            <w:noWrap/>
            <w:vAlign w:val="bottom"/>
          </w:tcPr>
          <w:p w14:paraId="182301CC" w14:textId="3159F157" w:rsidR="00D9012E" w:rsidRPr="000A1184" w:rsidRDefault="00D9012E" w:rsidP="00C80616">
            <w:pPr>
              <w:rPr>
                <w:sz w:val="20"/>
                <w:szCs w:val="20"/>
              </w:rPr>
            </w:pPr>
            <w:r w:rsidRPr="000A1184">
              <w:rPr>
                <w:rFonts w:ascii="Calibri" w:hAnsi="Calibri" w:cs="Calibri"/>
                <w:color w:val="000000"/>
                <w:sz w:val="20"/>
                <w:szCs w:val="20"/>
              </w:rPr>
              <w:t>223.5</w:t>
            </w:r>
          </w:p>
        </w:tc>
        <w:tc>
          <w:tcPr>
            <w:tcW w:w="893" w:type="dxa"/>
            <w:noWrap/>
            <w:vAlign w:val="bottom"/>
          </w:tcPr>
          <w:p w14:paraId="1208B851" w14:textId="628C6774" w:rsidR="00D9012E" w:rsidRPr="000A1184" w:rsidRDefault="00D9012E" w:rsidP="00C80616">
            <w:pPr>
              <w:rPr>
                <w:sz w:val="20"/>
                <w:szCs w:val="20"/>
              </w:rPr>
            </w:pPr>
            <w:r w:rsidRPr="000A1184">
              <w:rPr>
                <w:rFonts w:ascii="Calibri" w:hAnsi="Calibri" w:cs="Calibri"/>
                <w:color w:val="000000"/>
                <w:sz w:val="20"/>
                <w:szCs w:val="20"/>
              </w:rPr>
              <w:t>355</w:t>
            </w:r>
          </w:p>
        </w:tc>
        <w:tc>
          <w:tcPr>
            <w:tcW w:w="892" w:type="dxa"/>
            <w:noWrap/>
            <w:vAlign w:val="bottom"/>
          </w:tcPr>
          <w:p w14:paraId="7393C0A8" w14:textId="3F69A69B" w:rsidR="00D9012E" w:rsidRPr="000A1184" w:rsidRDefault="00D9012E" w:rsidP="00C80616">
            <w:pPr>
              <w:rPr>
                <w:sz w:val="20"/>
                <w:szCs w:val="20"/>
              </w:rPr>
            </w:pPr>
            <w:r w:rsidRPr="000A1184">
              <w:rPr>
                <w:rFonts w:ascii="Calibri" w:hAnsi="Calibri" w:cs="Calibri"/>
                <w:color w:val="000000"/>
                <w:sz w:val="20"/>
                <w:szCs w:val="20"/>
              </w:rPr>
              <w:t>409</w:t>
            </w:r>
          </w:p>
        </w:tc>
        <w:tc>
          <w:tcPr>
            <w:tcW w:w="893" w:type="dxa"/>
            <w:noWrap/>
            <w:vAlign w:val="bottom"/>
          </w:tcPr>
          <w:p w14:paraId="0652E6F2" w14:textId="53295D80" w:rsidR="00D9012E" w:rsidRPr="000A1184" w:rsidRDefault="00D9012E" w:rsidP="00C80616">
            <w:pPr>
              <w:rPr>
                <w:sz w:val="20"/>
                <w:szCs w:val="20"/>
              </w:rPr>
            </w:pPr>
            <w:r w:rsidRPr="000A1184">
              <w:rPr>
                <w:rFonts w:ascii="Calibri" w:hAnsi="Calibri" w:cs="Calibri"/>
                <w:color w:val="000000"/>
                <w:sz w:val="20"/>
                <w:szCs w:val="20"/>
              </w:rPr>
              <w:t>472</w:t>
            </w:r>
          </w:p>
        </w:tc>
        <w:tc>
          <w:tcPr>
            <w:tcW w:w="892" w:type="dxa"/>
            <w:noWrap/>
            <w:vAlign w:val="bottom"/>
          </w:tcPr>
          <w:p w14:paraId="35727368" w14:textId="74F4E57E" w:rsidR="00D9012E" w:rsidRPr="000A1184" w:rsidRDefault="00D9012E" w:rsidP="00C80616">
            <w:pPr>
              <w:rPr>
                <w:sz w:val="20"/>
                <w:szCs w:val="20"/>
              </w:rPr>
            </w:pPr>
            <w:r w:rsidRPr="000A1184">
              <w:rPr>
                <w:rFonts w:ascii="Calibri" w:hAnsi="Calibri" w:cs="Calibri"/>
                <w:color w:val="000000"/>
                <w:sz w:val="20"/>
                <w:szCs w:val="20"/>
              </w:rPr>
              <w:t>572.5</w:t>
            </w:r>
          </w:p>
        </w:tc>
        <w:tc>
          <w:tcPr>
            <w:tcW w:w="893" w:type="dxa"/>
            <w:noWrap/>
            <w:vAlign w:val="bottom"/>
          </w:tcPr>
          <w:p w14:paraId="02C23E0B" w14:textId="7215057C" w:rsidR="00D9012E" w:rsidRPr="000A1184" w:rsidRDefault="00D9012E" w:rsidP="00C80616">
            <w:pPr>
              <w:rPr>
                <w:sz w:val="20"/>
                <w:szCs w:val="20"/>
              </w:rPr>
            </w:pPr>
            <w:r w:rsidRPr="000A1184">
              <w:rPr>
                <w:rFonts w:ascii="Calibri" w:hAnsi="Calibri" w:cs="Calibri"/>
                <w:color w:val="000000"/>
                <w:sz w:val="20"/>
                <w:szCs w:val="20"/>
              </w:rPr>
              <w:t>767</w:t>
            </w:r>
          </w:p>
        </w:tc>
        <w:tc>
          <w:tcPr>
            <w:tcW w:w="893" w:type="dxa"/>
            <w:noWrap/>
            <w:vAlign w:val="bottom"/>
          </w:tcPr>
          <w:p w14:paraId="70D2D6A1" w14:textId="455187FE" w:rsidR="00D9012E" w:rsidRPr="000A1184" w:rsidRDefault="00D9012E" w:rsidP="00C80616">
            <w:pPr>
              <w:rPr>
                <w:sz w:val="20"/>
                <w:szCs w:val="20"/>
              </w:rPr>
            </w:pPr>
            <w:r w:rsidRPr="000A1184">
              <w:rPr>
                <w:rFonts w:ascii="Calibri" w:hAnsi="Calibri" w:cs="Calibri"/>
                <w:color w:val="000000"/>
                <w:sz w:val="20"/>
                <w:szCs w:val="20"/>
              </w:rPr>
              <w:t>1</w:t>
            </w:r>
            <w:r>
              <w:rPr>
                <w:rFonts w:ascii="Calibri" w:hAnsi="Calibri" w:cs="Calibri"/>
                <w:color w:val="000000"/>
                <w:sz w:val="20"/>
                <w:szCs w:val="20"/>
              </w:rPr>
              <w:t>,</w:t>
            </w:r>
            <w:r w:rsidRPr="000A1184">
              <w:rPr>
                <w:rFonts w:ascii="Calibri" w:hAnsi="Calibri" w:cs="Calibri"/>
                <w:color w:val="000000"/>
                <w:sz w:val="20"/>
                <w:szCs w:val="20"/>
              </w:rPr>
              <w:t>763</w:t>
            </w:r>
          </w:p>
        </w:tc>
      </w:tr>
    </w:tbl>
    <w:p w14:paraId="5E349FDB" w14:textId="77777777" w:rsidR="00C80616" w:rsidRDefault="00C80616" w:rsidP="00C80616"/>
    <w:p w14:paraId="23E58135" w14:textId="5E69E66B" w:rsidR="00C80616" w:rsidRPr="00AF4DD6" w:rsidRDefault="00C80616" w:rsidP="00C80616">
      <w:pPr>
        <w:pStyle w:val="Figuretitle"/>
      </w:pPr>
      <w:r w:rsidRPr="00AF4DD6">
        <w:t xml:space="preserve">Table </w:t>
      </w:r>
      <w:r w:rsidR="00D9012E">
        <w:t>15</w:t>
      </w:r>
      <w:r w:rsidRPr="00AF4DD6">
        <w:t xml:space="preserve">: Length of treatment </w:t>
      </w:r>
      <w:r>
        <w:t xml:space="preserve">with </w:t>
      </w:r>
      <w:proofErr w:type="spellStart"/>
      <w:r>
        <w:t>nafarelin</w:t>
      </w:r>
      <w:proofErr w:type="spellEnd"/>
      <w:r>
        <w:t xml:space="preserve"> </w:t>
      </w:r>
      <w:r w:rsidRPr="00AF4DD6">
        <w:t>for female endometriosis patients accounting for breaks</w:t>
      </w:r>
    </w:p>
    <w:tbl>
      <w:tblPr>
        <w:tblStyle w:val="TableGrid"/>
        <w:tblW w:w="0" w:type="auto"/>
        <w:tblLayout w:type="fixed"/>
        <w:tblLook w:val="04A0" w:firstRow="1" w:lastRow="0" w:firstColumn="1" w:lastColumn="0" w:noHBand="0" w:noVBand="1"/>
        <w:tblCaption w:val="Length of treatment with nafarelin for female endometriosis patients accounting for breaks"/>
        <w:tblDescription w:val="Length of treatment with nafarelin for female endometriosis patients accounting for breaks"/>
      </w:tblPr>
      <w:tblGrid>
        <w:gridCol w:w="892"/>
        <w:gridCol w:w="893"/>
        <w:gridCol w:w="892"/>
        <w:gridCol w:w="893"/>
        <w:gridCol w:w="893"/>
        <w:gridCol w:w="892"/>
        <w:gridCol w:w="893"/>
        <w:gridCol w:w="892"/>
        <w:gridCol w:w="893"/>
        <w:gridCol w:w="893"/>
      </w:tblGrid>
      <w:tr w:rsidR="00D9012E" w:rsidRPr="00EA401F" w14:paraId="6B4CE840" w14:textId="77777777" w:rsidTr="0094329A">
        <w:trPr>
          <w:trHeight w:val="300"/>
          <w:tblHeader/>
        </w:trPr>
        <w:tc>
          <w:tcPr>
            <w:tcW w:w="892" w:type="dxa"/>
            <w:shd w:val="clear" w:color="auto" w:fill="BFBFBF" w:themeFill="background1" w:themeFillShade="BF"/>
            <w:noWrap/>
            <w:vAlign w:val="bottom"/>
          </w:tcPr>
          <w:p w14:paraId="369A9044" w14:textId="6728577D" w:rsidR="00D9012E" w:rsidRPr="000A1184" w:rsidRDefault="00D9012E" w:rsidP="00C80616">
            <w:pPr>
              <w:rPr>
                <w:b/>
                <w:sz w:val="20"/>
                <w:szCs w:val="20"/>
              </w:rPr>
            </w:pPr>
            <w:r w:rsidRPr="000A1184">
              <w:rPr>
                <w:rFonts w:ascii="Calibri" w:hAnsi="Calibri" w:cs="Calibri"/>
                <w:b/>
                <w:color w:val="000000"/>
                <w:sz w:val="20"/>
                <w:szCs w:val="20"/>
              </w:rPr>
              <w:t>n</w:t>
            </w:r>
          </w:p>
        </w:tc>
        <w:tc>
          <w:tcPr>
            <w:tcW w:w="893" w:type="dxa"/>
            <w:shd w:val="clear" w:color="auto" w:fill="BFBFBF" w:themeFill="background1" w:themeFillShade="BF"/>
            <w:noWrap/>
            <w:vAlign w:val="bottom"/>
          </w:tcPr>
          <w:p w14:paraId="629D5B84" w14:textId="11B15784" w:rsidR="00D9012E" w:rsidRPr="000A1184" w:rsidRDefault="00D9012E" w:rsidP="00C80616">
            <w:pPr>
              <w:rPr>
                <w:b/>
                <w:sz w:val="20"/>
                <w:szCs w:val="20"/>
              </w:rPr>
            </w:pPr>
            <w:r w:rsidRPr="000A1184">
              <w:rPr>
                <w:rFonts w:ascii="Calibri" w:hAnsi="Calibri" w:cs="Calibri"/>
                <w:b/>
                <w:color w:val="000000"/>
                <w:sz w:val="20"/>
                <w:szCs w:val="20"/>
              </w:rPr>
              <w:t>mean</w:t>
            </w:r>
          </w:p>
        </w:tc>
        <w:tc>
          <w:tcPr>
            <w:tcW w:w="892" w:type="dxa"/>
            <w:shd w:val="clear" w:color="auto" w:fill="BFBFBF" w:themeFill="background1" w:themeFillShade="BF"/>
            <w:noWrap/>
            <w:vAlign w:val="bottom"/>
          </w:tcPr>
          <w:p w14:paraId="016DAAF5" w14:textId="3404FD0B" w:rsidR="00D9012E" w:rsidRPr="000A1184" w:rsidRDefault="0094329A" w:rsidP="00C80616">
            <w:pPr>
              <w:rPr>
                <w:b/>
                <w:sz w:val="20"/>
                <w:szCs w:val="20"/>
              </w:rPr>
            </w:pPr>
            <w:r>
              <w:rPr>
                <w:rFonts w:ascii="Calibri" w:hAnsi="Calibri" w:cs="Calibri"/>
                <w:b/>
                <w:color w:val="000000"/>
                <w:sz w:val="20"/>
                <w:szCs w:val="20"/>
              </w:rPr>
              <w:t>median</w:t>
            </w:r>
          </w:p>
        </w:tc>
        <w:tc>
          <w:tcPr>
            <w:tcW w:w="893" w:type="dxa"/>
            <w:shd w:val="clear" w:color="auto" w:fill="BFBFBF" w:themeFill="background1" w:themeFillShade="BF"/>
            <w:noWrap/>
            <w:vAlign w:val="bottom"/>
          </w:tcPr>
          <w:p w14:paraId="674416F9" w14:textId="159F484F" w:rsidR="00D9012E" w:rsidRPr="000A1184" w:rsidRDefault="00D9012E" w:rsidP="00C80616">
            <w:pPr>
              <w:rPr>
                <w:b/>
                <w:sz w:val="20"/>
                <w:szCs w:val="20"/>
              </w:rPr>
            </w:pPr>
            <w:r w:rsidRPr="000A1184">
              <w:rPr>
                <w:rFonts w:ascii="Calibri" w:hAnsi="Calibri" w:cs="Calibri"/>
                <w:b/>
                <w:color w:val="000000"/>
                <w:sz w:val="20"/>
                <w:szCs w:val="20"/>
              </w:rPr>
              <w:t>P90</w:t>
            </w:r>
          </w:p>
        </w:tc>
        <w:tc>
          <w:tcPr>
            <w:tcW w:w="893" w:type="dxa"/>
            <w:shd w:val="clear" w:color="auto" w:fill="BFBFBF" w:themeFill="background1" w:themeFillShade="BF"/>
            <w:noWrap/>
            <w:vAlign w:val="bottom"/>
          </w:tcPr>
          <w:p w14:paraId="3A324179" w14:textId="1AA5AA3C" w:rsidR="00D9012E" w:rsidRPr="000A1184" w:rsidRDefault="00D9012E" w:rsidP="00C80616">
            <w:pPr>
              <w:rPr>
                <w:b/>
                <w:sz w:val="20"/>
                <w:szCs w:val="20"/>
              </w:rPr>
            </w:pPr>
            <w:r w:rsidRPr="000A1184">
              <w:rPr>
                <w:rFonts w:ascii="Calibri" w:hAnsi="Calibri" w:cs="Calibri"/>
                <w:b/>
                <w:color w:val="000000"/>
                <w:sz w:val="20"/>
                <w:szCs w:val="20"/>
              </w:rPr>
              <w:t>P95</w:t>
            </w:r>
          </w:p>
        </w:tc>
        <w:tc>
          <w:tcPr>
            <w:tcW w:w="892" w:type="dxa"/>
            <w:shd w:val="clear" w:color="auto" w:fill="BFBFBF" w:themeFill="background1" w:themeFillShade="BF"/>
            <w:noWrap/>
            <w:vAlign w:val="bottom"/>
          </w:tcPr>
          <w:p w14:paraId="35069D4B" w14:textId="608087BA" w:rsidR="00D9012E" w:rsidRPr="000A1184" w:rsidRDefault="00D9012E" w:rsidP="00C80616">
            <w:pPr>
              <w:rPr>
                <w:b/>
                <w:sz w:val="20"/>
                <w:szCs w:val="20"/>
              </w:rPr>
            </w:pPr>
            <w:r w:rsidRPr="000A1184">
              <w:rPr>
                <w:rFonts w:ascii="Calibri" w:hAnsi="Calibri" w:cs="Calibri"/>
                <w:b/>
                <w:color w:val="000000"/>
                <w:sz w:val="20"/>
                <w:szCs w:val="20"/>
              </w:rPr>
              <w:t>P96</w:t>
            </w:r>
          </w:p>
        </w:tc>
        <w:tc>
          <w:tcPr>
            <w:tcW w:w="893" w:type="dxa"/>
            <w:shd w:val="clear" w:color="auto" w:fill="BFBFBF" w:themeFill="background1" w:themeFillShade="BF"/>
            <w:noWrap/>
            <w:vAlign w:val="bottom"/>
          </w:tcPr>
          <w:p w14:paraId="59CD1405" w14:textId="3DE3D2CC" w:rsidR="00D9012E" w:rsidRPr="000A1184" w:rsidRDefault="00D9012E" w:rsidP="00C80616">
            <w:pPr>
              <w:rPr>
                <w:b/>
                <w:sz w:val="20"/>
                <w:szCs w:val="20"/>
              </w:rPr>
            </w:pPr>
            <w:r w:rsidRPr="000A1184">
              <w:rPr>
                <w:rFonts w:ascii="Calibri" w:hAnsi="Calibri" w:cs="Calibri"/>
                <w:b/>
                <w:color w:val="000000"/>
                <w:sz w:val="20"/>
                <w:szCs w:val="20"/>
              </w:rPr>
              <w:t>P97</w:t>
            </w:r>
          </w:p>
        </w:tc>
        <w:tc>
          <w:tcPr>
            <w:tcW w:w="892" w:type="dxa"/>
            <w:shd w:val="clear" w:color="auto" w:fill="BFBFBF" w:themeFill="background1" w:themeFillShade="BF"/>
            <w:noWrap/>
            <w:vAlign w:val="bottom"/>
          </w:tcPr>
          <w:p w14:paraId="2B85F27D" w14:textId="681AA8FC" w:rsidR="00D9012E" w:rsidRPr="000A1184" w:rsidRDefault="00D9012E" w:rsidP="00C80616">
            <w:pPr>
              <w:rPr>
                <w:b/>
                <w:sz w:val="20"/>
                <w:szCs w:val="20"/>
              </w:rPr>
            </w:pPr>
            <w:r w:rsidRPr="000A1184">
              <w:rPr>
                <w:rFonts w:ascii="Calibri" w:hAnsi="Calibri" w:cs="Calibri"/>
                <w:b/>
                <w:color w:val="000000"/>
                <w:sz w:val="20"/>
                <w:szCs w:val="20"/>
              </w:rPr>
              <w:t>P98</w:t>
            </w:r>
          </w:p>
        </w:tc>
        <w:tc>
          <w:tcPr>
            <w:tcW w:w="893" w:type="dxa"/>
            <w:shd w:val="clear" w:color="auto" w:fill="BFBFBF" w:themeFill="background1" w:themeFillShade="BF"/>
            <w:noWrap/>
            <w:vAlign w:val="bottom"/>
          </w:tcPr>
          <w:p w14:paraId="4CB463C0" w14:textId="61D1B352" w:rsidR="00D9012E" w:rsidRPr="000A1184" w:rsidRDefault="00D9012E" w:rsidP="00C80616">
            <w:pPr>
              <w:rPr>
                <w:b/>
                <w:sz w:val="20"/>
                <w:szCs w:val="20"/>
              </w:rPr>
            </w:pPr>
            <w:r w:rsidRPr="000A1184">
              <w:rPr>
                <w:rFonts w:ascii="Calibri" w:hAnsi="Calibri" w:cs="Calibri"/>
                <w:b/>
                <w:color w:val="000000"/>
                <w:sz w:val="20"/>
                <w:szCs w:val="20"/>
              </w:rPr>
              <w:t>P99</w:t>
            </w:r>
          </w:p>
        </w:tc>
        <w:tc>
          <w:tcPr>
            <w:tcW w:w="893" w:type="dxa"/>
            <w:shd w:val="clear" w:color="auto" w:fill="BFBFBF" w:themeFill="background1" w:themeFillShade="BF"/>
            <w:noWrap/>
            <w:vAlign w:val="bottom"/>
          </w:tcPr>
          <w:p w14:paraId="3F639B63" w14:textId="44D94095" w:rsidR="00D9012E" w:rsidRPr="000A1184" w:rsidRDefault="00D9012E" w:rsidP="00C80616">
            <w:pPr>
              <w:rPr>
                <w:b/>
                <w:sz w:val="20"/>
                <w:szCs w:val="20"/>
              </w:rPr>
            </w:pPr>
            <w:r w:rsidRPr="000A1184">
              <w:rPr>
                <w:rFonts w:ascii="Calibri" w:hAnsi="Calibri" w:cs="Calibri"/>
                <w:b/>
                <w:color w:val="000000"/>
                <w:sz w:val="20"/>
                <w:szCs w:val="20"/>
              </w:rPr>
              <w:t>P100</w:t>
            </w:r>
          </w:p>
        </w:tc>
      </w:tr>
      <w:tr w:rsidR="00D9012E" w:rsidRPr="00A10B65" w14:paraId="34D97072" w14:textId="77777777" w:rsidTr="00192793">
        <w:trPr>
          <w:trHeight w:val="300"/>
        </w:trPr>
        <w:tc>
          <w:tcPr>
            <w:tcW w:w="892" w:type="dxa"/>
            <w:noWrap/>
            <w:vAlign w:val="bottom"/>
          </w:tcPr>
          <w:p w14:paraId="0076BD70" w14:textId="741F4E03" w:rsidR="00D9012E" w:rsidRPr="000A1184" w:rsidRDefault="00D9012E" w:rsidP="00C80616">
            <w:pPr>
              <w:rPr>
                <w:sz w:val="20"/>
                <w:szCs w:val="20"/>
              </w:rPr>
            </w:pPr>
            <w:r w:rsidRPr="000A1184">
              <w:rPr>
                <w:rFonts w:ascii="Calibri" w:hAnsi="Calibri" w:cs="Calibri"/>
                <w:color w:val="000000"/>
                <w:sz w:val="20"/>
                <w:szCs w:val="20"/>
              </w:rPr>
              <w:t>2</w:t>
            </w:r>
            <w:r>
              <w:rPr>
                <w:rFonts w:ascii="Calibri" w:hAnsi="Calibri" w:cs="Calibri"/>
                <w:color w:val="000000"/>
                <w:sz w:val="20"/>
                <w:szCs w:val="20"/>
              </w:rPr>
              <w:t>,</w:t>
            </w:r>
            <w:r w:rsidRPr="000A1184">
              <w:rPr>
                <w:rFonts w:ascii="Calibri" w:hAnsi="Calibri" w:cs="Calibri"/>
                <w:color w:val="000000"/>
                <w:sz w:val="20"/>
                <w:szCs w:val="20"/>
              </w:rPr>
              <w:t>850</w:t>
            </w:r>
          </w:p>
        </w:tc>
        <w:tc>
          <w:tcPr>
            <w:tcW w:w="893" w:type="dxa"/>
            <w:noWrap/>
            <w:vAlign w:val="bottom"/>
          </w:tcPr>
          <w:p w14:paraId="664E3199" w14:textId="069F57FF" w:rsidR="00D9012E" w:rsidRPr="000A1184" w:rsidRDefault="00D9012E" w:rsidP="009F43FE">
            <w:pPr>
              <w:rPr>
                <w:sz w:val="20"/>
                <w:szCs w:val="20"/>
              </w:rPr>
            </w:pPr>
            <w:r w:rsidRPr="000A1184">
              <w:rPr>
                <w:rFonts w:ascii="Calibri" w:hAnsi="Calibri" w:cs="Calibri"/>
                <w:color w:val="000000"/>
                <w:sz w:val="20"/>
                <w:szCs w:val="20"/>
              </w:rPr>
              <w:t>8</w:t>
            </w:r>
            <w:r>
              <w:rPr>
                <w:rFonts w:ascii="Calibri" w:hAnsi="Calibri" w:cs="Calibri"/>
                <w:color w:val="000000"/>
                <w:sz w:val="20"/>
                <w:szCs w:val="20"/>
              </w:rPr>
              <w:t>4</w:t>
            </w:r>
          </w:p>
        </w:tc>
        <w:tc>
          <w:tcPr>
            <w:tcW w:w="892" w:type="dxa"/>
            <w:noWrap/>
            <w:vAlign w:val="bottom"/>
          </w:tcPr>
          <w:p w14:paraId="218E934C" w14:textId="4D2F3BA4" w:rsidR="00D9012E" w:rsidRPr="000A1184" w:rsidRDefault="00D9012E" w:rsidP="00C80616">
            <w:pPr>
              <w:rPr>
                <w:sz w:val="20"/>
                <w:szCs w:val="20"/>
              </w:rPr>
            </w:pPr>
            <w:r w:rsidRPr="000A1184">
              <w:rPr>
                <w:rFonts w:ascii="Calibri" w:hAnsi="Calibri" w:cs="Calibri"/>
                <w:color w:val="000000"/>
                <w:sz w:val="20"/>
                <w:szCs w:val="20"/>
              </w:rPr>
              <w:t>34</w:t>
            </w:r>
          </w:p>
        </w:tc>
        <w:tc>
          <w:tcPr>
            <w:tcW w:w="893" w:type="dxa"/>
            <w:noWrap/>
            <w:vAlign w:val="bottom"/>
          </w:tcPr>
          <w:p w14:paraId="75B57C82" w14:textId="280FEF3A" w:rsidR="00D9012E" w:rsidRPr="000A1184" w:rsidRDefault="00D9012E" w:rsidP="00C80616">
            <w:pPr>
              <w:rPr>
                <w:sz w:val="20"/>
                <w:szCs w:val="20"/>
              </w:rPr>
            </w:pPr>
            <w:r w:rsidRPr="000A1184">
              <w:rPr>
                <w:rFonts w:ascii="Calibri" w:hAnsi="Calibri" w:cs="Calibri"/>
                <w:color w:val="000000"/>
                <w:sz w:val="20"/>
                <w:szCs w:val="20"/>
              </w:rPr>
              <w:t>187</w:t>
            </w:r>
          </w:p>
        </w:tc>
        <w:tc>
          <w:tcPr>
            <w:tcW w:w="893" w:type="dxa"/>
            <w:noWrap/>
            <w:vAlign w:val="bottom"/>
          </w:tcPr>
          <w:p w14:paraId="4E768661" w14:textId="06594616" w:rsidR="00D9012E" w:rsidRPr="000A1184" w:rsidRDefault="00D9012E" w:rsidP="00C80616">
            <w:pPr>
              <w:rPr>
                <w:sz w:val="20"/>
                <w:szCs w:val="20"/>
              </w:rPr>
            </w:pPr>
            <w:r w:rsidRPr="000A1184">
              <w:rPr>
                <w:rFonts w:ascii="Calibri" w:hAnsi="Calibri" w:cs="Calibri"/>
                <w:color w:val="000000"/>
                <w:sz w:val="20"/>
                <w:szCs w:val="20"/>
              </w:rPr>
              <w:t>234</w:t>
            </w:r>
          </w:p>
        </w:tc>
        <w:tc>
          <w:tcPr>
            <w:tcW w:w="892" w:type="dxa"/>
            <w:noWrap/>
            <w:vAlign w:val="bottom"/>
          </w:tcPr>
          <w:p w14:paraId="340E1A85" w14:textId="29E26E72" w:rsidR="00D9012E" w:rsidRPr="000A1184" w:rsidRDefault="00D9012E" w:rsidP="00C80616">
            <w:pPr>
              <w:rPr>
                <w:sz w:val="20"/>
                <w:szCs w:val="20"/>
              </w:rPr>
            </w:pPr>
            <w:r w:rsidRPr="000A1184">
              <w:rPr>
                <w:rFonts w:ascii="Calibri" w:hAnsi="Calibri" w:cs="Calibri"/>
                <w:color w:val="000000"/>
                <w:sz w:val="20"/>
                <w:szCs w:val="20"/>
              </w:rPr>
              <w:t>248</w:t>
            </w:r>
          </w:p>
        </w:tc>
        <w:tc>
          <w:tcPr>
            <w:tcW w:w="893" w:type="dxa"/>
            <w:noWrap/>
            <w:vAlign w:val="bottom"/>
          </w:tcPr>
          <w:p w14:paraId="1C1C2DA5" w14:textId="6EB3C495" w:rsidR="00D9012E" w:rsidRPr="000A1184" w:rsidRDefault="00D9012E" w:rsidP="00C80616">
            <w:pPr>
              <w:rPr>
                <w:sz w:val="20"/>
                <w:szCs w:val="20"/>
              </w:rPr>
            </w:pPr>
            <w:r w:rsidRPr="000A1184">
              <w:rPr>
                <w:rFonts w:ascii="Calibri" w:hAnsi="Calibri" w:cs="Calibri"/>
                <w:color w:val="000000"/>
                <w:sz w:val="20"/>
                <w:szCs w:val="20"/>
              </w:rPr>
              <w:t>277</w:t>
            </w:r>
          </w:p>
        </w:tc>
        <w:tc>
          <w:tcPr>
            <w:tcW w:w="892" w:type="dxa"/>
            <w:noWrap/>
            <w:vAlign w:val="bottom"/>
          </w:tcPr>
          <w:p w14:paraId="000FD7CE" w14:textId="018978AD" w:rsidR="00D9012E" w:rsidRPr="000A1184" w:rsidRDefault="00D9012E" w:rsidP="00C80616">
            <w:pPr>
              <w:rPr>
                <w:sz w:val="20"/>
                <w:szCs w:val="20"/>
              </w:rPr>
            </w:pPr>
            <w:r w:rsidRPr="000A1184">
              <w:rPr>
                <w:rFonts w:ascii="Calibri" w:hAnsi="Calibri" w:cs="Calibri"/>
                <w:color w:val="000000"/>
                <w:sz w:val="20"/>
                <w:szCs w:val="20"/>
              </w:rPr>
              <w:t>356.5</w:t>
            </w:r>
          </w:p>
        </w:tc>
        <w:tc>
          <w:tcPr>
            <w:tcW w:w="893" w:type="dxa"/>
            <w:noWrap/>
            <w:vAlign w:val="bottom"/>
          </w:tcPr>
          <w:p w14:paraId="7AD6AA89" w14:textId="11E731BC" w:rsidR="00D9012E" w:rsidRPr="000A1184" w:rsidRDefault="00D9012E" w:rsidP="00C80616">
            <w:pPr>
              <w:rPr>
                <w:sz w:val="20"/>
                <w:szCs w:val="20"/>
              </w:rPr>
            </w:pPr>
            <w:r w:rsidRPr="000A1184">
              <w:rPr>
                <w:rFonts w:ascii="Calibri" w:hAnsi="Calibri" w:cs="Calibri"/>
                <w:color w:val="000000"/>
                <w:sz w:val="20"/>
                <w:szCs w:val="20"/>
              </w:rPr>
              <w:t>477</w:t>
            </w:r>
          </w:p>
        </w:tc>
        <w:tc>
          <w:tcPr>
            <w:tcW w:w="893" w:type="dxa"/>
            <w:noWrap/>
            <w:vAlign w:val="bottom"/>
          </w:tcPr>
          <w:p w14:paraId="18594C86" w14:textId="2A752695" w:rsidR="00D9012E" w:rsidRPr="000A1184" w:rsidRDefault="00D9012E" w:rsidP="00C80616">
            <w:pPr>
              <w:rPr>
                <w:sz w:val="20"/>
                <w:szCs w:val="20"/>
              </w:rPr>
            </w:pPr>
            <w:r w:rsidRPr="000A1184">
              <w:rPr>
                <w:rFonts w:ascii="Calibri" w:hAnsi="Calibri" w:cs="Calibri"/>
                <w:color w:val="000000"/>
                <w:sz w:val="20"/>
                <w:szCs w:val="20"/>
              </w:rPr>
              <w:t>1</w:t>
            </w:r>
            <w:r>
              <w:rPr>
                <w:rFonts w:ascii="Calibri" w:hAnsi="Calibri" w:cs="Calibri"/>
                <w:color w:val="000000"/>
                <w:sz w:val="20"/>
                <w:szCs w:val="20"/>
              </w:rPr>
              <w:t>,</w:t>
            </w:r>
            <w:r w:rsidRPr="000A1184">
              <w:rPr>
                <w:rFonts w:ascii="Calibri" w:hAnsi="Calibri" w:cs="Calibri"/>
                <w:color w:val="000000"/>
                <w:sz w:val="20"/>
                <w:szCs w:val="20"/>
              </w:rPr>
              <w:t>763</w:t>
            </w:r>
          </w:p>
        </w:tc>
      </w:tr>
    </w:tbl>
    <w:p w14:paraId="14BB8EFF" w14:textId="3080722A" w:rsidR="00C80616" w:rsidRDefault="00C80616" w:rsidP="00C80616"/>
    <w:p w14:paraId="4AA87D1D" w14:textId="376D9E08" w:rsidR="00BC5EC4" w:rsidRDefault="00BC5EC4" w:rsidP="00BC5EC4">
      <w:r>
        <w:t xml:space="preserve">The PBS restriction for </w:t>
      </w:r>
      <w:proofErr w:type="spellStart"/>
      <w:r>
        <w:t>nafarelin</w:t>
      </w:r>
      <w:proofErr w:type="spellEnd"/>
      <w:r>
        <w:t xml:space="preserve"> allows i</w:t>
      </w:r>
      <w:r w:rsidRPr="00BC5EC4">
        <w:t xml:space="preserve">nitial treatment, for up to </w:t>
      </w:r>
      <w:r w:rsidR="003C0BB9">
        <w:t>six</w:t>
      </w:r>
      <w:r w:rsidRPr="00BC5EC4">
        <w:t xml:space="preserve"> months</w:t>
      </w:r>
      <w:r>
        <w:t xml:space="preserve">, and subsequent treatment, for up to </w:t>
      </w:r>
      <w:r w:rsidR="003C0BB9">
        <w:t>six</w:t>
      </w:r>
      <w:r>
        <w:t xml:space="preserve"> months</w:t>
      </w:r>
      <w:r w:rsidR="00867AED">
        <w:t xml:space="preserve"> where</w:t>
      </w:r>
      <w:r>
        <w:t xml:space="preserve"> the subsequent treatment must </w:t>
      </w:r>
      <w:r w:rsidR="00867AED">
        <w:t>be</w:t>
      </w:r>
      <w:r>
        <w:t xml:space="preserve"> </w:t>
      </w:r>
      <w:r w:rsidR="00867AED">
        <w:t>more</w:t>
      </w:r>
      <w:r>
        <w:t xml:space="preserve"> </w:t>
      </w:r>
      <w:r w:rsidR="00867AED">
        <w:t>two</w:t>
      </w:r>
      <w:r>
        <w:t xml:space="preserve"> years </w:t>
      </w:r>
      <w:r w:rsidR="00867AED">
        <w:t>after</w:t>
      </w:r>
      <w:r>
        <w:t xml:space="preserve"> the end of the previous course of treatment.</w:t>
      </w:r>
      <w:r w:rsidR="00E038AC">
        <w:t xml:space="preserve"> </w:t>
      </w:r>
      <w:r w:rsidR="002B61C5">
        <w:t xml:space="preserve">For </w:t>
      </w:r>
      <w:r w:rsidR="00673B1F">
        <w:t xml:space="preserve">patients who were only supplied </w:t>
      </w:r>
      <w:proofErr w:type="spellStart"/>
      <w:r w:rsidR="002B61C5">
        <w:t>nafarelin</w:t>
      </w:r>
      <w:proofErr w:type="spellEnd"/>
      <w:r w:rsidR="00673B1F">
        <w:t>,</w:t>
      </w:r>
      <w:r w:rsidR="00EA401F">
        <w:t xml:space="preserve"> without accounting for breaks, 85% of p</w:t>
      </w:r>
      <w:r w:rsidR="00431E00">
        <w:t>atients have stopped treatment after 6</w:t>
      </w:r>
      <w:r w:rsidR="00EA401F">
        <w:t xml:space="preserve"> months </w:t>
      </w:r>
      <w:r w:rsidR="00946640">
        <w:t>of treatment and 95.2</w:t>
      </w:r>
      <w:r w:rsidR="0086106C">
        <w:t>%</w:t>
      </w:r>
      <w:r w:rsidR="00431E00">
        <w:t xml:space="preserve"> have stopped after one year.</w:t>
      </w:r>
      <w:r w:rsidR="00867AED">
        <w:t xml:space="preserve"> </w:t>
      </w:r>
      <w:r w:rsidR="0017428D">
        <w:t xml:space="preserve">When </w:t>
      </w:r>
      <w:r w:rsidR="0017428D">
        <w:lastRenderedPageBreak/>
        <w:t>breaks are accounted for</w:t>
      </w:r>
      <w:r w:rsidR="00EA401F">
        <w:t xml:space="preserve">, </w:t>
      </w:r>
      <w:r w:rsidR="00431E00">
        <w:t xml:space="preserve">87.2% have stopped </w:t>
      </w:r>
      <w:r w:rsidR="0086106C">
        <w:t xml:space="preserve">after </w:t>
      </w:r>
      <w:r w:rsidR="00431E00">
        <w:t xml:space="preserve">six months </w:t>
      </w:r>
      <w:r w:rsidR="0086106C">
        <w:t>of treatment</w:t>
      </w:r>
      <w:r w:rsidR="00431E00">
        <w:t xml:space="preserve">, and </w:t>
      </w:r>
      <w:r w:rsidR="00EA401F">
        <w:t>97.7</w:t>
      </w:r>
      <w:r w:rsidR="002B61C5">
        <w:t xml:space="preserve">% of patients had stopped </w:t>
      </w:r>
      <w:r w:rsidR="0086106C">
        <w:t>after</w:t>
      </w:r>
      <w:r w:rsidR="002B61C5">
        <w:t xml:space="preserve"> one year </w:t>
      </w:r>
      <w:r w:rsidR="0086106C">
        <w:t>of treatment</w:t>
      </w:r>
      <w:r w:rsidR="002B61C5">
        <w:t>.</w:t>
      </w:r>
    </w:p>
    <w:p w14:paraId="2A32E330" w14:textId="66FBC462" w:rsidR="00920BD8" w:rsidRPr="0073572B" w:rsidRDefault="00920BD8" w:rsidP="00920BD8">
      <w:pPr>
        <w:pStyle w:val="Heading3"/>
        <w:rPr>
          <w:color w:val="000000" w:themeColor="text1"/>
        </w:rPr>
      </w:pPr>
      <w:r w:rsidRPr="0073572B">
        <w:rPr>
          <w:color w:val="000000" w:themeColor="text1"/>
        </w:rPr>
        <w:t xml:space="preserve">Utilisation of </w:t>
      </w:r>
      <w:proofErr w:type="spellStart"/>
      <w:r w:rsidRPr="0073572B">
        <w:rPr>
          <w:color w:val="000000" w:themeColor="text1"/>
        </w:rPr>
        <w:t>GnRH</w:t>
      </w:r>
      <w:proofErr w:type="spellEnd"/>
      <w:r w:rsidRPr="0073572B">
        <w:rPr>
          <w:color w:val="000000" w:themeColor="text1"/>
        </w:rPr>
        <w:t xml:space="preserve"> agonists in male patients</w:t>
      </w:r>
    </w:p>
    <w:p w14:paraId="3D8082AC" w14:textId="747A8CE9" w:rsidR="005C2994" w:rsidRPr="00213632" w:rsidRDefault="007F27F1" w:rsidP="005C2994">
      <w:pPr>
        <w:pStyle w:val="Figuretitle"/>
      </w:pPr>
      <w:r>
        <w:rPr>
          <w:noProof/>
          <w:lang w:val="en-AU"/>
        </w:rPr>
        <w:drawing>
          <wp:inline distT="0" distB="0" distL="0" distR="0" wp14:anchorId="124B4E12" wp14:editId="46C3C7EF">
            <wp:extent cx="5687695" cy="4154805"/>
            <wp:effectExtent l="0" t="0" r="8255" b="17145"/>
            <wp:docPr id="11" name="Chart 11" descr="Prescriptions for male patients by medicine and month of supply" title="Prescriptions for male patients by medicine and month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D9012E">
        <w:t>Figure 14</w:t>
      </w:r>
      <w:r w:rsidR="005C2994" w:rsidRPr="00213632">
        <w:t>: Prescriptions for male patients by medicine and month of supply</w:t>
      </w:r>
    </w:p>
    <w:p w14:paraId="7B0611B9" w14:textId="2AA0B5C0" w:rsidR="00924179" w:rsidRPr="00213632" w:rsidRDefault="00924179" w:rsidP="00924179"/>
    <w:p w14:paraId="726948D6" w14:textId="3DB11664" w:rsidR="00924179" w:rsidRPr="00213632" w:rsidRDefault="00924179" w:rsidP="00924179">
      <w:proofErr w:type="spellStart"/>
      <w:r w:rsidRPr="00213632">
        <w:t>Goserelin</w:t>
      </w:r>
      <w:proofErr w:type="spellEnd"/>
      <w:r w:rsidRPr="00213632">
        <w:t xml:space="preserve"> is the most used medicine in male patients</w:t>
      </w:r>
      <w:r w:rsidR="001150E8" w:rsidRPr="00213632">
        <w:t xml:space="preserve"> but its use appears to be stable. The second most used medicine is </w:t>
      </w:r>
      <w:proofErr w:type="spellStart"/>
      <w:r w:rsidR="001150E8" w:rsidRPr="00213632">
        <w:t>leuprorelin</w:t>
      </w:r>
      <w:proofErr w:type="spellEnd"/>
      <w:r w:rsidR="001150E8" w:rsidRPr="00213632">
        <w:t xml:space="preserve"> and its use is growing</w:t>
      </w:r>
      <w:r w:rsidRPr="00213632">
        <w:t xml:space="preserve">. </w:t>
      </w:r>
      <w:r w:rsidR="00213632">
        <w:t>In 2018 there were 55,846</w:t>
      </w:r>
      <w:r w:rsidR="001150E8" w:rsidRPr="00213632">
        <w:t xml:space="preserve"> prescriptions of </w:t>
      </w:r>
      <w:proofErr w:type="spellStart"/>
      <w:r w:rsidR="001150E8" w:rsidRPr="00213632">
        <w:t>goserelin</w:t>
      </w:r>
      <w:proofErr w:type="spellEnd"/>
      <w:r w:rsidR="001150E8" w:rsidRPr="00213632">
        <w:t xml:space="preserve"> and 43,</w:t>
      </w:r>
      <w:r w:rsidR="00213632">
        <w:t>535</w:t>
      </w:r>
      <w:r w:rsidR="001150E8" w:rsidRPr="00213632">
        <w:t xml:space="preserve"> prescriptions of </w:t>
      </w:r>
      <w:proofErr w:type="spellStart"/>
      <w:r w:rsidR="001150E8" w:rsidRPr="00213632">
        <w:t>leuprorelin</w:t>
      </w:r>
      <w:proofErr w:type="spellEnd"/>
      <w:r w:rsidR="001150E8" w:rsidRPr="00213632">
        <w:t xml:space="preserve"> supplied to males. In 2018 less than five prescriptions</w:t>
      </w:r>
      <w:r w:rsidRPr="00213632">
        <w:t xml:space="preserve"> of </w:t>
      </w:r>
      <w:proofErr w:type="spellStart"/>
      <w:r w:rsidRPr="00213632">
        <w:t>nafarelin</w:t>
      </w:r>
      <w:proofErr w:type="spellEnd"/>
      <w:r w:rsidRPr="00213632">
        <w:t xml:space="preserve"> </w:t>
      </w:r>
      <w:r w:rsidR="001150E8" w:rsidRPr="00213632">
        <w:t xml:space="preserve">were supplied to males, which </w:t>
      </w:r>
      <w:r w:rsidRPr="00213632">
        <w:t>may be due to miscoding</w:t>
      </w:r>
      <w:r w:rsidR="00663674">
        <w:t>.</w:t>
      </w:r>
    </w:p>
    <w:p w14:paraId="77C940D5" w14:textId="13969346" w:rsidR="005C2994" w:rsidRPr="00213632" w:rsidRDefault="00853F97" w:rsidP="00A35800">
      <w:r>
        <w:rPr>
          <w:noProof/>
        </w:rPr>
        <w:lastRenderedPageBreak/>
        <w:drawing>
          <wp:inline distT="0" distB="0" distL="0" distR="0" wp14:anchorId="129C9044" wp14:editId="02587E7A">
            <wp:extent cx="5687695" cy="5505450"/>
            <wp:effectExtent l="0" t="0" r="8255" b="0"/>
            <wp:docPr id="17" name="Chart 17" descr="Prescriptions for male patients by product and month of supply" title="Prescriptions for male patients by product and month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0B3E04F" w14:textId="63067FEC" w:rsidR="00745651" w:rsidRPr="00213632" w:rsidRDefault="00D9012E" w:rsidP="00745651">
      <w:pPr>
        <w:pStyle w:val="Figuretitle"/>
      </w:pPr>
      <w:r>
        <w:t>Figure 15</w:t>
      </w:r>
      <w:r w:rsidR="00745651" w:rsidRPr="00213632">
        <w:t>: Prescriptions for male patients by product and month of supply</w:t>
      </w:r>
    </w:p>
    <w:p w14:paraId="54A7FF8B" w14:textId="59AD72F7" w:rsidR="00745651" w:rsidRPr="00213632" w:rsidRDefault="00745651" w:rsidP="00A35800"/>
    <w:p w14:paraId="6E2044DF" w14:textId="4EA088AB" w:rsidR="00924179" w:rsidRPr="00213632" w:rsidRDefault="00924179" w:rsidP="001150E8">
      <w:r w:rsidRPr="00213632">
        <w:t>In male patients, the most c</w:t>
      </w:r>
      <w:r w:rsidR="001150E8" w:rsidRPr="00213632">
        <w:t>ommonly used product is 3</w:t>
      </w:r>
      <w:r w:rsidRPr="00213632">
        <w:t xml:space="preserve"> monthly implants of </w:t>
      </w:r>
      <w:proofErr w:type="spellStart"/>
      <w:r w:rsidR="001150E8" w:rsidRPr="00213632">
        <w:t>goserelin</w:t>
      </w:r>
      <w:proofErr w:type="spellEnd"/>
      <w:r w:rsidR="001150E8" w:rsidRPr="00213632">
        <w:t xml:space="preserve">, and the second most commonly used product is 3 monthly implants of </w:t>
      </w:r>
      <w:proofErr w:type="spellStart"/>
      <w:r w:rsidR="001150E8" w:rsidRPr="00213632">
        <w:t>leuprorelin</w:t>
      </w:r>
      <w:proofErr w:type="spellEnd"/>
      <w:r w:rsidR="001150E8" w:rsidRPr="00213632">
        <w:t>.</w:t>
      </w:r>
    </w:p>
    <w:p w14:paraId="4172973A" w14:textId="4F1AFB7C" w:rsidR="00E023EB" w:rsidRPr="00AF4DD6" w:rsidRDefault="00AF4DD6" w:rsidP="00745651">
      <w:r w:rsidRPr="00AF4DD6">
        <w:rPr>
          <w:rFonts w:ascii="Arial" w:hAnsi="Arial" w:cs="Arial"/>
          <w:noProof/>
          <w:sz w:val="20"/>
          <w:szCs w:val="20"/>
        </w:rPr>
        <w:lastRenderedPageBreak/>
        <w:drawing>
          <wp:inline distT="0" distB="0" distL="0" distR="0" wp14:anchorId="7634736E" wp14:editId="5A73EEC4">
            <wp:extent cx="5687695" cy="4268439"/>
            <wp:effectExtent l="0" t="0" r="8255" b="0"/>
            <wp:docPr id="25" name="Picture 25" descr="Length of treatment in days for male patients not accounting for breaks" title="Length of treatment in days for male patients not accounting for br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87695" cy="4268439"/>
                    </a:xfrm>
                    <a:prstGeom prst="rect">
                      <a:avLst/>
                    </a:prstGeom>
                    <a:noFill/>
                    <a:ln>
                      <a:noFill/>
                    </a:ln>
                  </pic:spPr>
                </pic:pic>
              </a:graphicData>
            </a:graphic>
          </wp:inline>
        </w:drawing>
      </w:r>
    </w:p>
    <w:p w14:paraId="2E4A4E0E" w14:textId="439EFDEC" w:rsidR="00E023EB" w:rsidRPr="00AF4DD6" w:rsidRDefault="00D9012E" w:rsidP="00E023EB">
      <w:pPr>
        <w:pStyle w:val="Figuretitle"/>
      </w:pPr>
      <w:r>
        <w:t>Figure 16</w:t>
      </w:r>
      <w:r w:rsidR="00E023EB" w:rsidRPr="00AF4DD6">
        <w:t>: Length of treatment</w:t>
      </w:r>
      <w:r w:rsidR="0061313F">
        <w:t xml:space="preserve"> in days</w:t>
      </w:r>
      <w:r w:rsidR="00E023EB" w:rsidRPr="00AF4DD6">
        <w:t xml:space="preserve"> for male patients not accounting for breaks</w:t>
      </w:r>
    </w:p>
    <w:p w14:paraId="57A23EC1" w14:textId="361D5179" w:rsidR="00E023EB" w:rsidRPr="00FB45D8" w:rsidRDefault="00E023EB" w:rsidP="00745651"/>
    <w:p w14:paraId="7B12E39E" w14:textId="6DFD9B50" w:rsidR="00E023EB" w:rsidRPr="00213632" w:rsidRDefault="00D9012E" w:rsidP="00E023EB">
      <w:pPr>
        <w:pStyle w:val="Figuretitle"/>
      </w:pPr>
      <w:r>
        <w:t>Table 16</w:t>
      </w:r>
      <w:r w:rsidR="00E023EB" w:rsidRPr="00213632">
        <w:t xml:space="preserve">: Length of treatment </w:t>
      </w:r>
      <w:r w:rsidR="00A745F0">
        <w:t xml:space="preserve">in days </w:t>
      </w:r>
      <w:r w:rsidR="00E023EB" w:rsidRPr="00213632">
        <w:t>for male patients not accounting for breaks</w:t>
      </w:r>
    </w:p>
    <w:tbl>
      <w:tblPr>
        <w:tblStyle w:val="TableGrid"/>
        <w:tblW w:w="8926" w:type="dxa"/>
        <w:tblLayout w:type="fixed"/>
        <w:tblLook w:val="04A0" w:firstRow="1" w:lastRow="0" w:firstColumn="1" w:lastColumn="0" w:noHBand="0" w:noVBand="1"/>
        <w:tblCaption w:val="Length of treatment in days for male patients not accounting for breaks"/>
        <w:tblDescription w:val="Length of treatment in days for male patients not accounting for breaks"/>
      </w:tblPr>
      <w:tblGrid>
        <w:gridCol w:w="892"/>
        <w:gridCol w:w="893"/>
        <w:gridCol w:w="892"/>
        <w:gridCol w:w="893"/>
        <w:gridCol w:w="893"/>
        <w:gridCol w:w="892"/>
        <w:gridCol w:w="893"/>
        <w:gridCol w:w="892"/>
        <w:gridCol w:w="893"/>
        <w:gridCol w:w="893"/>
      </w:tblGrid>
      <w:tr w:rsidR="00D9012E" w:rsidRPr="00866620" w14:paraId="6F7E48FC" w14:textId="77777777" w:rsidTr="0094329A">
        <w:trPr>
          <w:trHeight w:val="300"/>
          <w:tblHeader/>
        </w:trPr>
        <w:tc>
          <w:tcPr>
            <w:tcW w:w="892" w:type="dxa"/>
            <w:shd w:val="clear" w:color="auto" w:fill="BFBFBF" w:themeFill="background1" w:themeFillShade="BF"/>
            <w:noWrap/>
            <w:hideMark/>
          </w:tcPr>
          <w:p w14:paraId="03AF6F9B" w14:textId="77777777" w:rsidR="00D9012E" w:rsidRPr="00866620" w:rsidRDefault="00D9012E">
            <w:pPr>
              <w:rPr>
                <w:b/>
                <w:sz w:val="20"/>
                <w:szCs w:val="20"/>
              </w:rPr>
            </w:pPr>
            <w:r w:rsidRPr="00866620">
              <w:rPr>
                <w:b/>
                <w:sz w:val="20"/>
                <w:szCs w:val="20"/>
              </w:rPr>
              <w:t>n</w:t>
            </w:r>
          </w:p>
        </w:tc>
        <w:tc>
          <w:tcPr>
            <w:tcW w:w="893" w:type="dxa"/>
            <w:shd w:val="clear" w:color="auto" w:fill="BFBFBF" w:themeFill="background1" w:themeFillShade="BF"/>
            <w:noWrap/>
            <w:hideMark/>
          </w:tcPr>
          <w:p w14:paraId="7C5952B0" w14:textId="77777777" w:rsidR="00D9012E" w:rsidRPr="00866620" w:rsidRDefault="00D9012E">
            <w:pPr>
              <w:rPr>
                <w:b/>
                <w:sz w:val="20"/>
                <w:szCs w:val="20"/>
              </w:rPr>
            </w:pPr>
            <w:r w:rsidRPr="00866620">
              <w:rPr>
                <w:b/>
                <w:sz w:val="20"/>
                <w:szCs w:val="20"/>
              </w:rPr>
              <w:t>mean</w:t>
            </w:r>
          </w:p>
        </w:tc>
        <w:tc>
          <w:tcPr>
            <w:tcW w:w="892" w:type="dxa"/>
            <w:shd w:val="clear" w:color="auto" w:fill="BFBFBF" w:themeFill="background1" w:themeFillShade="BF"/>
            <w:noWrap/>
            <w:hideMark/>
          </w:tcPr>
          <w:p w14:paraId="647547DB" w14:textId="49B4A475" w:rsidR="00D9012E" w:rsidRPr="00866620" w:rsidRDefault="00D9012E">
            <w:pPr>
              <w:rPr>
                <w:b/>
                <w:sz w:val="20"/>
                <w:szCs w:val="20"/>
              </w:rPr>
            </w:pPr>
            <w:r>
              <w:rPr>
                <w:b/>
                <w:sz w:val="20"/>
                <w:szCs w:val="20"/>
              </w:rPr>
              <w:t>median</w:t>
            </w:r>
          </w:p>
        </w:tc>
        <w:tc>
          <w:tcPr>
            <w:tcW w:w="893" w:type="dxa"/>
            <w:shd w:val="clear" w:color="auto" w:fill="BFBFBF" w:themeFill="background1" w:themeFillShade="BF"/>
            <w:noWrap/>
            <w:hideMark/>
          </w:tcPr>
          <w:p w14:paraId="02528CE1" w14:textId="77777777" w:rsidR="00D9012E" w:rsidRPr="00866620" w:rsidRDefault="00D9012E">
            <w:pPr>
              <w:rPr>
                <w:b/>
                <w:sz w:val="20"/>
                <w:szCs w:val="20"/>
              </w:rPr>
            </w:pPr>
            <w:r w:rsidRPr="00866620">
              <w:rPr>
                <w:b/>
                <w:sz w:val="20"/>
                <w:szCs w:val="20"/>
              </w:rPr>
              <w:t>P90</w:t>
            </w:r>
          </w:p>
        </w:tc>
        <w:tc>
          <w:tcPr>
            <w:tcW w:w="893" w:type="dxa"/>
            <w:shd w:val="clear" w:color="auto" w:fill="BFBFBF" w:themeFill="background1" w:themeFillShade="BF"/>
            <w:noWrap/>
            <w:hideMark/>
          </w:tcPr>
          <w:p w14:paraId="33F351EE" w14:textId="77777777" w:rsidR="00D9012E" w:rsidRPr="00866620" w:rsidRDefault="00D9012E">
            <w:pPr>
              <w:rPr>
                <w:b/>
                <w:sz w:val="20"/>
                <w:szCs w:val="20"/>
              </w:rPr>
            </w:pPr>
            <w:r w:rsidRPr="00866620">
              <w:rPr>
                <w:b/>
                <w:sz w:val="20"/>
                <w:szCs w:val="20"/>
              </w:rPr>
              <w:t>P95</w:t>
            </w:r>
          </w:p>
        </w:tc>
        <w:tc>
          <w:tcPr>
            <w:tcW w:w="892" w:type="dxa"/>
            <w:shd w:val="clear" w:color="auto" w:fill="BFBFBF" w:themeFill="background1" w:themeFillShade="BF"/>
            <w:noWrap/>
            <w:hideMark/>
          </w:tcPr>
          <w:p w14:paraId="189AE82A" w14:textId="77777777" w:rsidR="00D9012E" w:rsidRPr="00866620" w:rsidRDefault="00D9012E">
            <w:pPr>
              <w:rPr>
                <w:b/>
                <w:sz w:val="20"/>
                <w:szCs w:val="20"/>
              </w:rPr>
            </w:pPr>
            <w:r w:rsidRPr="00866620">
              <w:rPr>
                <w:b/>
                <w:sz w:val="20"/>
                <w:szCs w:val="20"/>
              </w:rPr>
              <w:t>P96</w:t>
            </w:r>
          </w:p>
        </w:tc>
        <w:tc>
          <w:tcPr>
            <w:tcW w:w="893" w:type="dxa"/>
            <w:shd w:val="clear" w:color="auto" w:fill="BFBFBF" w:themeFill="background1" w:themeFillShade="BF"/>
            <w:noWrap/>
            <w:hideMark/>
          </w:tcPr>
          <w:p w14:paraId="09C94F6E" w14:textId="77777777" w:rsidR="00D9012E" w:rsidRPr="00866620" w:rsidRDefault="00D9012E">
            <w:pPr>
              <w:rPr>
                <w:b/>
                <w:sz w:val="20"/>
                <w:szCs w:val="20"/>
              </w:rPr>
            </w:pPr>
            <w:r w:rsidRPr="00866620">
              <w:rPr>
                <w:b/>
                <w:sz w:val="20"/>
                <w:szCs w:val="20"/>
              </w:rPr>
              <w:t>P97</w:t>
            </w:r>
          </w:p>
        </w:tc>
        <w:tc>
          <w:tcPr>
            <w:tcW w:w="892" w:type="dxa"/>
            <w:shd w:val="clear" w:color="auto" w:fill="BFBFBF" w:themeFill="background1" w:themeFillShade="BF"/>
            <w:noWrap/>
            <w:hideMark/>
          </w:tcPr>
          <w:p w14:paraId="0AF8DCF8" w14:textId="77777777" w:rsidR="00D9012E" w:rsidRPr="00866620" w:rsidRDefault="00D9012E">
            <w:pPr>
              <w:rPr>
                <w:b/>
                <w:sz w:val="20"/>
                <w:szCs w:val="20"/>
              </w:rPr>
            </w:pPr>
            <w:r w:rsidRPr="00866620">
              <w:rPr>
                <w:b/>
                <w:sz w:val="20"/>
                <w:szCs w:val="20"/>
              </w:rPr>
              <w:t>P98</w:t>
            </w:r>
          </w:p>
        </w:tc>
        <w:tc>
          <w:tcPr>
            <w:tcW w:w="893" w:type="dxa"/>
            <w:shd w:val="clear" w:color="auto" w:fill="BFBFBF" w:themeFill="background1" w:themeFillShade="BF"/>
            <w:noWrap/>
            <w:hideMark/>
          </w:tcPr>
          <w:p w14:paraId="0841DDCE" w14:textId="77777777" w:rsidR="00D9012E" w:rsidRPr="00866620" w:rsidRDefault="00D9012E">
            <w:pPr>
              <w:rPr>
                <w:b/>
                <w:sz w:val="20"/>
                <w:szCs w:val="20"/>
              </w:rPr>
            </w:pPr>
            <w:r w:rsidRPr="00866620">
              <w:rPr>
                <w:b/>
                <w:sz w:val="20"/>
                <w:szCs w:val="20"/>
              </w:rPr>
              <w:t>P99</w:t>
            </w:r>
          </w:p>
        </w:tc>
        <w:tc>
          <w:tcPr>
            <w:tcW w:w="893" w:type="dxa"/>
            <w:shd w:val="clear" w:color="auto" w:fill="BFBFBF" w:themeFill="background1" w:themeFillShade="BF"/>
            <w:noWrap/>
            <w:hideMark/>
          </w:tcPr>
          <w:p w14:paraId="61E6D4CB" w14:textId="77777777" w:rsidR="00D9012E" w:rsidRPr="00866620" w:rsidRDefault="00D9012E">
            <w:pPr>
              <w:rPr>
                <w:b/>
                <w:sz w:val="20"/>
                <w:szCs w:val="20"/>
              </w:rPr>
            </w:pPr>
            <w:r w:rsidRPr="00866620">
              <w:rPr>
                <w:b/>
                <w:sz w:val="20"/>
                <w:szCs w:val="20"/>
              </w:rPr>
              <w:t>P100</w:t>
            </w:r>
          </w:p>
        </w:tc>
      </w:tr>
      <w:tr w:rsidR="00D9012E" w:rsidRPr="00213632" w14:paraId="6B1B57D9" w14:textId="77777777" w:rsidTr="00192793">
        <w:trPr>
          <w:trHeight w:val="300"/>
        </w:trPr>
        <w:tc>
          <w:tcPr>
            <w:tcW w:w="892" w:type="dxa"/>
            <w:noWrap/>
            <w:hideMark/>
          </w:tcPr>
          <w:p w14:paraId="5AC2D233" w14:textId="2E35C455" w:rsidR="00D9012E" w:rsidRPr="00213632" w:rsidRDefault="00D9012E" w:rsidP="00AF4DD6">
            <w:pPr>
              <w:rPr>
                <w:sz w:val="20"/>
                <w:szCs w:val="20"/>
              </w:rPr>
            </w:pPr>
            <w:r w:rsidRPr="00213632">
              <w:rPr>
                <w:sz w:val="20"/>
                <w:szCs w:val="20"/>
              </w:rPr>
              <w:t>71</w:t>
            </w:r>
            <w:r>
              <w:rPr>
                <w:sz w:val="20"/>
                <w:szCs w:val="20"/>
              </w:rPr>
              <w:t>,</w:t>
            </w:r>
            <w:r w:rsidRPr="00213632">
              <w:rPr>
                <w:sz w:val="20"/>
                <w:szCs w:val="20"/>
              </w:rPr>
              <w:t>882</w:t>
            </w:r>
          </w:p>
        </w:tc>
        <w:tc>
          <w:tcPr>
            <w:tcW w:w="893" w:type="dxa"/>
            <w:noWrap/>
            <w:hideMark/>
          </w:tcPr>
          <w:p w14:paraId="7F06C2AB" w14:textId="79D1C0E8" w:rsidR="00D9012E" w:rsidRPr="00213632" w:rsidRDefault="00D9012E" w:rsidP="00213632">
            <w:pPr>
              <w:rPr>
                <w:sz w:val="20"/>
                <w:szCs w:val="20"/>
              </w:rPr>
            </w:pPr>
            <w:r w:rsidRPr="00213632">
              <w:rPr>
                <w:sz w:val="20"/>
                <w:szCs w:val="20"/>
              </w:rPr>
              <w:t>716</w:t>
            </w:r>
          </w:p>
        </w:tc>
        <w:tc>
          <w:tcPr>
            <w:tcW w:w="892" w:type="dxa"/>
            <w:noWrap/>
            <w:hideMark/>
          </w:tcPr>
          <w:p w14:paraId="30B085C5" w14:textId="0CE01F88" w:rsidR="00D9012E" w:rsidRPr="00213632" w:rsidRDefault="00D9012E" w:rsidP="00AF4DD6">
            <w:pPr>
              <w:rPr>
                <w:sz w:val="20"/>
                <w:szCs w:val="20"/>
              </w:rPr>
            </w:pPr>
            <w:r w:rsidRPr="00213632">
              <w:rPr>
                <w:sz w:val="20"/>
                <w:szCs w:val="20"/>
              </w:rPr>
              <w:t>546</w:t>
            </w:r>
          </w:p>
        </w:tc>
        <w:tc>
          <w:tcPr>
            <w:tcW w:w="893" w:type="dxa"/>
            <w:noWrap/>
            <w:hideMark/>
          </w:tcPr>
          <w:p w14:paraId="7F08992D" w14:textId="22A7F247" w:rsidR="00D9012E" w:rsidRPr="00213632" w:rsidRDefault="00D9012E" w:rsidP="00AF4DD6">
            <w:pPr>
              <w:rPr>
                <w:sz w:val="20"/>
                <w:szCs w:val="20"/>
              </w:rPr>
            </w:pPr>
            <w:r w:rsidRPr="00213632">
              <w:rPr>
                <w:sz w:val="20"/>
                <w:szCs w:val="20"/>
              </w:rPr>
              <w:t>1</w:t>
            </w:r>
            <w:r>
              <w:rPr>
                <w:sz w:val="20"/>
                <w:szCs w:val="20"/>
              </w:rPr>
              <w:t>,</w:t>
            </w:r>
            <w:r w:rsidRPr="00213632">
              <w:rPr>
                <w:sz w:val="20"/>
                <w:szCs w:val="20"/>
              </w:rPr>
              <w:t>729</w:t>
            </w:r>
          </w:p>
        </w:tc>
        <w:tc>
          <w:tcPr>
            <w:tcW w:w="893" w:type="dxa"/>
            <w:noWrap/>
            <w:hideMark/>
          </w:tcPr>
          <w:p w14:paraId="07E93F8C" w14:textId="04B8E092" w:rsidR="00D9012E" w:rsidRPr="00213632" w:rsidRDefault="00D9012E" w:rsidP="00AF4DD6">
            <w:pPr>
              <w:rPr>
                <w:sz w:val="20"/>
                <w:szCs w:val="20"/>
              </w:rPr>
            </w:pPr>
            <w:r w:rsidRPr="00213632">
              <w:rPr>
                <w:sz w:val="20"/>
                <w:szCs w:val="20"/>
              </w:rPr>
              <w:t>1</w:t>
            </w:r>
            <w:r>
              <w:rPr>
                <w:sz w:val="20"/>
                <w:szCs w:val="20"/>
              </w:rPr>
              <w:t>,</w:t>
            </w:r>
            <w:r w:rsidRPr="00213632">
              <w:rPr>
                <w:sz w:val="20"/>
                <w:szCs w:val="20"/>
              </w:rPr>
              <w:t>777</w:t>
            </w:r>
          </w:p>
        </w:tc>
        <w:tc>
          <w:tcPr>
            <w:tcW w:w="892" w:type="dxa"/>
            <w:noWrap/>
            <w:hideMark/>
          </w:tcPr>
          <w:p w14:paraId="1A379C6D" w14:textId="5F0B5040" w:rsidR="00D9012E" w:rsidRPr="00213632" w:rsidRDefault="00D9012E" w:rsidP="00AF4DD6">
            <w:pPr>
              <w:rPr>
                <w:sz w:val="20"/>
                <w:szCs w:val="20"/>
              </w:rPr>
            </w:pPr>
            <w:r w:rsidRPr="00213632">
              <w:rPr>
                <w:sz w:val="20"/>
                <w:szCs w:val="20"/>
              </w:rPr>
              <w:t>1</w:t>
            </w:r>
            <w:r>
              <w:rPr>
                <w:sz w:val="20"/>
                <w:szCs w:val="20"/>
              </w:rPr>
              <w:t>,</w:t>
            </w:r>
            <w:r w:rsidRPr="00213632">
              <w:rPr>
                <w:sz w:val="20"/>
                <w:szCs w:val="20"/>
              </w:rPr>
              <w:t>787</w:t>
            </w:r>
          </w:p>
        </w:tc>
        <w:tc>
          <w:tcPr>
            <w:tcW w:w="893" w:type="dxa"/>
            <w:noWrap/>
            <w:hideMark/>
          </w:tcPr>
          <w:p w14:paraId="6278CEC6" w14:textId="7B65601D" w:rsidR="00D9012E" w:rsidRPr="00213632" w:rsidRDefault="00D9012E" w:rsidP="00AF4DD6">
            <w:pPr>
              <w:rPr>
                <w:sz w:val="20"/>
                <w:szCs w:val="20"/>
              </w:rPr>
            </w:pPr>
            <w:r w:rsidRPr="00213632">
              <w:rPr>
                <w:sz w:val="20"/>
                <w:szCs w:val="20"/>
              </w:rPr>
              <w:t>1</w:t>
            </w:r>
            <w:r>
              <w:rPr>
                <w:sz w:val="20"/>
                <w:szCs w:val="20"/>
              </w:rPr>
              <w:t>,</w:t>
            </w:r>
            <w:r w:rsidRPr="00213632">
              <w:rPr>
                <w:sz w:val="20"/>
                <w:szCs w:val="20"/>
              </w:rPr>
              <w:t>795</w:t>
            </w:r>
          </w:p>
        </w:tc>
        <w:tc>
          <w:tcPr>
            <w:tcW w:w="892" w:type="dxa"/>
            <w:noWrap/>
            <w:hideMark/>
          </w:tcPr>
          <w:p w14:paraId="4FA15F37" w14:textId="6B8A7D02" w:rsidR="00D9012E" w:rsidRPr="00213632" w:rsidRDefault="00D9012E" w:rsidP="00AF4DD6">
            <w:pPr>
              <w:rPr>
                <w:sz w:val="20"/>
                <w:szCs w:val="20"/>
              </w:rPr>
            </w:pPr>
            <w:r w:rsidRPr="00213632">
              <w:rPr>
                <w:sz w:val="20"/>
                <w:szCs w:val="20"/>
              </w:rPr>
              <w:t>1</w:t>
            </w:r>
            <w:r>
              <w:rPr>
                <w:sz w:val="20"/>
                <w:szCs w:val="20"/>
              </w:rPr>
              <w:t>,</w:t>
            </w:r>
            <w:r w:rsidRPr="00213632">
              <w:rPr>
                <w:sz w:val="20"/>
                <w:szCs w:val="20"/>
              </w:rPr>
              <w:t>804</w:t>
            </w:r>
          </w:p>
        </w:tc>
        <w:tc>
          <w:tcPr>
            <w:tcW w:w="893" w:type="dxa"/>
            <w:noWrap/>
            <w:hideMark/>
          </w:tcPr>
          <w:p w14:paraId="7CCEA049" w14:textId="0FAA1021" w:rsidR="00D9012E" w:rsidRPr="00213632" w:rsidRDefault="00D9012E" w:rsidP="00AF4DD6">
            <w:pPr>
              <w:rPr>
                <w:sz w:val="20"/>
                <w:szCs w:val="20"/>
              </w:rPr>
            </w:pPr>
            <w:r w:rsidRPr="00213632">
              <w:rPr>
                <w:sz w:val="20"/>
                <w:szCs w:val="20"/>
              </w:rPr>
              <w:t>1</w:t>
            </w:r>
            <w:r>
              <w:rPr>
                <w:sz w:val="20"/>
                <w:szCs w:val="20"/>
              </w:rPr>
              <w:t>,</w:t>
            </w:r>
            <w:r w:rsidRPr="00213632">
              <w:rPr>
                <w:sz w:val="20"/>
                <w:szCs w:val="20"/>
              </w:rPr>
              <w:t>813</w:t>
            </w:r>
          </w:p>
        </w:tc>
        <w:tc>
          <w:tcPr>
            <w:tcW w:w="893" w:type="dxa"/>
            <w:noWrap/>
            <w:hideMark/>
          </w:tcPr>
          <w:p w14:paraId="1DE81286" w14:textId="0B67FD8E" w:rsidR="00D9012E" w:rsidRPr="00213632" w:rsidRDefault="00D9012E" w:rsidP="00AF4DD6">
            <w:pPr>
              <w:rPr>
                <w:sz w:val="20"/>
                <w:szCs w:val="20"/>
              </w:rPr>
            </w:pPr>
            <w:r w:rsidRPr="00213632">
              <w:rPr>
                <w:sz w:val="20"/>
                <w:szCs w:val="20"/>
              </w:rPr>
              <w:t>1</w:t>
            </w:r>
            <w:r>
              <w:rPr>
                <w:sz w:val="20"/>
                <w:szCs w:val="20"/>
              </w:rPr>
              <w:t>,</w:t>
            </w:r>
            <w:r w:rsidRPr="00213632">
              <w:rPr>
                <w:sz w:val="20"/>
                <w:szCs w:val="20"/>
              </w:rPr>
              <w:t>825</w:t>
            </w:r>
          </w:p>
        </w:tc>
      </w:tr>
    </w:tbl>
    <w:p w14:paraId="69F94B71" w14:textId="0B1ABDF3" w:rsidR="00E023EB" w:rsidRPr="00213632" w:rsidRDefault="00E023EB" w:rsidP="00745651"/>
    <w:p w14:paraId="38C8F923" w14:textId="5FE75ECE" w:rsidR="00E023EB" w:rsidRPr="00213632" w:rsidRDefault="00D9012E" w:rsidP="00E023EB">
      <w:pPr>
        <w:pStyle w:val="Figuretitle"/>
      </w:pPr>
      <w:r>
        <w:t>Table 17</w:t>
      </w:r>
      <w:r w:rsidR="00E023EB" w:rsidRPr="00213632">
        <w:t xml:space="preserve">: Length of treatment </w:t>
      </w:r>
      <w:r w:rsidR="00A745F0">
        <w:t xml:space="preserve">in days </w:t>
      </w:r>
      <w:r w:rsidR="00E023EB" w:rsidRPr="00213632">
        <w:t>for male patients accounting for breaks</w:t>
      </w:r>
    </w:p>
    <w:tbl>
      <w:tblPr>
        <w:tblStyle w:val="TableGrid"/>
        <w:tblW w:w="8926" w:type="dxa"/>
        <w:tblLayout w:type="fixed"/>
        <w:tblLook w:val="04A0" w:firstRow="1" w:lastRow="0" w:firstColumn="1" w:lastColumn="0" w:noHBand="0" w:noVBand="1"/>
        <w:tblCaption w:val="Length of treatment in days for male patients accounting for breaks"/>
        <w:tblDescription w:val="Length of treatment in days for male patients accounting for breaks"/>
      </w:tblPr>
      <w:tblGrid>
        <w:gridCol w:w="892"/>
        <w:gridCol w:w="893"/>
        <w:gridCol w:w="892"/>
        <w:gridCol w:w="893"/>
        <w:gridCol w:w="893"/>
        <w:gridCol w:w="892"/>
        <w:gridCol w:w="893"/>
        <w:gridCol w:w="892"/>
        <w:gridCol w:w="893"/>
        <w:gridCol w:w="893"/>
      </w:tblGrid>
      <w:tr w:rsidR="00D9012E" w:rsidRPr="00866620" w14:paraId="1F42AB5A" w14:textId="77777777" w:rsidTr="0094329A">
        <w:trPr>
          <w:trHeight w:val="300"/>
          <w:tblHeader/>
        </w:trPr>
        <w:tc>
          <w:tcPr>
            <w:tcW w:w="892" w:type="dxa"/>
            <w:shd w:val="clear" w:color="auto" w:fill="BFBFBF" w:themeFill="background1" w:themeFillShade="BF"/>
            <w:noWrap/>
            <w:hideMark/>
          </w:tcPr>
          <w:p w14:paraId="62B606A3" w14:textId="77777777" w:rsidR="00D9012E" w:rsidRPr="00866620" w:rsidRDefault="00D9012E">
            <w:pPr>
              <w:rPr>
                <w:b/>
                <w:sz w:val="20"/>
                <w:szCs w:val="20"/>
              </w:rPr>
            </w:pPr>
            <w:r w:rsidRPr="00866620">
              <w:rPr>
                <w:b/>
                <w:sz w:val="20"/>
                <w:szCs w:val="20"/>
              </w:rPr>
              <w:t>n</w:t>
            </w:r>
          </w:p>
        </w:tc>
        <w:tc>
          <w:tcPr>
            <w:tcW w:w="893" w:type="dxa"/>
            <w:shd w:val="clear" w:color="auto" w:fill="BFBFBF" w:themeFill="background1" w:themeFillShade="BF"/>
            <w:noWrap/>
            <w:hideMark/>
          </w:tcPr>
          <w:p w14:paraId="7C2990ED" w14:textId="77777777" w:rsidR="00D9012E" w:rsidRPr="00866620" w:rsidRDefault="00D9012E">
            <w:pPr>
              <w:rPr>
                <w:b/>
                <w:sz w:val="20"/>
                <w:szCs w:val="20"/>
              </w:rPr>
            </w:pPr>
            <w:r w:rsidRPr="00866620">
              <w:rPr>
                <w:b/>
                <w:sz w:val="20"/>
                <w:szCs w:val="20"/>
              </w:rPr>
              <w:t>mean</w:t>
            </w:r>
          </w:p>
        </w:tc>
        <w:tc>
          <w:tcPr>
            <w:tcW w:w="892" w:type="dxa"/>
            <w:shd w:val="clear" w:color="auto" w:fill="BFBFBF" w:themeFill="background1" w:themeFillShade="BF"/>
            <w:noWrap/>
            <w:hideMark/>
          </w:tcPr>
          <w:p w14:paraId="13E3C00C" w14:textId="26AA0573" w:rsidR="00D9012E" w:rsidRPr="00866620" w:rsidRDefault="00D9012E">
            <w:pPr>
              <w:rPr>
                <w:b/>
                <w:sz w:val="20"/>
                <w:szCs w:val="20"/>
              </w:rPr>
            </w:pPr>
            <w:r>
              <w:rPr>
                <w:b/>
                <w:sz w:val="20"/>
                <w:szCs w:val="20"/>
              </w:rPr>
              <w:t>median</w:t>
            </w:r>
          </w:p>
        </w:tc>
        <w:tc>
          <w:tcPr>
            <w:tcW w:w="893" w:type="dxa"/>
            <w:shd w:val="clear" w:color="auto" w:fill="BFBFBF" w:themeFill="background1" w:themeFillShade="BF"/>
            <w:noWrap/>
            <w:hideMark/>
          </w:tcPr>
          <w:p w14:paraId="234B4A2D" w14:textId="77777777" w:rsidR="00D9012E" w:rsidRPr="00866620" w:rsidRDefault="00D9012E">
            <w:pPr>
              <w:rPr>
                <w:b/>
                <w:sz w:val="20"/>
                <w:szCs w:val="20"/>
              </w:rPr>
            </w:pPr>
            <w:r w:rsidRPr="00866620">
              <w:rPr>
                <w:b/>
                <w:sz w:val="20"/>
                <w:szCs w:val="20"/>
              </w:rPr>
              <w:t>P90</w:t>
            </w:r>
          </w:p>
        </w:tc>
        <w:tc>
          <w:tcPr>
            <w:tcW w:w="893" w:type="dxa"/>
            <w:shd w:val="clear" w:color="auto" w:fill="BFBFBF" w:themeFill="background1" w:themeFillShade="BF"/>
            <w:noWrap/>
            <w:hideMark/>
          </w:tcPr>
          <w:p w14:paraId="1A697492" w14:textId="77777777" w:rsidR="00D9012E" w:rsidRPr="00866620" w:rsidRDefault="00D9012E">
            <w:pPr>
              <w:rPr>
                <w:b/>
                <w:sz w:val="20"/>
                <w:szCs w:val="20"/>
              </w:rPr>
            </w:pPr>
            <w:r w:rsidRPr="00866620">
              <w:rPr>
                <w:b/>
                <w:sz w:val="20"/>
                <w:szCs w:val="20"/>
              </w:rPr>
              <w:t>P95</w:t>
            </w:r>
          </w:p>
        </w:tc>
        <w:tc>
          <w:tcPr>
            <w:tcW w:w="892" w:type="dxa"/>
            <w:shd w:val="clear" w:color="auto" w:fill="BFBFBF" w:themeFill="background1" w:themeFillShade="BF"/>
            <w:noWrap/>
            <w:hideMark/>
          </w:tcPr>
          <w:p w14:paraId="5AA9BECF" w14:textId="77777777" w:rsidR="00D9012E" w:rsidRPr="00866620" w:rsidRDefault="00D9012E">
            <w:pPr>
              <w:rPr>
                <w:b/>
                <w:sz w:val="20"/>
                <w:szCs w:val="20"/>
              </w:rPr>
            </w:pPr>
            <w:r w:rsidRPr="00866620">
              <w:rPr>
                <w:b/>
                <w:sz w:val="20"/>
                <w:szCs w:val="20"/>
              </w:rPr>
              <w:t>P96</w:t>
            </w:r>
          </w:p>
        </w:tc>
        <w:tc>
          <w:tcPr>
            <w:tcW w:w="893" w:type="dxa"/>
            <w:shd w:val="clear" w:color="auto" w:fill="BFBFBF" w:themeFill="background1" w:themeFillShade="BF"/>
            <w:noWrap/>
            <w:hideMark/>
          </w:tcPr>
          <w:p w14:paraId="3D09E6C3" w14:textId="77777777" w:rsidR="00D9012E" w:rsidRPr="00866620" w:rsidRDefault="00D9012E">
            <w:pPr>
              <w:rPr>
                <w:b/>
                <w:sz w:val="20"/>
                <w:szCs w:val="20"/>
              </w:rPr>
            </w:pPr>
            <w:r w:rsidRPr="00866620">
              <w:rPr>
                <w:b/>
                <w:sz w:val="20"/>
                <w:szCs w:val="20"/>
              </w:rPr>
              <w:t>P97</w:t>
            </w:r>
          </w:p>
        </w:tc>
        <w:tc>
          <w:tcPr>
            <w:tcW w:w="892" w:type="dxa"/>
            <w:shd w:val="clear" w:color="auto" w:fill="BFBFBF" w:themeFill="background1" w:themeFillShade="BF"/>
            <w:noWrap/>
            <w:hideMark/>
          </w:tcPr>
          <w:p w14:paraId="3FE69F55" w14:textId="77777777" w:rsidR="00D9012E" w:rsidRPr="00866620" w:rsidRDefault="00D9012E">
            <w:pPr>
              <w:rPr>
                <w:b/>
                <w:sz w:val="20"/>
                <w:szCs w:val="20"/>
              </w:rPr>
            </w:pPr>
            <w:r w:rsidRPr="00866620">
              <w:rPr>
                <w:b/>
                <w:sz w:val="20"/>
                <w:szCs w:val="20"/>
              </w:rPr>
              <w:t>P98</w:t>
            </w:r>
          </w:p>
        </w:tc>
        <w:tc>
          <w:tcPr>
            <w:tcW w:w="893" w:type="dxa"/>
            <w:shd w:val="clear" w:color="auto" w:fill="BFBFBF" w:themeFill="background1" w:themeFillShade="BF"/>
            <w:noWrap/>
            <w:hideMark/>
          </w:tcPr>
          <w:p w14:paraId="0D7B4737" w14:textId="77777777" w:rsidR="00D9012E" w:rsidRPr="00866620" w:rsidRDefault="00D9012E">
            <w:pPr>
              <w:rPr>
                <w:b/>
                <w:sz w:val="20"/>
                <w:szCs w:val="20"/>
              </w:rPr>
            </w:pPr>
            <w:r w:rsidRPr="00866620">
              <w:rPr>
                <w:b/>
                <w:sz w:val="20"/>
                <w:szCs w:val="20"/>
              </w:rPr>
              <w:t>P99</w:t>
            </w:r>
          </w:p>
        </w:tc>
        <w:tc>
          <w:tcPr>
            <w:tcW w:w="893" w:type="dxa"/>
            <w:shd w:val="clear" w:color="auto" w:fill="BFBFBF" w:themeFill="background1" w:themeFillShade="BF"/>
            <w:noWrap/>
            <w:hideMark/>
          </w:tcPr>
          <w:p w14:paraId="4D67B975" w14:textId="77777777" w:rsidR="00D9012E" w:rsidRPr="00866620" w:rsidRDefault="00D9012E">
            <w:pPr>
              <w:rPr>
                <w:b/>
                <w:sz w:val="20"/>
                <w:szCs w:val="20"/>
              </w:rPr>
            </w:pPr>
            <w:r w:rsidRPr="00866620">
              <w:rPr>
                <w:b/>
                <w:sz w:val="20"/>
                <w:szCs w:val="20"/>
              </w:rPr>
              <w:t>P100</w:t>
            </w:r>
          </w:p>
        </w:tc>
      </w:tr>
      <w:tr w:rsidR="00D9012E" w:rsidRPr="005058C2" w14:paraId="68E59EBE" w14:textId="77777777" w:rsidTr="00D9012E">
        <w:trPr>
          <w:trHeight w:val="300"/>
        </w:trPr>
        <w:tc>
          <w:tcPr>
            <w:tcW w:w="892" w:type="dxa"/>
            <w:noWrap/>
            <w:hideMark/>
          </w:tcPr>
          <w:p w14:paraId="5BB45A1C" w14:textId="59DA4B22" w:rsidR="00D9012E" w:rsidRPr="005058C2" w:rsidRDefault="00D9012E" w:rsidP="00213632">
            <w:pPr>
              <w:rPr>
                <w:sz w:val="20"/>
                <w:szCs w:val="20"/>
              </w:rPr>
            </w:pPr>
            <w:r w:rsidRPr="005058C2">
              <w:rPr>
                <w:sz w:val="20"/>
                <w:szCs w:val="20"/>
              </w:rPr>
              <w:t>71</w:t>
            </w:r>
            <w:r>
              <w:rPr>
                <w:sz w:val="20"/>
                <w:szCs w:val="20"/>
              </w:rPr>
              <w:t>,</w:t>
            </w:r>
            <w:r w:rsidRPr="005058C2">
              <w:rPr>
                <w:sz w:val="20"/>
                <w:szCs w:val="20"/>
              </w:rPr>
              <w:t>882</w:t>
            </w:r>
          </w:p>
        </w:tc>
        <w:tc>
          <w:tcPr>
            <w:tcW w:w="893" w:type="dxa"/>
            <w:noWrap/>
            <w:hideMark/>
          </w:tcPr>
          <w:p w14:paraId="30F1C9C7" w14:textId="0CDD1888" w:rsidR="00D9012E" w:rsidRPr="005058C2" w:rsidRDefault="00D9012E" w:rsidP="00213632">
            <w:pPr>
              <w:rPr>
                <w:sz w:val="20"/>
                <w:szCs w:val="20"/>
              </w:rPr>
            </w:pPr>
            <w:r w:rsidRPr="005058C2">
              <w:rPr>
                <w:sz w:val="20"/>
                <w:szCs w:val="20"/>
              </w:rPr>
              <w:t>622</w:t>
            </w:r>
          </w:p>
        </w:tc>
        <w:tc>
          <w:tcPr>
            <w:tcW w:w="892" w:type="dxa"/>
            <w:noWrap/>
            <w:hideMark/>
          </w:tcPr>
          <w:p w14:paraId="6D9E797E" w14:textId="4BA4CF3E" w:rsidR="00D9012E" w:rsidRPr="005058C2" w:rsidRDefault="00D9012E" w:rsidP="00213632">
            <w:pPr>
              <w:rPr>
                <w:sz w:val="20"/>
                <w:szCs w:val="20"/>
              </w:rPr>
            </w:pPr>
            <w:r w:rsidRPr="005058C2">
              <w:rPr>
                <w:sz w:val="20"/>
                <w:szCs w:val="20"/>
              </w:rPr>
              <w:t>448</w:t>
            </w:r>
          </w:p>
        </w:tc>
        <w:tc>
          <w:tcPr>
            <w:tcW w:w="893" w:type="dxa"/>
            <w:noWrap/>
            <w:hideMark/>
          </w:tcPr>
          <w:p w14:paraId="73A7B914" w14:textId="5D3AD0F9" w:rsidR="00D9012E" w:rsidRPr="005058C2" w:rsidRDefault="00D9012E" w:rsidP="00213632">
            <w:pPr>
              <w:rPr>
                <w:sz w:val="20"/>
                <w:szCs w:val="20"/>
              </w:rPr>
            </w:pPr>
            <w:r w:rsidRPr="005058C2">
              <w:rPr>
                <w:sz w:val="20"/>
                <w:szCs w:val="20"/>
              </w:rPr>
              <w:t>1</w:t>
            </w:r>
            <w:r>
              <w:rPr>
                <w:sz w:val="20"/>
                <w:szCs w:val="20"/>
              </w:rPr>
              <w:t>,</w:t>
            </w:r>
            <w:r w:rsidRPr="005058C2">
              <w:rPr>
                <w:sz w:val="20"/>
                <w:szCs w:val="20"/>
              </w:rPr>
              <w:t>579</w:t>
            </w:r>
          </w:p>
        </w:tc>
        <w:tc>
          <w:tcPr>
            <w:tcW w:w="893" w:type="dxa"/>
            <w:noWrap/>
            <w:hideMark/>
          </w:tcPr>
          <w:p w14:paraId="04741A19" w14:textId="4EC97449" w:rsidR="00D9012E" w:rsidRPr="005058C2" w:rsidRDefault="00D9012E" w:rsidP="00213632">
            <w:pPr>
              <w:rPr>
                <w:sz w:val="20"/>
                <w:szCs w:val="20"/>
              </w:rPr>
            </w:pPr>
            <w:r w:rsidRPr="005058C2">
              <w:rPr>
                <w:sz w:val="20"/>
                <w:szCs w:val="20"/>
              </w:rPr>
              <w:t>1</w:t>
            </w:r>
            <w:r>
              <w:rPr>
                <w:sz w:val="20"/>
                <w:szCs w:val="20"/>
              </w:rPr>
              <w:t>,</w:t>
            </w:r>
            <w:r w:rsidRPr="005058C2">
              <w:rPr>
                <w:sz w:val="20"/>
                <w:szCs w:val="20"/>
              </w:rPr>
              <w:t>764</w:t>
            </w:r>
          </w:p>
        </w:tc>
        <w:tc>
          <w:tcPr>
            <w:tcW w:w="892" w:type="dxa"/>
            <w:noWrap/>
            <w:hideMark/>
          </w:tcPr>
          <w:p w14:paraId="7519DEDC" w14:textId="50408A44" w:rsidR="00D9012E" w:rsidRPr="005058C2" w:rsidRDefault="00D9012E" w:rsidP="00213632">
            <w:pPr>
              <w:rPr>
                <w:sz w:val="20"/>
                <w:szCs w:val="20"/>
              </w:rPr>
            </w:pPr>
            <w:r w:rsidRPr="005058C2">
              <w:rPr>
                <w:sz w:val="20"/>
                <w:szCs w:val="20"/>
              </w:rPr>
              <w:t>1</w:t>
            </w:r>
            <w:r>
              <w:rPr>
                <w:sz w:val="20"/>
                <w:szCs w:val="20"/>
              </w:rPr>
              <w:t>,</w:t>
            </w:r>
            <w:r w:rsidRPr="005058C2">
              <w:rPr>
                <w:sz w:val="20"/>
                <w:szCs w:val="20"/>
              </w:rPr>
              <w:t>775</w:t>
            </w:r>
          </w:p>
        </w:tc>
        <w:tc>
          <w:tcPr>
            <w:tcW w:w="893" w:type="dxa"/>
            <w:noWrap/>
            <w:hideMark/>
          </w:tcPr>
          <w:p w14:paraId="7C879D72" w14:textId="643A57C7" w:rsidR="00D9012E" w:rsidRPr="005058C2" w:rsidRDefault="00D9012E" w:rsidP="00213632">
            <w:pPr>
              <w:rPr>
                <w:sz w:val="20"/>
                <w:szCs w:val="20"/>
              </w:rPr>
            </w:pPr>
            <w:r w:rsidRPr="005058C2">
              <w:rPr>
                <w:sz w:val="20"/>
                <w:szCs w:val="20"/>
              </w:rPr>
              <w:t>1</w:t>
            </w:r>
            <w:r>
              <w:rPr>
                <w:sz w:val="20"/>
                <w:szCs w:val="20"/>
              </w:rPr>
              <w:t>,</w:t>
            </w:r>
            <w:r w:rsidRPr="005058C2">
              <w:rPr>
                <w:sz w:val="20"/>
                <w:szCs w:val="20"/>
              </w:rPr>
              <w:t>785</w:t>
            </w:r>
          </w:p>
        </w:tc>
        <w:tc>
          <w:tcPr>
            <w:tcW w:w="892" w:type="dxa"/>
            <w:noWrap/>
            <w:hideMark/>
          </w:tcPr>
          <w:p w14:paraId="79B0249C" w14:textId="1A921938" w:rsidR="00D9012E" w:rsidRPr="005058C2" w:rsidRDefault="00D9012E" w:rsidP="00213632">
            <w:pPr>
              <w:rPr>
                <w:sz w:val="20"/>
                <w:szCs w:val="20"/>
              </w:rPr>
            </w:pPr>
            <w:r w:rsidRPr="005058C2">
              <w:rPr>
                <w:sz w:val="20"/>
                <w:szCs w:val="20"/>
              </w:rPr>
              <w:t>1</w:t>
            </w:r>
            <w:r>
              <w:rPr>
                <w:sz w:val="20"/>
                <w:szCs w:val="20"/>
              </w:rPr>
              <w:t>,</w:t>
            </w:r>
            <w:r w:rsidRPr="005058C2">
              <w:rPr>
                <w:sz w:val="20"/>
                <w:szCs w:val="20"/>
              </w:rPr>
              <w:t>797</w:t>
            </w:r>
          </w:p>
        </w:tc>
        <w:tc>
          <w:tcPr>
            <w:tcW w:w="893" w:type="dxa"/>
            <w:noWrap/>
            <w:hideMark/>
          </w:tcPr>
          <w:p w14:paraId="75795ACC" w14:textId="664455D3" w:rsidR="00D9012E" w:rsidRPr="005058C2" w:rsidRDefault="00D9012E" w:rsidP="00213632">
            <w:pPr>
              <w:rPr>
                <w:sz w:val="20"/>
                <w:szCs w:val="20"/>
              </w:rPr>
            </w:pPr>
            <w:r w:rsidRPr="005058C2">
              <w:rPr>
                <w:sz w:val="20"/>
                <w:szCs w:val="20"/>
              </w:rPr>
              <w:t>1</w:t>
            </w:r>
            <w:r>
              <w:rPr>
                <w:sz w:val="20"/>
                <w:szCs w:val="20"/>
              </w:rPr>
              <w:t>,</w:t>
            </w:r>
            <w:r w:rsidRPr="005058C2">
              <w:rPr>
                <w:sz w:val="20"/>
                <w:szCs w:val="20"/>
              </w:rPr>
              <w:t>811</w:t>
            </w:r>
          </w:p>
        </w:tc>
        <w:tc>
          <w:tcPr>
            <w:tcW w:w="893" w:type="dxa"/>
            <w:noWrap/>
            <w:hideMark/>
          </w:tcPr>
          <w:p w14:paraId="4B9D3420" w14:textId="03F351CE" w:rsidR="00D9012E" w:rsidRPr="005058C2" w:rsidRDefault="00D9012E" w:rsidP="00213632">
            <w:pPr>
              <w:rPr>
                <w:sz w:val="20"/>
                <w:szCs w:val="20"/>
              </w:rPr>
            </w:pPr>
            <w:r w:rsidRPr="005058C2">
              <w:rPr>
                <w:sz w:val="20"/>
                <w:szCs w:val="20"/>
              </w:rPr>
              <w:t>1</w:t>
            </w:r>
            <w:r>
              <w:rPr>
                <w:sz w:val="20"/>
                <w:szCs w:val="20"/>
              </w:rPr>
              <w:t>,</w:t>
            </w:r>
            <w:r w:rsidRPr="005058C2">
              <w:rPr>
                <w:sz w:val="20"/>
                <w:szCs w:val="20"/>
              </w:rPr>
              <w:t>825</w:t>
            </w:r>
          </w:p>
        </w:tc>
      </w:tr>
    </w:tbl>
    <w:p w14:paraId="1BF5D178" w14:textId="77777777" w:rsidR="00E023EB" w:rsidRPr="00866620" w:rsidRDefault="00E023EB" w:rsidP="00745651"/>
    <w:p w14:paraId="599062E5" w14:textId="52F4095A" w:rsidR="00C53A5A" w:rsidRPr="00866620" w:rsidRDefault="001910B0" w:rsidP="002A6704">
      <w:r>
        <w:t>For male patients, the</w:t>
      </w:r>
      <w:r w:rsidR="00866620">
        <w:t xml:space="preserve"> mean duration of treatment is close to two years, and the median is </w:t>
      </w:r>
      <w:r>
        <w:t>approximately 1.5 years. Some patients have been treated for the entire five year period.</w:t>
      </w:r>
    </w:p>
    <w:p w14:paraId="4F8723A6" w14:textId="0D3F89A6" w:rsidR="00736041" w:rsidRPr="00804337" w:rsidRDefault="001B5D37" w:rsidP="001910B0">
      <w:pPr>
        <w:pStyle w:val="Heading2"/>
        <w:keepNext/>
      </w:pPr>
      <w:r w:rsidRPr="00804337">
        <w:lastRenderedPageBreak/>
        <w:t xml:space="preserve">Analysis </w:t>
      </w:r>
      <w:r w:rsidR="00481108" w:rsidRPr="00804337">
        <w:t xml:space="preserve">of </w:t>
      </w:r>
      <w:r w:rsidR="0063631C" w:rsidRPr="00804337">
        <w:t>e</w:t>
      </w:r>
      <w:r w:rsidR="00736041" w:rsidRPr="00804337">
        <w:t>xpenditure</w:t>
      </w:r>
    </w:p>
    <w:p w14:paraId="3F67D9D3" w14:textId="21DE10E1" w:rsidR="000F314B" w:rsidRPr="004C1DC3" w:rsidRDefault="00804337" w:rsidP="00853F97">
      <w:pPr>
        <w:rPr>
          <w:color w:val="BFBFBF" w:themeColor="background1" w:themeShade="BF"/>
        </w:rPr>
      </w:pPr>
      <w:r>
        <w:rPr>
          <w:noProof/>
        </w:rPr>
        <w:drawing>
          <wp:inline distT="0" distB="0" distL="0" distR="0" wp14:anchorId="5F3A452E" wp14:editId="5DE737EF">
            <wp:extent cx="5613991" cy="3593804"/>
            <wp:effectExtent l="0" t="0" r="6350" b="6985"/>
            <wp:docPr id="7" name="Chart 7" descr="Cost of GnRH agonists by drug and month of supply" title="Cost of GnRH agonists by drug and month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1ECB895" w14:textId="796B53A3" w:rsidR="000F314B" w:rsidRPr="00804337" w:rsidRDefault="00D9012E" w:rsidP="000F314B">
      <w:pPr>
        <w:pStyle w:val="Figuretitle"/>
      </w:pPr>
      <w:r>
        <w:t>Figure 17</w:t>
      </w:r>
      <w:r w:rsidR="000F314B" w:rsidRPr="00804337">
        <w:t xml:space="preserve">: Cost of </w:t>
      </w:r>
      <w:proofErr w:type="spellStart"/>
      <w:r w:rsidR="000F314B" w:rsidRPr="00804337">
        <w:t>GnRH</w:t>
      </w:r>
      <w:proofErr w:type="spellEnd"/>
      <w:r w:rsidR="000F314B" w:rsidRPr="00804337">
        <w:t xml:space="preserve"> agonists by drug and month of supply</w:t>
      </w:r>
    </w:p>
    <w:p w14:paraId="05CE07AF" w14:textId="3C871518" w:rsidR="000F314B" w:rsidRPr="00804337" w:rsidRDefault="000F314B" w:rsidP="00853F97"/>
    <w:p w14:paraId="039BD602" w14:textId="71B97A1E" w:rsidR="000F314B" w:rsidRPr="00804337" w:rsidRDefault="000F314B" w:rsidP="000F314B">
      <w:pPr>
        <w:pStyle w:val="Tabletitle"/>
      </w:pPr>
      <w:r w:rsidRPr="00804337">
        <w:t xml:space="preserve">Table </w:t>
      </w:r>
      <w:r w:rsidR="00D9012E">
        <w:t>18</w:t>
      </w:r>
      <w:r w:rsidRPr="00804337">
        <w:t xml:space="preserve">: Cost of </w:t>
      </w:r>
      <w:proofErr w:type="spellStart"/>
      <w:r w:rsidRPr="00804337">
        <w:t>GnRH</w:t>
      </w:r>
      <w:proofErr w:type="spellEnd"/>
      <w:r w:rsidRPr="00804337">
        <w:t xml:space="preserve"> agonists by </w:t>
      </w:r>
      <w:r w:rsidR="009B54E2">
        <w:t>medicine</w:t>
      </w:r>
      <w:r w:rsidRPr="00804337">
        <w:t xml:space="preserve"> and year of supply</w:t>
      </w:r>
    </w:p>
    <w:tbl>
      <w:tblPr>
        <w:tblStyle w:val="TableGrid"/>
        <w:tblW w:w="0" w:type="auto"/>
        <w:tblLayout w:type="fixed"/>
        <w:tblLook w:val="04A0" w:firstRow="1" w:lastRow="0" w:firstColumn="1" w:lastColumn="0" w:noHBand="0" w:noVBand="1"/>
        <w:tblCaption w:val="Cost of GnRH agonists by medicine and year of supply"/>
        <w:tblDescription w:val="Cost of GnRH agonists by medicine and year of supply"/>
      </w:tblPr>
      <w:tblGrid>
        <w:gridCol w:w="793"/>
        <w:gridCol w:w="1355"/>
        <w:gridCol w:w="1356"/>
        <w:gridCol w:w="1355"/>
        <w:gridCol w:w="1373"/>
        <w:gridCol w:w="1338"/>
        <w:gridCol w:w="1356"/>
      </w:tblGrid>
      <w:tr w:rsidR="004C1DC3" w:rsidRPr="004C1DC3" w14:paraId="67390E09" w14:textId="77777777" w:rsidTr="00192793">
        <w:trPr>
          <w:trHeight w:val="300"/>
          <w:tblHeader/>
        </w:trPr>
        <w:tc>
          <w:tcPr>
            <w:tcW w:w="793" w:type="dxa"/>
            <w:shd w:val="clear" w:color="auto" w:fill="BFBFBF" w:themeFill="background1" w:themeFillShade="BF"/>
            <w:noWrap/>
            <w:hideMark/>
          </w:tcPr>
          <w:p w14:paraId="4A5E4766" w14:textId="45E6079C" w:rsidR="004C1DC3" w:rsidRPr="004C1DC3" w:rsidRDefault="002B654E" w:rsidP="004C1DC3">
            <w:pPr>
              <w:pStyle w:val="Tabletitle"/>
              <w:outlineLvl w:val="3"/>
              <w:rPr>
                <w:bCs/>
                <w:sz w:val="20"/>
                <w:szCs w:val="20"/>
              </w:rPr>
            </w:pPr>
            <w:r>
              <w:rPr>
                <w:bCs/>
                <w:sz w:val="20"/>
                <w:szCs w:val="20"/>
              </w:rPr>
              <w:t>Year</w:t>
            </w:r>
          </w:p>
        </w:tc>
        <w:tc>
          <w:tcPr>
            <w:tcW w:w="1355" w:type="dxa"/>
            <w:shd w:val="clear" w:color="auto" w:fill="BFBFBF" w:themeFill="background1" w:themeFillShade="BF"/>
            <w:noWrap/>
            <w:hideMark/>
          </w:tcPr>
          <w:p w14:paraId="1DE5F0F8" w14:textId="4669BBBA" w:rsidR="004C1DC3" w:rsidRPr="004C1DC3" w:rsidRDefault="002B654E" w:rsidP="004C1DC3">
            <w:pPr>
              <w:pStyle w:val="Tabletitle"/>
              <w:outlineLvl w:val="3"/>
              <w:rPr>
                <w:bCs/>
                <w:sz w:val="20"/>
                <w:szCs w:val="20"/>
              </w:rPr>
            </w:pPr>
            <w:proofErr w:type="spellStart"/>
            <w:r w:rsidRPr="004C1DC3">
              <w:rPr>
                <w:bCs/>
                <w:sz w:val="20"/>
                <w:szCs w:val="20"/>
              </w:rPr>
              <w:t>Goserelin</w:t>
            </w:r>
            <w:proofErr w:type="spellEnd"/>
          </w:p>
        </w:tc>
        <w:tc>
          <w:tcPr>
            <w:tcW w:w="1356" w:type="dxa"/>
            <w:shd w:val="clear" w:color="auto" w:fill="BFBFBF" w:themeFill="background1" w:themeFillShade="BF"/>
            <w:noWrap/>
            <w:hideMark/>
          </w:tcPr>
          <w:p w14:paraId="195A1690" w14:textId="53146313" w:rsidR="004C1DC3" w:rsidRPr="004C1DC3" w:rsidRDefault="002B654E" w:rsidP="004C1DC3">
            <w:pPr>
              <w:pStyle w:val="Tabletitle"/>
              <w:outlineLvl w:val="3"/>
              <w:rPr>
                <w:bCs/>
                <w:sz w:val="20"/>
                <w:szCs w:val="20"/>
              </w:rPr>
            </w:pPr>
            <w:proofErr w:type="spellStart"/>
            <w:r w:rsidRPr="004C1DC3">
              <w:rPr>
                <w:bCs/>
                <w:sz w:val="20"/>
                <w:szCs w:val="20"/>
              </w:rPr>
              <w:t>Goserelin</w:t>
            </w:r>
            <w:proofErr w:type="spellEnd"/>
            <w:r w:rsidR="004C1DC3">
              <w:rPr>
                <w:bCs/>
                <w:sz w:val="20"/>
                <w:szCs w:val="20"/>
              </w:rPr>
              <w:t xml:space="preserve"> </w:t>
            </w:r>
            <w:r w:rsidR="004C1DC3" w:rsidRPr="004C1DC3">
              <w:rPr>
                <w:bCs/>
                <w:sz w:val="20"/>
                <w:szCs w:val="20"/>
              </w:rPr>
              <w:t>&amp;</w:t>
            </w:r>
            <w:r w:rsidR="004C1DC3">
              <w:rPr>
                <w:bCs/>
                <w:sz w:val="20"/>
                <w:szCs w:val="20"/>
              </w:rPr>
              <w:t xml:space="preserve"> </w:t>
            </w:r>
            <w:proofErr w:type="spellStart"/>
            <w:r w:rsidRPr="004C1DC3">
              <w:rPr>
                <w:bCs/>
                <w:sz w:val="20"/>
                <w:szCs w:val="20"/>
              </w:rPr>
              <w:t>bicalutamide</w:t>
            </w:r>
            <w:proofErr w:type="spellEnd"/>
          </w:p>
        </w:tc>
        <w:tc>
          <w:tcPr>
            <w:tcW w:w="1355" w:type="dxa"/>
            <w:shd w:val="clear" w:color="auto" w:fill="BFBFBF" w:themeFill="background1" w:themeFillShade="BF"/>
            <w:noWrap/>
            <w:hideMark/>
          </w:tcPr>
          <w:p w14:paraId="30205C31" w14:textId="6D1C04C2" w:rsidR="004C1DC3" w:rsidRPr="004C1DC3" w:rsidRDefault="002B654E" w:rsidP="004C1DC3">
            <w:pPr>
              <w:pStyle w:val="Tabletitle"/>
              <w:outlineLvl w:val="3"/>
              <w:rPr>
                <w:bCs/>
                <w:sz w:val="20"/>
                <w:szCs w:val="20"/>
              </w:rPr>
            </w:pPr>
            <w:proofErr w:type="spellStart"/>
            <w:r w:rsidRPr="004C1DC3">
              <w:rPr>
                <w:bCs/>
                <w:sz w:val="20"/>
                <w:szCs w:val="20"/>
              </w:rPr>
              <w:t>Leuprorelin</w:t>
            </w:r>
            <w:proofErr w:type="spellEnd"/>
          </w:p>
        </w:tc>
        <w:tc>
          <w:tcPr>
            <w:tcW w:w="1373" w:type="dxa"/>
            <w:shd w:val="clear" w:color="auto" w:fill="BFBFBF" w:themeFill="background1" w:themeFillShade="BF"/>
            <w:noWrap/>
            <w:hideMark/>
          </w:tcPr>
          <w:p w14:paraId="647DA162" w14:textId="1C9ED0BC" w:rsidR="004C1DC3" w:rsidRPr="004C1DC3" w:rsidRDefault="002B654E" w:rsidP="004C1DC3">
            <w:pPr>
              <w:pStyle w:val="Tabletitle"/>
              <w:outlineLvl w:val="3"/>
              <w:rPr>
                <w:bCs/>
                <w:sz w:val="20"/>
                <w:szCs w:val="20"/>
              </w:rPr>
            </w:pPr>
            <w:proofErr w:type="spellStart"/>
            <w:r w:rsidRPr="004C1DC3">
              <w:rPr>
                <w:bCs/>
                <w:sz w:val="20"/>
                <w:szCs w:val="20"/>
              </w:rPr>
              <w:t>Leuprorelin</w:t>
            </w:r>
            <w:proofErr w:type="spellEnd"/>
            <w:r w:rsidR="004C1DC3">
              <w:rPr>
                <w:bCs/>
                <w:sz w:val="20"/>
                <w:szCs w:val="20"/>
              </w:rPr>
              <w:t xml:space="preserve"> </w:t>
            </w:r>
            <w:r w:rsidR="004C1DC3" w:rsidRPr="004C1DC3">
              <w:rPr>
                <w:bCs/>
                <w:sz w:val="20"/>
                <w:szCs w:val="20"/>
              </w:rPr>
              <w:t>&amp;</w:t>
            </w:r>
            <w:r w:rsidR="004C1DC3">
              <w:rPr>
                <w:bCs/>
                <w:sz w:val="20"/>
                <w:szCs w:val="20"/>
              </w:rPr>
              <w:t xml:space="preserve"> </w:t>
            </w:r>
            <w:proofErr w:type="spellStart"/>
            <w:r w:rsidRPr="004C1DC3">
              <w:rPr>
                <w:bCs/>
                <w:sz w:val="20"/>
                <w:szCs w:val="20"/>
              </w:rPr>
              <w:t>bicalutamide</w:t>
            </w:r>
            <w:proofErr w:type="spellEnd"/>
          </w:p>
        </w:tc>
        <w:tc>
          <w:tcPr>
            <w:tcW w:w="1338" w:type="dxa"/>
            <w:shd w:val="clear" w:color="auto" w:fill="BFBFBF" w:themeFill="background1" w:themeFillShade="BF"/>
            <w:noWrap/>
            <w:hideMark/>
          </w:tcPr>
          <w:p w14:paraId="42A527C9" w14:textId="74B1D5D4" w:rsidR="004C1DC3" w:rsidRPr="004C1DC3" w:rsidRDefault="002B654E" w:rsidP="004C1DC3">
            <w:pPr>
              <w:pStyle w:val="Tabletitle"/>
              <w:outlineLvl w:val="3"/>
              <w:rPr>
                <w:bCs/>
                <w:sz w:val="20"/>
                <w:szCs w:val="20"/>
              </w:rPr>
            </w:pPr>
            <w:proofErr w:type="spellStart"/>
            <w:r w:rsidRPr="004C1DC3">
              <w:rPr>
                <w:bCs/>
                <w:sz w:val="20"/>
                <w:szCs w:val="20"/>
              </w:rPr>
              <w:t>Nafarelin</w:t>
            </w:r>
            <w:proofErr w:type="spellEnd"/>
          </w:p>
        </w:tc>
        <w:tc>
          <w:tcPr>
            <w:tcW w:w="1356" w:type="dxa"/>
            <w:shd w:val="clear" w:color="auto" w:fill="BFBFBF" w:themeFill="background1" w:themeFillShade="BF"/>
            <w:noWrap/>
            <w:hideMark/>
          </w:tcPr>
          <w:p w14:paraId="54F4152C" w14:textId="730AF470" w:rsidR="004C1DC3" w:rsidRPr="004C1DC3" w:rsidRDefault="002B654E" w:rsidP="004C1DC3">
            <w:pPr>
              <w:pStyle w:val="Tabletitle"/>
              <w:outlineLvl w:val="3"/>
              <w:rPr>
                <w:bCs/>
                <w:sz w:val="20"/>
                <w:szCs w:val="20"/>
              </w:rPr>
            </w:pPr>
            <w:proofErr w:type="spellStart"/>
            <w:r w:rsidRPr="004C1DC3">
              <w:rPr>
                <w:bCs/>
                <w:sz w:val="20"/>
                <w:szCs w:val="20"/>
              </w:rPr>
              <w:t>Triptorelin</w:t>
            </w:r>
            <w:proofErr w:type="spellEnd"/>
          </w:p>
        </w:tc>
      </w:tr>
      <w:tr w:rsidR="004C1DC3" w:rsidRPr="004C1DC3" w14:paraId="208453F7" w14:textId="77777777" w:rsidTr="004C1DC3">
        <w:trPr>
          <w:trHeight w:val="57"/>
        </w:trPr>
        <w:tc>
          <w:tcPr>
            <w:tcW w:w="793" w:type="dxa"/>
            <w:noWrap/>
            <w:vAlign w:val="center"/>
            <w:hideMark/>
          </w:tcPr>
          <w:p w14:paraId="12DC6728" w14:textId="77777777" w:rsidR="004C1DC3" w:rsidRPr="004C1DC3" w:rsidRDefault="004C1DC3" w:rsidP="004C1DC3">
            <w:pPr>
              <w:pStyle w:val="Tabletitle"/>
              <w:outlineLvl w:val="3"/>
              <w:rPr>
                <w:b w:val="0"/>
                <w:sz w:val="20"/>
                <w:szCs w:val="20"/>
              </w:rPr>
            </w:pPr>
            <w:r w:rsidRPr="004C1DC3">
              <w:rPr>
                <w:b w:val="0"/>
                <w:sz w:val="20"/>
                <w:szCs w:val="20"/>
              </w:rPr>
              <w:t>2014</w:t>
            </w:r>
          </w:p>
        </w:tc>
        <w:tc>
          <w:tcPr>
            <w:tcW w:w="1355" w:type="dxa"/>
            <w:noWrap/>
            <w:vAlign w:val="center"/>
            <w:hideMark/>
          </w:tcPr>
          <w:p w14:paraId="2C6E34FC" w14:textId="562C59AD" w:rsidR="004C1DC3" w:rsidRPr="004C1DC3" w:rsidRDefault="004C1DC3" w:rsidP="004C1DC3">
            <w:pPr>
              <w:pStyle w:val="Tabletitle"/>
              <w:jc w:val="right"/>
              <w:outlineLvl w:val="3"/>
              <w:rPr>
                <w:b w:val="0"/>
                <w:sz w:val="20"/>
                <w:szCs w:val="20"/>
              </w:rPr>
            </w:pPr>
            <w:r w:rsidRPr="004C1DC3">
              <w:rPr>
                <w:b w:val="0"/>
                <w:sz w:val="20"/>
                <w:szCs w:val="20"/>
              </w:rPr>
              <w:t>$59,805,163</w:t>
            </w:r>
          </w:p>
        </w:tc>
        <w:tc>
          <w:tcPr>
            <w:tcW w:w="1356" w:type="dxa"/>
            <w:noWrap/>
            <w:vAlign w:val="center"/>
            <w:hideMark/>
          </w:tcPr>
          <w:p w14:paraId="1AF37E04" w14:textId="387BCEEA" w:rsidR="004C1DC3" w:rsidRPr="004C1DC3" w:rsidRDefault="004C1DC3" w:rsidP="004C1DC3">
            <w:pPr>
              <w:pStyle w:val="Tabletitle"/>
              <w:jc w:val="right"/>
              <w:outlineLvl w:val="3"/>
              <w:rPr>
                <w:b w:val="0"/>
                <w:sz w:val="20"/>
                <w:szCs w:val="20"/>
              </w:rPr>
            </w:pPr>
            <w:r w:rsidRPr="004C1DC3">
              <w:rPr>
                <w:b w:val="0"/>
                <w:sz w:val="20"/>
                <w:szCs w:val="20"/>
              </w:rPr>
              <w:t>$7,315,648</w:t>
            </w:r>
          </w:p>
        </w:tc>
        <w:tc>
          <w:tcPr>
            <w:tcW w:w="1355" w:type="dxa"/>
            <w:noWrap/>
            <w:vAlign w:val="center"/>
            <w:hideMark/>
          </w:tcPr>
          <w:p w14:paraId="0A362A76" w14:textId="7A5FBC4C" w:rsidR="004C1DC3" w:rsidRPr="004C1DC3" w:rsidRDefault="004C1DC3" w:rsidP="004C1DC3">
            <w:pPr>
              <w:pStyle w:val="Tabletitle"/>
              <w:jc w:val="right"/>
              <w:outlineLvl w:val="3"/>
              <w:rPr>
                <w:b w:val="0"/>
                <w:sz w:val="20"/>
                <w:szCs w:val="20"/>
              </w:rPr>
            </w:pPr>
            <w:r w:rsidRPr="004C1DC3">
              <w:rPr>
                <w:b w:val="0"/>
                <w:sz w:val="20"/>
                <w:szCs w:val="20"/>
              </w:rPr>
              <w:t>$42,483,537</w:t>
            </w:r>
          </w:p>
        </w:tc>
        <w:tc>
          <w:tcPr>
            <w:tcW w:w="1373" w:type="dxa"/>
            <w:noWrap/>
            <w:vAlign w:val="center"/>
            <w:hideMark/>
          </w:tcPr>
          <w:p w14:paraId="5B079D86" w14:textId="77777777" w:rsidR="004C1DC3" w:rsidRPr="004C1DC3" w:rsidRDefault="004C1DC3" w:rsidP="004C1DC3">
            <w:pPr>
              <w:pStyle w:val="Tabletitle"/>
              <w:jc w:val="right"/>
              <w:outlineLvl w:val="3"/>
              <w:rPr>
                <w:b w:val="0"/>
                <w:sz w:val="20"/>
                <w:szCs w:val="20"/>
              </w:rPr>
            </w:pPr>
          </w:p>
        </w:tc>
        <w:tc>
          <w:tcPr>
            <w:tcW w:w="1338" w:type="dxa"/>
            <w:noWrap/>
            <w:vAlign w:val="center"/>
            <w:hideMark/>
          </w:tcPr>
          <w:p w14:paraId="4E330169" w14:textId="1EC9B876" w:rsidR="004C1DC3" w:rsidRPr="004C1DC3" w:rsidRDefault="004C1DC3" w:rsidP="004C1DC3">
            <w:pPr>
              <w:pStyle w:val="Tabletitle"/>
              <w:jc w:val="right"/>
              <w:outlineLvl w:val="3"/>
              <w:rPr>
                <w:b w:val="0"/>
                <w:sz w:val="20"/>
                <w:szCs w:val="20"/>
              </w:rPr>
            </w:pPr>
            <w:r w:rsidRPr="004C1DC3">
              <w:rPr>
                <w:b w:val="0"/>
                <w:sz w:val="20"/>
                <w:szCs w:val="20"/>
              </w:rPr>
              <w:t>$118,735</w:t>
            </w:r>
          </w:p>
        </w:tc>
        <w:tc>
          <w:tcPr>
            <w:tcW w:w="1356" w:type="dxa"/>
            <w:noWrap/>
            <w:vAlign w:val="center"/>
            <w:hideMark/>
          </w:tcPr>
          <w:p w14:paraId="15C9E9EC" w14:textId="726107DB" w:rsidR="004C1DC3" w:rsidRPr="004C1DC3" w:rsidRDefault="004C1DC3" w:rsidP="004C1DC3">
            <w:pPr>
              <w:pStyle w:val="Tabletitle"/>
              <w:jc w:val="right"/>
              <w:outlineLvl w:val="3"/>
              <w:rPr>
                <w:b w:val="0"/>
                <w:sz w:val="20"/>
                <w:szCs w:val="20"/>
              </w:rPr>
            </w:pPr>
            <w:r w:rsidRPr="004C1DC3">
              <w:rPr>
                <w:b w:val="0"/>
                <w:sz w:val="20"/>
                <w:szCs w:val="20"/>
              </w:rPr>
              <w:t>$2,646,259</w:t>
            </w:r>
          </w:p>
        </w:tc>
      </w:tr>
      <w:tr w:rsidR="004C1DC3" w:rsidRPr="004C1DC3" w14:paraId="7A0241E2" w14:textId="77777777" w:rsidTr="004C1DC3">
        <w:trPr>
          <w:trHeight w:val="57"/>
        </w:trPr>
        <w:tc>
          <w:tcPr>
            <w:tcW w:w="793" w:type="dxa"/>
            <w:noWrap/>
            <w:vAlign w:val="center"/>
            <w:hideMark/>
          </w:tcPr>
          <w:p w14:paraId="0F95F1FE" w14:textId="77777777" w:rsidR="004C1DC3" w:rsidRPr="004C1DC3" w:rsidRDefault="004C1DC3" w:rsidP="004C1DC3">
            <w:pPr>
              <w:pStyle w:val="Tabletitle"/>
              <w:outlineLvl w:val="3"/>
              <w:rPr>
                <w:b w:val="0"/>
                <w:sz w:val="20"/>
                <w:szCs w:val="20"/>
              </w:rPr>
            </w:pPr>
            <w:r w:rsidRPr="004C1DC3">
              <w:rPr>
                <w:b w:val="0"/>
                <w:sz w:val="20"/>
                <w:szCs w:val="20"/>
              </w:rPr>
              <w:t>2015</w:t>
            </w:r>
          </w:p>
        </w:tc>
        <w:tc>
          <w:tcPr>
            <w:tcW w:w="1355" w:type="dxa"/>
            <w:noWrap/>
            <w:vAlign w:val="center"/>
            <w:hideMark/>
          </w:tcPr>
          <w:p w14:paraId="067146CA" w14:textId="7415B232" w:rsidR="004C1DC3" w:rsidRPr="004C1DC3" w:rsidRDefault="004C1DC3" w:rsidP="004C1DC3">
            <w:pPr>
              <w:pStyle w:val="Tabletitle"/>
              <w:jc w:val="right"/>
              <w:outlineLvl w:val="3"/>
              <w:rPr>
                <w:b w:val="0"/>
                <w:sz w:val="20"/>
                <w:szCs w:val="20"/>
              </w:rPr>
            </w:pPr>
            <w:r w:rsidRPr="004C1DC3">
              <w:rPr>
                <w:b w:val="0"/>
                <w:sz w:val="20"/>
                <w:szCs w:val="20"/>
              </w:rPr>
              <w:t>$59,828,102</w:t>
            </w:r>
          </w:p>
        </w:tc>
        <w:tc>
          <w:tcPr>
            <w:tcW w:w="1356" w:type="dxa"/>
            <w:noWrap/>
            <w:vAlign w:val="center"/>
            <w:hideMark/>
          </w:tcPr>
          <w:p w14:paraId="42B5589F" w14:textId="4BA44FA1" w:rsidR="004C1DC3" w:rsidRPr="004C1DC3" w:rsidRDefault="004C1DC3" w:rsidP="004C1DC3">
            <w:pPr>
              <w:pStyle w:val="Tabletitle"/>
              <w:jc w:val="right"/>
              <w:outlineLvl w:val="3"/>
              <w:rPr>
                <w:b w:val="0"/>
                <w:sz w:val="20"/>
                <w:szCs w:val="20"/>
              </w:rPr>
            </w:pPr>
            <w:r w:rsidRPr="004C1DC3">
              <w:rPr>
                <w:b w:val="0"/>
                <w:sz w:val="20"/>
                <w:szCs w:val="20"/>
              </w:rPr>
              <w:t>$6,722,258</w:t>
            </w:r>
          </w:p>
        </w:tc>
        <w:tc>
          <w:tcPr>
            <w:tcW w:w="1355" w:type="dxa"/>
            <w:noWrap/>
            <w:vAlign w:val="center"/>
            <w:hideMark/>
          </w:tcPr>
          <w:p w14:paraId="4215B02A" w14:textId="3F5B74FF" w:rsidR="004C1DC3" w:rsidRPr="004C1DC3" w:rsidRDefault="004C1DC3" w:rsidP="004C1DC3">
            <w:pPr>
              <w:pStyle w:val="Tabletitle"/>
              <w:jc w:val="right"/>
              <w:outlineLvl w:val="3"/>
              <w:rPr>
                <w:b w:val="0"/>
                <w:sz w:val="20"/>
                <w:szCs w:val="20"/>
              </w:rPr>
            </w:pPr>
            <w:r w:rsidRPr="004C1DC3">
              <w:rPr>
                <w:b w:val="0"/>
                <w:sz w:val="20"/>
                <w:szCs w:val="20"/>
              </w:rPr>
              <w:t>$44,395,539</w:t>
            </w:r>
          </w:p>
        </w:tc>
        <w:tc>
          <w:tcPr>
            <w:tcW w:w="1373" w:type="dxa"/>
            <w:noWrap/>
            <w:vAlign w:val="center"/>
            <w:hideMark/>
          </w:tcPr>
          <w:p w14:paraId="55142462" w14:textId="77777777" w:rsidR="004C1DC3" w:rsidRPr="004C1DC3" w:rsidRDefault="004C1DC3" w:rsidP="004C1DC3">
            <w:pPr>
              <w:pStyle w:val="Tabletitle"/>
              <w:jc w:val="right"/>
              <w:outlineLvl w:val="3"/>
              <w:rPr>
                <w:b w:val="0"/>
                <w:sz w:val="20"/>
                <w:szCs w:val="20"/>
              </w:rPr>
            </w:pPr>
          </w:p>
        </w:tc>
        <w:tc>
          <w:tcPr>
            <w:tcW w:w="1338" w:type="dxa"/>
            <w:noWrap/>
            <w:vAlign w:val="center"/>
            <w:hideMark/>
          </w:tcPr>
          <w:p w14:paraId="00C49760" w14:textId="49218839" w:rsidR="004C1DC3" w:rsidRPr="004C1DC3" w:rsidRDefault="004C1DC3" w:rsidP="004C1DC3">
            <w:pPr>
              <w:pStyle w:val="Tabletitle"/>
              <w:jc w:val="right"/>
              <w:outlineLvl w:val="3"/>
              <w:rPr>
                <w:b w:val="0"/>
                <w:sz w:val="20"/>
                <w:szCs w:val="20"/>
              </w:rPr>
            </w:pPr>
            <w:r w:rsidRPr="004C1DC3">
              <w:rPr>
                <w:b w:val="0"/>
                <w:sz w:val="20"/>
                <w:szCs w:val="20"/>
              </w:rPr>
              <w:t>$140,533</w:t>
            </w:r>
          </w:p>
        </w:tc>
        <w:tc>
          <w:tcPr>
            <w:tcW w:w="1356" w:type="dxa"/>
            <w:noWrap/>
            <w:vAlign w:val="center"/>
            <w:hideMark/>
          </w:tcPr>
          <w:p w14:paraId="10EFF434" w14:textId="1E3FC00F" w:rsidR="004C1DC3" w:rsidRPr="004C1DC3" w:rsidRDefault="004C1DC3" w:rsidP="004C1DC3">
            <w:pPr>
              <w:pStyle w:val="Tabletitle"/>
              <w:jc w:val="right"/>
              <w:outlineLvl w:val="3"/>
              <w:rPr>
                <w:b w:val="0"/>
                <w:sz w:val="20"/>
                <w:szCs w:val="20"/>
              </w:rPr>
            </w:pPr>
            <w:r w:rsidRPr="004C1DC3">
              <w:rPr>
                <w:b w:val="0"/>
                <w:sz w:val="20"/>
                <w:szCs w:val="20"/>
              </w:rPr>
              <w:t>$3,293,103</w:t>
            </w:r>
          </w:p>
        </w:tc>
      </w:tr>
      <w:tr w:rsidR="004C1DC3" w:rsidRPr="004C1DC3" w14:paraId="085686E7" w14:textId="77777777" w:rsidTr="004C1DC3">
        <w:trPr>
          <w:trHeight w:val="57"/>
        </w:trPr>
        <w:tc>
          <w:tcPr>
            <w:tcW w:w="793" w:type="dxa"/>
            <w:noWrap/>
            <w:vAlign w:val="center"/>
            <w:hideMark/>
          </w:tcPr>
          <w:p w14:paraId="43A66640" w14:textId="77777777" w:rsidR="004C1DC3" w:rsidRPr="004C1DC3" w:rsidRDefault="004C1DC3" w:rsidP="004C1DC3">
            <w:pPr>
              <w:pStyle w:val="Tabletitle"/>
              <w:outlineLvl w:val="3"/>
              <w:rPr>
                <w:b w:val="0"/>
                <w:sz w:val="20"/>
                <w:szCs w:val="20"/>
              </w:rPr>
            </w:pPr>
            <w:r w:rsidRPr="004C1DC3">
              <w:rPr>
                <w:b w:val="0"/>
                <w:sz w:val="20"/>
                <w:szCs w:val="20"/>
              </w:rPr>
              <w:t>2016</w:t>
            </w:r>
          </w:p>
        </w:tc>
        <w:tc>
          <w:tcPr>
            <w:tcW w:w="1355" w:type="dxa"/>
            <w:noWrap/>
            <w:vAlign w:val="center"/>
            <w:hideMark/>
          </w:tcPr>
          <w:p w14:paraId="61AD757F" w14:textId="7C4AED6D" w:rsidR="004C1DC3" w:rsidRPr="004C1DC3" w:rsidRDefault="004C1DC3" w:rsidP="004C1DC3">
            <w:pPr>
              <w:pStyle w:val="Tabletitle"/>
              <w:jc w:val="right"/>
              <w:outlineLvl w:val="3"/>
              <w:rPr>
                <w:b w:val="0"/>
                <w:sz w:val="20"/>
                <w:szCs w:val="20"/>
              </w:rPr>
            </w:pPr>
            <w:r w:rsidRPr="004C1DC3">
              <w:rPr>
                <w:b w:val="0"/>
                <w:sz w:val="20"/>
                <w:szCs w:val="20"/>
              </w:rPr>
              <w:t>$59,656,302</w:t>
            </w:r>
          </w:p>
        </w:tc>
        <w:tc>
          <w:tcPr>
            <w:tcW w:w="1356" w:type="dxa"/>
            <w:noWrap/>
            <w:vAlign w:val="center"/>
            <w:hideMark/>
          </w:tcPr>
          <w:p w14:paraId="56817794" w14:textId="058967A1" w:rsidR="004C1DC3" w:rsidRPr="004C1DC3" w:rsidRDefault="004C1DC3" w:rsidP="004C1DC3">
            <w:pPr>
              <w:pStyle w:val="Tabletitle"/>
              <w:jc w:val="right"/>
              <w:outlineLvl w:val="3"/>
              <w:rPr>
                <w:b w:val="0"/>
                <w:sz w:val="20"/>
                <w:szCs w:val="20"/>
              </w:rPr>
            </w:pPr>
            <w:r w:rsidRPr="004C1DC3">
              <w:rPr>
                <w:b w:val="0"/>
                <w:sz w:val="20"/>
                <w:szCs w:val="20"/>
              </w:rPr>
              <w:t>$7,003,967</w:t>
            </w:r>
          </w:p>
        </w:tc>
        <w:tc>
          <w:tcPr>
            <w:tcW w:w="1355" w:type="dxa"/>
            <w:noWrap/>
            <w:vAlign w:val="center"/>
            <w:hideMark/>
          </w:tcPr>
          <w:p w14:paraId="3FD55EEE" w14:textId="4DCF6658" w:rsidR="004C1DC3" w:rsidRPr="004C1DC3" w:rsidRDefault="004C1DC3" w:rsidP="004C1DC3">
            <w:pPr>
              <w:pStyle w:val="Tabletitle"/>
              <w:jc w:val="right"/>
              <w:outlineLvl w:val="3"/>
              <w:rPr>
                <w:b w:val="0"/>
                <w:sz w:val="20"/>
                <w:szCs w:val="20"/>
              </w:rPr>
            </w:pPr>
            <w:r w:rsidRPr="004C1DC3">
              <w:rPr>
                <w:b w:val="0"/>
                <w:sz w:val="20"/>
                <w:szCs w:val="20"/>
              </w:rPr>
              <w:t>$47,025,507</w:t>
            </w:r>
          </w:p>
        </w:tc>
        <w:tc>
          <w:tcPr>
            <w:tcW w:w="1373" w:type="dxa"/>
            <w:noWrap/>
            <w:vAlign w:val="center"/>
            <w:hideMark/>
          </w:tcPr>
          <w:p w14:paraId="77A79518" w14:textId="5E870C99" w:rsidR="004C1DC3" w:rsidRPr="004C1DC3" w:rsidRDefault="004C1DC3" w:rsidP="004C1DC3">
            <w:pPr>
              <w:pStyle w:val="Tabletitle"/>
              <w:jc w:val="right"/>
              <w:outlineLvl w:val="3"/>
              <w:rPr>
                <w:b w:val="0"/>
                <w:sz w:val="20"/>
                <w:szCs w:val="20"/>
              </w:rPr>
            </w:pPr>
            <w:r w:rsidRPr="004C1DC3">
              <w:rPr>
                <w:b w:val="0"/>
                <w:sz w:val="20"/>
                <w:szCs w:val="20"/>
              </w:rPr>
              <w:t>$1,230</w:t>
            </w:r>
          </w:p>
        </w:tc>
        <w:tc>
          <w:tcPr>
            <w:tcW w:w="1338" w:type="dxa"/>
            <w:noWrap/>
            <w:vAlign w:val="center"/>
            <w:hideMark/>
          </w:tcPr>
          <w:p w14:paraId="730FA23E" w14:textId="64C995C3" w:rsidR="004C1DC3" w:rsidRPr="004C1DC3" w:rsidRDefault="004C1DC3" w:rsidP="004C1DC3">
            <w:pPr>
              <w:pStyle w:val="Tabletitle"/>
              <w:jc w:val="right"/>
              <w:outlineLvl w:val="3"/>
              <w:rPr>
                <w:b w:val="0"/>
                <w:sz w:val="20"/>
                <w:szCs w:val="20"/>
              </w:rPr>
            </w:pPr>
            <w:r w:rsidRPr="004C1DC3">
              <w:rPr>
                <w:b w:val="0"/>
                <w:sz w:val="20"/>
                <w:szCs w:val="20"/>
              </w:rPr>
              <w:t>$163,357</w:t>
            </w:r>
          </w:p>
        </w:tc>
        <w:tc>
          <w:tcPr>
            <w:tcW w:w="1356" w:type="dxa"/>
            <w:noWrap/>
            <w:vAlign w:val="center"/>
            <w:hideMark/>
          </w:tcPr>
          <w:p w14:paraId="39D00D59" w14:textId="1D2FC4CA" w:rsidR="004C1DC3" w:rsidRPr="004C1DC3" w:rsidRDefault="004C1DC3" w:rsidP="004C1DC3">
            <w:pPr>
              <w:pStyle w:val="Tabletitle"/>
              <w:jc w:val="right"/>
              <w:outlineLvl w:val="3"/>
              <w:rPr>
                <w:b w:val="0"/>
                <w:sz w:val="20"/>
                <w:szCs w:val="20"/>
              </w:rPr>
            </w:pPr>
            <w:r w:rsidRPr="004C1DC3">
              <w:rPr>
                <w:b w:val="0"/>
                <w:sz w:val="20"/>
                <w:szCs w:val="20"/>
              </w:rPr>
              <w:t>$3,688,158</w:t>
            </w:r>
          </w:p>
        </w:tc>
      </w:tr>
      <w:tr w:rsidR="004C1DC3" w:rsidRPr="004C1DC3" w14:paraId="105FDA4F" w14:textId="77777777" w:rsidTr="004C1DC3">
        <w:trPr>
          <w:trHeight w:val="57"/>
        </w:trPr>
        <w:tc>
          <w:tcPr>
            <w:tcW w:w="793" w:type="dxa"/>
            <w:noWrap/>
            <w:vAlign w:val="center"/>
            <w:hideMark/>
          </w:tcPr>
          <w:p w14:paraId="7A81EE02" w14:textId="77777777" w:rsidR="004C1DC3" w:rsidRPr="004C1DC3" w:rsidRDefault="004C1DC3" w:rsidP="004C1DC3">
            <w:pPr>
              <w:pStyle w:val="Tabletitle"/>
              <w:outlineLvl w:val="3"/>
              <w:rPr>
                <w:b w:val="0"/>
                <w:sz w:val="20"/>
                <w:szCs w:val="20"/>
              </w:rPr>
            </w:pPr>
            <w:r w:rsidRPr="004C1DC3">
              <w:rPr>
                <w:b w:val="0"/>
                <w:sz w:val="20"/>
                <w:szCs w:val="20"/>
              </w:rPr>
              <w:t>2017</w:t>
            </w:r>
          </w:p>
        </w:tc>
        <w:tc>
          <w:tcPr>
            <w:tcW w:w="1355" w:type="dxa"/>
            <w:noWrap/>
            <w:vAlign w:val="center"/>
            <w:hideMark/>
          </w:tcPr>
          <w:p w14:paraId="6594B55D" w14:textId="4B3B1FFB" w:rsidR="004C1DC3" w:rsidRPr="004C1DC3" w:rsidRDefault="004C1DC3" w:rsidP="004C1DC3">
            <w:pPr>
              <w:pStyle w:val="Tabletitle"/>
              <w:jc w:val="right"/>
              <w:outlineLvl w:val="3"/>
              <w:rPr>
                <w:b w:val="0"/>
                <w:sz w:val="20"/>
                <w:szCs w:val="20"/>
              </w:rPr>
            </w:pPr>
            <w:r w:rsidRPr="004C1DC3">
              <w:rPr>
                <w:b w:val="0"/>
                <w:sz w:val="20"/>
                <w:szCs w:val="20"/>
              </w:rPr>
              <w:t>$61,724,252</w:t>
            </w:r>
          </w:p>
        </w:tc>
        <w:tc>
          <w:tcPr>
            <w:tcW w:w="1356" w:type="dxa"/>
            <w:noWrap/>
            <w:vAlign w:val="center"/>
            <w:hideMark/>
          </w:tcPr>
          <w:p w14:paraId="14FEADB2" w14:textId="15BD36C8" w:rsidR="004C1DC3" w:rsidRPr="004C1DC3" w:rsidRDefault="004C1DC3" w:rsidP="004C1DC3">
            <w:pPr>
              <w:pStyle w:val="Tabletitle"/>
              <w:jc w:val="right"/>
              <w:outlineLvl w:val="3"/>
              <w:rPr>
                <w:b w:val="0"/>
                <w:sz w:val="20"/>
                <w:szCs w:val="20"/>
              </w:rPr>
            </w:pPr>
            <w:r w:rsidRPr="004C1DC3">
              <w:rPr>
                <w:b w:val="0"/>
                <w:sz w:val="20"/>
                <w:szCs w:val="20"/>
              </w:rPr>
              <w:t>$6,484,245</w:t>
            </w:r>
          </w:p>
        </w:tc>
        <w:tc>
          <w:tcPr>
            <w:tcW w:w="1355" w:type="dxa"/>
            <w:noWrap/>
            <w:vAlign w:val="center"/>
            <w:hideMark/>
          </w:tcPr>
          <w:p w14:paraId="095A3147" w14:textId="163C34DA" w:rsidR="004C1DC3" w:rsidRPr="004C1DC3" w:rsidRDefault="004C1DC3" w:rsidP="004C1DC3">
            <w:pPr>
              <w:pStyle w:val="Tabletitle"/>
              <w:jc w:val="right"/>
              <w:outlineLvl w:val="3"/>
              <w:rPr>
                <w:b w:val="0"/>
                <w:sz w:val="20"/>
                <w:szCs w:val="20"/>
              </w:rPr>
            </w:pPr>
            <w:r w:rsidRPr="004C1DC3">
              <w:rPr>
                <w:b w:val="0"/>
                <w:sz w:val="20"/>
                <w:szCs w:val="20"/>
              </w:rPr>
              <w:t>$51,113,098</w:t>
            </w:r>
          </w:p>
        </w:tc>
        <w:tc>
          <w:tcPr>
            <w:tcW w:w="1373" w:type="dxa"/>
            <w:noWrap/>
            <w:vAlign w:val="center"/>
            <w:hideMark/>
          </w:tcPr>
          <w:p w14:paraId="64211954" w14:textId="5C0C5FE1" w:rsidR="004C1DC3" w:rsidRPr="004C1DC3" w:rsidRDefault="004C1DC3" w:rsidP="004C1DC3">
            <w:pPr>
              <w:pStyle w:val="Tabletitle"/>
              <w:jc w:val="right"/>
              <w:outlineLvl w:val="3"/>
              <w:rPr>
                <w:b w:val="0"/>
                <w:sz w:val="20"/>
                <w:szCs w:val="20"/>
              </w:rPr>
            </w:pPr>
            <w:r w:rsidRPr="004C1DC3">
              <w:rPr>
                <w:b w:val="0"/>
                <w:sz w:val="20"/>
                <w:szCs w:val="20"/>
              </w:rPr>
              <w:t>$438,509</w:t>
            </w:r>
          </w:p>
        </w:tc>
        <w:tc>
          <w:tcPr>
            <w:tcW w:w="1338" w:type="dxa"/>
            <w:noWrap/>
            <w:vAlign w:val="center"/>
            <w:hideMark/>
          </w:tcPr>
          <w:p w14:paraId="64D58F9E" w14:textId="1869D1E6" w:rsidR="004C1DC3" w:rsidRPr="004C1DC3" w:rsidRDefault="004C1DC3" w:rsidP="004C1DC3">
            <w:pPr>
              <w:pStyle w:val="Tabletitle"/>
              <w:jc w:val="right"/>
              <w:outlineLvl w:val="3"/>
              <w:rPr>
                <w:b w:val="0"/>
                <w:sz w:val="20"/>
                <w:szCs w:val="20"/>
              </w:rPr>
            </w:pPr>
            <w:r w:rsidRPr="004C1DC3">
              <w:rPr>
                <w:b w:val="0"/>
                <w:sz w:val="20"/>
                <w:szCs w:val="20"/>
              </w:rPr>
              <w:t>$329,318</w:t>
            </w:r>
          </w:p>
        </w:tc>
        <w:tc>
          <w:tcPr>
            <w:tcW w:w="1356" w:type="dxa"/>
            <w:noWrap/>
            <w:vAlign w:val="center"/>
            <w:hideMark/>
          </w:tcPr>
          <w:p w14:paraId="6FF39403" w14:textId="22934B25" w:rsidR="004C1DC3" w:rsidRPr="004C1DC3" w:rsidRDefault="004C1DC3" w:rsidP="004C1DC3">
            <w:pPr>
              <w:pStyle w:val="Tabletitle"/>
              <w:jc w:val="right"/>
              <w:outlineLvl w:val="3"/>
              <w:rPr>
                <w:b w:val="0"/>
                <w:sz w:val="20"/>
                <w:szCs w:val="20"/>
              </w:rPr>
            </w:pPr>
            <w:r w:rsidRPr="004C1DC3">
              <w:rPr>
                <w:b w:val="0"/>
                <w:sz w:val="20"/>
                <w:szCs w:val="20"/>
              </w:rPr>
              <w:t>$4,482,370</w:t>
            </w:r>
          </w:p>
        </w:tc>
      </w:tr>
      <w:tr w:rsidR="004C1DC3" w:rsidRPr="004C1DC3" w14:paraId="7FF423A8" w14:textId="77777777" w:rsidTr="004C1DC3">
        <w:trPr>
          <w:trHeight w:val="57"/>
        </w:trPr>
        <w:tc>
          <w:tcPr>
            <w:tcW w:w="793" w:type="dxa"/>
            <w:noWrap/>
            <w:vAlign w:val="center"/>
            <w:hideMark/>
          </w:tcPr>
          <w:p w14:paraId="4846CC5C" w14:textId="77777777" w:rsidR="004C1DC3" w:rsidRPr="004C1DC3" w:rsidRDefault="004C1DC3" w:rsidP="004C1DC3">
            <w:pPr>
              <w:pStyle w:val="Tabletitle"/>
              <w:outlineLvl w:val="3"/>
              <w:rPr>
                <w:b w:val="0"/>
                <w:sz w:val="20"/>
                <w:szCs w:val="20"/>
              </w:rPr>
            </w:pPr>
            <w:r w:rsidRPr="004C1DC3">
              <w:rPr>
                <w:b w:val="0"/>
                <w:sz w:val="20"/>
                <w:szCs w:val="20"/>
              </w:rPr>
              <w:t>2018</w:t>
            </w:r>
          </w:p>
        </w:tc>
        <w:tc>
          <w:tcPr>
            <w:tcW w:w="1355" w:type="dxa"/>
            <w:noWrap/>
            <w:vAlign w:val="center"/>
            <w:hideMark/>
          </w:tcPr>
          <w:p w14:paraId="5F1AC015" w14:textId="6E920FEB" w:rsidR="004C1DC3" w:rsidRPr="004C1DC3" w:rsidRDefault="004C1DC3" w:rsidP="004C1DC3">
            <w:pPr>
              <w:pStyle w:val="Tabletitle"/>
              <w:jc w:val="right"/>
              <w:outlineLvl w:val="3"/>
              <w:rPr>
                <w:b w:val="0"/>
                <w:sz w:val="20"/>
                <w:szCs w:val="20"/>
              </w:rPr>
            </w:pPr>
            <w:r w:rsidRPr="004C1DC3">
              <w:rPr>
                <w:b w:val="0"/>
                <w:sz w:val="20"/>
                <w:szCs w:val="20"/>
              </w:rPr>
              <w:t>$60,278,181</w:t>
            </w:r>
          </w:p>
        </w:tc>
        <w:tc>
          <w:tcPr>
            <w:tcW w:w="1356" w:type="dxa"/>
            <w:noWrap/>
            <w:vAlign w:val="center"/>
            <w:hideMark/>
          </w:tcPr>
          <w:p w14:paraId="2047DD97" w14:textId="6FC42EE0" w:rsidR="004C1DC3" w:rsidRPr="004C1DC3" w:rsidRDefault="004C1DC3" w:rsidP="004C1DC3">
            <w:pPr>
              <w:pStyle w:val="Tabletitle"/>
              <w:jc w:val="right"/>
              <w:outlineLvl w:val="3"/>
              <w:rPr>
                <w:b w:val="0"/>
                <w:sz w:val="20"/>
                <w:szCs w:val="20"/>
              </w:rPr>
            </w:pPr>
            <w:r w:rsidRPr="004C1DC3">
              <w:rPr>
                <w:b w:val="0"/>
                <w:sz w:val="20"/>
                <w:szCs w:val="20"/>
              </w:rPr>
              <w:t>$5,062,922</w:t>
            </w:r>
          </w:p>
        </w:tc>
        <w:tc>
          <w:tcPr>
            <w:tcW w:w="1355" w:type="dxa"/>
            <w:noWrap/>
            <w:vAlign w:val="center"/>
            <w:hideMark/>
          </w:tcPr>
          <w:p w14:paraId="000CBC48" w14:textId="322F6BA0" w:rsidR="004C1DC3" w:rsidRPr="004C1DC3" w:rsidRDefault="004C1DC3" w:rsidP="004C1DC3">
            <w:pPr>
              <w:pStyle w:val="Tabletitle"/>
              <w:jc w:val="right"/>
              <w:outlineLvl w:val="3"/>
              <w:rPr>
                <w:b w:val="0"/>
                <w:sz w:val="20"/>
                <w:szCs w:val="20"/>
              </w:rPr>
            </w:pPr>
            <w:r w:rsidRPr="004C1DC3">
              <w:rPr>
                <w:b w:val="0"/>
                <w:sz w:val="20"/>
                <w:szCs w:val="20"/>
              </w:rPr>
              <w:t>$50,321,537</w:t>
            </w:r>
          </w:p>
        </w:tc>
        <w:tc>
          <w:tcPr>
            <w:tcW w:w="1373" w:type="dxa"/>
            <w:noWrap/>
            <w:vAlign w:val="center"/>
            <w:hideMark/>
          </w:tcPr>
          <w:p w14:paraId="039FC225" w14:textId="7B050727" w:rsidR="004C1DC3" w:rsidRPr="004C1DC3" w:rsidRDefault="004C1DC3" w:rsidP="004C1DC3">
            <w:pPr>
              <w:pStyle w:val="Tabletitle"/>
              <w:jc w:val="right"/>
              <w:outlineLvl w:val="3"/>
              <w:rPr>
                <w:b w:val="0"/>
                <w:sz w:val="20"/>
                <w:szCs w:val="20"/>
              </w:rPr>
            </w:pPr>
            <w:r w:rsidRPr="004C1DC3">
              <w:rPr>
                <w:b w:val="0"/>
                <w:sz w:val="20"/>
                <w:szCs w:val="20"/>
              </w:rPr>
              <w:t>$561,273</w:t>
            </w:r>
          </w:p>
        </w:tc>
        <w:tc>
          <w:tcPr>
            <w:tcW w:w="1338" w:type="dxa"/>
            <w:noWrap/>
            <w:vAlign w:val="center"/>
            <w:hideMark/>
          </w:tcPr>
          <w:p w14:paraId="22E7AA76" w14:textId="4EC7B71D" w:rsidR="004C1DC3" w:rsidRPr="004C1DC3" w:rsidRDefault="004C1DC3" w:rsidP="004C1DC3">
            <w:pPr>
              <w:pStyle w:val="Tabletitle"/>
              <w:jc w:val="right"/>
              <w:outlineLvl w:val="3"/>
              <w:rPr>
                <w:b w:val="0"/>
                <w:sz w:val="20"/>
                <w:szCs w:val="20"/>
              </w:rPr>
            </w:pPr>
            <w:r w:rsidRPr="004C1DC3">
              <w:rPr>
                <w:b w:val="0"/>
                <w:sz w:val="20"/>
                <w:szCs w:val="20"/>
              </w:rPr>
              <w:t>$385,775</w:t>
            </w:r>
          </w:p>
        </w:tc>
        <w:tc>
          <w:tcPr>
            <w:tcW w:w="1356" w:type="dxa"/>
            <w:noWrap/>
            <w:vAlign w:val="center"/>
            <w:hideMark/>
          </w:tcPr>
          <w:p w14:paraId="2C8327A9" w14:textId="1F40F93B" w:rsidR="004C1DC3" w:rsidRPr="004C1DC3" w:rsidRDefault="004C1DC3" w:rsidP="004C1DC3">
            <w:pPr>
              <w:pStyle w:val="Tabletitle"/>
              <w:jc w:val="right"/>
              <w:outlineLvl w:val="3"/>
              <w:rPr>
                <w:b w:val="0"/>
                <w:sz w:val="20"/>
                <w:szCs w:val="20"/>
              </w:rPr>
            </w:pPr>
            <w:r w:rsidRPr="004C1DC3">
              <w:rPr>
                <w:b w:val="0"/>
                <w:sz w:val="20"/>
                <w:szCs w:val="20"/>
              </w:rPr>
              <w:t>$5,154,736</w:t>
            </w:r>
          </w:p>
        </w:tc>
      </w:tr>
    </w:tbl>
    <w:p w14:paraId="1D0760E7" w14:textId="723A3D95" w:rsidR="004C1DC3" w:rsidRDefault="004C1DC3" w:rsidP="004C1DC3"/>
    <w:p w14:paraId="3370C523" w14:textId="0C4E5B03" w:rsidR="00A725CB" w:rsidRPr="00804337" w:rsidRDefault="00D9012E" w:rsidP="00192793">
      <w:pPr>
        <w:pStyle w:val="Tabletitle"/>
        <w:keepNext/>
      </w:pPr>
      <w:r>
        <w:lastRenderedPageBreak/>
        <w:t>Table 19</w:t>
      </w:r>
      <w:r w:rsidR="00A725CB" w:rsidRPr="00804337">
        <w:t xml:space="preserve">: Cost </w:t>
      </w:r>
      <w:r w:rsidR="00A725CB">
        <w:t xml:space="preserve">and rate of growth </w:t>
      </w:r>
      <w:r w:rsidR="00A725CB" w:rsidRPr="00804337">
        <w:t xml:space="preserve">of </w:t>
      </w:r>
      <w:proofErr w:type="spellStart"/>
      <w:r w:rsidR="00A725CB" w:rsidRPr="00804337">
        <w:t>GnRH</w:t>
      </w:r>
      <w:proofErr w:type="spellEnd"/>
      <w:r w:rsidR="00A725CB" w:rsidRPr="00804337">
        <w:t xml:space="preserve"> agonists by year of supply</w:t>
      </w:r>
    </w:p>
    <w:tbl>
      <w:tblPr>
        <w:tblStyle w:val="TableGrid"/>
        <w:tblW w:w="0" w:type="auto"/>
        <w:tblLook w:val="04A0" w:firstRow="1" w:lastRow="0" w:firstColumn="1" w:lastColumn="0" w:noHBand="0" w:noVBand="1"/>
        <w:tblCaption w:val="Cost and rate of growth of GnRH agonists by year of supply"/>
        <w:tblDescription w:val="Cost and rate of growth of GnRH agonists by year of supply"/>
      </w:tblPr>
      <w:tblGrid>
        <w:gridCol w:w="1508"/>
        <w:gridCol w:w="2315"/>
        <w:gridCol w:w="2126"/>
      </w:tblGrid>
      <w:tr w:rsidR="004C1DC3" w:rsidRPr="004C1DC3" w14:paraId="3AFB13CA" w14:textId="77777777" w:rsidTr="002B654E">
        <w:trPr>
          <w:trHeight w:val="300"/>
          <w:tblHeader/>
        </w:trPr>
        <w:tc>
          <w:tcPr>
            <w:tcW w:w="1508" w:type="dxa"/>
            <w:shd w:val="clear" w:color="auto" w:fill="BFBFBF" w:themeFill="background1" w:themeFillShade="BF"/>
            <w:noWrap/>
            <w:vAlign w:val="center"/>
            <w:hideMark/>
          </w:tcPr>
          <w:p w14:paraId="1EF4313F" w14:textId="77777777" w:rsidR="004C1DC3" w:rsidRPr="004C1DC3" w:rsidRDefault="004C1DC3" w:rsidP="00192793">
            <w:pPr>
              <w:keepNext/>
              <w:jc w:val="center"/>
              <w:rPr>
                <w:b/>
                <w:sz w:val="20"/>
                <w:szCs w:val="20"/>
              </w:rPr>
            </w:pPr>
            <w:r w:rsidRPr="004C1DC3">
              <w:rPr>
                <w:b/>
                <w:sz w:val="20"/>
                <w:szCs w:val="20"/>
              </w:rPr>
              <w:t>Year</w:t>
            </w:r>
          </w:p>
        </w:tc>
        <w:tc>
          <w:tcPr>
            <w:tcW w:w="2315" w:type="dxa"/>
            <w:shd w:val="clear" w:color="auto" w:fill="BFBFBF" w:themeFill="background1" w:themeFillShade="BF"/>
            <w:noWrap/>
            <w:vAlign w:val="center"/>
            <w:hideMark/>
          </w:tcPr>
          <w:p w14:paraId="1911FB08" w14:textId="58E0FFCF" w:rsidR="004C1DC3" w:rsidRPr="004C1DC3" w:rsidRDefault="004C1DC3" w:rsidP="00192793">
            <w:pPr>
              <w:keepNext/>
              <w:jc w:val="center"/>
              <w:rPr>
                <w:b/>
                <w:sz w:val="20"/>
                <w:szCs w:val="20"/>
              </w:rPr>
            </w:pPr>
            <w:r w:rsidRPr="004C1DC3">
              <w:rPr>
                <w:b/>
                <w:sz w:val="20"/>
                <w:szCs w:val="20"/>
              </w:rPr>
              <w:t>Total</w:t>
            </w:r>
          </w:p>
        </w:tc>
        <w:tc>
          <w:tcPr>
            <w:tcW w:w="2126" w:type="dxa"/>
            <w:shd w:val="clear" w:color="auto" w:fill="BFBFBF" w:themeFill="background1" w:themeFillShade="BF"/>
            <w:noWrap/>
            <w:vAlign w:val="center"/>
            <w:hideMark/>
          </w:tcPr>
          <w:p w14:paraId="61D81DC6" w14:textId="77777777" w:rsidR="004C1DC3" w:rsidRPr="004C1DC3" w:rsidRDefault="004C1DC3" w:rsidP="00192793">
            <w:pPr>
              <w:keepNext/>
              <w:jc w:val="center"/>
              <w:rPr>
                <w:b/>
                <w:sz w:val="20"/>
                <w:szCs w:val="20"/>
              </w:rPr>
            </w:pPr>
            <w:r w:rsidRPr="004C1DC3">
              <w:rPr>
                <w:b/>
                <w:sz w:val="20"/>
                <w:szCs w:val="20"/>
              </w:rPr>
              <w:t>Rate of growth</w:t>
            </w:r>
          </w:p>
        </w:tc>
      </w:tr>
      <w:tr w:rsidR="004C1DC3" w:rsidRPr="004C1DC3" w14:paraId="3974FE41" w14:textId="77777777" w:rsidTr="002B654E">
        <w:trPr>
          <w:trHeight w:val="300"/>
        </w:trPr>
        <w:tc>
          <w:tcPr>
            <w:tcW w:w="1508" w:type="dxa"/>
            <w:noWrap/>
            <w:vAlign w:val="center"/>
            <w:hideMark/>
          </w:tcPr>
          <w:p w14:paraId="4D330493" w14:textId="77777777" w:rsidR="004C1DC3" w:rsidRPr="004C1DC3" w:rsidRDefault="004C1DC3" w:rsidP="00192793">
            <w:pPr>
              <w:keepNext/>
              <w:rPr>
                <w:sz w:val="20"/>
                <w:szCs w:val="20"/>
              </w:rPr>
            </w:pPr>
            <w:r w:rsidRPr="004C1DC3">
              <w:rPr>
                <w:sz w:val="20"/>
                <w:szCs w:val="20"/>
              </w:rPr>
              <w:t>2014</w:t>
            </w:r>
          </w:p>
        </w:tc>
        <w:tc>
          <w:tcPr>
            <w:tcW w:w="2315" w:type="dxa"/>
            <w:noWrap/>
            <w:vAlign w:val="center"/>
            <w:hideMark/>
          </w:tcPr>
          <w:p w14:paraId="39434D3A" w14:textId="7FA408B0" w:rsidR="004C1DC3" w:rsidRPr="004C1DC3" w:rsidRDefault="004C1DC3" w:rsidP="00192793">
            <w:pPr>
              <w:keepNext/>
              <w:jc w:val="right"/>
              <w:rPr>
                <w:sz w:val="20"/>
                <w:szCs w:val="20"/>
              </w:rPr>
            </w:pPr>
            <w:r w:rsidRPr="004C1DC3">
              <w:rPr>
                <w:sz w:val="20"/>
                <w:szCs w:val="20"/>
              </w:rPr>
              <w:t>$112,369,341</w:t>
            </w:r>
          </w:p>
        </w:tc>
        <w:tc>
          <w:tcPr>
            <w:tcW w:w="2126" w:type="dxa"/>
            <w:noWrap/>
            <w:vAlign w:val="center"/>
            <w:hideMark/>
          </w:tcPr>
          <w:p w14:paraId="65F66B08" w14:textId="77777777" w:rsidR="004C1DC3" w:rsidRPr="004C1DC3" w:rsidRDefault="004C1DC3" w:rsidP="00192793">
            <w:pPr>
              <w:keepNext/>
              <w:jc w:val="right"/>
              <w:rPr>
                <w:sz w:val="20"/>
                <w:szCs w:val="20"/>
              </w:rPr>
            </w:pPr>
            <w:r w:rsidRPr="004C1DC3">
              <w:rPr>
                <w:sz w:val="20"/>
                <w:szCs w:val="20"/>
              </w:rPr>
              <w:t> </w:t>
            </w:r>
          </w:p>
        </w:tc>
      </w:tr>
      <w:tr w:rsidR="004C1DC3" w:rsidRPr="004C1DC3" w14:paraId="38326AC6" w14:textId="77777777" w:rsidTr="002B654E">
        <w:trPr>
          <w:trHeight w:val="300"/>
        </w:trPr>
        <w:tc>
          <w:tcPr>
            <w:tcW w:w="1508" w:type="dxa"/>
            <w:noWrap/>
            <w:vAlign w:val="center"/>
            <w:hideMark/>
          </w:tcPr>
          <w:p w14:paraId="584AD01D" w14:textId="77777777" w:rsidR="004C1DC3" w:rsidRPr="004C1DC3" w:rsidRDefault="004C1DC3" w:rsidP="00192793">
            <w:pPr>
              <w:keepNext/>
              <w:rPr>
                <w:sz w:val="20"/>
                <w:szCs w:val="20"/>
              </w:rPr>
            </w:pPr>
            <w:r w:rsidRPr="004C1DC3">
              <w:rPr>
                <w:sz w:val="20"/>
                <w:szCs w:val="20"/>
              </w:rPr>
              <w:t>2015</w:t>
            </w:r>
          </w:p>
        </w:tc>
        <w:tc>
          <w:tcPr>
            <w:tcW w:w="2315" w:type="dxa"/>
            <w:noWrap/>
            <w:vAlign w:val="center"/>
            <w:hideMark/>
          </w:tcPr>
          <w:p w14:paraId="491ED3D5" w14:textId="373A9B45" w:rsidR="004C1DC3" w:rsidRPr="004C1DC3" w:rsidRDefault="004C1DC3" w:rsidP="00192793">
            <w:pPr>
              <w:keepNext/>
              <w:jc w:val="right"/>
              <w:rPr>
                <w:sz w:val="20"/>
                <w:szCs w:val="20"/>
              </w:rPr>
            </w:pPr>
            <w:r w:rsidRPr="004C1DC3">
              <w:rPr>
                <w:sz w:val="20"/>
                <w:szCs w:val="20"/>
              </w:rPr>
              <w:t>$114,379,534</w:t>
            </w:r>
          </w:p>
        </w:tc>
        <w:tc>
          <w:tcPr>
            <w:tcW w:w="2126" w:type="dxa"/>
            <w:noWrap/>
            <w:vAlign w:val="center"/>
            <w:hideMark/>
          </w:tcPr>
          <w:p w14:paraId="3EB1706A" w14:textId="77777777" w:rsidR="004C1DC3" w:rsidRPr="004C1DC3" w:rsidRDefault="004C1DC3" w:rsidP="00192793">
            <w:pPr>
              <w:keepNext/>
              <w:jc w:val="right"/>
              <w:rPr>
                <w:sz w:val="20"/>
                <w:szCs w:val="20"/>
              </w:rPr>
            </w:pPr>
            <w:r w:rsidRPr="004C1DC3">
              <w:rPr>
                <w:sz w:val="20"/>
                <w:szCs w:val="20"/>
              </w:rPr>
              <w:t>2%</w:t>
            </w:r>
          </w:p>
        </w:tc>
      </w:tr>
      <w:tr w:rsidR="004C1DC3" w:rsidRPr="004C1DC3" w14:paraId="4F84F313" w14:textId="77777777" w:rsidTr="002B654E">
        <w:trPr>
          <w:trHeight w:val="300"/>
        </w:trPr>
        <w:tc>
          <w:tcPr>
            <w:tcW w:w="1508" w:type="dxa"/>
            <w:noWrap/>
            <w:vAlign w:val="center"/>
            <w:hideMark/>
          </w:tcPr>
          <w:p w14:paraId="013706B9" w14:textId="77777777" w:rsidR="004C1DC3" w:rsidRPr="004C1DC3" w:rsidRDefault="004C1DC3" w:rsidP="00192793">
            <w:pPr>
              <w:keepNext/>
              <w:rPr>
                <w:sz w:val="20"/>
                <w:szCs w:val="20"/>
              </w:rPr>
            </w:pPr>
            <w:r w:rsidRPr="004C1DC3">
              <w:rPr>
                <w:sz w:val="20"/>
                <w:szCs w:val="20"/>
              </w:rPr>
              <w:t>2016</w:t>
            </w:r>
          </w:p>
        </w:tc>
        <w:tc>
          <w:tcPr>
            <w:tcW w:w="2315" w:type="dxa"/>
            <w:noWrap/>
            <w:vAlign w:val="center"/>
            <w:hideMark/>
          </w:tcPr>
          <w:p w14:paraId="3709A40D" w14:textId="47C5EC32" w:rsidR="004C1DC3" w:rsidRPr="004C1DC3" w:rsidRDefault="004C1DC3" w:rsidP="00192793">
            <w:pPr>
              <w:keepNext/>
              <w:jc w:val="right"/>
              <w:rPr>
                <w:sz w:val="20"/>
                <w:szCs w:val="20"/>
              </w:rPr>
            </w:pPr>
            <w:r w:rsidRPr="004C1DC3">
              <w:rPr>
                <w:sz w:val="20"/>
                <w:szCs w:val="20"/>
              </w:rPr>
              <w:t>$117,538,521</w:t>
            </w:r>
          </w:p>
        </w:tc>
        <w:tc>
          <w:tcPr>
            <w:tcW w:w="2126" w:type="dxa"/>
            <w:noWrap/>
            <w:vAlign w:val="center"/>
            <w:hideMark/>
          </w:tcPr>
          <w:p w14:paraId="07E74D16" w14:textId="77777777" w:rsidR="004C1DC3" w:rsidRPr="004C1DC3" w:rsidRDefault="004C1DC3" w:rsidP="00192793">
            <w:pPr>
              <w:keepNext/>
              <w:jc w:val="right"/>
              <w:rPr>
                <w:sz w:val="20"/>
                <w:szCs w:val="20"/>
              </w:rPr>
            </w:pPr>
            <w:r w:rsidRPr="004C1DC3">
              <w:rPr>
                <w:sz w:val="20"/>
                <w:szCs w:val="20"/>
              </w:rPr>
              <w:t>3%</w:t>
            </w:r>
          </w:p>
        </w:tc>
      </w:tr>
      <w:tr w:rsidR="004C1DC3" w:rsidRPr="004C1DC3" w14:paraId="399EDE19" w14:textId="77777777" w:rsidTr="002B654E">
        <w:trPr>
          <w:trHeight w:val="300"/>
        </w:trPr>
        <w:tc>
          <w:tcPr>
            <w:tcW w:w="1508" w:type="dxa"/>
            <w:noWrap/>
            <w:vAlign w:val="center"/>
            <w:hideMark/>
          </w:tcPr>
          <w:p w14:paraId="3A6DEE94" w14:textId="77777777" w:rsidR="004C1DC3" w:rsidRPr="004C1DC3" w:rsidRDefault="004C1DC3" w:rsidP="002B654E">
            <w:pPr>
              <w:keepNext/>
              <w:rPr>
                <w:sz w:val="20"/>
                <w:szCs w:val="20"/>
              </w:rPr>
            </w:pPr>
            <w:r w:rsidRPr="004C1DC3">
              <w:rPr>
                <w:sz w:val="20"/>
                <w:szCs w:val="20"/>
              </w:rPr>
              <w:t>2017</w:t>
            </w:r>
          </w:p>
        </w:tc>
        <w:tc>
          <w:tcPr>
            <w:tcW w:w="2315" w:type="dxa"/>
            <w:noWrap/>
            <w:vAlign w:val="center"/>
            <w:hideMark/>
          </w:tcPr>
          <w:p w14:paraId="266672F7" w14:textId="5B7879D1" w:rsidR="004C1DC3" w:rsidRPr="004C1DC3" w:rsidRDefault="004C1DC3" w:rsidP="002B654E">
            <w:pPr>
              <w:keepNext/>
              <w:jc w:val="right"/>
              <w:rPr>
                <w:sz w:val="20"/>
                <w:szCs w:val="20"/>
              </w:rPr>
            </w:pPr>
            <w:r w:rsidRPr="004C1DC3">
              <w:rPr>
                <w:sz w:val="20"/>
                <w:szCs w:val="20"/>
              </w:rPr>
              <w:t>$124,571,792</w:t>
            </w:r>
          </w:p>
        </w:tc>
        <w:tc>
          <w:tcPr>
            <w:tcW w:w="2126" w:type="dxa"/>
            <w:noWrap/>
            <w:vAlign w:val="center"/>
            <w:hideMark/>
          </w:tcPr>
          <w:p w14:paraId="43554758" w14:textId="77777777" w:rsidR="004C1DC3" w:rsidRPr="004C1DC3" w:rsidRDefault="004C1DC3" w:rsidP="002B654E">
            <w:pPr>
              <w:keepNext/>
              <w:jc w:val="right"/>
              <w:rPr>
                <w:sz w:val="20"/>
                <w:szCs w:val="20"/>
              </w:rPr>
            </w:pPr>
            <w:r w:rsidRPr="004C1DC3">
              <w:rPr>
                <w:sz w:val="20"/>
                <w:szCs w:val="20"/>
              </w:rPr>
              <w:t>6%</w:t>
            </w:r>
          </w:p>
        </w:tc>
      </w:tr>
      <w:tr w:rsidR="004C1DC3" w:rsidRPr="004C1DC3" w14:paraId="31E7A673" w14:textId="77777777" w:rsidTr="002B654E">
        <w:trPr>
          <w:trHeight w:val="300"/>
        </w:trPr>
        <w:tc>
          <w:tcPr>
            <w:tcW w:w="1508" w:type="dxa"/>
            <w:noWrap/>
            <w:vAlign w:val="center"/>
            <w:hideMark/>
          </w:tcPr>
          <w:p w14:paraId="1EBB4AD6" w14:textId="77777777" w:rsidR="004C1DC3" w:rsidRPr="004C1DC3" w:rsidRDefault="004C1DC3" w:rsidP="004C1DC3">
            <w:pPr>
              <w:rPr>
                <w:sz w:val="20"/>
                <w:szCs w:val="20"/>
              </w:rPr>
            </w:pPr>
            <w:r w:rsidRPr="004C1DC3">
              <w:rPr>
                <w:sz w:val="20"/>
                <w:szCs w:val="20"/>
              </w:rPr>
              <w:t>2018</w:t>
            </w:r>
          </w:p>
        </w:tc>
        <w:tc>
          <w:tcPr>
            <w:tcW w:w="2315" w:type="dxa"/>
            <w:noWrap/>
            <w:vAlign w:val="center"/>
            <w:hideMark/>
          </w:tcPr>
          <w:p w14:paraId="1232C0D9" w14:textId="18292E16" w:rsidR="004C1DC3" w:rsidRPr="004C1DC3" w:rsidRDefault="004C1DC3" w:rsidP="004C1DC3">
            <w:pPr>
              <w:jc w:val="right"/>
              <w:rPr>
                <w:sz w:val="20"/>
                <w:szCs w:val="20"/>
              </w:rPr>
            </w:pPr>
            <w:r w:rsidRPr="004C1DC3">
              <w:rPr>
                <w:sz w:val="20"/>
                <w:szCs w:val="20"/>
              </w:rPr>
              <w:t>$121,764,424</w:t>
            </w:r>
          </w:p>
        </w:tc>
        <w:tc>
          <w:tcPr>
            <w:tcW w:w="2126" w:type="dxa"/>
            <w:noWrap/>
            <w:vAlign w:val="center"/>
            <w:hideMark/>
          </w:tcPr>
          <w:p w14:paraId="401CF4C9" w14:textId="77777777" w:rsidR="004C1DC3" w:rsidRPr="004C1DC3" w:rsidRDefault="004C1DC3" w:rsidP="004C1DC3">
            <w:pPr>
              <w:jc w:val="right"/>
              <w:rPr>
                <w:sz w:val="20"/>
                <w:szCs w:val="20"/>
              </w:rPr>
            </w:pPr>
            <w:r w:rsidRPr="004C1DC3">
              <w:rPr>
                <w:sz w:val="20"/>
                <w:szCs w:val="20"/>
              </w:rPr>
              <w:t>-2%</w:t>
            </w:r>
          </w:p>
        </w:tc>
      </w:tr>
    </w:tbl>
    <w:p w14:paraId="77A88A0F" w14:textId="77777777" w:rsidR="001910B0" w:rsidRDefault="001910B0" w:rsidP="00A35800"/>
    <w:p w14:paraId="54D776D8" w14:textId="07567543" w:rsidR="002D4058" w:rsidRPr="00804337" w:rsidRDefault="001910B0" w:rsidP="001910B0">
      <w:r>
        <w:t xml:space="preserve">Similar to the number of prescriptions dispensed for </w:t>
      </w:r>
      <w:proofErr w:type="spellStart"/>
      <w:r>
        <w:t>GnRH</w:t>
      </w:r>
      <w:proofErr w:type="spellEnd"/>
      <w:r>
        <w:t xml:space="preserve"> agonists, the cost to government of </w:t>
      </w:r>
      <w:proofErr w:type="spellStart"/>
      <w:r>
        <w:t>goserelin</w:t>
      </w:r>
      <w:proofErr w:type="spellEnd"/>
      <w:r>
        <w:t xml:space="preserve"> is higher than the </w:t>
      </w:r>
      <w:r w:rsidRPr="00804337">
        <w:t xml:space="preserve">cost to government </w:t>
      </w:r>
      <w:r>
        <w:t xml:space="preserve">of </w:t>
      </w:r>
      <w:proofErr w:type="spellStart"/>
      <w:r>
        <w:t>leuprorelin</w:t>
      </w:r>
      <w:proofErr w:type="spellEnd"/>
      <w:r>
        <w:t xml:space="preserve">. </w:t>
      </w:r>
      <w:r w:rsidR="002D4058" w:rsidRPr="00804337">
        <w:t xml:space="preserve">The cost to government of </w:t>
      </w:r>
      <w:proofErr w:type="spellStart"/>
      <w:r w:rsidR="002D4058" w:rsidRPr="00804337">
        <w:t>GnRH</w:t>
      </w:r>
      <w:proofErr w:type="spellEnd"/>
      <w:r w:rsidR="002D4058" w:rsidRPr="00804337">
        <w:t xml:space="preserve"> agonists has been slowly growing over time.</w:t>
      </w:r>
      <w:r>
        <w:t xml:space="preserve"> The reduction of costs mid 2018 was due to a </w:t>
      </w:r>
      <w:r w:rsidRPr="006D7B5B">
        <w:t>fifteen year anniversary price reduction</w:t>
      </w:r>
      <w:r>
        <w:t xml:space="preserve"> of 14.5% which applied to </w:t>
      </w:r>
      <w:r w:rsidR="00A90215">
        <w:t xml:space="preserve">products </w:t>
      </w:r>
      <w:r w:rsidR="00A90215" w:rsidRPr="00A90215">
        <w:t xml:space="preserve">containing </w:t>
      </w:r>
      <w:proofErr w:type="spellStart"/>
      <w:r w:rsidR="002D4058" w:rsidRPr="00A90215">
        <w:t>goserelin</w:t>
      </w:r>
      <w:proofErr w:type="spellEnd"/>
      <w:r w:rsidR="002D4058" w:rsidRPr="00A90215">
        <w:t xml:space="preserve"> and </w:t>
      </w:r>
      <w:proofErr w:type="spellStart"/>
      <w:r w:rsidR="002D4058" w:rsidRPr="00A90215">
        <w:t>leuprorelin</w:t>
      </w:r>
      <w:proofErr w:type="spellEnd"/>
      <w:r w:rsidR="002D4058" w:rsidRPr="00A90215">
        <w:t xml:space="preserve"> </w:t>
      </w:r>
      <w:r>
        <w:t>on 1</w:t>
      </w:r>
      <w:r w:rsidRPr="00804337">
        <w:t xml:space="preserve"> June 2018</w:t>
      </w:r>
      <w:r>
        <w:t>.</w:t>
      </w:r>
    </w:p>
    <w:p w14:paraId="3555DFBA" w14:textId="60E8E761" w:rsidR="00591512" w:rsidRDefault="00AB3733" w:rsidP="00F73113">
      <w:pPr>
        <w:pStyle w:val="Heading1"/>
      </w:pPr>
      <w:r>
        <w:t>D</w:t>
      </w:r>
      <w:r w:rsidR="007346C7" w:rsidRPr="005E22C2">
        <w:t>iscussion</w:t>
      </w:r>
    </w:p>
    <w:p w14:paraId="091A553C" w14:textId="23D2C2E9" w:rsidR="00BA0EFC" w:rsidRDefault="00BF30D6" w:rsidP="00BF30D6">
      <w:proofErr w:type="spellStart"/>
      <w:r>
        <w:t>GnRH</w:t>
      </w:r>
      <w:proofErr w:type="spellEnd"/>
      <w:r>
        <w:t xml:space="preserve"> agonists </w:t>
      </w:r>
      <w:r w:rsidRPr="00BF30D6">
        <w:t>(</w:t>
      </w:r>
      <w:proofErr w:type="spellStart"/>
      <w:r w:rsidRPr="00BF30D6">
        <w:t>goserelin</w:t>
      </w:r>
      <w:proofErr w:type="spellEnd"/>
      <w:r w:rsidRPr="00BF30D6">
        <w:t xml:space="preserve">, </w:t>
      </w:r>
      <w:proofErr w:type="spellStart"/>
      <w:r w:rsidRPr="00BF30D6">
        <w:t>leuprorelin</w:t>
      </w:r>
      <w:proofErr w:type="spellEnd"/>
      <w:r w:rsidRPr="00BF30D6">
        <w:t xml:space="preserve">, </w:t>
      </w:r>
      <w:proofErr w:type="spellStart"/>
      <w:r w:rsidRPr="00BF30D6">
        <w:t>triptorelin</w:t>
      </w:r>
      <w:proofErr w:type="spellEnd"/>
      <w:r w:rsidRPr="00BF30D6">
        <w:t xml:space="preserve">, </w:t>
      </w:r>
      <w:proofErr w:type="spellStart"/>
      <w:r w:rsidRPr="00BF30D6">
        <w:t>nafarelin</w:t>
      </w:r>
      <w:proofErr w:type="spellEnd"/>
      <w:r w:rsidRPr="00BF30D6">
        <w:t xml:space="preserve">) </w:t>
      </w:r>
      <w:r>
        <w:t xml:space="preserve">are used in the treatment of </w:t>
      </w:r>
      <w:r w:rsidRPr="00BF30D6">
        <w:t xml:space="preserve">carcinoma of the prostate, CPP, breast cancer, endometriosis, and anticipated premature ovarian failure. </w:t>
      </w:r>
      <w:proofErr w:type="spellStart"/>
      <w:r w:rsidRPr="00E73B20">
        <w:t>Nafarelin</w:t>
      </w:r>
      <w:proofErr w:type="spellEnd"/>
      <w:r>
        <w:t xml:space="preserve"> and </w:t>
      </w:r>
      <w:proofErr w:type="spellStart"/>
      <w:r>
        <w:t>triptorelin</w:t>
      </w:r>
      <w:proofErr w:type="spellEnd"/>
      <w:r>
        <w:t xml:space="preserve"> are</w:t>
      </w:r>
      <w:r w:rsidRPr="00E73B20">
        <w:t xml:space="preserve"> also PBS listed for </w:t>
      </w:r>
      <w:r>
        <w:t xml:space="preserve">use in assisted reproduction, which was </w:t>
      </w:r>
      <w:r w:rsidR="00457C06" w:rsidRPr="00457C06">
        <w:t>not included in this review</w:t>
      </w:r>
      <w:r w:rsidR="00457C06">
        <w:t>.</w:t>
      </w:r>
      <w:r w:rsidR="00463712">
        <w:t xml:space="preserve"> </w:t>
      </w:r>
      <w:r w:rsidR="00BA0EFC">
        <w:t xml:space="preserve">The </w:t>
      </w:r>
      <w:proofErr w:type="spellStart"/>
      <w:r w:rsidR="00BA0EFC">
        <w:t>GnRH</w:t>
      </w:r>
      <w:proofErr w:type="spellEnd"/>
      <w:r w:rsidR="00BA0EFC">
        <w:t xml:space="preserve"> agonist that is supplied the most often is </w:t>
      </w:r>
      <w:proofErr w:type="spellStart"/>
      <w:r w:rsidR="00BA0EFC">
        <w:t>goserelin</w:t>
      </w:r>
      <w:proofErr w:type="spellEnd"/>
      <w:r w:rsidR="00BA0EFC">
        <w:t xml:space="preserve">. </w:t>
      </w:r>
      <w:proofErr w:type="spellStart"/>
      <w:r w:rsidR="00BA2290">
        <w:t>Goserelin</w:t>
      </w:r>
      <w:proofErr w:type="spellEnd"/>
      <w:r w:rsidR="00BA0EFC">
        <w:t xml:space="preserve"> is PBS listed for use in both male and female patients, for a range of conditions</w:t>
      </w:r>
      <w:r w:rsidR="005D0614">
        <w:t xml:space="preserve"> including locally advanced and metastatic prostate cancer, breast cancer, </w:t>
      </w:r>
      <w:proofErr w:type="spellStart"/>
      <w:r w:rsidR="005D0614">
        <w:t>endometrosis</w:t>
      </w:r>
      <w:proofErr w:type="spellEnd"/>
      <w:r w:rsidR="005D0614">
        <w:t xml:space="preserve"> and anticipated premature ovarian failure</w:t>
      </w:r>
      <w:r w:rsidR="00BA0EFC">
        <w:t>.</w:t>
      </w:r>
      <w:r w:rsidR="00BA2290">
        <w:t xml:space="preserve"> It has the highest use in male patients, and the highest use in female patients.</w:t>
      </w:r>
    </w:p>
    <w:p w14:paraId="43D26AE0" w14:textId="6C11A2A7" w:rsidR="006762F1" w:rsidRDefault="006762F1" w:rsidP="006762F1">
      <w:r>
        <w:t xml:space="preserve">The overall market </w:t>
      </w:r>
      <w:r w:rsidR="00A725CB">
        <w:t xml:space="preserve">of </w:t>
      </w:r>
      <w:proofErr w:type="spellStart"/>
      <w:r w:rsidR="00A725CB">
        <w:t>GnRH</w:t>
      </w:r>
      <w:proofErr w:type="spellEnd"/>
      <w:r w:rsidR="00A725CB">
        <w:t xml:space="preserve"> agonists </w:t>
      </w:r>
      <w:r w:rsidR="00BA2290">
        <w:t>is growing over time</w:t>
      </w:r>
      <w:r>
        <w:t xml:space="preserve">. </w:t>
      </w:r>
      <w:r w:rsidR="00BA0EFC">
        <w:t xml:space="preserve">The medicine that has recorded the highest increase in prescriptions is </w:t>
      </w:r>
      <w:proofErr w:type="spellStart"/>
      <w:r w:rsidR="00BA0EFC">
        <w:t>goserelin</w:t>
      </w:r>
      <w:proofErr w:type="spellEnd"/>
      <w:r w:rsidR="00BA0EFC">
        <w:t xml:space="preserve">. </w:t>
      </w:r>
      <w:r>
        <w:t xml:space="preserve">This could be </w:t>
      </w:r>
      <w:r w:rsidR="00BA0EFC" w:rsidRPr="004459DA">
        <w:t xml:space="preserve">due to a combination of factors, </w:t>
      </w:r>
      <w:r w:rsidR="00BA0EFC">
        <w:t xml:space="preserve">including </w:t>
      </w:r>
      <w:r w:rsidR="00BA0EFC" w:rsidRPr="004459DA">
        <w:t>the cha</w:t>
      </w:r>
      <w:r w:rsidR="00BA0EFC">
        <w:t xml:space="preserve">nge in restriction level to Restricted Benefits </w:t>
      </w:r>
      <w:r w:rsidR="00637E91">
        <w:t xml:space="preserve">from </w:t>
      </w:r>
      <w:r w:rsidR="00BA0EFC">
        <w:t>1 </w:t>
      </w:r>
      <w:r w:rsidR="00BA0EFC" w:rsidRPr="004459DA">
        <w:t xml:space="preserve">May 2015, </w:t>
      </w:r>
      <w:r w:rsidR="00BA0EFC">
        <w:t xml:space="preserve">increasing </w:t>
      </w:r>
      <w:r w:rsidR="00457C06">
        <w:t xml:space="preserve">incidence </w:t>
      </w:r>
      <w:r w:rsidR="00BA0EFC">
        <w:t>of breast cancer</w:t>
      </w:r>
      <w:bookmarkStart w:id="3" w:name="_Ref8048583"/>
      <w:r w:rsidR="00457C06">
        <w:rPr>
          <w:rStyle w:val="FootnoteReference"/>
        </w:rPr>
        <w:footnoteReference w:id="10"/>
      </w:r>
      <w:bookmarkEnd w:id="3"/>
      <w:r w:rsidR="00BA0EFC">
        <w:t xml:space="preserve">, </w:t>
      </w:r>
      <w:r w:rsidR="00BA0EFC" w:rsidRPr="004459DA">
        <w:t>the listing for hormone recep</w:t>
      </w:r>
      <w:r w:rsidR="00BA0EFC">
        <w:t>tor positive</w:t>
      </w:r>
      <w:r w:rsidR="00BA0EFC" w:rsidRPr="004459DA">
        <w:t xml:space="preserve"> breast cancer on 1 October 2015, and the listing for anticipated premature ovarian failure on 1 December 2017.</w:t>
      </w:r>
      <w:r w:rsidR="00BA0EFC">
        <w:t xml:space="preserve"> There may also be</w:t>
      </w:r>
      <w:r>
        <w:t xml:space="preserve"> </w:t>
      </w:r>
      <w:r w:rsidR="008C5D4C">
        <w:t xml:space="preserve">potential </w:t>
      </w:r>
      <w:r>
        <w:t>use outside of the restriction</w:t>
      </w:r>
      <w:r w:rsidR="00BA0EFC">
        <w:t>,</w:t>
      </w:r>
      <w:r w:rsidR="00A90215">
        <w:t xml:space="preserve"> for example to treat </w:t>
      </w:r>
      <w:r w:rsidR="00BA0EFC">
        <w:t xml:space="preserve">patients with </w:t>
      </w:r>
      <w:r w:rsidR="00A90215">
        <w:t>uterine fibroids</w:t>
      </w:r>
      <w:r>
        <w:t>.</w:t>
      </w:r>
      <w:r w:rsidR="00E6349A">
        <w:t xml:space="preserve"> The number of prescriptions of </w:t>
      </w:r>
      <w:proofErr w:type="spellStart"/>
      <w:r w:rsidR="00E6349A">
        <w:t>goserelin</w:t>
      </w:r>
      <w:proofErr w:type="spellEnd"/>
      <w:r w:rsidR="00E6349A">
        <w:t xml:space="preserve"> appears stable in male patients, which </w:t>
      </w:r>
      <w:r w:rsidR="00BA2290">
        <w:t xml:space="preserve">may </w:t>
      </w:r>
      <w:r w:rsidR="003A4C77">
        <w:t>be because the incidence of prostate cancer is stable or decreasing.</w:t>
      </w:r>
      <w:r w:rsidR="003A4C77" w:rsidRPr="007E128F">
        <w:rPr>
          <w:vertAlign w:val="superscript"/>
        </w:rPr>
        <w:fldChar w:fldCharType="begin"/>
      </w:r>
      <w:r w:rsidR="003A4C77" w:rsidRPr="007E128F">
        <w:rPr>
          <w:vertAlign w:val="superscript"/>
        </w:rPr>
        <w:instrText xml:space="preserve"> NOTEREF _Ref8048583 \h </w:instrText>
      </w:r>
      <w:r w:rsidR="00BF30D6">
        <w:rPr>
          <w:vertAlign w:val="superscript"/>
        </w:rPr>
        <w:instrText xml:space="preserve"> \* MERGEFORMAT </w:instrText>
      </w:r>
      <w:r w:rsidR="003A4C77" w:rsidRPr="007E128F">
        <w:rPr>
          <w:vertAlign w:val="superscript"/>
        </w:rPr>
      </w:r>
      <w:r w:rsidR="003A4C77" w:rsidRPr="007E128F">
        <w:rPr>
          <w:vertAlign w:val="superscript"/>
        </w:rPr>
        <w:fldChar w:fldCharType="separate"/>
      </w:r>
      <w:r w:rsidR="00CA1539">
        <w:rPr>
          <w:vertAlign w:val="superscript"/>
        </w:rPr>
        <w:t>10</w:t>
      </w:r>
      <w:r w:rsidR="003A4C77" w:rsidRPr="007E128F">
        <w:rPr>
          <w:vertAlign w:val="superscript"/>
        </w:rPr>
        <w:fldChar w:fldCharType="end"/>
      </w:r>
      <w:r w:rsidR="003A4C77">
        <w:t xml:space="preserve"> This </w:t>
      </w:r>
      <w:r w:rsidR="00BA2290">
        <w:t>suggest</w:t>
      </w:r>
      <w:r w:rsidR="003A4C77">
        <w:t>s</w:t>
      </w:r>
      <w:r w:rsidR="00BA2290">
        <w:t xml:space="preserve"> </w:t>
      </w:r>
      <w:r w:rsidR="00E6349A">
        <w:t xml:space="preserve">the increased overall use of </w:t>
      </w:r>
      <w:proofErr w:type="spellStart"/>
      <w:r w:rsidR="00E6349A">
        <w:t>goserelin</w:t>
      </w:r>
      <w:proofErr w:type="spellEnd"/>
      <w:r w:rsidR="00E6349A">
        <w:t xml:space="preserve"> is </w:t>
      </w:r>
      <w:r w:rsidR="003A4C77">
        <w:t>due to increasing use in female patients</w:t>
      </w:r>
      <w:r w:rsidR="00E6349A">
        <w:t>.</w:t>
      </w:r>
    </w:p>
    <w:p w14:paraId="6BC554F9" w14:textId="7841FE12" w:rsidR="007129AB" w:rsidRDefault="00D96B9C" w:rsidP="00D96B9C">
      <w:r>
        <w:t xml:space="preserve">Although the cost of </w:t>
      </w:r>
      <w:proofErr w:type="spellStart"/>
      <w:r>
        <w:t>GnRH</w:t>
      </w:r>
      <w:proofErr w:type="spellEnd"/>
      <w:r>
        <w:t xml:space="preserve"> agonists </w:t>
      </w:r>
      <w:r w:rsidR="00A75FA7">
        <w:t xml:space="preserve">had </w:t>
      </w:r>
      <w:r>
        <w:t xml:space="preserve">been increasing with the increase of prescriptions, the cost decreased in 2018 because </w:t>
      </w:r>
      <w:r w:rsidR="001910B0">
        <w:t xml:space="preserve">products containing </w:t>
      </w:r>
      <w:proofErr w:type="spellStart"/>
      <w:r w:rsidRPr="00A90215">
        <w:t>goserelin</w:t>
      </w:r>
      <w:proofErr w:type="spellEnd"/>
      <w:r w:rsidRPr="00A90215">
        <w:t xml:space="preserve"> and </w:t>
      </w:r>
      <w:proofErr w:type="spellStart"/>
      <w:r w:rsidRPr="00A90215">
        <w:t>leuprorelin</w:t>
      </w:r>
      <w:proofErr w:type="spellEnd"/>
      <w:r w:rsidRPr="00A90215">
        <w:t xml:space="preserve"> were</w:t>
      </w:r>
      <w:r w:rsidRPr="00804337">
        <w:t xml:space="preserve"> subject to a </w:t>
      </w:r>
      <w:r>
        <w:t xml:space="preserve">14.5% </w:t>
      </w:r>
      <w:r w:rsidRPr="006D7B5B">
        <w:t>fifteen year anniversary price reduction</w:t>
      </w:r>
      <w:r>
        <w:t>.</w:t>
      </w:r>
    </w:p>
    <w:p w14:paraId="1796ABB9" w14:textId="3631B06F" w:rsidR="00522A8C" w:rsidRDefault="00BA2290" w:rsidP="00BF30D6">
      <w:r>
        <w:lastRenderedPageBreak/>
        <w:t>More prescriptions of</w:t>
      </w:r>
      <w:r w:rsidR="00A725CB">
        <w:t xml:space="preserve"> </w:t>
      </w:r>
      <w:proofErr w:type="spellStart"/>
      <w:r w:rsidR="00A725CB">
        <w:t>GnRH</w:t>
      </w:r>
      <w:proofErr w:type="spellEnd"/>
      <w:r w:rsidR="00A725CB">
        <w:t xml:space="preserve"> agonists </w:t>
      </w:r>
      <w:r>
        <w:t>are supplied to</w:t>
      </w:r>
      <w:r w:rsidR="00A725CB">
        <w:t xml:space="preserve"> males than females. </w:t>
      </w:r>
      <w:r w:rsidR="006D7B5B">
        <w:t>The</w:t>
      </w:r>
      <w:r w:rsidR="005D25EA">
        <w:t xml:space="preserve"> mean and median</w:t>
      </w:r>
      <w:r w:rsidR="006D7B5B">
        <w:t xml:space="preserve"> age of male an</w:t>
      </w:r>
      <w:r w:rsidR="00D96B9C">
        <w:t>d female patients</w:t>
      </w:r>
      <w:r>
        <w:t xml:space="preserve"> treated with </w:t>
      </w:r>
      <w:proofErr w:type="spellStart"/>
      <w:r w:rsidRPr="00BA2290">
        <w:t>GnRH</w:t>
      </w:r>
      <w:proofErr w:type="spellEnd"/>
      <w:r w:rsidRPr="00BA2290">
        <w:t xml:space="preserve"> agonists</w:t>
      </w:r>
      <w:r w:rsidR="00D96B9C" w:rsidRPr="00BA2290">
        <w:t xml:space="preserve"> </w:t>
      </w:r>
      <w:r w:rsidR="00D96B9C">
        <w:t xml:space="preserve">is different, the median age of females was 41 and the median age of males was 78. This difference is </w:t>
      </w:r>
      <w:r>
        <w:t xml:space="preserve">likely </w:t>
      </w:r>
      <w:r w:rsidR="00D96B9C">
        <w:t xml:space="preserve">due to the conditions treated by </w:t>
      </w:r>
      <w:proofErr w:type="spellStart"/>
      <w:r w:rsidR="00D96B9C">
        <w:t>GnRH</w:t>
      </w:r>
      <w:proofErr w:type="spellEnd"/>
      <w:r w:rsidR="00D96B9C">
        <w:t xml:space="preserve"> agonists in males and females. In </w:t>
      </w:r>
      <w:proofErr w:type="gramStart"/>
      <w:r w:rsidR="00D96B9C">
        <w:t>males</w:t>
      </w:r>
      <w:proofErr w:type="gramEnd"/>
      <w:r w:rsidR="00D96B9C">
        <w:t xml:space="preserve"> </w:t>
      </w:r>
      <w:proofErr w:type="spellStart"/>
      <w:r>
        <w:t>GnRH</w:t>
      </w:r>
      <w:proofErr w:type="spellEnd"/>
      <w:r>
        <w:t xml:space="preserve"> agonists are mainly used to treat </w:t>
      </w:r>
      <w:r w:rsidR="00D96B9C">
        <w:t>prostate cancer</w:t>
      </w:r>
      <w:r>
        <w:t>, the incidence of which is reported to peak between the ages of 65 and 69.</w:t>
      </w:r>
      <w:r>
        <w:rPr>
          <w:rStyle w:val="FootnoteReference"/>
        </w:rPr>
        <w:footnoteReference w:id="11"/>
      </w:r>
      <w:r>
        <w:t xml:space="preserve"> </w:t>
      </w:r>
      <w:r w:rsidRPr="00775229">
        <w:t>I</w:t>
      </w:r>
      <w:r w:rsidR="00D96B9C" w:rsidRPr="00775229">
        <w:t xml:space="preserve">n females </w:t>
      </w:r>
      <w:proofErr w:type="spellStart"/>
      <w:r w:rsidR="00D96B9C" w:rsidRPr="00775229">
        <w:t>GnRH</w:t>
      </w:r>
      <w:proofErr w:type="spellEnd"/>
      <w:r w:rsidR="00D96B9C" w:rsidRPr="00775229">
        <w:t xml:space="preserve"> </w:t>
      </w:r>
      <w:proofErr w:type="gramStart"/>
      <w:r w:rsidR="00D96B9C" w:rsidRPr="00775229">
        <w:t>agonists</w:t>
      </w:r>
      <w:proofErr w:type="gramEnd"/>
      <w:r w:rsidR="00D96B9C" w:rsidRPr="00775229">
        <w:t xml:space="preserve"> </w:t>
      </w:r>
      <w:r w:rsidR="00BF30D6">
        <w:t>supress hormones to levels comparable with those observed in postmenopausal women.</w:t>
      </w:r>
      <w:r w:rsidR="00BF30D6" w:rsidRPr="005D0C6E">
        <w:rPr>
          <w:vertAlign w:val="superscript"/>
        </w:rPr>
        <w:fldChar w:fldCharType="begin"/>
      </w:r>
      <w:r w:rsidR="00BF30D6" w:rsidRPr="005D0C6E">
        <w:rPr>
          <w:vertAlign w:val="superscript"/>
        </w:rPr>
        <w:instrText xml:space="preserve"> NOTEREF _Ref7787043 \h </w:instrText>
      </w:r>
      <w:r w:rsidR="00BF30D6">
        <w:rPr>
          <w:vertAlign w:val="superscript"/>
        </w:rPr>
        <w:instrText xml:space="preserve"> \* MERGEFORMAT </w:instrText>
      </w:r>
      <w:r w:rsidR="00BF30D6" w:rsidRPr="005D0C6E">
        <w:rPr>
          <w:vertAlign w:val="superscript"/>
        </w:rPr>
      </w:r>
      <w:r w:rsidR="00BF30D6" w:rsidRPr="005D0C6E">
        <w:rPr>
          <w:vertAlign w:val="superscript"/>
        </w:rPr>
        <w:fldChar w:fldCharType="separate"/>
      </w:r>
      <w:r w:rsidR="00CA1539">
        <w:rPr>
          <w:vertAlign w:val="superscript"/>
        </w:rPr>
        <w:t>7</w:t>
      </w:r>
      <w:r w:rsidR="00BF30D6" w:rsidRPr="005D0C6E">
        <w:rPr>
          <w:vertAlign w:val="superscript"/>
        </w:rPr>
        <w:fldChar w:fldCharType="end"/>
      </w:r>
      <w:r w:rsidR="00BF30D6">
        <w:t xml:space="preserve"> They are used to </w:t>
      </w:r>
      <w:r w:rsidR="00D96B9C" w:rsidRPr="00775229">
        <w:t>treat conditions</w:t>
      </w:r>
      <w:r w:rsidR="00221DA7">
        <w:t>,</w:t>
      </w:r>
      <w:r w:rsidR="00D96B9C" w:rsidRPr="00775229">
        <w:t xml:space="preserve"> </w:t>
      </w:r>
      <w:r w:rsidR="00221DA7" w:rsidRPr="00C121D1">
        <w:t>such as endometriosis and premature ovarian failure</w:t>
      </w:r>
      <w:r w:rsidR="00221DA7">
        <w:t>,</w:t>
      </w:r>
      <w:r w:rsidR="00221DA7" w:rsidRPr="00C121D1">
        <w:t xml:space="preserve"> </w:t>
      </w:r>
      <w:r w:rsidR="00D96B9C" w:rsidRPr="00775229">
        <w:t xml:space="preserve">that </w:t>
      </w:r>
      <w:r w:rsidR="00493386">
        <w:t xml:space="preserve">generally </w:t>
      </w:r>
      <w:r w:rsidR="00221DA7" w:rsidRPr="00C121D1">
        <w:t xml:space="preserve">affect </w:t>
      </w:r>
      <w:r w:rsidR="00221DA7">
        <w:t xml:space="preserve">pre- and </w:t>
      </w:r>
      <w:proofErr w:type="spellStart"/>
      <w:r w:rsidR="00221DA7">
        <w:t>perimenopausal</w:t>
      </w:r>
      <w:proofErr w:type="spellEnd"/>
      <w:r w:rsidR="00221DA7">
        <w:t xml:space="preserve"> </w:t>
      </w:r>
      <w:r w:rsidR="00221DA7" w:rsidRPr="00D96FED">
        <w:t>women.</w:t>
      </w:r>
      <w:r w:rsidR="00D96B9C" w:rsidRPr="00D96FED">
        <w:t xml:space="preserve"> </w:t>
      </w:r>
      <w:proofErr w:type="spellStart"/>
      <w:r w:rsidR="00221DA7" w:rsidRPr="00D96FED">
        <w:t>GnRH</w:t>
      </w:r>
      <w:proofErr w:type="spellEnd"/>
      <w:r w:rsidR="00221DA7" w:rsidRPr="00D75388">
        <w:t xml:space="preserve"> agonists </w:t>
      </w:r>
      <w:r w:rsidR="00221DA7">
        <w:t xml:space="preserve">are also PBS listed for use in hormone receptive breast cancer, although </w:t>
      </w:r>
      <w:r w:rsidR="00BF30D6">
        <w:t xml:space="preserve">the </w:t>
      </w:r>
      <w:r w:rsidR="00D5578B">
        <w:t>registered indication for</w:t>
      </w:r>
      <w:r w:rsidR="00221DA7">
        <w:t xml:space="preserve"> </w:t>
      </w:r>
      <w:proofErr w:type="spellStart"/>
      <w:r w:rsidR="00221DA7">
        <w:t>goserelin</w:t>
      </w:r>
      <w:proofErr w:type="spellEnd"/>
      <w:r w:rsidR="00221DA7">
        <w:t xml:space="preserve"> does not include use in post-menopausal women.</w:t>
      </w:r>
      <w:r w:rsidR="00221DA7" w:rsidRPr="005D25EA">
        <w:rPr>
          <w:vertAlign w:val="superscript"/>
        </w:rPr>
        <w:fldChar w:fldCharType="begin"/>
      </w:r>
      <w:r w:rsidR="00221DA7" w:rsidRPr="005D25EA">
        <w:rPr>
          <w:vertAlign w:val="superscript"/>
        </w:rPr>
        <w:instrText xml:space="preserve"> NOTEREF _Ref7787043 \h </w:instrText>
      </w:r>
      <w:r w:rsidR="00221DA7">
        <w:rPr>
          <w:vertAlign w:val="superscript"/>
        </w:rPr>
        <w:instrText xml:space="preserve"> \* MERGEFORMAT </w:instrText>
      </w:r>
      <w:r w:rsidR="00221DA7" w:rsidRPr="005D25EA">
        <w:rPr>
          <w:vertAlign w:val="superscript"/>
        </w:rPr>
      </w:r>
      <w:r w:rsidR="00221DA7" w:rsidRPr="005D25EA">
        <w:rPr>
          <w:vertAlign w:val="superscript"/>
        </w:rPr>
        <w:fldChar w:fldCharType="separate"/>
      </w:r>
      <w:r w:rsidR="00CA1539">
        <w:rPr>
          <w:vertAlign w:val="superscript"/>
        </w:rPr>
        <w:t>7</w:t>
      </w:r>
      <w:r w:rsidR="00221DA7" w:rsidRPr="005D25EA">
        <w:rPr>
          <w:vertAlign w:val="superscript"/>
        </w:rPr>
        <w:fldChar w:fldCharType="end"/>
      </w:r>
    </w:p>
    <w:p w14:paraId="3779A9FF" w14:textId="2C9A9BE4" w:rsidR="00681B9D" w:rsidRDefault="00681B9D" w:rsidP="00646B2F">
      <w:r>
        <w:t xml:space="preserve">The comparison of use of </w:t>
      </w:r>
      <w:proofErr w:type="spellStart"/>
      <w:r>
        <w:t>GnRH</w:t>
      </w:r>
      <w:proofErr w:type="spellEnd"/>
      <w:r>
        <w:t xml:space="preserve"> agonists between different indications was complicated by the change in restriction level to </w:t>
      </w:r>
      <w:r w:rsidR="00D96FED">
        <w:t>R</w:t>
      </w:r>
      <w:r>
        <w:t xml:space="preserve">estricted </w:t>
      </w:r>
      <w:r w:rsidR="00D96FED">
        <w:t>B</w:t>
      </w:r>
      <w:r w:rsidR="0070431E">
        <w:t>enefits from 1 </w:t>
      </w:r>
      <w:r>
        <w:t xml:space="preserve">May 2015 for </w:t>
      </w:r>
      <w:proofErr w:type="spellStart"/>
      <w:r>
        <w:t>goserelin</w:t>
      </w:r>
      <w:proofErr w:type="spellEnd"/>
      <w:r>
        <w:t xml:space="preserve"> and from 1 October 2016 for </w:t>
      </w:r>
      <w:proofErr w:type="spellStart"/>
      <w:r>
        <w:t>leuprorelin</w:t>
      </w:r>
      <w:proofErr w:type="spellEnd"/>
      <w:r>
        <w:t xml:space="preserve">, </w:t>
      </w:r>
      <w:proofErr w:type="spellStart"/>
      <w:r>
        <w:t>triptorelin</w:t>
      </w:r>
      <w:proofErr w:type="spellEnd"/>
      <w:r>
        <w:t xml:space="preserve"> and </w:t>
      </w:r>
      <w:proofErr w:type="spellStart"/>
      <w:r>
        <w:t>nafarelin</w:t>
      </w:r>
      <w:proofErr w:type="spellEnd"/>
      <w:r w:rsidR="002E45D4">
        <w:t>, particularly for female patients</w:t>
      </w:r>
      <w:r>
        <w:t xml:space="preserve">. </w:t>
      </w:r>
      <w:r w:rsidR="00D96FED">
        <w:t>Identifying the patient c</w:t>
      </w:r>
      <w:r>
        <w:t xml:space="preserve">ohorts </w:t>
      </w:r>
      <w:r w:rsidR="00D96FED">
        <w:t xml:space="preserve">for </w:t>
      </w:r>
      <w:r>
        <w:t>breast cancer or endometriosis</w:t>
      </w:r>
      <w:r w:rsidR="00D96FED">
        <w:t xml:space="preserve"> relied on</w:t>
      </w:r>
      <w:r>
        <w:t xml:space="preserve"> patients </w:t>
      </w:r>
      <w:r w:rsidR="00D96FED">
        <w:t>being supplied</w:t>
      </w:r>
      <w:r w:rsidR="002E45D4">
        <w:t xml:space="preserve"> other medicines </w:t>
      </w:r>
      <w:r w:rsidR="00D96FED">
        <w:t xml:space="preserve">for these indications, </w:t>
      </w:r>
      <w:r w:rsidR="002E45D4">
        <w:t xml:space="preserve">such as chemotherapy medicines used to treat breast cancer, and prescriber type on </w:t>
      </w:r>
      <w:proofErr w:type="spellStart"/>
      <w:r w:rsidR="002E45D4">
        <w:t>GnRH</w:t>
      </w:r>
      <w:proofErr w:type="spellEnd"/>
      <w:r w:rsidR="002E45D4">
        <w:t xml:space="preserve"> prescriptions. There may be patients treated for</w:t>
      </w:r>
      <w:r w:rsidR="002E45D4" w:rsidRPr="00646B2F">
        <w:t xml:space="preserve"> </w:t>
      </w:r>
      <w:r w:rsidR="002E45D4">
        <w:t>premature ovarian failure</w:t>
      </w:r>
      <w:r w:rsidR="0087414C">
        <w:t xml:space="preserve"> included</w:t>
      </w:r>
      <w:r w:rsidR="002E45D4">
        <w:t xml:space="preserve"> in the endometriosis cohort, as there is overlap in the types of doctors who treat both diseases, and overlap in medicines other than </w:t>
      </w:r>
      <w:proofErr w:type="spellStart"/>
      <w:r w:rsidR="002E45D4">
        <w:t>GnRH</w:t>
      </w:r>
      <w:proofErr w:type="spellEnd"/>
      <w:r w:rsidR="002E45D4">
        <w:t xml:space="preserve"> agonists used to treat both diseases.</w:t>
      </w:r>
    </w:p>
    <w:p w14:paraId="33E0AE56" w14:textId="37D7FC0E" w:rsidR="00D0030B" w:rsidRDefault="00D0030B" w:rsidP="00646B2F">
      <w:r>
        <w:t xml:space="preserve">Of the </w:t>
      </w:r>
      <w:r w:rsidRPr="009C7C68">
        <w:t>5,</w:t>
      </w:r>
      <w:r>
        <w:t>898</w:t>
      </w:r>
      <w:r w:rsidRPr="009C7C68">
        <w:t xml:space="preserve"> female patients</w:t>
      </w:r>
      <w:r>
        <w:t xml:space="preserve"> identified as being supplied </w:t>
      </w:r>
      <w:proofErr w:type="spellStart"/>
      <w:r>
        <w:t>goserelin</w:t>
      </w:r>
      <w:proofErr w:type="spellEnd"/>
      <w:r>
        <w:t xml:space="preserve"> for breast cancer, t</w:t>
      </w:r>
      <w:r w:rsidR="00646B2F">
        <w:t>he duration of treatment was approximately 1.2 years</w:t>
      </w:r>
      <w:r w:rsidR="00790909">
        <w:t>,</w:t>
      </w:r>
      <w:r w:rsidR="00646B2F">
        <w:t xml:space="preserve"> without accounting for breaks. </w:t>
      </w:r>
    </w:p>
    <w:p w14:paraId="356D72C8" w14:textId="7CA367E0" w:rsidR="00A044E9" w:rsidRDefault="003C0BB9" w:rsidP="00646B2F">
      <w:r>
        <w:t xml:space="preserve">For endometriosis, the length of treatment permitted under the PBS restrictions for </w:t>
      </w:r>
      <w:proofErr w:type="spellStart"/>
      <w:r>
        <w:t>goserelin</w:t>
      </w:r>
      <w:proofErr w:type="spellEnd"/>
      <w:r>
        <w:t xml:space="preserve"> and </w:t>
      </w:r>
      <w:proofErr w:type="spellStart"/>
      <w:r>
        <w:t>nafarelin</w:t>
      </w:r>
      <w:proofErr w:type="spellEnd"/>
      <w:r>
        <w:t xml:space="preserve"> are different. For </w:t>
      </w:r>
      <w:proofErr w:type="spellStart"/>
      <w:r>
        <w:t>goserelin</w:t>
      </w:r>
      <w:proofErr w:type="spellEnd"/>
      <w:r>
        <w:t xml:space="preserve">, only one course of not more than six months is permitted. For </w:t>
      </w:r>
      <w:proofErr w:type="spellStart"/>
      <w:r>
        <w:t>nafarelin</w:t>
      </w:r>
      <w:proofErr w:type="spellEnd"/>
      <w:r w:rsidR="0070431E">
        <w:t>,</w:t>
      </w:r>
      <w:r>
        <w:t xml:space="preserve"> patients may have an i</w:t>
      </w:r>
      <w:r w:rsidRPr="00BC5EC4">
        <w:t xml:space="preserve">nitial </w:t>
      </w:r>
      <w:r>
        <w:t>course of up to six months</w:t>
      </w:r>
      <w:r w:rsidRPr="00BC5EC4">
        <w:t xml:space="preserve">, </w:t>
      </w:r>
      <w:r>
        <w:t>and subsequent treatment, for up to 6 months, where the subsequent treatment must be more</w:t>
      </w:r>
      <w:r w:rsidR="00681B9D">
        <w:t xml:space="preserve"> than</w:t>
      </w:r>
      <w:r>
        <w:t xml:space="preserve"> two years after the end of the previous course of treatment. </w:t>
      </w:r>
      <w:r w:rsidR="00646B2F">
        <w:t>The majority of patients (approximately 80%) who were determined to be treated for</w:t>
      </w:r>
      <w:r w:rsidR="00A90215">
        <w:t xml:space="preserve"> endometriosis</w:t>
      </w:r>
      <w:r w:rsidR="00646B2F">
        <w:t xml:space="preserve"> are not treated for longer than six months</w:t>
      </w:r>
      <w:r w:rsidR="00A90215">
        <w:t>.</w:t>
      </w:r>
      <w:r w:rsidR="00646B2F">
        <w:t xml:space="preserve"> However, there may be patients in this cohort who are being treated for conditions other than endometriosis</w:t>
      </w:r>
      <w:r w:rsidR="00681B9D">
        <w:t>, i.e.</w:t>
      </w:r>
      <w:r w:rsidR="00B16ADB">
        <w:t xml:space="preserve"> </w:t>
      </w:r>
      <w:r w:rsidR="002E45D4">
        <w:t>premature ovarian failure patients</w:t>
      </w:r>
      <w:r w:rsidR="001124A8">
        <w:t xml:space="preserve"> as noted above.</w:t>
      </w:r>
    </w:p>
    <w:p w14:paraId="0D1D1E46" w14:textId="659D9E0A" w:rsidR="00387F96" w:rsidRDefault="001910B0" w:rsidP="00F1132C">
      <w:r>
        <w:t xml:space="preserve">The duration of treatment </w:t>
      </w:r>
      <w:r w:rsidR="007129AB">
        <w:t xml:space="preserve">with </w:t>
      </w:r>
      <w:proofErr w:type="spellStart"/>
      <w:r w:rsidR="007129AB">
        <w:t>goserelin</w:t>
      </w:r>
      <w:proofErr w:type="spellEnd"/>
      <w:r w:rsidR="007129AB">
        <w:t xml:space="preserve"> for</w:t>
      </w:r>
      <w:r w:rsidR="000F314B">
        <w:t xml:space="preserve"> </w:t>
      </w:r>
      <w:r>
        <w:t xml:space="preserve">premature </w:t>
      </w:r>
      <w:r w:rsidR="000F314B">
        <w:t xml:space="preserve">ovarian failure </w:t>
      </w:r>
      <w:r>
        <w:t>was</w:t>
      </w:r>
      <w:r w:rsidR="000F314B">
        <w:t xml:space="preserve"> not investigated,</w:t>
      </w:r>
      <w:r w:rsidR="00646B2F">
        <w:t xml:space="preserve"> primarily because </w:t>
      </w:r>
      <w:r w:rsidR="007129AB">
        <w:t xml:space="preserve">the data was too premature as </w:t>
      </w:r>
      <w:r w:rsidR="00646B2F">
        <w:t>it was PBS listed</w:t>
      </w:r>
      <w:r w:rsidR="000F314B">
        <w:t xml:space="preserve"> </w:t>
      </w:r>
      <w:r w:rsidR="00D86796">
        <w:t xml:space="preserve">on </w:t>
      </w:r>
      <w:r w:rsidR="00646B2F">
        <w:t xml:space="preserve">1 December 2017. </w:t>
      </w:r>
    </w:p>
    <w:p w14:paraId="08329C3F" w14:textId="77777777" w:rsidR="00036CCA" w:rsidRDefault="00036CCA" w:rsidP="00036CCA">
      <w:pPr>
        <w:pStyle w:val="Heading1"/>
      </w:pPr>
      <w:r>
        <w:lastRenderedPageBreak/>
        <w:t>DUSC consideration</w:t>
      </w:r>
    </w:p>
    <w:p w14:paraId="57683943" w14:textId="77777777" w:rsidR="00036CCA" w:rsidRPr="00640A46" w:rsidRDefault="00036CCA" w:rsidP="00036CCA">
      <w:pPr>
        <w:rPr>
          <w:rFonts w:ascii="Carlito" w:hAnsi="Carlito" w:hint="eastAsia"/>
        </w:rPr>
      </w:pPr>
      <w:r w:rsidRPr="00764EB0">
        <w:rPr>
          <w:rFonts w:ascii="Carlito" w:hAnsi="Carlito"/>
        </w:rPr>
        <w:t xml:space="preserve">DUSC noted that </w:t>
      </w:r>
      <w:proofErr w:type="spellStart"/>
      <w:r w:rsidRPr="00764EB0">
        <w:rPr>
          <w:rFonts w:ascii="Carlito" w:hAnsi="Carlito"/>
        </w:rPr>
        <w:t>goserelin</w:t>
      </w:r>
      <w:proofErr w:type="spellEnd"/>
      <w:r w:rsidRPr="00764EB0">
        <w:rPr>
          <w:rFonts w:ascii="Carlito" w:hAnsi="Carlito"/>
        </w:rPr>
        <w:t xml:space="preserve"> and </w:t>
      </w:r>
      <w:proofErr w:type="spellStart"/>
      <w:r w:rsidRPr="00764EB0">
        <w:rPr>
          <w:rFonts w:ascii="Carlito" w:hAnsi="Carlito"/>
        </w:rPr>
        <w:t>leuprorelin</w:t>
      </w:r>
      <w:proofErr w:type="spellEnd"/>
      <w:r w:rsidRPr="00764EB0">
        <w:rPr>
          <w:rFonts w:ascii="Carlito" w:hAnsi="Carlito"/>
        </w:rPr>
        <w:t xml:space="preserve"> dominate the </w:t>
      </w:r>
      <w:proofErr w:type="spellStart"/>
      <w:r w:rsidRPr="00764EB0">
        <w:rPr>
          <w:rFonts w:ascii="Carlito" w:hAnsi="Carlito"/>
        </w:rPr>
        <w:t>GnRH</w:t>
      </w:r>
      <w:proofErr w:type="spellEnd"/>
      <w:r w:rsidRPr="00764EB0">
        <w:rPr>
          <w:rFonts w:ascii="Carlito" w:hAnsi="Carlito"/>
        </w:rPr>
        <w:t xml:space="preserve"> agonist market, and that </w:t>
      </w:r>
      <w:proofErr w:type="spellStart"/>
      <w:r w:rsidRPr="00764EB0">
        <w:rPr>
          <w:rFonts w:ascii="Carlito" w:hAnsi="Carlito"/>
        </w:rPr>
        <w:t>goserelin</w:t>
      </w:r>
      <w:proofErr w:type="spellEnd"/>
      <w:r w:rsidRPr="00764EB0">
        <w:rPr>
          <w:rFonts w:ascii="Carlito" w:hAnsi="Carlito"/>
        </w:rPr>
        <w:t xml:space="preserve"> use is two times higher than </w:t>
      </w:r>
      <w:proofErr w:type="spellStart"/>
      <w:r w:rsidRPr="00764EB0">
        <w:rPr>
          <w:rFonts w:ascii="Carlito" w:hAnsi="Carlito"/>
        </w:rPr>
        <w:t>leuprorelin</w:t>
      </w:r>
      <w:proofErr w:type="spellEnd"/>
      <w:r w:rsidRPr="00764EB0">
        <w:rPr>
          <w:rFonts w:ascii="Carlito" w:hAnsi="Carlito"/>
        </w:rPr>
        <w:t xml:space="preserve"> and appears to be growing. DUSC noted that since the restriction changes</w:t>
      </w:r>
      <w:r>
        <w:rPr>
          <w:rFonts w:ascii="Carlito" w:hAnsi="Carlito"/>
        </w:rPr>
        <w:t>,</w:t>
      </w:r>
      <w:r w:rsidRPr="00764EB0">
        <w:rPr>
          <w:rFonts w:ascii="Carlito" w:hAnsi="Carlito"/>
        </w:rPr>
        <w:t xml:space="preserve"> the </w:t>
      </w:r>
      <w:r>
        <w:rPr>
          <w:rFonts w:ascii="Carlito" w:hAnsi="Carlito"/>
        </w:rPr>
        <w:t xml:space="preserve">utilisation </w:t>
      </w:r>
      <w:r w:rsidRPr="00764EB0">
        <w:rPr>
          <w:rFonts w:ascii="Carlito" w:hAnsi="Carlito"/>
        </w:rPr>
        <w:t xml:space="preserve">of </w:t>
      </w:r>
      <w:proofErr w:type="spellStart"/>
      <w:r w:rsidRPr="00764EB0">
        <w:rPr>
          <w:rFonts w:ascii="Carlito" w:hAnsi="Carlito"/>
        </w:rPr>
        <w:t>nafarelin</w:t>
      </w:r>
      <w:proofErr w:type="spellEnd"/>
      <w:r w:rsidRPr="00764EB0">
        <w:rPr>
          <w:rFonts w:ascii="Carlito" w:hAnsi="Carlito"/>
        </w:rPr>
        <w:t xml:space="preserve"> and </w:t>
      </w:r>
      <w:proofErr w:type="spellStart"/>
      <w:r w:rsidRPr="00764EB0">
        <w:rPr>
          <w:rFonts w:ascii="Carlito" w:hAnsi="Carlito"/>
        </w:rPr>
        <w:t>triptorelin</w:t>
      </w:r>
      <w:proofErr w:type="spellEnd"/>
      <w:r w:rsidRPr="00764EB0">
        <w:rPr>
          <w:rFonts w:ascii="Carlito" w:hAnsi="Carlito"/>
        </w:rPr>
        <w:t xml:space="preserve"> has also increased</w:t>
      </w:r>
      <w:r>
        <w:rPr>
          <w:rFonts w:ascii="Carlito" w:hAnsi="Carlito"/>
        </w:rPr>
        <w:t>. I</w:t>
      </w:r>
      <w:r w:rsidRPr="00764EB0">
        <w:rPr>
          <w:rFonts w:ascii="Carlito" w:hAnsi="Carlito"/>
        </w:rPr>
        <w:t xml:space="preserve">n 2016 there were 1,743 prescriptions of </w:t>
      </w:r>
      <w:proofErr w:type="spellStart"/>
      <w:r w:rsidRPr="00764EB0">
        <w:rPr>
          <w:rFonts w:ascii="Carlito" w:hAnsi="Carlito"/>
        </w:rPr>
        <w:t>nafarelin</w:t>
      </w:r>
      <w:proofErr w:type="spellEnd"/>
      <w:r w:rsidRPr="00764EB0">
        <w:rPr>
          <w:rFonts w:ascii="Carlito" w:hAnsi="Carlito"/>
        </w:rPr>
        <w:t xml:space="preserve"> dispensed, and in 2018 there were 4,349 dispensed. In 2016 there were 2,821 prescriptions of </w:t>
      </w:r>
      <w:proofErr w:type="spellStart"/>
      <w:r w:rsidRPr="00764EB0">
        <w:rPr>
          <w:rFonts w:ascii="Carlito" w:hAnsi="Carlito"/>
        </w:rPr>
        <w:t>triptorelin</w:t>
      </w:r>
      <w:proofErr w:type="spellEnd"/>
      <w:r w:rsidRPr="00764EB0">
        <w:rPr>
          <w:rFonts w:ascii="Carlito" w:hAnsi="Carlito"/>
        </w:rPr>
        <w:t xml:space="preserve"> dispensed, and </w:t>
      </w:r>
      <w:r w:rsidRPr="00640A46">
        <w:rPr>
          <w:rFonts w:ascii="Carlito" w:hAnsi="Carlito"/>
        </w:rPr>
        <w:t xml:space="preserve">in 2018 there were 3,886 dispensed. DUSC commented that in addition to the change in restrictions there were likely to be other contributing factors influencing the uptake of these medicines. DUSC commented that ovarian function suppression can be achieved with </w:t>
      </w:r>
      <w:proofErr w:type="spellStart"/>
      <w:r w:rsidRPr="00640A46">
        <w:rPr>
          <w:rFonts w:ascii="Carlito" w:hAnsi="Carlito"/>
        </w:rPr>
        <w:t>GnRH</w:t>
      </w:r>
      <w:proofErr w:type="spellEnd"/>
      <w:r w:rsidRPr="00640A46">
        <w:rPr>
          <w:rFonts w:ascii="Carlito" w:hAnsi="Carlito"/>
        </w:rPr>
        <w:t xml:space="preserve"> agonists which can be beneficial in reducing the recurrence of early breast cancer. DUSC considered that the clinical evidence demonstrating this benefit, such as the findings from the Suppression of Ovarian Function Trial (SOFT) and the Tamoxifen and </w:t>
      </w:r>
      <w:proofErr w:type="spellStart"/>
      <w:r w:rsidRPr="00640A46">
        <w:rPr>
          <w:rFonts w:ascii="Carlito" w:hAnsi="Carlito"/>
        </w:rPr>
        <w:t>Exemestane</w:t>
      </w:r>
      <w:proofErr w:type="spellEnd"/>
      <w:r w:rsidRPr="00640A46">
        <w:rPr>
          <w:rFonts w:ascii="Carlito" w:hAnsi="Carlito"/>
        </w:rPr>
        <w:t xml:space="preserve"> Trial (TEXT) first published in 2014 may have encouraged a greater uptake of </w:t>
      </w:r>
      <w:proofErr w:type="spellStart"/>
      <w:r w:rsidRPr="00640A46">
        <w:rPr>
          <w:rFonts w:ascii="Carlito" w:hAnsi="Carlito"/>
        </w:rPr>
        <w:t>GnRH</w:t>
      </w:r>
      <w:proofErr w:type="spellEnd"/>
      <w:r w:rsidRPr="00640A46">
        <w:rPr>
          <w:rFonts w:ascii="Carlito" w:hAnsi="Carlito"/>
        </w:rPr>
        <w:t xml:space="preserve"> agonists. DUSC further noted that the overall survival data from the SOFT and TEXT trials was published in 2018 which may further influence utilisation. </w:t>
      </w:r>
    </w:p>
    <w:p w14:paraId="73963AD4" w14:textId="77777777" w:rsidR="00036CCA" w:rsidRPr="00640A46" w:rsidRDefault="00036CCA" w:rsidP="00036CCA">
      <w:pPr>
        <w:rPr>
          <w:rFonts w:ascii="Carlito" w:hAnsi="Carlito" w:hint="eastAsia"/>
        </w:rPr>
      </w:pPr>
      <w:r w:rsidRPr="00640A46">
        <w:rPr>
          <w:rFonts w:ascii="Carlito" w:hAnsi="Carlito"/>
        </w:rPr>
        <w:t xml:space="preserve">DUSC noted the response from the sponsor of some </w:t>
      </w:r>
      <w:proofErr w:type="spellStart"/>
      <w:r w:rsidRPr="00640A46">
        <w:rPr>
          <w:rFonts w:ascii="Carlito" w:hAnsi="Carlito"/>
        </w:rPr>
        <w:t>leuprorelin</w:t>
      </w:r>
      <w:proofErr w:type="spellEnd"/>
      <w:r w:rsidRPr="00640A46">
        <w:rPr>
          <w:rFonts w:ascii="Carlito" w:hAnsi="Carlito"/>
        </w:rPr>
        <w:t xml:space="preserve"> products, where it was commented that the change to a Restricted Benefit listing may not have had an impact on the annual increase in </w:t>
      </w:r>
      <w:proofErr w:type="spellStart"/>
      <w:r w:rsidRPr="00640A46">
        <w:rPr>
          <w:rFonts w:ascii="Carlito" w:hAnsi="Carlito"/>
        </w:rPr>
        <w:t>leuprorelin’s</w:t>
      </w:r>
      <w:proofErr w:type="spellEnd"/>
      <w:r w:rsidRPr="00640A46">
        <w:rPr>
          <w:rFonts w:ascii="Carlito" w:hAnsi="Carlito"/>
        </w:rPr>
        <w:t xml:space="preserve"> prescription volume. The sponsor response noted </w:t>
      </w:r>
      <w:proofErr w:type="spellStart"/>
      <w:r w:rsidRPr="00640A46">
        <w:rPr>
          <w:rFonts w:ascii="Carlito" w:hAnsi="Carlito"/>
        </w:rPr>
        <w:t>leuprorelin</w:t>
      </w:r>
      <w:proofErr w:type="spellEnd"/>
      <w:r w:rsidRPr="00640A46">
        <w:rPr>
          <w:rFonts w:ascii="Carlito" w:hAnsi="Carlito"/>
        </w:rPr>
        <w:t xml:space="preserve"> is mainly used to treat prostate cancer in older men, and the growth may be due to an ageing population. </w:t>
      </w:r>
    </w:p>
    <w:p w14:paraId="0AFB4388" w14:textId="77777777" w:rsidR="00036CCA" w:rsidRPr="00640A46" w:rsidRDefault="00036CCA" w:rsidP="00036CCA">
      <w:pPr>
        <w:rPr>
          <w:rFonts w:ascii="Carlito" w:hAnsi="Carlito" w:hint="eastAsia"/>
        </w:rPr>
      </w:pPr>
      <w:r w:rsidRPr="00640A46">
        <w:rPr>
          <w:rFonts w:ascii="Carlito" w:hAnsi="Carlito"/>
        </w:rPr>
        <w:t>DUSC noted there were approximately 16,000 new patients treated in 2018, but that the number of new patients appears stable, however the number of prevalent treated patients is growing. DUSC noted there are more males initiating than females, and more males treated than females.</w:t>
      </w:r>
    </w:p>
    <w:p w14:paraId="7C486A81" w14:textId="77777777" w:rsidR="00036CCA" w:rsidRPr="00640A46" w:rsidRDefault="00036CCA" w:rsidP="00036CCA">
      <w:pPr>
        <w:rPr>
          <w:rFonts w:ascii="Carlito" w:hAnsi="Carlito" w:hint="eastAsia"/>
        </w:rPr>
      </w:pPr>
      <w:r w:rsidRPr="00640A46">
        <w:rPr>
          <w:rFonts w:ascii="Carlito" w:hAnsi="Carlito"/>
        </w:rPr>
        <w:t xml:space="preserve">DUSC noted that </w:t>
      </w:r>
      <w:proofErr w:type="spellStart"/>
      <w:r w:rsidRPr="00640A46">
        <w:rPr>
          <w:rFonts w:ascii="Carlito" w:hAnsi="Carlito"/>
        </w:rPr>
        <w:t>GnRH</w:t>
      </w:r>
      <w:proofErr w:type="spellEnd"/>
      <w:r w:rsidRPr="00640A46">
        <w:rPr>
          <w:rFonts w:ascii="Carlito" w:hAnsi="Carlito"/>
        </w:rPr>
        <w:t xml:space="preserve"> agonists are mainly used in women aged 15 to 59 years, and in men aged 45 to 99 years. DUSC noted the age at first prescription for female and male patients corresponded with the onset of conditions that are PBS listed for treatment.</w:t>
      </w:r>
    </w:p>
    <w:p w14:paraId="60563DDB" w14:textId="77777777" w:rsidR="00036CCA" w:rsidRPr="00640A46" w:rsidRDefault="00036CCA" w:rsidP="00036CCA">
      <w:pPr>
        <w:rPr>
          <w:rFonts w:ascii="Carlito" w:hAnsi="Carlito" w:hint="eastAsia"/>
        </w:rPr>
      </w:pPr>
      <w:r w:rsidRPr="00640A46">
        <w:rPr>
          <w:rFonts w:ascii="Carlito" w:hAnsi="Carlito"/>
        </w:rPr>
        <w:t xml:space="preserve">DUSC noted that in female patients, use is dominated by </w:t>
      </w:r>
      <w:proofErr w:type="spellStart"/>
      <w:r w:rsidRPr="00640A46">
        <w:rPr>
          <w:rFonts w:ascii="Carlito" w:hAnsi="Carlito"/>
        </w:rPr>
        <w:t>goserelin</w:t>
      </w:r>
      <w:proofErr w:type="spellEnd"/>
      <w:r w:rsidRPr="00640A46">
        <w:rPr>
          <w:rFonts w:ascii="Carlito" w:hAnsi="Carlito"/>
        </w:rPr>
        <w:t xml:space="preserve"> 3.6 mg, and used primarily in women aged 15 to 59 years. DUSC noted that the PBS restriction for </w:t>
      </w:r>
      <w:proofErr w:type="spellStart"/>
      <w:r w:rsidRPr="00640A46">
        <w:rPr>
          <w:rFonts w:ascii="Carlito" w:hAnsi="Carlito"/>
        </w:rPr>
        <w:t>goserelin</w:t>
      </w:r>
      <w:proofErr w:type="spellEnd"/>
      <w:r w:rsidRPr="00640A46">
        <w:rPr>
          <w:rFonts w:ascii="Carlito" w:hAnsi="Carlito"/>
        </w:rPr>
        <w:t xml:space="preserve"> for endometriosis allows no more than 6 month’s treatment, and that the PBS restriction for </w:t>
      </w:r>
      <w:proofErr w:type="spellStart"/>
      <w:r w:rsidRPr="00640A46">
        <w:rPr>
          <w:rFonts w:ascii="Carlito" w:hAnsi="Carlito"/>
        </w:rPr>
        <w:t>nafarelin</w:t>
      </w:r>
      <w:proofErr w:type="spellEnd"/>
      <w:r w:rsidRPr="00640A46">
        <w:rPr>
          <w:rFonts w:ascii="Carlito" w:hAnsi="Carlito"/>
        </w:rPr>
        <w:t xml:space="preserve"> allows up to 6 months of initial treatment and up to 6 months of subsequent treatment. DUSC noted that approximately 80% of endometriosis patients stop treatment by six months after first initiation. DUSC commented that the findings from the report showed no major concerns with people using </w:t>
      </w:r>
      <w:proofErr w:type="spellStart"/>
      <w:r w:rsidRPr="00640A46">
        <w:rPr>
          <w:rFonts w:ascii="Carlito" w:hAnsi="Carlito"/>
        </w:rPr>
        <w:t>goserelin</w:t>
      </w:r>
      <w:proofErr w:type="spellEnd"/>
      <w:r w:rsidRPr="00640A46">
        <w:rPr>
          <w:rFonts w:ascii="Carlito" w:hAnsi="Carlito"/>
        </w:rPr>
        <w:t xml:space="preserve"> or </w:t>
      </w:r>
      <w:proofErr w:type="spellStart"/>
      <w:r w:rsidRPr="00640A46">
        <w:rPr>
          <w:rFonts w:ascii="Carlito" w:hAnsi="Carlito"/>
        </w:rPr>
        <w:t>nafarelin</w:t>
      </w:r>
      <w:proofErr w:type="spellEnd"/>
      <w:r w:rsidRPr="00640A46">
        <w:rPr>
          <w:rFonts w:ascii="Carlito" w:hAnsi="Carlito"/>
        </w:rPr>
        <w:t xml:space="preserve"> outside of the PBS restrictions. DUSC also commented that these medicines can cause unpleasant side effects in women, which likely affects the length of treatment.</w:t>
      </w:r>
    </w:p>
    <w:p w14:paraId="13A34C64" w14:textId="77777777" w:rsidR="00036CCA" w:rsidRPr="00640A46" w:rsidRDefault="00036CCA" w:rsidP="00036CCA">
      <w:pPr>
        <w:rPr>
          <w:rFonts w:ascii="Carlito" w:hAnsi="Carlito" w:hint="eastAsia"/>
        </w:rPr>
      </w:pPr>
      <w:r w:rsidRPr="00640A46">
        <w:rPr>
          <w:rFonts w:ascii="Carlito" w:hAnsi="Carlito"/>
        </w:rPr>
        <w:t xml:space="preserve">DUSC noted that in male patients, use is dominated by </w:t>
      </w:r>
      <w:proofErr w:type="spellStart"/>
      <w:r w:rsidRPr="00640A46">
        <w:rPr>
          <w:rFonts w:ascii="Carlito" w:hAnsi="Carlito"/>
        </w:rPr>
        <w:t>goserelin</w:t>
      </w:r>
      <w:proofErr w:type="spellEnd"/>
      <w:r w:rsidRPr="00640A46">
        <w:rPr>
          <w:rFonts w:ascii="Carlito" w:hAnsi="Carlito"/>
        </w:rPr>
        <w:t xml:space="preserve">, and there has been growth in the use of </w:t>
      </w:r>
      <w:proofErr w:type="spellStart"/>
      <w:r w:rsidRPr="00640A46">
        <w:rPr>
          <w:rFonts w:ascii="Carlito" w:hAnsi="Carlito"/>
        </w:rPr>
        <w:t>leuprorelin</w:t>
      </w:r>
      <w:proofErr w:type="spellEnd"/>
      <w:r w:rsidRPr="00640A46">
        <w:rPr>
          <w:rFonts w:ascii="Carlito" w:hAnsi="Carlito"/>
        </w:rPr>
        <w:t xml:space="preserve">. DUSC noted the three monthly implants are the most commonly used products in male patients for both </w:t>
      </w:r>
      <w:proofErr w:type="spellStart"/>
      <w:r w:rsidRPr="00640A46">
        <w:rPr>
          <w:rFonts w:ascii="Carlito" w:hAnsi="Carlito"/>
        </w:rPr>
        <w:t>goserelin</w:t>
      </w:r>
      <w:proofErr w:type="spellEnd"/>
      <w:r w:rsidRPr="00640A46">
        <w:rPr>
          <w:rFonts w:ascii="Carlito" w:hAnsi="Carlito"/>
        </w:rPr>
        <w:t xml:space="preserve"> and </w:t>
      </w:r>
      <w:proofErr w:type="spellStart"/>
      <w:r w:rsidRPr="00640A46">
        <w:rPr>
          <w:rFonts w:ascii="Carlito" w:hAnsi="Carlito"/>
        </w:rPr>
        <w:t>leuprorelin</w:t>
      </w:r>
      <w:proofErr w:type="spellEnd"/>
      <w:r w:rsidRPr="00640A46">
        <w:rPr>
          <w:rFonts w:ascii="Carlito" w:hAnsi="Carlito"/>
        </w:rPr>
        <w:t xml:space="preserve">. DUSC commented that the duration of use was higher in male patients than female patients, with </w:t>
      </w:r>
      <w:r w:rsidRPr="00640A46">
        <w:rPr>
          <w:rFonts w:ascii="Carlito" w:hAnsi="Carlito"/>
        </w:rPr>
        <w:lastRenderedPageBreak/>
        <w:t>some patients continuing on therapy over the entire length of the data extraction period to 5 years, which contributed to the higher number of male prevalent patients.</w:t>
      </w:r>
    </w:p>
    <w:p w14:paraId="4202076B" w14:textId="77777777" w:rsidR="00036CCA" w:rsidRPr="00640A46" w:rsidRDefault="00036CCA" w:rsidP="00036CCA">
      <w:pPr>
        <w:rPr>
          <w:rFonts w:ascii="Carlito" w:hAnsi="Carlito" w:hint="eastAsia"/>
        </w:rPr>
      </w:pPr>
      <w:r w:rsidRPr="00640A46">
        <w:rPr>
          <w:rFonts w:ascii="Carlito" w:hAnsi="Carlito"/>
        </w:rPr>
        <w:t xml:space="preserve">DUSC commented that the market is growing, but the analyses of utilisation by age showed that the use of the </w:t>
      </w:r>
      <w:proofErr w:type="spellStart"/>
      <w:r w:rsidRPr="00640A46">
        <w:rPr>
          <w:rFonts w:ascii="Carlito" w:hAnsi="Carlito"/>
        </w:rPr>
        <w:t>GnRH</w:t>
      </w:r>
      <w:proofErr w:type="spellEnd"/>
      <w:r w:rsidRPr="00640A46">
        <w:rPr>
          <w:rFonts w:ascii="Carlito" w:hAnsi="Carlito"/>
        </w:rPr>
        <w:t xml:space="preserve"> agonists reflects their PBS listed indications. DUSC further commented that the durations of therapy were reasonable. Overall, DUSC considered that the review’s findings did not indicate that the </w:t>
      </w:r>
      <w:proofErr w:type="spellStart"/>
      <w:r w:rsidRPr="00640A46">
        <w:rPr>
          <w:rFonts w:ascii="Carlito" w:hAnsi="Carlito"/>
        </w:rPr>
        <w:t>GnRH</w:t>
      </w:r>
      <w:proofErr w:type="spellEnd"/>
      <w:r w:rsidRPr="00640A46">
        <w:rPr>
          <w:rFonts w:ascii="Carlito" w:hAnsi="Carlito"/>
        </w:rPr>
        <w:t xml:space="preserve"> agonists are being used outside of the PBS restrictions. </w:t>
      </w:r>
    </w:p>
    <w:p w14:paraId="6B4C9E21" w14:textId="77777777" w:rsidR="00036CCA" w:rsidRDefault="00036CCA" w:rsidP="00036CCA">
      <w:pPr>
        <w:pStyle w:val="Heading1"/>
      </w:pPr>
      <w:r>
        <w:t>DUSC actions</w:t>
      </w:r>
    </w:p>
    <w:p w14:paraId="317BD377" w14:textId="77777777" w:rsidR="00640A46" w:rsidRPr="00640A46" w:rsidRDefault="00640A46" w:rsidP="00640A46">
      <w:pPr>
        <w:spacing w:after="0"/>
        <w:contextualSpacing/>
        <w:rPr>
          <w:rFonts w:eastAsia="Calibri"/>
        </w:rPr>
      </w:pPr>
      <w:r w:rsidRPr="00640A46">
        <w:rPr>
          <w:rFonts w:eastAsia="Calibri"/>
        </w:rPr>
        <w:t xml:space="preserve">DUSC requested that the report be provided to the PBAC. </w:t>
      </w:r>
    </w:p>
    <w:p w14:paraId="498A419F" w14:textId="77777777" w:rsidR="00036CCA" w:rsidRDefault="00036CCA" w:rsidP="00036CCA">
      <w:pPr>
        <w:pStyle w:val="Heading1"/>
      </w:pPr>
      <w:r w:rsidRPr="0092516A">
        <w:t>Context for analysis</w:t>
      </w:r>
    </w:p>
    <w:p w14:paraId="58044368" w14:textId="77777777" w:rsidR="00036CCA" w:rsidRDefault="00036CCA" w:rsidP="00036CCA">
      <w:r>
        <w:t>The DUSC is a Sub Committee of the Pharmaceutical Benefits Advisory Committee (PBAC). The DUSC assesses estimates on projected usage and financial cost of medicines.</w:t>
      </w:r>
    </w:p>
    <w:p w14:paraId="369AD409" w14:textId="77777777" w:rsidR="00036CCA" w:rsidRDefault="00036CCA" w:rsidP="00036CCA">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6CC51C48" w14:textId="77777777" w:rsidR="00036CCA" w:rsidRDefault="00036CCA" w:rsidP="00036CCA">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60DAED24" w14:textId="77777777" w:rsidR="00036CCA" w:rsidRDefault="00036CCA" w:rsidP="00036CCA">
      <w:r>
        <w:t>The utilisation analysis report was provided to the pharmaceutical sponsors of each drug and comments on the report were provided to DUSC prior to its consideration of the analysis.</w:t>
      </w:r>
    </w:p>
    <w:p w14:paraId="49C86900" w14:textId="77777777" w:rsidR="00036CCA" w:rsidRDefault="00036CCA" w:rsidP="00036CCA">
      <w:pPr>
        <w:pStyle w:val="Heading1"/>
      </w:pPr>
      <w:r>
        <w:t>Sponsor</w:t>
      </w:r>
      <w:r w:rsidRPr="0092516A">
        <w:t>s</w:t>
      </w:r>
      <w:r>
        <w:t>’</w:t>
      </w:r>
      <w:r w:rsidRPr="0092516A">
        <w:t xml:space="preserve"> comments</w:t>
      </w:r>
    </w:p>
    <w:p w14:paraId="5AE6CAD3" w14:textId="482EE6F2" w:rsidR="0099714D" w:rsidRPr="001D0B4D" w:rsidRDefault="0099714D" w:rsidP="0099714D">
      <w:r w:rsidRPr="001D0B4D">
        <w:t>AstraZeneca Pty Ltd</w:t>
      </w:r>
      <w:r w:rsidR="009000E3" w:rsidRPr="001D0B4D">
        <w:t>:</w:t>
      </w:r>
      <w:r w:rsidR="001D0B4D" w:rsidRPr="001D0B4D">
        <w:t xml:space="preserve"> The sponsor has no comment.</w:t>
      </w:r>
    </w:p>
    <w:p w14:paraId="76A56547" w14:textId="0294DE7D" w:rsidR="0099714D" w:rsidRPr="001D0B4D" w:rsidRDefault="0099714D" w:rsidP="0099714D">
      <w:proofErr w:type="spellStart"/>
      <w:r w:rsidRPr="001D0B4D">
        <w:t>Mundipharma</w:t>
      </w:r>
      <w:proofErr w:type="spellEnd"/>
      <w:r w:rsidRPr="001D0B4D">
        <w:t xml:space="preserve"> Pty Limited</w:t>
      </w:r>
      <w:r w:rsidR="009000E3" w:rsidRPr="001D0B4D">
        <w:t>:</w:t>
      </w:r>
      <w:r w:rsidR="001D0B4D" w:rsidRPr="001D0B4D">
        <w:t xml:space="preserve"> The sponsor has no comment.</w:t>
      </w:r>
    </w:p>
    <w:p w14:paraId="01B5AAAD" w14:textId="6AA6EEF4" w:rsidR="0099714D" w:rsidRPr="001D0B4D" w:rsidRDefault="0099714D" w:rsidP="0099714D">
      <w:r w:rsidRPr="001D0B4D">
        <w:t>AbbVie Pty Ltd</w:t>
      </w:r>
      <w:r w:rsidR="009000E3" w:rsidRPr="001D0B4D">
        <w:t>:</w:t>
      </w:r>
      <w:r w:rsidR="001D0B4D" w:rsidRPr="001D0B4D">
        <w:t xml:space="preserve"> The sponsor has no comment.</w:t>
      </w:r>
    </w:p>
    <w:p w14:paraId="4552610C" w14:textId="6DD4AB46" w:rsidR="009000E3" w:rsidRPr="001D0B4D" w:rsidRDefault="009000E3" w:rsidP="0099714D">
      <w:proofErr w:type="spellStart"/>
      <w:r w:rsidRPr="001D0B4D">
        <w:t>Ipsen</w:t>
      </w:r>
      <w:proofErr w:type="spellEnd"/>
      <w:r w:rsidRPr="001D0B4D">
        <w:t xml:space="preserve"> Pty Ltd:</w:t>
      </w:r>
      <w:r w:rsidR="001D0B4D" w:rsidRPr="001D0B4D">
        <w:t xml:space="preserve"> The sponsor has no comment.</w:t>
      </w:r>
    </w:p>
    <w:p w14:paraId="6807F5AA" w14:textId="2BE51858" w:rsidR="009000E3" w:rsidRDefault="009000E3" w:rsidP="0099714D">
      <w:r w:rsidRPr="001D0B4D">
        <w:t>Pfizer Australia Pty Ltd:</w:t>
      </w:r>
      <w:r w:rsidR="001D0B4D" w:rsidRPr="001D0B4D">
        <w:t xml:space="preserve"> The sponsor has no comment.</w:t>
      </w:r>
    </w:p>
    <w:p w14:paraId="13156276" w14:textId="1E91D00A" w:rsidR="00036CCA" w:rsidRDefault="00036CCA" w:rsidP="00036CCA">
      <w:pPr>
        <w:pStyle w:val="Heading1"/>
      </w:pPr>
      <w:r w:rsidRPr="00A4020E">
        <w:lastRenderedPageBreak/>
        <w:t>Disclaimer</w:t>
      </w:r>
    </w:p>
    <w:p w14:paraId="366EF96C" w14:textId="77777777" w:rsidR="00036CCA" w:rsidRDefault="00036CCA" w:rsidP="00036CCA">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5A6372AF" w14:textId="77777777" w:rsidR="00036CCA" w:rsidRDefault="00036CCA" w:rsidP="00036CCA">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3433843C" w14:textId="77777777" w:rsidR="00036CCA" w:rsidRDefault="00036CCA" w:rsidP="00036CCA">
      <w:r>
        <w:t xml:space="preserve">To the extent provided by law, </w:t>
      </w:r>
      <w:proofErr w:type="spellStart"/>
      <w:r>
        <w:t>DoH</w:t>
      </w:r>
      <w:proofErr w:type="spellEnd"/>
      <w:r>
        <w:t xml:space="preserve"> makes no warranties or representations as to accuracy or completeness of information contained in this report. </w:t>
      </w:r>
    </w:p>
    <w:p w14:paraId="3764B169" w14:textId="77777777" w:rsidR="00036CCA" w:rsidRDefault="00036CCA" w:rsidP="00036CCA">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6AC4DE44" w14:textId="1FCBCB6A" w:rsidR="00036CCA" w:rsidRDefault="00036CCA" w:rsidP="00F1132C"/>
    <w:p w14:paraId="68476D8F" w14:textId="77777777" w:rsidR="00036CCA" w:rsidRDefault="00036CCA" w:rsidP="00F1132C"/>
    <w:p w14:paraId="05D6EB6B" w14:textId="77777777" w:rsidR="003177D9" w:rsidRDefault="003177D9">
      <w:pPr>
        <w:spacing w:line="276" w:lineRule="auto"/>
        <w:rPr>
          <w:rFonts w:eastAsiaTheme="majorEastAsia" w:cstheme="majorBidi"/>
          <w:b/>
          <w:bCs/>
          <w:sz w:val="32"/>
          <w:szCs w:val="32"/>
        </w:rPr>
      </w:pPr>
      <w:r>
        <w:br w:type="page"/>
      </w:r>
    </w:p>
    <w:p w14:paraId="7C4E4AB9" w14:textId="7105C802" w:rsidR="002C6E0C" w:rsidRDefault="00853F97" w:rsidP="00F73113">
      <w:pPr>
        <w:pStyle w:val="Heading1"/>
      </w:pPr>
      <w:r>
        <w:lastRenderedPageBreak/>
        <w:t>Appendix A</w:t>
      </w:r>
    </w:p>
    <w:p w14:paraId="12F8CB82" w14:textId="56EF219D" w:rsidR="00853F97" w:rsidRPr="001420B3" w:rsidDel="00EE2BBB" w:rsidRDefault="00853F97" w:rsidP="00853F97">
      <w:pPr>
        <w:pStyle w:val="Tabletitle"/>
      </w:pPr>
      <w:r w:rsidRPr="001420B3" w:rsidDel="00EE2BBB">
        <w:t xml:space="preserve">Table </w:t>
      </w:r>
      <w:r>
        <w:t>A.1</w:t>
      </w:r>
      <w:r w:rsidRPr="001420B3" w:rsidDel="00EE2BBB">
        <w:t xml:space="preserve">: </w:t>
      </w:r>
      <w:r w:rsidDel="00EE2BBB">
        <w:t>PB</w:t>
      </w:r>
      <w:r>
        <w:t>S listing as at March 2019</w:t>
      </w:r>
    </w:p>
    <w:tbl>
      <w:tblPr>
        <w:tblStyle w:val="TableGrid"/>
        <w:tblW w:w="9064" w:type="dxa"/>
        <w:tblLayout w:type="fixed"/>
        <w:tblLook w:val="04A0" w:firstRow="1" w:lastRow="0" w:firstColumn="1" w:lastColumn="0" w:noHBand="0" w:noVBand="1"/>
        <w:tblCaption w:val="PBS listing as at March 2019"/>
        <w:tblDescription w:val="PBS listing as at March 2019"/>
      </w:tblPr>
      <w:tblGrid>
        <w:gridCol w:w="969"/>
        <w:gridCol w:w="3534"/>
        <w:gridCol w:w="708"/>
        <w:gridCol w:w="709"/>
        <w:gridCol w:w="1040"/>
        <w:gridCol w:w="2104"/>
      </w:tblGrid>
      <w:tr w:rsidR="00853F97" w:rsidRPr="00A35800" w:rsidDel="00EE2BBB" w14:paraId="651BA756" w14:textId="77777777" w:rsidTr="006405D5">
        <w:trPr>
          <w:trHeight w:val="694"/>
          <w:tblHeader/>
        </w:trPr>
        <w:tc>
          <w:tcPr>
            <w:tcW w:w="969" w:type="dxa"/>
            <w:shd w:val="clear" w:color="auto" w:fill="BFBFBF" w:themeFill="background1" w:themeFillShade="BF"/>
            <w:vAlign w:val="center"/>
          </w:tcPr>
          <w:p w14:paraId="6DA3F604" w14:textId="77777777" w:rsidR="00853F97" w:rsidRPr="00A35800" w:rsidDel="00EE2BBB" w:rsidRDefault="00853F97" w:rsidP="006405D5">
            <w:pPr>
              <w:pStyle w:val="Tableheading"/>
              <w:rPr>
                <w:sz w:val="20"/>
                <w:szCs w:val="20"/>
              </w:rPr>
            </w:pPr>
            <w:r w:rsidRPr="00A35800" w:rsidDel="00EE2BBB">
              <w:rPr>
                <w:sz w:val="20"/>
                <w:szCs w:val="20"/>
              </w:rPr>
              <w:t>Item</w:t>
            </w:r>
          </w:p>
        </w:tc>
        <w:tc>
          <w:tcPr>
            <w:tcW w:w="3534" w:type="dxa"/>
            <w:shd w:val="clear" w:color="auto" w:fill="BFBFBF" w:themeFill="background1" w:themeFillShade="BF"/>
            <w:vAlign w:val="center"/>
          </w:tcPr>
          <w:p w14:paraId="4621F5B5" w14:textId="77777777" w:rsidR="00853F97" w:rsidRPr="00A35800" w:rsidDel="00EE2BBB" w:rsidRDefault="00853F97" w:rsidP="006405D5">
            <w:pPr>
              <w:pStyle w:val="Tableheading"/>
              <w:rPr>
                <w:sz w:val="20"/>
                <w:szCs w:val="20"/>
              </w:rPr>
            </w:pPr>
            <w:r w:rsidRPr="00A35800" w:rsidDel="00EE2BBB">
              <w:rPr>
                <w:sz w:val="20"/>
                <w:szCs w:val="20"/>
              </w:rPr>
              <w:t>Name, form &amp; strength, pack size</w:t>
            </w:r>
          </w:p>
        </w:tc>
        <w:tc>
          <w:tcPr>
            <w:tcW w:w="708" w:type="dxa"/>
            <w:shd w:val="clear" w:color="auto" w:fill="BFBFBF" w:themeFill="background1" w:themeFillShade="BF"/>
            <w:vAlign w:val="center"/>
          </w:tcPr>
          <w:p w14:paraId="1FDBFD25" w14:textId="77777777" w:rsidR="00853F97" w:rsidRPr="00A35800" w:rsidDel="00EE2BBB" w:rsidRDefault="00853F97" w:rsidP="006405D5">
            <w:pPr>
              <w:pStyle w:val="Tableheading"/>
              <w:rPr>
                <w:sz w:val="20"/>
                <w:szCs w:val="20"/>
              </w:rPr>
            </w:pPr>
            <w:r w:rsidRPr="00A35800" w:rsidDel="00EE2BBB">
              <w:rPr>
                <w:sz w:val="20"/>
                <w:szCs w:val="20"/>
              </w:rPr>
              <w:t xml:space="preserve">Max. </w:t>
            </w:r>
            <w:r>
              <w:rPr>
                <w:sz w:val="20"/>
                <w:szCs w:val="20"/>
              </w:rPr>
              <w:t>quant</w:t>
            </w:r>
          </w:p>
        </w:tc>
        <w:tc>
          <w:tcPr>
            <w:tcW w:w="709" w:type="dxa"/>
            <w:shd w:val="clear" w:color="auto" w:fill="BFBFBF" w:themeFill="background1" w:themeFillShade="BF"/>
            <w:vAlign w:val="center"/>
          </w:tcPr>
          <w:p w14:paraId="558B267E" w14:textId="7CD49CB3" w:rsidR="00853F97" w:rsidRPr="00A35800" w:rsidDel="00EE2BBB" w:rsidRDefault="00853F97" w:rsidP="006405D5">
            <w:pPr>
              <w:pStyle w:val="Tableheading"/>
              <w:rPr>
                <w:sz w:val="20"/>
                <w:szCs w:val="20"/>
              </w:rPr>
            </w:pPr>
            <w:proofErr w:type="spellStart"/>
            <w:r w:rsidRPr="00A35800" w:rsidDel="00EE2BBB">
              <w:rPr>
                <w:sz w:val="20"/>
                <w:szCs w:val="20"/>
              </w:rPr>
              <w:t>Rpts</w:t>
            </w:r>
            <w:proofErr w:type="spellEnd"/>
          </w:p>
        </w:tc>
        <w:tc>
          <w:tcPr>
            <w:tcW w:w="1040" w:type="dxa"/>
            <w:shd w:val="clear" w:color="auto" w:fill="BFBFBF" w:themeFill="background1" w:themeFillShade="BF"/>
            <w:vAlign w:val="center"/>
          </w:tcPr>
          <w:p w14:paraId="56509680" w14:textId="77777777" w:rsidR="00853F97" w:rsidRPr="00A35800" w:rsidDel="00EE2BBB" w:rsidRDefault="00853F97" w:rsidP="006405D5">
            <w:pPr>
              <w:pStyle w:val="Tableheading"/>
              <w:jc w:val="right"/>
              <w:rPr>
                <w:sz w:val="20"/>
                <w:szCs w:val="20"/>
              </w:rPr>
            </w:pPr>
            <w:r w:rsidRPr="00A35800" w:rsidDel="00EE2BBB">
              <w:rPr>
                <w:sz w:val="20"/>
                <w:szCs w:val="20"/>
              </w:rPr>
              <w:t>DPMQ</w:t>
            </w:r>
          </w:p>
        </w:tc>
        <w:tc>
          <w:tcPr>
            <w:tcW w:w="2104" w:type="dxa"/>
            <w:shd w:val="clear" w:color="auto" w:fill="BFBFBF" w:themeFill="background1" w:themeFillShade="BF"/>
            <w:vAlign w:val="center"/>
          </w:tcPr>
          <w:p w14:paraId="6CAA8776" w14:textId="77777777" w:rsidR="00853F97" w:rsidRPr="00A35800" w:rsidDel="00EE2BBB" w:rsidRDefault="00853F97" w:rsidP="006405D5">
            <w:pPr>
              <w:pStyle w:val="Tableheading"/>
              <w:rPr>
                <w:sz w:val="20"/>
                <w:szCs w:val="20"/>
              </w:rPr>
            </w:pPr>
            <w:r w:rsidRPr="00A35800" w:rsidDel="00EE2BBB">
              <w:rPr>
                <w:sz w:val="20"/>
                <w:szCs w:val="20"/>
              </w:rPr>
              <w:t>Brand name and manufacturer</w:t>
            </w:r>
          </w:p>
        </w:tc>
      </w:tr>
      <w:tr w:rsidR="00853F97" w:rsidRPr="00A35800" w:rsidDel="00EE2BBB" w14:paraId="4C67E043" w14:textId="77777777" w:rsidTr="006405D5">
        <w:trPr>
          <w:trHeight w:val="552"/>
        </w:trPr>
        <w:tc>
          <w:tcPr>
            <w:tcW w:w="969" w:type="dxa"/>
            <w:shd w:val="clear" w:color="auto" w:fill="auto"/>
            <w:vAlign w:val="center"/>
          </w:tcPr>
          <w:p w14:paraId="70EF769D" w14:textId="77777777" w:rsidR="00853F97" w:rsidRPr="00A35800" w:rsidDel="00EE2BBB" w:rsidRDefault="00853F97" w:rsidP="006405D5">
            <w:pPr>
              <w:pStyle w:val="Tablewriting"/>
            </w:pPr>
            <w:r w:rsidRPr="00DF4C2B">
              <w:t>1454M</w:t>
            </w:r>
          </w:p>
        </w:tc>
        <w:tc>
          <w:tcPr>
            <w:tcW w:w="3534" w:type="dxa"/>
            <w:shd w:val="clear" w:color="auto" w:fill="auto"/>
            <w:vAlign w:val="center"/>
          </w:tcPr>
          <w:p w14:paraId="2DA66637" w14:textId="77777777" w:rsidR="00853F97" w:rsidRPr="00A35800" w:rsidDel="00EE2BBB" w:rsidRDefault="00853F97" w:rsidP="006405D5">
            <w:pPr>
              <w:pStyle w:val="Tablewriting"/>
            </w:pPr>
            <w:proofErr w:type="spellStart"/>
            <w:r w:rsidRPr="00DF4C2B">
              <w:t>goserelin</w:t>
            </w:r>
            <w:proofErr w:type="spellEnd"/>
            <w:r w:rsidRPr="00DF4C2B">
              <w:t xml:space="preserve"> 3.6 mg implant, 1</w:t>
            </w:r>
          </w:p>
        </w:tc>
        <w:tc>
          <w:tcPr>
            <w:tcW w:w="708" w:type="dxa"/>
            <w:shd w:val="clear" w:color="auto" w:fill="auto"/>
            <w:vAlign w:val="center"/>
          </w:tcPr>
          <w:p w14:paraId="63AC0526" w14:textId="77777777" w:rsidR="00853F97" w:rsidRPr="00A35800" w:rsidDel="00EE2BBB" w:rsidRDefault="00853F97" w:rsidP="006405D5">
            <w:pPr>
              <w:pStyle w:val="Tablewriting"/>
              <w:jc w:val="center"/>
            </w:pPr>
            <w:r>
              <w:t>1</w:t>
            </w:r>
          </w:p>
        </w:tc>
        <w:tc>
          <w:tcPr>
            <w:tcW w:w="709" w:type="dxa"/>
            <w:shd w:val="clear" w:color="auto" w:fill="auto"/>
            <w:vAlign w:val="center"/>
          </w:tcPr>
          <w:p w14:paraId="594E7359" w14:textId="77777777" w:rsidR="00853F97" w:rsidRPr="00A35800" w:rsidDel="00EE2BBB" w:rsidRDefault="00853F97" w:rsidP="006405D5">
            <w:pPr>
              <w:pStyle w:val="Tablewriting"/>
              <w:jc w:val="center"/>
            </w:pPr>
            <w:r>
              <w:t>5</w:t>
            </w:r>
          </w:p>
        </w:tc>
        <w:tc>
          <w:tcPr>
            <w:tcW w:w="1040" w:type="dxa"/>
            <w:shd w:val="clear" w:color="auto" w:fill="auto"/>
            <w:vAlign w:val="center"/>
          </w:tcPr>
          <w:p w14:paraId="31ABF06E" w14:textId="77777777" w:rsidR="00853F97" w:rsidRPr="00A35800" w:rsidDel="00EE2BBB" w:rsidRDefault="00853F97" w:rsidP="006405D5">
            <w:pPr>
              <w:pStyle w:val="Tablewriting"/>
              <w:jc w:val="right"/>
            </w:pPr>
            <w:r w:rsidRPr="00DF4C2B">
              <w:t>$264.45</w:t>
            </w:r>
          </w:p>
        </w:tc>
        <w:tc>
          <w:tcPr>
            <w:tcW w:w="2104" w:type="dxa"/>
            <w:shd w:val="clear" w:color="auto" w:fill="auto"/>
            <w:vAlign w:val="center"/>
          </w:tcPr>
          <w:p w14:paraId="2C33704C" w14:textId="77777777" w:rsidR="00853F97" w:rsidRPr="00A35800" w:rsidDel="00EE2BBB" w:rsidRDefault="00853F97" w:rsidP="006405D5">
            <w:pPr>
              <w:pStyle w:val="Tablewriting"/>
            </w:pPr>
            <w:proofErr w:type="spellStart"/>
            <w:r w:rsidRPr="00DF4C2B">
              <w:t>Zoladex</w:t>
            </w:r>
            <w:proofErr w:type="spellEnd"/>
            <w:r w:rsidRPr="00DF4C2B">
              <w:t xml:space="preserve"> Implant</w:t>
            </w:r>
            <w:r>
              <w:t xml:space="preserve">, </w:t>
            </w:r>
            <w:r w:rsidRPr="00DF4C2B">
              <w:t>AstraZeneca Pty Ltd</w:t>
            </w:r>
          </w:p>
        </w:tc>
      </w:tr>
      <w:tr w:rsidR="00853F97" w:rsidRPr="00A35800" w:rsidDel="00EE2BBB" w14:paraId="3A7C021E" w14:textId="77777777" w:rsidTr="006405D5">
        <w:trPr>
          <w:trHeight w:val="552"/>
        </w:trPr>
        <w:tc>
          <w:tcPr>
            <w:tcW w:w="969" w:type="dxa"/>
            <w:shd w:val="clear" w:color="auto" w:fill="auto"/>
            <w:vAlign w:val="center"/>
          </w:tcPr>
          <w:p w14:paraId="48133D36" w14:textId="77777777" w:rsidR="00853F97" w:rsidRPr="00A35800" w:rsidDel="00EE2BBB" w:rsidRDefault="00853F97" w:rsidP="006405D5">
            <w:pPr>
              <w:pStyle w:val="Tablewriting"/>
            </w:pPr>
            <w:r w:rsidRPr="00DF4C2B">
              <w:t>8093Y</w:t>
            </w:r>
          </w:p>
        </w:tc>
        <w:tc>
          <w:tcPr>
            <w:tcW w:w="3534" w:type="dxa"/>
            <w:shd w:val="clear" w:color="auto" w:fill="auto"/>
            <w:vAlign w:val="center"/>
          </w:tcPr>
          <w:p w14:paraId="25201669" w14:textId="77777777" w:rsidR="00853F97" w:rsidRPr="00A35800" w:rsidDel="00EE2BBB" w:rsidRDefault="00853F97" w:rsidP="006405D5">
            <w:pPr>
              <w:pStyle w:val="Tablewriting"/>
            </w:pPr>
            <w:proofErr w:type="spellStart"/>
            <w:r w:rsidRPr="00DF4C2B">
              <w:t>goserelin</w:t>
            </w:r>
            <w:proofErr w:type="spellEnd"/>
            <w:r w:rsidRPr="00DF4C2B">
              <w:t xml:space="preserve"> 10.8 mg implant, 1</w:t>
            </w:r>
          </w:p>
        </w:tc>
        <w:tc>
          <w:tcPr>
            <w:tcW w:w="708" w:type="dxa"/>
            <w:shd w:val="clear" w:color="auto" w:fill="auto"/>
            <w:vAlign w:val="center"/>
          </w:tcPr>
          <w:p w14:paraId="5B089328" w14:textId="77777777" w:rsidR="00853F97" w:rsidRPr="00A35800" w:rsidDel="00EE2BBB" w:rsidRDefault="00853F97" w:rsidP="006405D5">
            <w:pPr>
              <w:pStyle w:val="Tablewriting"/>
              <w:jc w:val="center"/>
            </w:pPr>
            <w:r>
              <w:t>1</w:t>
            </w:r>
          </w:p>
        </w:tc>
        <w:tc>
          <w:tcPr>
            <w:tcW w:w="709" w:type="dxa"/>
            <w:shd w:val="clear" w:color="auto" w:fill="auto"/>
            <w:vAlign w:val="center"/>
          </w:tcPr>
          <w:p w14:paraId="73025DA3" w14:textId="77777777" w:rsidR="00853F97" w:rsidRPr="00A35800" w:rsidDel="00EE2BBB" w:rsidRDefault="00853F97" w:rsidP="006405D5">
            <w:pPr>
              <w:pStyle w:val="Tablewriting"/>
              <w:jc w:val="center"/>
            </w:pPr>
            <w:r>
              <w:t>5</w:t>
            </w:r>
          </w:p>
        </w:tc>
        <w:tc>
          <w:tcPr>
            <w:tcW w:w="1040" w:type="dxa"/>
            <w:shd w:val="clear" w:color="auto" w:fill="auto"/>
            <w:vAlign w:val="center"/>
          </w:tcPr>
          <w:p w14:paraId="3CCF3CF0" w14:textId="77777777" w:rsidR="00853F97" w:rsidRPr="00A35800" w:rsidDel="00EE2BBB" w:rsidRDefault="00853F97" w:rsidP="006405D5">
            <w:pPr>
              <w:pStyle w:val="Tablewriting"/>
              <w:jc w:val="right"/>
            </w:pPr>
            <w:r w:rsidRPr="00DF4C2B">
              <w:t>$899.89</w:t>
            </w:r>
          </w:p>
        </w:tc>
        <w:tc>
          <w:tcPr>
            <w:tcW w:w="2104" w:type="dxa"/>
            <w:shd w:val="clear" w:color="auto" w:fill="auto"/>
            <w:vAlign w:val="center"/>
          </w:tcPr>
          <w:p w14:paraId="75618D70" w14:textId="77777777" w:rsidR="00853F97" w:rsidRPr="00A35800" w:rsidDel="00EE2BBB" w:rsidRDefault="00853F97" w:rsidP="006405D5">
            <w:pPr>
              <w:pStyle w:val="Tablewriting"/>
            </w:pPr>
            <w:proofErr w:type="spellStart"/>
            <w:r w:rsidRPr="00DF4C2B">
              <w:t>Zoladex</w:t>
            </w:r>
            <w:proofErr w:type="spellEnd"/>
            <w:r w:rsidRPr="00DF4C2B">
              <w:t xml:space="preserve"> 10.8 Implant</w:t>
            </w:r>
            <w:r>
              <w:t xml:space="preserve">, </w:t>
            </w:r>
            <w:r w:rsidRPr="00DF4C2B">
              <w:t>AstraZeneca Pty Ltd</w:t>
            </w:r>
          </w:p>
        </w:tc>
      </w:tr>
      <w:tr w:rsidR="00853F97" w:rsidRPr="00A35800" w:rsidDel="00EE2BBB" w14:paraId="3D113479" w14:textId="77777777" w:rsidTr="006405D5">
        <w:trPr>
          <w:trHeight w:val="552"/>
        </w:trPr>
        <w:tc>
          <w:tcPr>
            <w:tcW w:w="969" w:type="dxa"/>
            <w:shd w:val="clear" w:color="auto" w:fill="auto"/>
            <w:vAlign w:val="center"/>
          </w:tcPr>
          <w:p w14:paraId="4269F943" w14:textId="77777777" w:rsidR="00853F97" w:rsidRPr="00A35800" w:rsidDel="00EE2BBB" w:rsidRDefault="00853F97" w:rsidP="006405D5">
            <w:pPr>
              <w:pStyle w:val="Tablewriting"/>
            </w:pPr>
            <w:r w:rsidRPr="00DF4C2B">
              <w:t>9064C</w:t>
            </w:r>
          </w:p>
        </w:tc>
        <w:tc>
          <w:tcPr>
            <w:tcW w:w="3534" w:type="dxa"/>
            <w:shd w:val="clear" w:color="auto" w:fill="auto"/>
            <w:vAlign w:val="center"/>
          </w:tcPr>
          <w:p w14:paraId="768C5A4D" w14:textId="77777777" w:rsidR="00853F97" w:rsidRPr="00A35800" w:rsidDel="00EE2BBB" w:rsidRDefault="00853F97" w:rsidP="006405D5">
            <w:pPr>
              <w:pStyle w:val="Tablewriting"/>
            </w:pPr>
            <w:proofErr w:type="spellStart"/>
            <w:r w:rsidRPr="00DF4C2B">
              <w:t>goserelin</w:t>
            </w:r>
            <w:proofErr w:type="spellEnd"/>
            <w:r w:rsidRPr="00DF4C2B">
              <w:t xml:space="preserve"> 3.6 mg implant [1 implant] (&amp;) </w:t>
            </w:r>
            <w:proofErr w:type="spellStart"/>
            <w:r w:rsidRPr="00DF4C2B">
              <w:t>bicalutamide</w:t>
            </w:r>
            <w:proofErr w:type="spellEnd"/>
            <w:r w:rsidRPr="00DF4C2B">
              <w:t xml:space="preserve"> 50 mg tablet [28 tablets], 1 pack</w:t>
            </w:r>
          </w:p>
        </w:tc>
        <w:tc>
          <w:tcPr>
            <w:tcW w:w="708" w:type="dxa"/>
            <w:shd w:val="clear" w:color="auto" w:fill="auto"/>
            <w:vAlign w:val="center"/>
          </w:tcPr>
          <w:p w14:paraId="01712972" w14:textId="77777777" w:rsidR="00853F97" w:rsidRPr="00A35800" w:rsidDel="00EE2BBB" w:rsidRDefault="00853F97" w:rsidP="006405D5">
            <w:pPr>
              <w:pStyle w:val="Tablewriting"/>
              <w:jc w:val="center"/>
            </w:pPr>
            <w:r>
              <w:t>1</w:t>
            </w:r>
          </w:p>
        </w:tc>
        <w:tc>
          <w:tcPr>
            <w:tcW w:w="709" w:type="dxa"/>
            <w:shd w:val="clear" w:color="auto" w:fill="auto"/>
            <w:vAlign w:val="center"/>
          </w:tcPr>
          <w:p w14:paraId="6D4FBC6C" w14:textId="77777777" w:rsidR="00853F97" w:rsidRPr="00A35800" w:rsidDel="00EE2BBB" w:rsidRDefault="00853F97" w:rsidP="006405D5">
            <w:pPr>
              <w:pStyle w:val="Tablewriting"/>
              <w:jc w:val="center"/>
            </w:pPr>
            <w:r>
              <w:t>5</w:t>
            </w:r>
          </w:p>
        </w:tc>
        <w:tc>
          <w:tcPr>
            <w:tcW w:w="1040" w:type="dxa"/>
            <w:shd w:val="clear" w:color="auto" w:fill="auto"/>
            <w:vAlign w:val="center"/>
          </w:tcPr>
          <w:p w14:paraId="26FC7C6A" w14:textId="77777777" w:rsidR="00853F97" w:rsidRPr="00A35800" w:rsidDel="00EE2BBB" w:rsidRDefault="00853F97" w:rsidP="006405D5">
            <w:pPr>
              <w:pStyle w:val="Tablewriting"/>
              <w:jc w:val="right"/>
            </w:pPr>
            <w:r w:rsidRPr="00DF4C2B">
              <w:t>$413.76</w:t>
            </w:r>
          </w:p>
        </w:tc>
        <w:tc>
          <w:tcPr>
            <w:tcW w:w="2104" w:type="dxa"/>
            <w:shd w:val="clear" w:color="auto" w:fill="auto"/>
            <w:vAlign w:val="center"/>
          </w:tcPr>
          <w:p w14:paraId="3F3DB338" w14:textId="77777777" w:rsidR="00853F97" w:rsidRPr="00A35800" w:rsidDel="00EE2BBB" w:rsidRDefault="00853F97" w:rsidP="006405D5">
            <w:pPr>
              <w:pStyle w:val="Tablewriting"/>
            </w:pPr>
            <w:proofErr w:type="spellStart"/>
            <w:r w:rsidRPr="00DF4C2B">
              <w:t>ZolaCos</w:t>
            </w:r>
            <w:proofErr w:type="spellEnd"/>
            <w:r w:rsidRPr="00DF4C2B">
              <w:t xml:space="preserve"> CP 3.6/50</w:t>
            </w:r>
            <w:r>
              <w:t xml:space="preserve">, </w:t>
            </w:r>
            <w:r w:rsidRPr="00DF4C2B">
              <w:t>AstraZeneca Pty Ltd</w:t>
            </w:r>
          </w:p>
        </w:tc>
      </w:tr>
      <w:tr w:rsidR="00853F97" w:rsidRPr="00A35800" w:rsidDel="00EE2BBB" w14:paraId="2AFDB5EB" w14:textId="77777777" w:rsidTr="006405D5">
        <w:trPr>
          <w:trHeight w:val="552"/>
        </w:trPr>
        <w:tc>
          <w:tcPr>
            <w:tcW w:w="969" w:type="dxa"/>
            <w:shd w:val="clear" w:color="auto" w:fill="auto"/>
            <w:vAlign w:val="center"/>
          </w:tcPr>
          <w:p w14:paraId="5816EA96" w14:textId="77777777" w:rsidR="00853F97" w:rsidRPr="00A35800" w:rsidDel="00EE2BBB" w:rsidRDefault="00853F97" w:rsidP="006405D5">
            <w:pPr>
              <w:pStyle w:val="Tablewriting"/>
            </w:pPr>
            <w:r w:rsidRPr="00DF4C2B">
              <w:t>9065D</w:t>
            </w:r>
          </w:p>
        </w:tc>
        <w:tc>
          <w:tcPr>
            <w:tcW w:w="3534" w:type="dxa"/>
            <w:shd w:val="clear" w:color="auto" w:fill="auto"/>
            <w:vAlign w:val="center"/>
          </w:tcPr>
          <w:p w14:paraId="0232542A" w14:textId="77777777" w:rsidR="00853F97" w:rsidRPr="00A35800" w:rsidDel="00EE2BBB" w:rsidRDefault="00853F97" w:rsidP="006405D5">
            <w:pPr>
              <w:pStyle w:val="Tablewriting"/>
            </w:pPr>
            <w:proofErr w:type="spellStart"/>
            <w:r w:rsidRPr="00DF4C2B">
              <w:t>goserelin</w:t>
            </w:r>
            <w:proofErr w:type="spellEnd"/>
            <w:r w:rsidRPr="00DF4C2B">
              <w:t xml:space="preserve"> 10.8 mg implant [1 implant] (&amp;) </w:t>
            </w:r>
            <w:proofErr w:type="spellStart"/>
            <w:r w:rsidRPr="00DF4C2B">
              <w:t>bicalutamide</w:t>
            </w:r>
            <w:proofErr w:type="spellEnd"/>
            <w:r w:rsidRPr="00DF4C2B">
              <w:t xml:space="preserve"> 50 mg tablet [28 tablets], 1 pack</w:t>
            </w:r>
          </w:p>
        </w:tc>
        <w:tc>
          <w:tcPr>
            <w:tcW w:w="708" w:type="dxa"/>
            <w:shd w:val="clear" w:color="auto" w:fill="auto"/>
            <w:vAlign w:val="center"/>
          </w:tcPr>
          <w:p w14:paraId="5FD3704D" w14:textId="77777777" w:rsidR="00853F97" w:rsidRPr="00A35800" w:rsidDel="00EE2BBB" w:rsidRDefault="00853F97" w:rsidP="006405D5">
            <w:pPr>
              <w:pStyle w:val="Tablewriting"/>
              <w:jc w:val="center"/>
            </w:pPr>
            <w:r>
              <w:t>1</w:t>
            </w:r>
          </w:p>
        </w:tc>
        <w:tc>
          <w:tcPr>
            <w:tcW w:w="709" w:type="dxa"/>
            <w:shd w:val="clear" w:color="auto" w:fill="auto"/>
            <w:vAlign w:val="center"/>
          </w:tcPr>
          <w:p w14:paraId="4D8817C9" w14:textId="77777777" w:rsidR="00853F97" w:rsidRPr="00A35800" w:rsidDel="00EE2BBB" w:rsidRDefault="00853F97" w:rsidP="006405D5">
            <w:pPr>
              <w:pStyle w:val="Tablewriting"/>
              <w:jc w:val="center"/>
            </w:pPr>
            <w:r w:rsidRPr="0064515D">
              <w:t>5</w:t>
            </w:r>
          </w:p>
        </w:tc>
        <w:tc>
          <w:tcPr>
            <w:tcW w:w="1040" w:type="dxa"/>
            <w:shd w:val="clear" w:color="auto" w:fill="auto"/>
            <w:vAlign w:val="center"/>
          </w:tcPr>
          <w:p w14:paraId="79055461" w14:textId="77777777" w:rsidR="00853F97" w:rsidRPr="00A35800" w:rsidDel="00EE2BBB" w:rsidRDefault="00853F97" w:rsidP="006405D5">
            <w:pPr>
              <w:pStyle w:val="Tablewriting"/>
              <w:jc w:val="right"/>
            </w:pPr>
            <w:r w:rsidRPr="00DF4C2B">
              <w:t>$1</w:t>
            </w:r>
            <w:r>
              <w:t>,</w:t>
            </w:r>
            <w:r w:rsidRPr="00DF4C2B">
              <w:t>048.56</w:t>
            </w:r>
          </w:p>
        </w:tc>
        <w:tc>
          <w:tcPr>
            <w:tcW w:w="2104" w:type="dxa"/>
            <w:shd w:val="clear" w:color="auto" w:fill="auto"/>
            <w:vAlign w:val="center"/>
          </w:tcPr>
          <w:p w14:paraId="5C830FB0" w14:textId="77777777" w:rsidR="00853F97" w:rsidRPr="00A35800" w:rsidDel="00EE2BBB" w:rsidRDefault="00853F97" w:rsidP="006405D5">
            <w:pPr>
              <w:pStyle w:val="Tablewriting"/>
            </w:pPr>
            <w:proofErr w:type="spellStart"/>
            <w:r w:rsidRPr="00DF4C2B">
              <w:t>ZolaCos</w:t>
            </w:r>
            <w:proofErr w:type="spellEnd"/>
            <w:r w:rsidRPr="00DF4C2B">
              <w:t xml:space="preserve"> CP 10.8/50(28)</w:t>
            </w:r>
            <w:r>
              <w:t xml:space="preserve">, </w:t>
            </w:r>
            <w:r w:rsidRPr="00DF4C2B">
              <w:t>AstraZeneca Pty Ltd</w:t>
            </w:r>
          </w:p>
        </w:tc>
      </w:tr>
      <w:tr w:rsidR="00853F97" w:rsidRPr="00A35800" w:rsidDel="00EE2BBB" w14:paraId="31092B6D" w14:textId="77777777" w:rsidTr="006405D5">
        <w:trPr>
          <w:trHeight w:val="552"/>
        </w:trPr>
        <w:tc>
          <w:tcPr>
            <w:tcW w:w="969" w:type="dxa"/>
            <w:shd w:val="clear" w:color="auto" w:fill="auto"/>
            <w:vAlign w:val="center"/>
          </w:tcPr>
          <w:p w14:paraId="6238D02F" w14:textId="77777777" w:rsidR="00853F97" w:rsidRPr="00A35800" w:rsidDel="00EE2BBB" w:rsidRDefault="00853F97" w:rsidP="006405D5">
            <w:pPr>
              <w:pStyle w:val="Tablewriting"/>
            </w:pPr>
            <w:r w:rsidRPr="00DF4C2B">
              <w:t>9066E</w:t>
            </w:r>
          </w:p>
        </w:tc>
        <w:tc>
          <w:tcPr>
            <w:tcW w:w="3534" w:type="dxa"/>
            <w:shd w:val="clear" w:color="auto" w:fill="auto"/>
            <w:vAlign w:val="center"/>
          </w:tcPr>
          <w:p w14:paraId="389796C8" w14:textId="77777777" w:rsidR="00853F97" w:rsidRPr="00A35800" w:rsidDel="00EE2BBB" w:rsidRDefault="00853F97" w:rsidP="006405D5">
            <w:pPr>
              <w:pStyle w:val="Tablewriting"/>
            </w:pPr>
            <w:proofErr w:type="spellStart"/>
            <w:r w:rsidRPr="00DF4C2B">
              <w:t>goserelin</w:t>
            </w:r>
            <w:proofErr w:type="spellEnd"/>
            <w:r w:rsidRPr="00DF4C2B">
              <w:t xml:space="preserve"> 10.8 mg implant [1 implant] (&amp;) </w:t>
            </w:r>
            <w:proofErr w:type="spellStart"/>
            <w:r w:rsidRPr="00DF4C2B">
              <w:t>bicalutamide</w:t>
            </w:r>
            <w:proofErr w:type="spellEnd"/>
            <w:r w:rsidRPr="00DF4C2B">
              <w:t xml:space="preserve"> 50 mg tablet [84 tablets], 1 pack</w:t>
            </w:r>
          </w:p>
        </w:tc>
        <w:tc>
          <w:tcPr>
            <w:tcW w:w="708" w:type="dxa"/>
            <w:shd w:val="clear" w:color="auto" w:fill="auto"/>
            <w:vAlign w:val="center"/>
          </w:tcPr>
          <w:p w14:paraId="2A804C3A" w14:textId="77777777" w:rsidR="00853F97" w:rsidRPr="00A35800" w:rsidDel="00EE2BBB" w:rsidRDefault="00853F97" w:rsidP="006405D5">
            <w:pPr>
              <w:pStyle w:val="Tablewriting"/>
              <w:jc w:val="center"/>
            </w:pPr>
            <w:r>
              <w:t>1</w:t>
            </w:r>
          </w:p>
        </w:tc>
        <w:tc>
          <w:tcPr>
            <w:tcW w:w="709" w:type="dxa"/>
            <w:shd w:val="clear" w:color="auto" w:fill="auto"/>
            <w:vAlign w:val="center"/>
          </w:tcPr>
          <w:p w14:paraId="16F9112F" w14:textId="77777777" w:rsidR="00853F97" w:rsidRPr="00A35800" w:rsidDel="00EE2BBB" w:rsidRDefault="00853F97" w:rsidP="006405D5">
            <w:pPr>
              <w:pStyle w:val="Tablewriting"/>
              <w:jc w:val="center"/>
            </w:pPr>
            <w:r w:rsidRPr="0064515D">
              <w:t>5</w:t>
            </w:r>
          </w:p>
        </w:tc>
        <w:tc>
          <w:tcPr>
            <w:tcW w:w="1040" w:type="dxa"/>
            <w:shd w:val="clear" w:color="auto" w:fill="auto"/>
            <w:vAlign w:val="center"/>
          </w:tcPr>
          <w:p w14:paraId="6C14EFD2" w14:textId="77777777" w:rsidR="00853F97" w:rsidRPr="00A35800" w:rsidDel="00EE2BBB" w:rsidRDefault="00853F97" w:rsidP="006405D5">
            <w:pPr>
              <w:pStyle w:val="Tablewriting"/>
              <w:jc w:val="right"/>
            </w:pPr>
            <w:r w:rsidRPr="00DF4C2B">
              <w:t>$1</w:t>
            </w:r>
            <w:r>
              <w:t>,</w:t>
            </w:r>
            <w:r w:rsidRPr="00DF4C2B">
              <w:t>326.29</w:t>
            </w:r>
          </w:p>
        </w:tc>
        <w:tc>
          <w:tcPr>
            <w:tcW w:w="2104" w:type="dxa"/>
            <w:shd w:val="clear" w:color="auto" w:fill="auto"/>
            <w:vAlign w:val="center"/>
          </w:tcPr>
          <w:p w14:paraId="7A412A85" w14:textId="77777777" w:rsidR="00853F97" w:rsidRPr="00A35800" w:rsidDel="00EE2BBB" w:rsidRDefault="00853F97" w:rsidP="006405D5">
            <w:pPr>
              <w:pStyle w:val="Tablewriting"/>
            </w:pPr>
            <w:proofErr w:type="spellStart"/>
            <w:r w:rsidRPr="00DF4C2B">
              <w:t>ZolaCos</w:t>
            </w:r>
            <w:proofErr w:type="spellEnd"/>
            <w:r w:rsidRPr="00DF4C2B">
              <w:t xml:space="preserve"> CP 10.8/50(84)</w:t>
            </w:r>
            <w:r>
              <w:t xml:space="preserve">, </w:t>
            </w:r>
            <w:r w:rsidRPr="00DF4C2B">
              <w:t>AstraZeneca Pty Ltd</w:t>
            </w:r>
          </w:p>
        </w:tc>
      </w:tr>
      <w:tr w:rsidR="00853F97" w:rsidRPr="00A35800" w:rsidDel="00EE2BBB" w14:paraId="501504B3" w14:textId="77777777" w:rsidTr="006405D5">
        <w:trPr>
          <w:trHeight w:val="552"/>
        </w:trPr>
        <w:tc>
          <w:tcPr>
            <w:tcW w:w="969" w:type="dxa"/>
            <w:shd w:val="clear" w:color="auto" w:fill="auto"/>
            <w:vAlign w:val="center"/>
          </w:tcPr>
          <w:p w14:paraId="47D3B8DB" w14:textId="77777777" w:rsidR="00853F97" w:rsidRPr="00A35800" w:rsidDel="00EE2BBB" w:rsidRDefault="00853F97" w:rsidP="006405D5">
            <w:pPr>
              <w:pStyle w:val="Tablewriting"/>
            </w:pPr>
            <w:r w:rsidRPr="00DF4C2B">
              <w:t>10255R</w:t>
            </w:r>
          </w:p>
        </w:tc>
        <w:tc>
          <w:tcPr>
            <w:tcW w:w="3534" w:type="dxa"/>
            <w:shd w:val="clear" w:color="auto" w:fill="auto"/>
            <w:vAlign w:val="center"/>
          </w:tcPr>
          <w:p w14:paraId="2067959C" w14:textId="77777777" w:rsidR="00853F97" w:rsidRPr="00A35800" w:rsidDel="00EE2BBB" w:rsidRDefault="00853F97" w:rsidP="006405D5">
            <w:pPr>
              <w:pStyle w:val="Tablewriting"/>
            </w:pPr>
            <w:proofErr w:type="spellStart"/>
            <w:r w:rsidRPr="00DF4C2B">
              <w:t>leuprorelin</w:t>
            </w:r>
            <w:proofErr w:type="spellEnd"/>
            <w:r w:rsidRPr="00DF4C2B">
              <w:t xml:space="preserve"> acetate 30 mg modified release injection [1 syringe] (&amp;) inert substance diluent [1 syringe], 1 pack</w:t>
            </w:r>
          </w:p>
        </w:tc>
        <w:tc>
          <w:tcPr>
            <w:tcW w:w="708" w:type="dxa"/>
            <w:shd w:val="clear" w:color="auto" w:fill="auto"/>
            <w:vAlign w:val="center"/>
          </w:tcPr>
          <w:p w14:paraId="40E3324D" w14:textId="77777777" w:rsidR="00853F97" w:rsidRPr="00A35800" w:rsidDel="00EE2BBB" w:rsidRDefault="00853F97" w:rsidP="006405D5">
            <w:pPr>
              <w:pStyle w:val="Tablewriting"/>
              <w:jc w:val="center"/>
            </w:pPr>
            <w:r>
              <w:t>1</w:t>
            </w:r>
          </w:p>
        </w:tc>
        <w:tc>
          <w:tcPr>
            <w:tcW w:w="709" w:type="dxa"/>
            <w:shd w:val="clear" w:color="auto" w:fill="auto"/>
            <w:vAlign w:val="center"/>
          </w:tcPr>
          <w:p w14:paraId="670D8964" w14:textId="77777777" w:rsidR="00853F97" w:rsidRPr="00A35800" w:rsidDel="00EE2BBB" w:rsidRDefault="00853F97" w:rsidP="006405D5">
            <w:pPr>
              <w:pStyle w:val="Tablewriting"/>
              <w:jc w:val="center"/>
            </w:pPr>
            <w:r>
              <w:t>0</w:t>
            </w:r>
          </w:p>
        </w:tc>
        <w:tc>
          <w:tcPr>
            <w:tcW w:w="1040" w:type="dxa"/>
            <w:shd w:val="clear" w:color="auto" w:fill="auto"/>
            <w:vAlign w:val="center"/>
          </w:tcPr>
          <w:p w14:paraId="0D5C9DDE" w14:textId="77777777" w:rsidR="00853F97" w:rsidRPr="00A35800" w:rsidDel="00EE2BBB" w:rsidRDefault="00853F97" w:rsidP="006405D5">
            <w:pPr>
              <w:pStyle w:val="Tablewriting"/>
              <w:jc w:val="right"/>
            </w:pPr>
            <w:r w:rsidRPr="00DF4C2B">
              <w:t>$1</w:t>
            </w:r>
            <w:r>
              <w:t>,</w:t>
            </w:r>
            <w:r w:rsidRPr="00DF4C2B">
              <w:t>186.61</w:t>
            </w:r>
          </w:p>
        </w:tc>
        <w:tc>
          <w:tcPr>
            <w:tcW w:w="2104" w:type="dxa"/>
            <w:shd w:val="clear" w:color="auto" w:fill="auto"/>
            <w:vAlign w:val="center"/>
          </w:tcPr>
          <w:p w14:paraId="35210DA3" w14:textId="77777777" w:rsidR="00853F97" w:rsidRPr="00A35800" w:rsidDel="00EE2BBB" w:rsidRDefault="00853F97" w:rsidP="006405D5">
            <w:pPr>
              <w:pStyle w:val="Tablewriting"/>
            </w:pPr>
            <w:proofErr w:type="spellStart"/>
            <w:r w:rsidRPr="00DF4C2B">
              <w:t>Lucrin</w:t>
            </w:r>
            <w:proofErr w:type="spellEnd"/>
            <w:r w:rsidRPr="00DF4C2B">
              <w:t xml:space="preserve"> Depot Paediatric 30 mg PDS</w:t>
            </w:r>
            <w:r>
              <w:t xml:space="preserve">, </w:t>
            </w:r>
            <w:r w:rsidRPr="00DF4C2B">
              <w:t>AbbVie Pty Ltd</w:t>
            </w:r>
          </w:p>
        </w:tc>
      </w:tr>
      <w:tr w:rsidR="00853F97" w:rsidRPr="00A35800" w:rsidDel="00EE2BBB" w14:paraId="597961C9" w14:textId="77777777" w:rsidTr="006405D5">
        <w:trPr>
          <w:trHeight w:val="552"/>
        </w:trPr>
        <w:tc>
          <w:tcPr>
            <w:tcW w:w="969" w:type="dxa"/>
            <w:shd w:val="clear" w:color="auto" w:fill="auto"/>
            <w:vAlign w:val="center"/>
          </w:tcPr>
          <w:p w14:paraId="516222BD" w14:textId="77777777" w:rsidR="00853F97" w:rsidRPr="00A35800" w:rsidDel="00EE2BBB" w:rsidRDefault="00853F97" w:rsidP="006405D5">
            <w:pPr>
              <w:pStyle w:val="Tablewriting"/>
            </w:pPr>
            <w:r w:rsidRPr="00DF4C2B">
              <w:t>10256T</w:t>
            </w:r>
          </w:p>
        </w:tc>
        <w:tc>
          <w:tcPr>
            <w:tcW w:w="3534" w:type="dxa"/>
            <w:shd w:val="clear" w:color="auto" w:fill="auto"/>
            <w:vAlign w:val="center"/>
          </w:tcPr>
          <w:p w14:paraId="3CDB9316" w14:textId="77777777" w:rsidR="00853F97" w:rsidRPr="00A35800" w:rsidDel="00EE2BBB" w:rsidRDefault="00853F97" w:rsidP="006405D5">
            <w:pPr>
              <w:pStyle w:val="Tablewriting"/>
            </w:pPr>
            <w:proofErr w:type="spellStart"/>
            <w:r w:rsidRPr="00DF4C2B">
              <w:t>leuprorelin</w:t>
            </w:r>
            <w:proofErr w:type="spellEnd"/>
            <w:r w:rsidRPr="00DF4C2B">
              <w:t xml:space="preserve"> acetate 30 mg modified release injection [1 syringe] (&amp;) inert substance diluent [1 syringe], 1 pack</w:t>
            </w:r>
          </w:p>
        </w:tc>
        <w:tc>
          <w:tcPr>
            <w:tcW w:w="708" w:type="dxa"/>
            <w:shd w:val="clear" w:color="auto" w:fill="auto"/>
            <w:vAlign w:val="center"/>
          </w:tcPr>
          <w:p w14:paraId="4EA69872" w14:textId="77777777" w:rsidR="00853F97" w:rsidRPr="00A35800" w:rsidDel="00EE2BBB" w:rsidRDefault="00853F97" w:rsidP="006405D5">
            <w:pPr>
              <w:pStyle w:val="Tablewriting"/>
              <w:jc w:val="center"/>
            </w:pPr>
            <w:r>
              <w:t>1</w:t>
            </w:r>
          </w:p>
        </w:tc>
        <w:tc>
          <w:tcPr>
            <w:tcW w:w="709" w:type="dxa"/>
            <w:shd w:val="clear" w:color="auto" w:fill="auto"/>
            <w:vAlign w:val="center"/>
          </w:tcPr>
          <w:p w14:paraId="68332501" w14:textId="77777777" w:rsidR="00853F97" w:rsidRPr="00A35800" w:rsidDel="00EE2BBB" w:rsidRDefault="00853F97" w:rsidP="006405D5">
            <w:pPr>
              <w:pStyle w:val="Tablewriting"/>
              <w:jc w:val="center"/>
            </w:pPr>
            <w:r>
              <w:t>0</w:t>
            </w:r>
          </w:p>
        </w:tc>
        <w:tc>
          <w:tcPr>
            <w:tcW w:w="1040" w:type="dxa"/>
            <w:shd w:val="clear" w:color="auto" w:fill="auto"/>
            <w:vAlign w:val="center"/>
          </w:tcPr>
          <w:p w14:paraId="0D1F7E2B" w14:textId="77777777" w:rsidR="00853F97" w:rsidRPr="00A35800" w:rsidDel="00EE2BBB" w:rsidRDefault="00853F97" w:rsidP="006405D5">
            <w:pPr>
              <w:pStyle w:val="Tablewriting"/>
              <w:jc w:val="right"/>
            </w:pPr>
            <w:r w:rsidRPr="00DF4C2B">
              <w:t>$1</w:t>
            </w:r>
            <w:r>
              <w:t>,</w:t>
            </w:r>
            <w:r w:rsidRPr="00DF4C2B">
              <w:t>186.61</w:t>
            </w:r>
          </w:p>
        </w:tc>
        <w:tc>
          <w:tcPr>
            <w:tcW w:w="2104" w:type="dxa"/>
            <w:shd w:val="clear" w:color="auto" w:fill="auto"/>
            <w:vAlign w:val="center"/>
          </w:tcPr>
          <w:p w14:paraId="0C37F331" w14:textId="77777777" w:rsidR="00853F97" w:rsidRPr="00A35800" w:rsidDel="00EE2BBB" w:rsidRDefault="00853F97" w:rsidP="006405D5">
            <w:pPr>
              <w:pStyle w:val="Tablewriting"/>
            </w:pPr>
            <w:proofErr w:type="spellStart"/>
            <w:r w:rsidRPr="00DF4C2B">
              <w:t>Lucrin</w:t>
            </w:r>
            <w:proofErr w:type="spellEnd"/>
            <w:r w:rsidRPr="00DF4C2B">
              <w:t xml:space="preserve"> Depot Paediatric 30 mg PDS</w:t>
            </w:r>
            <w:r>
              <w:t xml:space="preserve">, </w:t>
            </w:r>
            <w:r w:rsidRPr="00DF4C2B">
              <w:t>AbbVie Pty Ltd</w:t>
            </w:r>
          </w:p>
        </w:tc>
      </w:tr>
      <w:tr w:rsidR="00853F97" w:rsidRPr="00A35800" w:rsidDel="00EE2BBB" w14:paraId="5577892F" w14:textId="77777777" w:rsidTr="006405D5">
        <w:trPr>
          <w:trHeight w:val="552"/>
        </w:trPr>
        <w:tc>
          <w:tcPr>
            <w:tcW w:w="969" w:type="dxa"/>
            <w:shd w:val="clear" w:color="auto" w:fill="auto"/>
            <w:vAlign w:val="center"/>
          </w:tcPr>
          <w:p w14:paraId="20A944B2" w14:textId="77777777" w:rsidR="00853F97" w:rsidRPr="00A35800" w:rsidDel="00EE2BBB" w:rsidRDefault="00853F97" w:rsidP="006405D5">
            <w:pPr>
              <w:pStyle w:val="Tablewriting"/>
            </w:pPr>
            <w:r w:rsidRPr="00DF4C2B">
              <w:t>10656W</w:t>
            </w:r>
          </w:p>
        </w:tc>
        <w:tc>
          <w:tcPr>
            <w:tcW w:w="3534" w:type="dxa"/>
            <w:shd w:val="clear" w:color="auto" w:fill="auto"/>
            <w:vAlign w:val="center"/>
          </w:tcPr>
          <w:p w14:paraId="18BD30FD" w14:textId="77777777" w:rsidR="00853F97" w:rsidRPr="00A35800" w:rsidDel="00EE2BBB" w:rsidRDefault="00853F97" w:rsidP="006405D5">
            <w:pPr>
              <w:pStyle w:val="Tablewriting"/>
            </w:pPr>
            <w:proofErr w:type="spellStart"/>
            <w:r w:rsidRPr="00DF4C2B">
              <w:t>leuprorelin</w:t>
            </w:r>
            <w:proofErr w:type="spellEnd"/>
            <w:r w:rsidRPr="00DF4C2B">
              <w:t xml:space="preserve"> acetate 45 mg injection: modified release [1] (&amp;) inert substance diluent [1 syringe], 1 pack</w:t>
            </w:r>
          </w:p>
        </w:tc>
        <w:tc>
          <w:tcPr>
            <w:tcW w:w="708" w:type="dxa"/>
            <w:shd w:val="clear" w:color="auto" w:fill="auto"/>
            <w:vAlign w:val="center"/>
          </w:tcPr>
          <w:p w14:paraId="2D0D28F6" w14:textId="77777777" w:rsidR="00853F97" w:rsidRPr="00A35800" w:rsidDel="00EE2BBB" w:rsidRDefault="00853F97" w:rsidP="006405D5">
            <w:pPr>
              <w:pStyle w:val="Tablewriting"/>
              <w:jc w:val="center"/>
            </w:pPr>
            <w:r>
              <w:t>1</w:t>
            </w:r>
          </w:p>
        </w:tc>
        <w:tc>
          <w:tcPr>
            <w:tcW w:w="709" w:type="dxa"/>
            <w:shd w:val="clear" w:color="auto" w:fill="auto"/>
            <w:vAlign w:val="center"/>
          </w:tcPr>
          <w:p w14:paraId="6CE9310B" w14:textId="77777777" w:rsidR="00853F97" w:rsidRPr="00A35800" w:rsidDel="00EE2BBB" w:rsidRDefault="00853F97" w:rsidP="006405D5">
            <w:pPr>
              <w:pStyle w:val="Tablewriting"/>
              <w:jc w:val="center"/>
            </w:pPr>
            <w:r>
              <w:t>0</w:t>
            </w:r>
          </w:p>
        </w:tc>
        <w:tc>
          <w:tcPr>
            <w:tcW w:w="1040" w:type="dxa"/>
            <w:shd w:val="clear" w:color="auto" w:fill="auto"/>
            <w:vAlign w:val="center"/>
          </w:tcPr>
          <w:p w14:paraId="490B5E5E" w14:textId="77777777" w:rsidR="00853F97" w:rsidRPr="00A35800" w:rsidDel="00EE2BBB" w:rsidRDefault="00853F97" w:rsidP="006405D5">
            <w:pPr>
              <w:pStyle w:val="Tablewriting"/>
              <w:jc w:val="right"/>
            </w:pPr>
            <w:r w:rsidRPr="00DF4C2B">
              <w:t>$1</w:t>
            </w:r>
            <w:r>
              <w:t>,</w:t>
            </w:r>
            <w:r w:rsidRPr="00DF4C2B">
              <w:t>739.96</w:t>
            </w:r>
          </w:p>
        </w:tc>
        <w:tc>
          <w:tcPr>
            <w:tcW w:w="2104" w:type="dxa"/>
            <w:shd w:val="clear" w:color="auto" w:fill="auto"/>
            <w:vAlign w:val="center"/>
          </w:tcPr>
          <w:p w14:paraId="5430213A" w14:textId="77777777" w:rsidR="00853F97" w:rsidRPr="00A35800" w:rsidDel="00EE2BBB" w:rsidRDefault="00853F97" w:rsidP="006405D5">
            <w:pPr>
              <w:pStyle w:val="Tablewriting"/>
            </w:pPr>
            <w:proofErr w:type="spellStart"/>
            <w:r w:rsidRPr="00DF4C2B">
              <w:t>Lucrin</w:t>
            </w:r>
            <w:proofErr w:type="spellEnd"/>
            <w:r w:rsidRPr="00DF4C2B">
              <w:t xml:space="preserve"> Depot 6-Month</w:t>
            </w:r>
            <w:r>
              <w:t xml:space="preserve">, </w:t>
            </w:r>
            <w:r w:rsidRPr="00DF4C2B">
              <w:t>AbbVie Pty Ltd</w:t>
            </w:r>
          </w:p>
        </w:tc>
      </w:tr>
      <w:tr w:rsidR="00853F97" w:rsidRPr="00A35800" w:rsidDel="00EE2BBB" w14:paraId="0486066B" w14:textId="77777777" w:rsidTr="006405D5">
        <w:trPr>
          <w:trHeight w:val="552"/>
        </w:trPr>
        <w:tc>
          <w:tcPr>
            <w:tcW w:w="969" w:type="dxa"/>
            <w:shd w:val="clear" w:color="auto" w:fill="auto"/>
            <w:vAlign w:val="center"/>
          </w:tcPr>
          <w:p w14:paraId="65D6A51E" w14:textId="77777777" w:rsidR="00853F97" w:rsidRPr="00A35800" w:rsidDel="00EE2BBB" w:rsidRDefault="00853F97" w:rsidP="006405D5">
            <w:pPr>
              <w:pStyle w:val="Tablewriting"/>
            </w:pPr>
            <w:r w:rsidRPr="00DF4C2B">
              <w:t>8707G</w:t>
            </w:r>
          </w:p>
        </w:tc>
        <w:tc>
          <w:tcPr>
            <w:tcW w:w="3534" w:type="dxa"/>
            <w:shd w:val="clear" w:color="auto" w:fill="auto"/>
            <w:vAlign w:val="center"/>
          </w:tcPr>
          <w:p w14:paraId="76894FF4" w14:textId="77777777" w:rsidR="00853F97" w:rsidRPr="00A35800" w:rsidDel="00EE2BBB" w:rsidRDefault="00853F97" w:rsidP="006405D5">
            <w:pPr>
              <w:pStyle w:val="Tablewriting"/>
            </w:pPr>
            <w:proofErr w:type="spellStart"/>
            <w:r w:rsidRPr="00DF4C2B">
              <w:t>leuprorelin</w:t>
            </w:r>
            <w:proofErr w:type="spellEnd"/>
            <w:r w:rsidRPr="00DF4C2B">
              <w:t xml:space="preserve"> acetate 7.5 mg modified release injection [1 syringe] (&amp;) inert substance diluent [1 syringe], 1 pack</w:t>
            </w:r>
          </w:p>
        </w:tc>
        <w:tc>
          <w:tcPr>
            <w:tcW w:w="708" w:type="dxa"/>
            <w:shd w:val="clear" w:color="auto" w:fill="auto"/>
            <w:vAlign w:val="center"/>
          </w:tcPr>
          <w:p w14:paraId="0CCD3E9A" w14:textId="77777777" w:rsidR="00853F97" w:rsidRPr="00A35800" w:rsidDel="00EE2BBB" w:rsidRDefault="00853F97" w:rsidP="006405D5">
            <w:pPr>
              <w:pStyle w:val="Tablewriting"/>
              <w:jc w:val="center"/>
            </w:pPr>
            <w:r>
              <w:t>1</w:t>
            </w:r>
          </w:p>
        </w:tc>
        <w:tc>
          <w:tcPr>
            <w:tcW w:w="709" w:type="dxa"/>
            <w:shd w:val="clear" w:color="auto" w:fill="auto"/>
            <w:vAlign w:val="center"/>
          </w:tcPr>
          <w:p w14:paraId="38E75045" w14:textId="77777777" w:rsidR="00853F97" w:rsidRPr="00A35800" w:rsidDel="00EE2BBB" w:rsidRDefault="00853F97" w:rsidP="006405D5">
            <w:pPr>
              <w:pStyle w:val="Tablewriting"/>
              <w:jc w:val="center"/>
            </w:pPr>
            <w:r>
              <w:t>5</w:t>
            </w:r>
          </w:p>
        </w:tc>
        <w:tc>
          <w:tcPr>
            <w:tcW w:w="1040" w:type="dxa"/>
            <w:shd w:val="clear" w:color="auto" w:fill="auto"/>
            <w:vAlign w:val="center"/>
          </w:tcPr>
          <w:p w14:paraId="1CFF34FF" w14:textId="77777777" w:rsidR="00853F97" w:rsidRPr="00A35800" w:rsidDel="00EE2BBB" w:rsidRDefault="00853F97" w:rsidP="006405D5">
            <w:pPr>
              <w:pStyle w:val="Tablewriting"/>
              <w:jc w:val="right"/>
            </w:pPr>
            <w:r w:rsidRPr="008776F7">
              <w:t>$337.75</w:t>
            </w:r>
          </w:p>
        </w:tc>
        <w:tc>
          <w:tcPr>
            <w:tcW w:w="2104" w:type="dxa"/>
            <w:shd w:val="clear" w:color="auto" w:fill="auto"/>
            <w:vAlign w:val="center"/>
          </w:tcPr>
          <w:p w14:paraId="05A0CA85" w14:textId="77777777" w:rsidR="00853F97" w:rsidRPr="00A35800" w:rsidDel="00EE2BBB" w:rsidRDefault="00853F97" w:rsidP="006405D5">
            <w:pPr>
              <w:pStyle w:val="Tablewriting"/>
            </w:pPr>
            <w:proofErr w:type="spellStart"/>
            <w:r w:rsidRPr="008776F7">
              <w:t>Eligard</w:t>
            </w:r>
            <w:proofErr w:type="spellEnd"/>
            <w:r w:rsidRPr="008776F7">
              <w:t xml:space="preserve"> 1 month</w:t>
            </w:r>
            <w:r>
              <w:t xml:space="preserve">, </w:t>
            </w:r>
            <w:proofErr w:type="spellStart"/>
            <w:r w:rsidRPr="008776F7">
              <w:t>Mundipharma</w:t>
            </w:r>
            <w:proofErr w:type="spellEnd"/>
            <w:r w:rsidRPr="008776F7">
              <w:t xml:space="preserve"> Pty Limited</w:t>
            </w:r>
          </w:p>
        </w:tc>
      </w:tr>
      <w:tr w:rsidR="00853F97" w:rsidRPr="00A35800" w:rsidDel="00EE2BBB" w14:paraId="3FBEC65E" w14:textId="77777777" w:rsidTr="006405D5">
        <w:trPr>
          <w:trHeight w:val="552"/>
        </w:trPr>
        <w:tc>
          <w:tcPr>
            <w:tcW w:w="969" w:type="dxa"/>
            <w:shd w:val="clear" w:color="auto" w:fill="auto"/>
            <w:vAlign w:val="center"/>
          </w:tcPr>
          <w:p w14:paraId="24B0EFE5" w14:textId="77777777" w:rsidR="00853F97" w:rsidRPr="00A35800" w:rsidDel="00EE2BBB" w:rsidRDefault="00853F97" w:rsidP="006405D5">
            <w:pPr>
              <w:pStyle w:val="Tablewriting"/>
            </w:pPr>
            <w:r>
              <w:t>8708H</w:t>
            </w:r>
          </w:p>
        </w:tc>
        <w:tc>
          <w:tcPr>
            <w:tcW w:w="3534" w:type="dxa"/>
            <w:shd w:val="clear" w:color="auto" w:fill="auto"/>
            <w:vAlign w:val="center"/>
          </w:tcPr>
          <w:p w14:paraId="32EFE06F" w14:textId="77777777" w:rsidR="00853F97" w:rsidRPr="00A35800" w:rsidDel="00EE2BBB" w:rsidRDefault="00853F97" w:rsidP="006405D5">
            <w:pPr>
              <w:pStyle w:val="Tablewriting"/>
            </w:pPr>
            <w:proofErr w:type="spellStart"/>
            <w:r>
              <w:t>leuprorelin</w:t>
            </w:r>
            <w:proofErr w:type="spellEnd"/>
            <w:r>
              <w:t xml:space="preserve"> acetate 22</w:t>
            </w:r>
            <w:r w:rsidRPr="00DF4C2B">
              <w:t>.5 mg modified release injection [1 syringe] (&amp;) inert substance diluent [1 syringe], 1 pack</w:t>
            </w:r>
          </w:p>
        </w:tc>
        <w:tc>
          <w:tcPr>
            <w:tcW w:w="708" w:type="dxa"/>
            <w:shd w:val="clear" w:color="auto" w:fill="auto"/>
            <w:vAlign w:val="center"/>
          </w:tcPr>
          <w:p w14:paraId="3781DDAA" w14:textId="77777777" w:rsidR="00853F97" w:rsidRPr="00A35800" w:rsidDel="00EE2BBB" w:rsidRDefault="00853F97" w:rsidP="006405D5">
            <w:pPr>
              <w:pStyle w:val="Tablewriting"/>
              <w:jc w:val="center"/>
            </w:pPr>
            <w:r>
              <w:t>1</w:t>
            </w:r>
          </w:p>
        </w:tc>
        <w:tc>
          <w:tcPr>
            <w:tcW w:w="709" w:type="dxa"/>
            <w:shd w:val="clear" w:color="auto" w:fill="auto"/>
            <w:vAlign w:val="center"/>
          </w:tcPr>
          <w:p w14:paraId="0C218659" w14:textId="77777777" w:rsidR="00853F97" w:rsidRPr="00A35800" w:rsidDel="00EE2BBB" w:rsidRDefault="00853F97" w:rsidP="006405D5">
            <w:pPr>
              <w:pStyle w:val="Tablewriting"/>
              <w:jc w:val="center"/>
            </w:pPr>
            <w:r>
              <w:t>1</w:t>
            </w:r>
          </w:p>
        </w:tc>
        <w:tc>
          <w:tcPr>
            <w:tcW w:w="1040" w:type="dxa"/>
            <w:shd w:val="clear" w:color="auto" w:fill="auto"/>
            <w:vAlign w:val="center"/>
          </w:tcPr>
          <w:p w14:paraId="7D2BB1A9" w14:textId="77777777" w:rsidR="00853F97" w:rsidRPr="00A35800" w:rsidDel="00EE2BBB" w:rsidRDefault="00853F97" w:rsidP="006405D5">
            <w:pPr>
              <w:pStyle w:val="Tablewriting"/>
              <w:jc w:val="right"/>
            </w:pPr>
            <w:r w:rsidRPr="008776F7">
              <w:t>$899.89</w:t>
            </w:r>
          </w:p>
        </w:tc>
        <w:tc>
          <w:tcPr>
            <w:tcW w:w="2104" w:type="dxa"/>
            <w:shd w:val="clear" w:color="auto" w:fill="auto"/>
            <w:vAlign w:val="center"/>
          </w:tcPr>
          <w:p w14:paraId="104B9C7B" w14:textId="77777777" w:rsidR="00853F97" w:rsidRPr="00A35800" w:rsidDel="00EE2BBB" w:rsidRDefault="00853F97" w:rsidP="006405D5">
            <w:pPr>
              <w:pStyle w:val="Tablewriting"/>
            </w:pPr>
            <w:proofErr w:type="spellStart"/>
            <w:r w:rsidRPr="008776F7">
              <w:t>Eligard</w:t>
            </w:r>
            <w:proofErr w:type="spellEnd"/>
            <w:r w:rsidRPr="008776F7">
              <w:t xml:space="preserve"> </w:t>
            </w:r>
            <w:r>
              <w:t>3</w:t>
            </w:r>
            <w:r w:rsidRPr="008776F7">
              <w:t xml:space="preserve"> month</w:t>
            </w:r>
            <w:r>
              <w:t xml:space="preserve">, </w:t>
            </w:r>
            <w:proofErr w:type="spellStart"/>
            <w:r w:rsidRPr="008776F7">
              <w:t>Mundipharma</w:t>
            </w:r>
            <w:proofErr w:type="spellEnd"/>
            <w:r w:rsidRPr="008776F7">
              <w:t xml:space="preserve"> Pty Limited</w:t>
            </w:r>
          </w:p>
        </w:tc>
      </w:tr>
      <w:tr w:rsidR="00853F97" w:rsidRPr="00A35800" w:rsidDel="00EE2BBB" w14:paraId="1D5D3D83" w14:textId="77777777" w:rsidTr="006405D5">
        <w:trPr>
          <w:trHeight w:val="552"/>
        </w:trPr>
        <w:tc>
          <w:tcPr>
            <w:tcW w:w="969" w:type="dxa"/>
            <w:shd w:val="clear" w:color="auto" w:fill="auto"/>
            <w:vAlign w:val="center"/>
          </w:tcPr>
          <w:p w14:paraId="14CCDA05" w14:textId="77777777" w:rsidR="00853F97" w:rsidRPr="00A35800" w:rsidDel="00EE2BBB" w:rsidRDefault="00853F97" w:rsidP="006405D5">
            <w:pPr>
              <w:pStyle w:val="Tablewriting"/>
            </w:pPr>
            <w:r>
              <w:t>8709J</w:t>
            </w:r>
          </w:p>
        </w:tc>
        <w:tc>
          <w:tcPr>
            <w:tcW w:w="3534" w:type="dxa"/>
            <w:shd w:val="clear" w:color="auto" w:fill="auto"/>
            <w:vAlign w:val="center"/>
          </w:tcPr>
          <w:p w14:paraId="11D4AB70" w14:textId="77777777" w:rsidR="00853F97" w:rsidRPr="00A35800" w:rsidDel="00EE2BBB" w:rsidRDefault="00853F97" w:rsidP="006405D5">
            <w:pPr>
              <w:pStyle w:val="Tablewriting"/>
            </w:pPr>
            <w:proofErr w:type="spellStart"/>
            <w:r w:rsidRPr="00DF4C2B">
              <w:t>leuprorelin</w:t>
            </w:r>
            <w:proofErr w:type="spellEnd"/>
            <w:r w:rsidRPr="00DF4C2B">
              <w:t xml:space="preserve"> acetate </w:t>
            </w:r>
            <w:r>
              <w:t>30</w:t>
            </w:r>
            <w:r w:rsidRPr="00DF4C2B">
              <w:t xml:space="preserve"> mg modified release injection [1 syringe] (&amp;) inert substance diluent [1 syringe], 1 pack</w:t>
            </w:r>
          </w:p>
        </w:tc>
        <w:tc>
          <w:tcPr>
            <w:tcW w:w="708" w:type="dxa"/>
            <w:shd w:val="clear" w:color="auto" w:fill="auto"/>
            <w:vAlign w:val="center"/>
          </w:tcPr>
          <w:p w14:paraId="26C1B551" w14:textId="77777777" w:rsidR="00853F97" w:rsidRPr="00A35800" w:rsidDel="00EE2BBB" w:rsidRDefault="00853F97" w:rsidP="006405D5">
            <w:pPr>
              <w:pStyle w:val="Tablewriting"/>
              <w:jc w:val="center"/>
            </w:pPr>
            <w:r>
              <w:t>1</w:t>
            </w:r>
          </w:p>
        </w:tc>
        <w:tc>
          <w:tcPr>
            <w:tcW w:w="709" w:type="dxa"/>
            <w:shd w:val="clear" w:color="auto" w:fill="auto"/>
            <w:vAlign w:val="center"/>
          </w:tcPr>
          <w:p w14:paraId="70559ECB" w14:textId="77777777" w:rsidR="00853F97" w:rsidRPr="00A35800" w:rsidDel="00EE2BBB" w:rsidRDefault="00853F97" w:rsidP="006405D5">
            <w:pPr>
              <w:pStyle w:val="Tablewriting"/>
              <w:jc w:val="center"/>
            </w:pPr>
            <w:r>
              <w:t>1</w:t>
            </w:r>
          </w:p>
        </w:tc>
        <w:tc>
          <w:tcPr>
            <w:tcW w:w="1040" w:type="dxa"/>
            <w:shd w:val="clear" w:color="auto" w:fill="auto"/>
            <w:vAlign w:val="center"/>
          </w:tcPr>
          <w:p w14:paraId="1FB9BEB2" w14:textId="77777777" w:rsidR="00853F97" w:rsidRPr="00A35800" w:rsidDel="00EE2BBB" w:rsidRDefault="00853F97" w:rsidP="006405D5">
            <w:pPr>
              <w:pStyle w:val="Tablewriting"/>
              <w:jc w:val="right"/>
            </w:pPr>
            <w:r w:rsidRPr="008776F7">
              <w:t>$1</w:t>
            </w:r>
            <w:r>
              <w:t>,</w:t>
            </w:r>
            <w:r w:rsidRPr="008776F7">
              <w:t>186.61</w:t>
            </w:r>
          </w:p>
        </w:tc>
        <w:tc>
          <w:tcPr>
            <w:tcW w:w="2104" w:type="dxa"/>
            <w:shd w:val="clear" w:color="auto" w:fill="auto"/>
            <w:vAlign w:val="center"/>
          </w:tcPr>
          <w:p w14:paraId="33D56A56" w14:textId="77777777" w:rsidR="00853F97" w:rsidRPr="00A35800" w:rsidDel="00EE2BBB" w:rsidRDefault="00853F97" w:rsidP="006405D5">
            <w:pPr>
              <w:pStyle w:val="Tablewriting"/>
            </w:pPr>
            <w:proofErr w:type="spellStart"/>
            <w:r w:rsidRPr="008776F7">
              <w:t>Eligard</w:t>
            </w:r>
            <w:proofErr w:type="spellEnd"/>
            <w:r w:rsidRPr="008776F7">
              <w:t xml:space="preserve"> </w:t>
            </w:r>
            <w:r>
              <w:t>4</w:t>
            </w:r>
            <w:r w:rsidRPr="008776F7">
              <w:t xml:space="preserve"> month</w:t>
            </w:r>
            <w:r>
              <w:t xml:space="preserve">, </w:t>
            </w:r>
            <w:proofErr w:type="spellStart"/>
            <w:r w:rsidRPr="008776F7">
              <w:t>Mundipharma</w:t>
            </w:r>
            <w:proofErr w:type="spellEnd"/>
            <w:r w:rsidRPr="008776F7">
              <w:t xml:space="preserve"> Pty Limited</w:t>
            </w:r>
          </w:p>
        </w:tc>
      </w:tr>
      <w:tr w:rsidR="00853F97" w:rsidRPr="00A35800" w:rsidDel="00EE2BBB" w14:paraId="24D45966" w14:textId="77777777" w:rsidTr="006405D5">
        <w:trPr>
          <w:trHeight w:val="552"/>
        </w:trPr>
        <w:tc>
          <w:tcPr>
            <w:tcW w:w="969" w:type="dxa"/>
            <w:shd w:val="clear" w:color="auto" w:fill="auto"/>
            <w:vAlign w:val="center"/>
          </w:tcPr>
          <w:p w14:paraId="1D0D7D05" w14:textId="77777777" w:rsidR="00853F97" w:rsidRPr="00A35800" w:rsidDel="00EE2BBB" w:rsidRDefault="00853F97" w:rsidP="006405D5">
            <w:pPr>
              <w:pStyle w:val="Tablewriting"/>
            </w:pPr>
            <w:r w:rsidRPr="008776F7">
              <w:t>8859G</w:t>
            </w:r>
          </w:p>
        </w:tc>
        <w:tc>
          <w:tcPr>
            <w:tcW w:w="3534" w:type="dxa"/>
            <w:shd w:val="clear" w:color="auto" w:fill="auto"/>
            <w:vAlign w:val="center"/>
          </w:tcPr>
          <w:p w14:paraId="2981E5A9" w14:textId="77777777" w:rsidR="00853F97" w:rsidRPr="00A35800" w:rsidDel="00EE2BBB" w:rsidRDefault="00853F97" w:rsidP="006405D5">
            <w:pPr>
              <w:pStyle w:val="Tablewriting"/>
            </w:pPr>
            <w:proofErr w:type="spellStart"/>
            <w:r w:rsidRPr="00DF4C2B">
              <w:t>leuprorelin</w:t>
            </w:r>
            <w:proofErr w:type="spellEnd"/>
            <w:r w:rsidRPr="00DF4C2B">
              <w:t xml:space="preserve"> acetate </w:t>
            </w:r>
            <w:r>
              <w:t>45</w:t>
            </w:r>
            <w:r w:rsidRPr="00DF4C2B">
              <w:t xml:space="preserve"> mg modified release injection [1 syringe] (&amp;) inert substance diluent [1 syringe], 1 pack</w:t>
            </w:r>
          </w:p>
        </w:tc>
        <w:tc>
          <w:tcPr>
            <w:tcW w:w="708" w:type="dxa"/>
            <w:shd w:val="clear" w:color="auto" w:fill="auto"/>
            <w:vAlign w:val="center"/>
          </w:tcPr>
          <w:p w14:paraId="77544AC0" w14:textId="77777777" w:rsidR="00853F97" w:rsidRPr="00A35800" w:rsidDel="00EE2BBB" w:rsidRDefault="00853F97" w:rsidP="006405D5">
            <w:pPr>
              <w:pStyle w:val="Tablewriting"/>
              <w:jc w:val="center"/>
            </w:pPr>
            <w:r>
              <w:t>1</w:t>
            </w:r>
          </w:p>
        </w:tc>
        <w:tc>
          <w:tcPr>
            <w:tcW w:w="709" w:type="dxa"/>
            <w:shd w:val="clear" w:color="auto" w:fill="auto"/>
            <w:vAlign w:val="center"/>
          </w:tcPr>
          <w:p w14:paraId="77C49717" w14:textId="77777777" w:rsidR="00853F97" w:rsidRPr="00A35800" w:rsidDel="00EE2BBB" w:rsidRDefault="00853F97" w:rsidP="006405D5">
            <w:pPr>
              <w:pStyle w:val="Tablewriting"/>
              <w:jc w:val="center"/>
            </w:pPr>
            <w:r>
              <w:t>1</w:t>
            </w:r>
          </w:p>
        </w:tc>
        <w:tc>
          <w:tcPr>
            <w:tcW w:w="1040" w:type="dxa"/>
            <w:shd w:val="clear" w:color="auto" w:fill="auto"/>
            <w:vAlign w:val="center"/>
          </w:tcPr>
          <w:p w14:paraId="4BE54A8F" w14:textId="77777777" w:rsidR="00853F97" w:rsidRPr="00A35800" w:rsidDel="00EE2BBB" w:rsidRDefault="00853F97" w:rsidP="006405D5">
            <w:pPr>
              <w:pStyle w:val="Tablewriting"/>
              <w:jc w:val="right"/>
            </w:pPr>
            <w:r w:rsidRPr="008776F7">
              <w:t>$1</w:t>
            </w:r>
            <w:r>
              <w:t>,</w:t>
            </w:r>
            <w:r w:rsidRPr="008776F7">
              <w:t>739.96</w:t>
            </w:r>
          </w:p>
        </w:tc>
        <w:tc>
          <w:tcPr>
            <w:tcW w:w="2104" w:type="dxa"/>
            <w:shd w:val="clear" w:color="auto" w:fill="auto"/>
            <w:vAlign w:val="center"/>
          </w:tcPr>
          <w:p w14:paraId="366A3DDF" w14:textId="77777777" w:rsidR="00853F97" w:rsidRPr="00A35800" w:rsidDel="00EE2BBB" w:rsidRDefault="00853F97" w:rsidP="006405D5">
            <w:pPr>
              <w:pStyle w:val="Tablewriting"/>
            </w:pPr>
            <w:proofErr w:type="spellStart"/>
            <w:r w:rsidRPr="008776F7">
              <w:t>Eligard</w:t>
            </w:r>
            <w:proofErr w:type="spellEnd"/>
            <w:r w:rsidRPr="008776F7">
              <w:t xml:space="preserve"> </w:t>
            </w:r>
            <w:r>
              <w:t>6</w:t>
            </w:r>
            <w:r w:rsidRPr="008776F7">
              <w:t xml:space="preserve"> month</w:t>
            </w:r>
            <w:r>
              <w:t xml:space="preserve">, </w:t>
            </w:r>
            <w:proofErr w:type="spellStart"/>
            <w:r w:rsidRPr="008776F7">
              <w:t>Mundipharma</w:t>
            </w:r>
            <w:proofErr w:type="spellEnd"/>
            <w:r w:rsidRPr="008776F7">
              <w:t xml:space="preserve"> Pty Limited</w:t>
            </w:r>
          </w:p>
        </w:tc>
      </w:tr>
      <w:tr w:rsidR="00853F97" w:rsidRPr="00A35800" w:rsidDel="00EE2BBB" w14:paraId="3BAAF076" w14:textId="77777777" w:rsidTr="006405D5">
        <w:trPr>
          <w:trHeight w:val="552"/>
        </w:trPr>
        <w:tc>
          <w:tcPr>
            <w:tcW w:w="969" w:type="dxa"/>
            <w:shd w:val="clear" w:color="auto" w:fill="auto"/>
            <w:vAlign w:val="center"/>
          </w:tcPr>
          <w:p w14:paraId="0176592D" w14:textId="77777777" w:rsidR="00853F97" w:rsidRPr="00A35800" w:rsidDel="00EE2BBB" w:rsidRDefault="00853F97" w:rsidP="006405D5">
            <w:pPr>
              <w:pStyle w:val="Tablewriting"/>
            </w:pPr>
            <w:r w:rsidRPr="008776F7">
              <w:t>8875D</w:t>
            </w:r>
          </w:p>
        </w:tc>
        <w:tc>
          <w:tcPr>
            <w:tcW w:w="3534" w:type="dxa"/>
            <w:shd w:val="clear" w:color="auto" w:fill="auto"/>
            <w:vAlign w:val="center"/>
          </w:tcPr>
          <w:p w14:paraId="3447D2E3" w14:textId="77777777" w:rsidR="00853F97" w:rsidRPr="00A35800" w:rsidDel="00EE2BBB" w:rsidRDefault="00853F97" w:rsidP="006405D5">
            <w:pPr>
              <w:pStyle w:val="Tablewriting"/>
            </w:pPr>
            <w:proofErr w:type="spellStart"/>
            <w:r w:rsidRPr="008776F7">
              <w:t>leuprorelin</w:t>
            </w:r>
            <w:proofErr w:type="spellEnd"/>
            <w:r w:rsidRPr="008776F7">
              <w:t xml:space="preserve"> acetate 7.5 mg injection: modified release [1] (&amp;) inert substance diluent [2 mL syringe], 1 pack</w:t>
            </w:r>
          </w:p>
        </w:tc>
        <w:tc>
          <w:tcPr>
            <w:tcW w:w="708" w:type="dxa"/>
            <w:shd w:val="clear" w:color="auto" w:fill="auto"/>
            <w:vAlign w:val="center"/>
          </w:tcPr>
          <w:p w14:paraId="42722981" w14:textId="77777777" w:rsidR="00853F97" w:rsidRPr="00A35800" w:rsidDel="00EE2BBB" w:rsidRDefault="00853F97" w:rsidP="006405D5">
            <w:pPr>
              <w:pStyle w:val="Tablewriting"/>
              <w:jc w:val="center"/>
            </w:pPr>
            <w:r>
              <w:t>1</w:t>
            </w:r>
          </w:p>
        </w:tc>
        <w:tc>
          <w:tcPr>
            <w:tcW w:w="709" w:type="dxa"/>
            <w:shd w:val="clear" w:color="auto" w:fill="auto"/>
            <w:vAlign w:val="center"/>
          </w:tcPr>
          <w:p w14:paraId="30AF1371" w14:textId="77777777" w:rsidR="00853F97" w:rsidRPr="00A35800" w:rsidDel="00EE2BBB" w:rsidRDefault="00853F97" w:rsidP="006405D5">
            <w:pPr>
              <w:pStyle w:val="Tablewriting"/>
              <w:jc w:val="center"/>
            </w:pPr>
            <w:r>
              <w:t>5</w:t>
            </w:r>
          </w:p>
        </w:tc>
        <w:tc>
          <w:tcPr>
            <w:tcW w:w="1040" w:type="dxa"/>
            <w:shd w:val="clear" w:color="auto" w:fill="auto"/>
            <w:vAlign w:val="center"/>
          </w:tcPr>
          <w:p w14:paraId="4789A27A" w14:textId="77777777" w:rsidR="00853F97" w:rsidRPr="00A35800" w:rsidDel="00EE2BBB" w:rsidRDefault="00853F97" w:rsidP="006405D5">
            <w:pPr>
              <w:pStyle w:val="Tablewriting"/>
              <w:jc w:val="right"/>
            </w:pPr>
            <w:r w:rsidRPr="008776F7">
              <w:t>$337.75</w:t>
            </w:r>
          </w:p>
        </w:tc>
        <w:tc>
          <w:tcPr>
            <w:tcW w:w="2104" w:type="dxa"/>
            <w:shd w:val="clear" w:color="auto" w:fill="auto"/>
            <w:vAlign w:val="center"/>
          </w:tcPr>
          <w:p w14:paraId="062B06A7" w14:textId="77777777" w:rsidR="00853F97" w:rsidRPr="00A35800" w:rsidDel="00EE2BBB" w:rsidRDefault="00853F97" w:rsidP="006405D5">
            <w:pPr>
              <w:pStyle w:val="Tablewriting"/>
            </w:pPr>
            <w:proofErr w:type="spellStart"/>
            <w:r w:rsidRPr="008776F7">
              <w:t>Lucrin</w:t>
            </w:r>
            <w:proofErr w:type="spellEnd"/>
            <w:r w:rsidRPr="008776F7">
              <w:t xml:space="preserve"> Depot 7.5mg PDS</w:t>
            </w:r>
            <w:r>
              <w:t xml:space="preserve">, </w:t>
            </w:r>
            <w:r w:rsidRPr="008776F7">
              <w:t>AbbVie Pty Ltd</w:t>
            </w:r>
          </w:p>
        </w:tc>
      </w:tr>
      <w:tr w:rsidR="00853F97" w:rsidRPr="00A35800" w:rsidDel="00EE2BBB" w14:paraId="07E49DE9" w14:textId="77777777" w:rsidTr="006405D5">
        <w:trPr>
          <w:trHeight w:val="552"/>
        </w:trPr>
        <w:tc>
          <w:tcPr>
            <w:tcW w:w="969" w:type="dxa"/>
            <w:shd w:val="clear" w:color="auto" w:fill="auto"/>
            <w:vAlign w:val="center"/>
          </w:tcPr>
          <w:p w14:paraId="27D7B6C3" w14:textId="77777777" w:rsidR="00853F97" w:rsidRPr="00A35800" w:rsidDel="00EE2BBB" w:rsidRDefault="00853F97" w:rsidP="006405D5">
            <w:pPr>
              <w:pStyle w:val="Tablewriting"/>
            </w:pPr>
            <w:r w:rsidRPr="008776F7">
              <w:t>887</w:t>
            </w:r>
            <w:r>
              <w:t>6E</w:t>
            </w:r>
          </w:p>
        </w:tc>
        <w:tc>
          <w:tcPr>
            <w:tcW w:w="3534" w:type="dxa"/>
            <w:shd w:val="clear" w:color="auto" w:fill="auto"/>
            <w:vAlign w:val="center"/>
          </w:tcPr>
          <w:p w14:paraId="198B0CCA" w14:textId="77777777" w:rsidR="00853F97" w:rsidRPr="00A35800" w:rsidDel="00EE2BBB" w:rsidRDefault="00853F97" w:rsidP="006405D5">
            <w:pPr>
              <w:pStyle w:val="Tablewriting"/>
            </w:pPr>
            <w:proofErr w:type="spellStart"/>
            <w:r>
              <w:t>leuprorelin</w:t>
            </w:r>
            <w:proofErr w:type="spellEnd"/>
            <w:r>
              <w:t xml:space="preserve"> acetate 22</w:t>
            </w:r>
            <w:r w:rsidRPr="008776F7">
              <w:t>.5 mg injection: modified release [1] (&amp;) inert substance diluent [2 mL syringe], 1 pack</w:t>
            </w:r>
          </w:p>
        </w:tc>
        <w:tc>
          <w:tcPr>
            <w:tcW w:w="708" w:type="dxa"/>
            <w:shd w:val="clear" w:color="auto" w:fill="auto"/>
            <w:vAlign w:val="center"/>
          </w:tcPr>
          <w:p w14:paraId="067672D5" w14:textId="77777777" w:rsidR="00853F97" w:rsidRPr="00A35800" w:rsidDel="00EE2BBB" w:rsidRDefault="00853F97" w:rsidP="006405D5">
            <w:pPr>
              <w:pStyle w:val="Tablewriting"/>
              <w:jc w:val="center"/>
            </w:pPr>
            <w:r>
              <w:t>1</w:t>
            </w:r>
          </w:p>
        </w:tc>
        <w:tc>
          <w:tcPr>
            <w:tcW w:w="709" w:type="dxa"/>
            <w:shd w:val="clear" w:color="auto" w:fill="auto"/>
            <w:vAlign w:val="center"/>
          </w:tcPr>
          <w:p w14:paraId="092019DE" w14:textId="77777777" w:rsidR="00853F97" w:rsidRPr="00A35800" w:rsidDel="00EE2BBB" w:rsidRDefault="00853F97" w:rsidP="006405D5">
            <w:pPr>
              <w:pStyle w:val="Tablewriting"/>
              <w:jc w:val="center"/>
            </w:pPr>
            <w:r>
              <w:t>1</w:t>
            </w:r>
          </w:p>
        </w:tc>
        <w:tc>
          <w:tcPr>
            <w:tcW w:w="1040" w:type="dxa"/>
            <w:shd w:val="clear" w:color="auto" w:fill="auto"/>
            <w:vAlign w:val="center"/>
          </w:tcPr>
          <w:p w14:paraId="2F8D0DE0" w14:textId="77777777" w:rsidR="00853F97" w:rsidRPr="00A35800" w:rsidDel="00EE2BBB" w:rsidRDefault="00853F97" w:rsidP="006405D5">
            <w:pPr>
              <w:pStyle w:val="Tablewriting"/>
              <w:jc w:val="right"/>
            </w:pPr>
            <w:r w:rsidRPr="008776F7">
              <w:t>$899.89</w:t>
            </w:r>
          </w:p>
        </w:tc>
        <w:tc>
          <w:tcPr>
            <w:tcW w:w="2104" w:type="dxa"/>
            <w:shd w:val="clear" w:color="auto" w:fill="auto"/>
            <w:vAlign w:val="center"/>
          </w:tcPr>
          <w:p w14:paraId="515A1501" w14:textId="77777777" w:rsidR="00853F97" w:rsidRPr="00A35800" w:rsidDel="00EE2BBB" w:rsidRDefault="00853F97" w:rsidP="006405D5">
            <w:pPr>
              <w:pStyle w:val="Tablewriting"/>
            </w:pPr>
            <w:proofErr w:type="spellStart"/>
            <w:r w:rsidRPr="008776F7">
              <w:t>Lucrin</w:t>
            </w:r>
            <w:proofErr w:type="spellEnd"/>
            <w:r w:rsidRPr="008776F7">
              <w:t xml:space="preserve"> Depot 3 Month PDS</w:t>
            </w:r>
            <w:r>
              <w:t xml:space="preserve">, </w:t>
            </w:r>
            <w:r w:rsidRPr="008776F7">
              <w:t>AbbVie Pty Ltd</w:t>
            </w:r>
          </w:p>
        </w:tc>
      </w:tr>
      <w:tr w:rsidR="00853F97" w:rsidRPr="00A35800" w:rsidDel="00EE2BBB" w14:paraId="14BEBA0F" w14:textId="77777777" w:rsidTr="006405D5">
        <w:trPr>
          <w:trHeight w:val="552"/>
        </w:trPr>
        <w:tc>
          <w:tcPr>
            <w:tcW w:w="969" w:type="dxa"/>
            <w:shd w:val="clear" w:color="auto" w:fill="auto"/>
            <w:vAlign w:val="center"/>
          </w:tcPr>
          <w:p w14:paraId="688A9F40" w14:textId="77777777" w:rsidR="00853F97" w:rsidRPr="00A35800" w:rsidDel="00EE2BBB" w:rsidRDefault="00853F97" w:rsidP="006405D5">
            <w:pPr>
              <w:pStyle w:val="Tablewriting"/>
            </w:pPr>
            <w:r w:rsidRPr="008776F7">
              <w:lastRenderedPageBreak/>
              <w:t>8877F</w:t>
            </w:r>
          </w:p>
        </w:tc>
        <w:tc>
          <w:tcPr>
            <w:tcW w:w="3534" w:type="dxa"/>
            <w:shd w:val="clear" w:color="auto" w:fill="auto"/>
            <w:vAlign w:val="center"/>
          </w:tcPr>
          <w:p w14:paraId="290C4F84" w14:textId="77777777" w:rsidR="00853F97" w:rsidRPr="00A35800" w:rsidDel="00EE2BBB" w:rsidRDefault="00853F97" w:rsidP="006405D5">
            <w:pPr>
              <w:pStyle w:val="Tablewriting"/>
            </w:pPr>
            <w:proofErr w:type="spellStart"/>
            <w:r>
              <w:t>leuprorelin</w:t>
            </w:r>
            <w:proofErr w:type="spellEnd"/>
            <w:r>
              <w:t xml:space="preserve"> acetate 30</w:t>
            </w:r>
            <w:r w:rsidRPr="008776F7">
              <w:t xml:space="preserve"> mg injection: modified release [1] (&amp;) inert substance diluent [2 mL syringe], 1 pack</w:t>
            </w:r>
          </w:p>
        </w:tc>
        <w:tc>
          <w:tcPr>
            <w:tcW w:w="708" w:type="dxa"/>
            <w:shd w:val="clear" w:color="auto" w:fill="auto"/>
            <w:vAlign w:val="center"/>
          </w:tcPr>
          <w:p w14:paraId="585338B1" w14:textId="77777777" w:rsidR="00853F97" w:rsidRPr="00A35800" w:rsidDel="00EE2BBB" w:rsidRDefault="00853F97" w:rsidP="006405D5">
            <w:pPr>
              <w:pStyle w:val="Tablewriting"/>
              <w:jc w:val="center"/>
            </w:pPr>
            <w:r>
              <w:t>1</w:t>
            </w:r>
          </w:p>
        </w:tc>
        <w:tc>
          <w:tcPr>
            <w:tcW w:w="709" w:type="dxa"/>
            <w:shd w:val="clear" w:color="auto" w:fill="auto"/>
            <w:vAlign w:val="center"/>
          </w:tcPr>
          <w:p w14:paraId="0BB2D1EB" w14:textId="77777777" w:rsidR="00853F97" w:rsidRPr="00A35800" w:rsidDel="00EE2BBB" w:rsidRDefault="00853F97" w:rsidP="006405D5">
            <w:pPr>
              <w:pStyle w:val="Tablewriting"/>
              <w:jc w:val="center"/>
            </w:pPr>
            <w:r>
              <w:t>1</w:t>
            </w:r>
          </w:p>
        </w:tc>
        <w:tc>
          <w:tcPr>
            <w:tcW w:w="1040" w:type="dxa"/>
            <w:shd w:val="clear" w:color="auto" w:fill="auto"/>
            <w:vAlign w:val="center"/>
          </w:tcPr>
          <w:p w14:paraId="662BE243" w14:textId="77777777" w:rsidR="00853F97" w:rsidRPr="00A35800" w:rsidDel="00EE2BBB" w:rsidRDefault="00853F97" w:rsidP="006405D5">
            <w:pPr>
              <w:pStyle w:val="Tablewriting"/>
              <w:jc w:val="right"/>
            </w:pPr>
            <w:r w:rsidRPr="008776F7">
              <w:t>$1</w:t>
            </w:r>
            <w:r>
              <w:t>,</w:t>
            </w:r>
            <w:r w:rsidRPr="008776F7">
              <w:t>186.61</w:t>
            </w:r>
          </w:p>
        </w:tc>
        <w:tc>
          <w:tcPr>
            <w:tcW w:w="2104" w:type="dxa"/>
            <w:shd w:val="clear" w:color="auto" w:fill="auto"/>
            <w:vAlign w:val="center"/>
          </w:tcPr>
          <w:p w14:paraId="3C93FF87" w14:textId="77777777" w:rsidR="00853F97" w:rsidRPr="00A35800" w:rsidDel="00EE2BBB" w:rsidRDefault="00853F97" w:rsidP="006405D5">
            <w:pPr>
              <w:pStyle w:val="Tablewriting"/>
            </w:pPr>
            <w:proofErr w:type="spellStart"/>
            <w:r>
              <w:t>Lucrin</w:t>
            </w:r>
            <w:proofErr w:type="spellEnd"/>
            <w:r>
              <w:t xml:space="preserve"> Depot 4</w:t>
            </w:r>
            <w:r w:rsidRPr="008776F7">
              <w:t xml:space="preserve"> Month PDS</w:t>
            </w:r>
            <w:r>
              <w:t xml:space="preserve">, </w:t>
            </w:r>
            <w:r w:rsidRPr="008776F7">
              <w:t>AbbVie Pty Ltd</w:t>
            </w:r>
          </w:p>
        </w:tc>
      </w:tr>
      <w:tr w:rsidR="00853F97" w:rsidRPr="00A35800" w:rsidDel="00EE2BBB" w14:paraId="195C4675" w14:textId="77777777" w:rsidTr="006405D5">
        <w:trPr>
          <w:trHeight w:val="552"/>
        </w:trPr>
        <w:tc>
          <w:tcPr>
            <w:tcW w:w="969" w:type="dxa"/>
            <w:shd w:val="clear" w:color="auto" w:fill="auto"/>
            <w:vAlign w:val="center"/>
          </w:tcPr>
          <w:p w14:paraId="73F48705" w14:textId="77777777" w:rsidR="00853F97" w:rsidRPr="00A35800" w:rsidDel="00EE2BBB" w:rsidRDefault="00853F97" w:rsidP="006405D5">
            <w:pPr>
              <w:pStyle w:val="Tablewriting"/>
            </w:pPr>
            <w:r w:rsidRPr="008776F7">
              <w:t>10962Y</w:t>
            </w:r>
          </w:p>
        </w:tc>
        <w:tc>
          <w:tcPr>
            <w:tcW w:w="3534" w:type="dxa"/>
            <w:shd w:val="clear" w:color="auto" w:fill="auto"/>
            <w:vAlign w:val="center"/>
          </w:tcPr>
          <w:p w14:paraId="06ECC627" w14:textId="77777777" w:rsidR="00853F97" w:rsidRPr="00A35800" w:rsidDel="00EE2BBB" w:rsidRDefault="00853F97" w:rsidP="006405D5">
            <w:pPr>
              <w:pStyle w:val="Tablewriting"/>
            </w:pPr>
            <w:proofErr w:type="spellStart"/>
            <w:r w:rsidRPr="008776F7">
              <w:t>leuprorelin</w:t>
            </w:r>
            <w:proofErr w:type="spellEnd"/>
            <w:r w:rsidRPr="008776F7">
              <w:t xml:space="preserve"> acetate 7.5 mg modified release injection [1 syringe] (&amp;) inert substance diluent [1 syringe] (&amp;) </w:t>
            </w:r>
            <w:proofErr w:type="spellStart"/>
            <w:r w:rsidRPr="008776F7">
              <w:t>bicalutamide</w:t>
            </w:r>
            <w:proofErr w:type="spellEnd"/>
            <w:r w:rsidRPr="008776F7">
              <w:t xml:space="preserve"> 50 mg tablet [28], 1 pack</w:t>
            </w:r>
          </w:p>
        </w:tc>
        <w:tc>
          <w:tcPr>
            <w:tcW w:w="708" w:type="dxa"/>
            <w:shd w:val="clear" w:color="auto" w:fill="auto"/>
            <w:vAlign w:val="center"/>
          </w:tcPr>
          <w:p w14:paraId="447A790B" w14:textId="77777777" w:rsidR="00853F97" w:rsidRPr="00A35800" w:rsidDel="00EE2BBB" w:rsidRDefault="00853F97" w:rsidP="006405D5">
            <w:pPr>
              <w:pStyle w:val="Tablewriting"/>
              <w:jc w:val="center"/>
            </w:pPr>
            <w:r>
              <w:t>1</w:t>
            </w:r>
          </w:p>
        </w:tc>
        <w:tc>
          <w:tcPr>
            <w:tcW w:w="709" w:type="dxa"/>
            <w:shd w:val="clear" w:color="auto" w:fill="auto"/>
            <w:vAlign w:val="center"/>
          </w:tcPr>
          <w:p w14:paraId="298281A6" w14:textId="77777777" w:rsidR="00853F97" w:rsidRPr="00A35800" w:rsidDel="00EE2BBB" w:rsidRDefault="00853F97" w:rsidP="006405D5">
            <w:pPr>
              <w:pStyle w:val="Tablewriting"/>
              <w:jc w:val="center"/>
            </w:pPr>
            <w:r>
              <w:t>5</w:t>
            </w:r>
          </w:p>
        </w:tc>
        <w:tc>
          <w:tcPr>
            <w:tcW w:w="1040" w:type="dxa"/>
            <w:shd w:val="clear" w:color="auto" w:fill="auto"/>
            <w:vAlign w:val="center"/>
          </w:tcPr>
          <w:p w14:paraId="0EB4914D" w14:textId="77777777" w:rsidR="00853F97" w:rsidRPr="00A35800" w:rsidDel="00EE2BBB" w:rsidRDefault="00853F97" w:rsidP="006405D5">
            <w:pPr>
              <w:pStyle w:val="Tablewriting"/>
              <w:jc w:val="right"/>
            </w:pPr>
            <w:r w:rsidRPr="008776F7">
              <w:t>$416.01</w:t>
            </w:r>
          </w:p>
        </w:tc>
        <w:tc>
          <w:tcPr>
            <w:tcW w:w="2104" w:type="dxa"/>
            <w:shd w:val="clear" w:color="auto" w:fill="auto"/>
            <w:vAlign w:val="center"/>
          </w:tcPr>
          <w:p w14:paraId="40370233" w14:textId="77777777" w:rsidR="00853F97" w:rsidRPr="00A35800" w:rsidDel="00EE2BBB" w:rsidRDefault="00853F97" w:rsidP="006405D5">
            <w:pPr>
              <w:pStyle w:val="Tablewriting"/>
            </w:pPr>
            <w:proofErr w:type="spellStart"/>
            <w:r w:rsidRPr="008776F7">
              <w:t>Bi</w:t>
            </w:r>
            <w:proofErr w:type="spellEnd"/>
            <w:r w:rsidRPr="008776F7">
              <w:t xml:space="preserve"> ELIGARD CP</w:t>
            </w:r>
            <w:r>
              <w:t xml:space="preserve">, </w:t>
            </w:r>
            <w:proofErr w:type="spellStart"/>
            <w:r w:rsidRPr="008776F7">
              <w:t>Mundipharma</w:t>
            </w:r>
            <w:proofErr w:type="spellEnd"/>
            <w:r w:rsidRPr="008776F7">
              <w:t xml:space="preserve"> Pty Limited</w:t>
            </w:r>
          </w:p>
        </w:tc>
      </w:tr>
      <w:tr w:rsidR="00853F97" w:rsidRPr="00A35800" w:rsidDel="00EE2BBB" w14:paraId="4068CCA9" w14:textId="77777777" w:rsidTr="006405D5">
        <w:trPr>
          <w:trHeight w:val="552"/>
        </w:trPr>
        <w:tc>
          <w:tcPr>
            <w:tcW w:w="969" w:type="dxa"/>
            <w:shd w:val="clear" w:color="auto" w:fill="auto"/>
            <w:vAlign w:val="center"/>
          </w:tcPr>
          <w:p w14:paraId="0407A783" w14:textId="77777777" w:rsidR="00853F97" w:rsidRPr="00A35800" w:rsidDel="00EE2BBB" w:rsidRDefault="00853F97" w:rsidP="006405D5">
            <w:pPr>
              <w:pStyle w:val="Tablewriting"/>
            </w:pPr>
            <w:r w:rsidRPr="008776F7">
              <w:t>10963B</w:t>
            </w:r>
          </w:p>
        </w:tc>
        <w:tc>
          <w:tcPr>
            <w:tcW w:w="3534" w:type="dxa"/>
            <w:shd w:val="clear" w:color="auto" w:fill="auto"/>
            <w:vAlign w:val="center"/>
          </w:tcPr>
          <w:p w14:paraId="34B1F820" w14:textId="77777777" w:rsidR="00853F97" w:rsidRPr="00A35800" w:rsidDel="00EE2BBB" w:rsidRDefault="00853F97" w:rsidP="006405D5">
            <w:pPr>
              <w:pStyle w:val="Tablewriting"/>
            </w:pPr>
            <w:proofErr w:type="spellStart"/>
            <w:r w:rsidRPr="008776F7">
              <w:t>leuprorelin</w:t>
            </w:r>
            <w:proofErr w:type="spellEnd"/>
            <w:r w:rsidRPr="008776F7">
              <w:t xml:space="preserve"> acetate 22.5 mg modified release injection [1 syringe] (&amp;) inert substance diluent [1 syringe] (&amp;) </w:t>
            </w:r>
            <w:proofErr w:type="spellStart"/>
            <w:r w:rsidRPr="008776F7">
              <w:t>bicalutamide</w:t>
            </w:r>
            <w:proofErr w:type="spellEnd"/>
            <w:r w:rsidRPr="008776F7">
              <w:t xml:space="preserve"> 50 mg tablet [28], 1 pack</w:t>
            </w:r>
          </w:p>
        </w:tc>
        <w:tc>
          <w:tcPr>
            <w:tcW w:w="708" w:type="dxa"/>
            <w:shd w:val="clear" w:color="auto" w:fill="auto"/>
            <w:vAlign w:val="center"/>
          </w:tcPr>
          <w:p w14:paraId="2A88AB8F" w14:textId="77777777" w:rsidR="00853F97" w:rsidRPr="00A35800" w:rsidDel="00EE2BBB" w:rsidRDefault="00853F97" w:rsidP="006405D5">
            <w:pPr>
              <w:pStyle w:val="Tablewriting"/>
              <w:jc w:val="center"/>
            </w:pPr>
            <w:r>
              <w:t>1</w:t>
            </w:r>
          </w:p>
        </w:tc>
        <w:tc>
          <w:tcPr>
            <w:tcW w:w="709" w:type="dxa"/>
            <w:shd w:val="clear" w:color="auto" w:fill="auto"/>
            <w:vAlign w:val="center"/>
          </w:tcPr>
          <w:p w14:paraId="582A4ECF" w14:textId="77777777" w:rsidR="00853F97" w:rsidRPr="00A35800" w:rsidDel="00EE2BBB" w:rsidRDefault="00853F97" w:rsidP="006405D5">
            <w:pPr>
              <w:pStyle w:val="Tablewriting"/>
              <w:jc w:val="center"/>
            </w:pPr>
            <w:r>
              <w:t>0</w:t>
            </w:r>
          </w:p>
        </w:tc>
        <w:tc>
          <w:tcPr>
            <w:tcW w:w="1040" w:type="dxa"/>
            <w:shd w:val="clear" w:color="auto" w:fill="auto"/>
            <w:vAlign w:val="center"/>
          </w:tcPr>
          <w:p w14:paraId="6A1E4E70" w14:textId="77777777" w:rsidR="00853F97" w:rsidRPr="00A35800" w:rsidDel="00EE2BBB" w:rsidRDefault="00853F97" w:rsidP="006405D5">
            <w:pPr>
              <w:pStyle w:val="Tablewriting"/>
              <w:jc w:val="right"/>
            </w:pPr>
            <w:r w:rsidRPr="008776F7">
              <w:t>$978.15</w:t>
            </w:r>
          </w:p>
        </w:tc>
        <w:tc>
          <w:tcPr>
            <w:tcW w:w="2104" w:type="dxa"/>
            <w:shd w:val="clear" w:color="auto" w:fill="auto"/>
            <w:vAlign w:val="center"/>
          </w:tcPr>
          <w:p w14:paraId="27B40677" w14:textId="77777777" w:rsidR="00853F97" w:rsidRPr="00A35800" w:rsidDel="00EE2BBB" w:rsidRDefault="00853F97" w:rsidP="006405D5">
            <w:pPr>
              <w:pStyle w:val="Tablewriting"/>
            </w:pPr>
            <w:proofErr w:type="spellStart"/>
            <w:r w:rsidRPr="008776F7">
              <w:t>Bi</w:t>
            </w:r>
            <w:proofErr w:type="spellEnd"/>
            <w:r w:rsidRPr="008776F7">
              <w:t xml:space="preserve"> ELIGARD CP</w:t>
            </w:r>
            <w:r>
              <w:t xml:space="preserve">, </w:t>
            </w:r>
            <w:proofErr w:type="spellStart"/>
            <w:r w:rsidRPr="008776F7">
              <w:t>Mundipharma</w:t>
            </w:r>
            <w:proofErr w:type="spellEnd"/>
            <w:r w:rsidRPr="008776F7">
              <w:t xml:space="preserve"> Pty Limited</w:t>
            </w:r>
          </w:p>
        </w:tc>
      </w:tr>
      <w:tr w:rsidR="00853F97" w:rsidRPr="00A35800" w:rsidDel="00EE2BBB" w14:paraId="3359EFB9" w14:textId="77777777" w:rsidTr="006405D5">
        <w:trPr>
          <w:trHeight w:val="552"/>
        </w:trPr>
        <w:tc>
          <w:tcPr>
            <w:tcW w:w="969" w:type="dxa"/>
            <w:shd w:val="clear" w:color="auto" w:fill="auto"/>
            <w:vAlign w:val="center"/>
          </w:tcPr>
          <w:p w14:paraId="0F804989" w14:textId="77777777" w:rsidR="00853F97" w:rsidRPr="00A35800" w:rsidDel="00EE2BBB" w:rsidRDefault="00853F97" w:rsidP="006405D5">
            <w:pPr>
              <w:pStyle w:val="Tablewriting"/>
            </w:pPr>
            <w:r w:rsidRPr="008776F7">
              <w:t>10969H</w:t>
            </w:r>
          </w:p>
        </w:tc>
        <w:tc>
          <w:tcPr>
            <w:tcW w:w="3534" w:type="dxa"/>
            <w:shd w:val="clear" w:color="auto" w:fill="auto"/>
            <w:vAlign w:val="center"/>
          </w:tcPr>
          <w:p w14:paraId="4791D3F4" w14:textId="77777777" w:rsidR="00853F97" w:rsidRPr="00A35800" w:rsidDel="00EE2BBB" w:rsidRDefault="00853F97" w:rsidP="006405D5">
            <w:pPr>
              <w:pStyle w:val="Tablewriting"/>
            </w:pPr>
            <w:proofErr w:type="spellStart"/>
            <w:r w:rsidRPr="008776F7">
              <w:t>leuprorelin</w:t>
            </w:r>
            <w:proofErr w:type="spellEnd"/>
            <w:r w:rsidRPr="008776F7">
              <w:t xml:space="preserve"> acetate 22.5 mg modified release injection [1 syringe] (&amp;) inert substance diluent [1 syringe] (&amp;) </w:t>
            </w:r>
            <w:proofErr w:type="spellStart"/>
            <w:r w:rsidRPr="008776F7">
              <w:t>bicalutamide</w:t>
            </w:r>
            <w:proofErr w:type="spellEnd"/>
            <w:r w:rsidRPr="008776F7">
              <w:t xml:space="preserve"> 50 mg tablet [84], 1 pack</w:t>
            </w:r>
          </w:p>
        </w:tc>
        <w:tc>
          <w:tcPr>
            <w:tcW w:w="708" w:type="dxa"/>
            <w:shd w:val="clear" w:color="auto" w:fill="auto"/>
            <w:vAlign w:val="center"/>
          </w:tcPr>
          <w:p w14:paraId="407D008C" w14:textId="77777777" w:rsidR="00853F97" w:rsidRPr="00A35800" w:rsidDel="00EE2BBB" w:rsidRDefault="00853F97" w:rsidP="006405D5">
            <w:pPr>
              <w:pStyle w:val="Tablewriting"/>
              <w:jc w:val="center"/>
            </w:pPr>
            <w:r>
              <w:t>1</w:t>
            </w:r>
          </w:p>
        </w:tc>
        <w:tc>
          <w:tcPr>
            <w:tcW w:w="709" w:type="dxa"/>
            <w:shd w:val="clear" w:color="auto" w:fill="auto"/>
            <w:vAlign w:val="center"/>
          </w:tcPr>
          <w:p w14:paraId="168ACA96" w14:textId="77777777" w:rsidR="00853F97" w:rsidRPr="00A35800" w:rsidDel="00EE2BBB" w:rsidRDefault="00853F97" w:rsidP="006405D5">
            <w:pPr>
              <w:pStyle w:val="Tablewriting"/>
              <w:jc w:val="center"/>
            </w:pPr>
            <w:r>
              <w:t>1</w:t>
            </w:r>
          </w:p>
        </w:tc>
        <w:tc>
          <w:tcPr>
            <w:tcW w:w="1040" w:type="dxa"/>
            <w:shd w:val="clear" w:color="auto" w:fill="auto"/>
            <w:vAlign w:val="center"/>
          </w:tcPr>
          <w:p w14:paraId="658A9A28" w14:textId="77777777" w:rsidR="00853F97" w:rsidRPr="00A35800" w:rsidDel="00EE2BBB" w:rsidRDefault="00853F97" w:rsidP="006405D5">
            <w:pPr>
              <w:pStyle w:val="Tablewriting"/>
              <w:jc w:val="right"/>
            </w:pPr>
            <w:r w:rsidRPr="008776F7">
              <w:t>$1</w:t>
            </w:r>
            <w:r>
              <w:t>,</w:t>
            </w:r>
            <w:r w:rsidRPr="008776F7">
              <w:t>128.04</w:t>
            </w:r>
          </w:p>
        </w:tc>
        <w:tc>
          <w:tcPr>
            <w:tcW w:w="2104" w:type="dxa"/>
            <w:shd w:val="clear" w:color="auto" w:fill="auto"/>
            <w:vAlign w:val="center"/>
          </w:tcPr>
          <w:p w14:paraId="1148DD2E" w14:textId="77777777" w:rsidR="00853F97" w:rsidRPr="00A35800" w:rsidDel="00EE2BBB" w:rsidRDefault="00853F97" w:rsidP="006405D5">
            <w:pPr>
              <w:pStyle w:val="Tablewriting"/>
            </w:pPr>
            <w:proofErr w:type="spellStart"/>
            <w:r w:rsidRPr="008776F7">
              <w:t>Bi</w:t>
            </w:r>
            <w:proofErr w:type="spellEnd"/>
            <w:r w:rsidRPr="008776F7">
              <w:t xml:space="preserve"> ELIGARD CP</w:t>
            </w:r>
            <w:r>
              <w:t xml:space="preserve">, </w:t>
            </w:r>
            <w:proofErr w:type="spellStart"/>
            <w:r w:rsidRPr="008776F7">
              <w:t>Mundipharma</w:t>
            </w:r>
            <w:proofErr w:type="spellEnd"/>
            <w:r w:rsidRPr="008776F7">
              <w:t xml:space="preserve"> Pty Limited</w:t>
            </w:r>
          </w:p>
        </w:tc>
      </w:tr>
      <w:tr w:rsidR="00853F97" w:rsidRPr="00A35800" w:rsidDel="00EE2BBB" w14:paraId="76AE816C" w14:textId="77777777" w:rsidTr="006405D5">
        <w:trPr>
          <w:trHeight w:val="552"/>
        </w:trPr>
        <w:tc>
          <w:tcPr>
            <w:tcW w:w="969" w:type="dxa"/>
            <w:shd w:val="clear" w:color="auto" w:fill="auto"/>
            <w:vAlign w:val="center"/>
          </w:tcPr>
          <w:p w14:paraId="1C4E6706" w14:textId="77777777" w:rsidR="00853F97" w:rsidRPr="008776F7" w:rsidRDefault="00853F97" w:rsidP="006405D5">
            <w:pPr>
              <w:pStyle w:val="Tablewriting"/>
            </w:pPr>
            <w:r w:rsidRPr="000B26E4">
              <w:t>9378N</w:t>
            </w:r>
          </w:p>
        </w:tc>
        <w:tc>
          <w:tcPr>
            <w:tcW w:w="3534" w:type="dxa"/>
            <w:shd w:val="clear" w:color="auto" w:fill="auto"/>
            <w:vAlign w:val="center"/>
          </w:tcPr>
          <w:p w14:paraId="06D30A5B" w14:textId="77777777" w:rsidR="00853F97" w:rsidRPr="008776F7" w:rsidRDefault="00853F97" w:rsidP="006405D5">
            <w:pPr>
              <w:pStyle w:val="Tablewriting"/>
            </w:pPr>
            <w:proofErr w:type="spellStart"/>
            <w:r w:rsidRPr="000B26E4">
              <w:t>triptorelin</w:t>
            </w:r>
            <w:proofErr w:type="spellEnd"/>
            <w:r w:rsidRPr="000B26E4">
              <w:t xml:space="preserve"> 3.75 mg injection [1 vial] (&amp;) inert substance diluent [2 mL ampoule], 1 pack</w:t>
            </w:r>
          </w:p>
        </w:tc>
        <w:tc>
          <w:tcPr>
            <w:tcW w:w="708" w:type="dxa"/>
            <w:shd w:val="clear" w:color="auto" w:fill="auto"/>
            <w:vAlign w:val="center"/>
          </w:tcPr>
          <w:p w14:paraId="6940E8DF" w14:textId="77777777" w:rsidR="00853F97" w:rsidRDefault="00853F97" w:rsidP="006405D5">
            <w:pPr>
              <w:pStyle w:val="Tablewriting"/>
              <w:jc w:val="center"/>
            </w:pPr>
            <w:r>
              <w:t>1</w:t>
            </w:r>
          </w:p>
        </w:tc>
        <w:tc>
          <w:tcPr>
            <w:tcW w:w="709" w:type="dxa"/>
            <w:shd w:val="clear" w:color="auto" w:fill="auto"/>
            <w:vAlign w:val="center"/>
          </w:tcPr>
          <w:p w14:paraId="7A32AC78" w14:textId="77777777" w:rsidR="00853F97" w:rsidRDefault="00853F97" w:rsidP="006405D5">
            <w:pPr>
              <w:pStyle w:val="Tablewriting"/>
              <w:jc w:val="center"/>
            </w:pPr>
            <w:r>
              <w:t>5</w:t>
            </w:r>
          </w:p>
        </w:tc>
        <w:tc>
          <w:tcPr>
            <w:tcW w:w="1040" w:type="dxa"/>
            <w:shd w:val="clear" w:color="auto" w:fill="auto"/>
            <w:vAlign w:val="center"/>
          </w:tcPr>
          <w:p w14:paraId="050F624C" w14:textId="77777777" w:rsidR="00853F97" w:rsidRPr="008776F7" w:rsidRDefault="00853F97" w:rsidP="006405D5">
            <w:pPr>
              <w:pStyle w:val="Tablewriting"/>
              <w:jc w:val="right"/>
            </w:pPr>
            <w:r w:rsidRPr="000B26E4">
              <w:t>$355.27</w:t>
            </w:r>
          </w:p>
        </w:tc>
        <w:tc>
          <w:tcPr>
            <w:tcW w:w="2104" w:type="dxa"/>
            <w:shd w:val="clear" w:color="auto" w:fill="auto"/>
            <w:vAlign w:val="center"/>
          </w:tcPr>
          <w:p w14:paraId="3A3AA3E6" w14:textId="77777777" w:rsidR="00853F97" w:rsidRPr="008776F7" w:rsidRDefault="00853F97" w:rsidP="006405D5">
            <w:pPr>
              <w:pStyle w:val="Tablewriting"/>
            </w:pPr>
            <w:proofErr w:type="spellStart"/>
            <w:r w:rsidRPr="000B26E4">
              <w:t>Diphereline</w:t>
            </w:r>
            <w:proofErr w:type="spellEnd"/>
            <w:r>
              <w:t xml:space="preserve">, </w:t>
            </w:r>
            <w:proofErr w:type="spellStart"/>
            <w:r w:rsidRPr="000B26E4">
              <w:t>Ipsen</w:t>
            </w:r>
            <w:proofErr w:type="spellEnd"/>
            <w:r w:rsidRPr="000B26E4">
              <w:t xml:space="preserve"> Pty Ltd</w:t>
            </w:r>
          </w:p>
        </w:tc>
      </w:tr>
      <w:tr w:rsidR="00853F97" w:rsidRPr="00A35800" w:rsidDel="00EE2BBB" w14:paraId="43D64396" w14:textId="77777777" w:rsidTr="006405D5">
        <w:trPr>
          <w:trHeight w:val="552"/>
        </w:trPr>
        <w:tc>
          <w:tcPr>
            <w:tcW w:w="969" w:type="dxa"/>
            <w:shd w:val="clear" w:color="auto" w:fill="auto"/>
            <w:vAlign w:val="center"/>
          </w:tcPr>
          <w:p w14:paraId="1FA80865" w14:textId="77777777" w:rsidR="00853F97" w:rsidRPr="008776F7" w:rsidRDefault="00853F97" w:rsidP="006405D5">
            <w:pPr>
              <w:pStyle w:val="Tablewriting"/>
            </w:pPr>
            <w:r w:rsidRPr="000B26E4">
              <w:t>9379P</w:t>
            </w:r>
          </w:p>
        </w:tc>
        <w:tc>
          <w:tcPr>
            <w:tcW w:w="3534" w:type="dxa"/>
            <w:shd w:val="clear" w:color="auto" w:fill="auto"/>
            <w:vAlign w:val="center"/>
          </w:tcPr>
          <w:p w14:paraId="0C56BD6C" w14:textId="77777777" w:rsidR="00853F97" w:rsidRPr="008776F7" w:rsidRDefault="00853F97" w:rsidP="006405D5">
            <w:pPr>
              <w:pStyle w:val="Tablewriting"/>
            </w:pPr>
            <w:proofErr w:type="spellStart"/>
            <w:r>
              <w:t>triptorelin</w:t>
            </w:r>
            <w:proofErr w:type="spellEnd"/>
            <w:r>
              <w:t xml:space="preserve"> 11.25</w:t>
            </w:r>
            <w:r w:rsidRPr="000B26E4">
              <w:t xml:space="preserve"> mg injection [1 vial] (&amp;) inert substance diluent [2 mL ampoule], 1 pack</w:t>
            </w:r>
          </w:p>
        </w:tc>
        <w:tc>
          <w:tcPr>
            <w:tcW w:w="708" w:type="dxa"/>
            <w:shd w:val="clear" w:color="auto" w:fill="auto"/>
            <w:vAlign w:val="center"/>
          </w:tcPr>
          <w:p w14:paraId="76AD8A95" w14:textId="77777777" w:rsidR="00853F97" w:rsidRDefault="00853F97" w:rsidP="006405D5">
            <w:pPr>
              <w:pStyle w:val="Tablewriting"/>
              <w:jc w:val="center"/>
            </w:pPr>
            <w:r>
              <w:t>1</w:t>
            </w:r>
          </w:p>
        </w:tc>
        <w:tc>
          <w:tcPr>
            <w:tcW w:w="709" w:type="dxa"/>
            <w:shd w:val="clear" w:color="auto" w:fill="auto"/>
            <w:vAlign w:val="center"/>
          </w:tcPr>
          <w:p w14:paraId="7AAA78BA" w14:textId="77777777" w:rsidR="00853F97" w:rsidRDefault="00853F97" w:rsidP="006405D5">
            <w:pPr>
              <w:pStyle w:val="Tablewriting"/>
              <w:jc w:val="center"/>
            </w:pPr>
            <w:r>
              <w:t>1</w:t>
            </w:r>
          </w:p>
        </w:tc>
        <w:tc>
          <w:tcPr>
            <w:tcW w:w="1040" w:type="dxa"/>
            <w:shd w:val="clear" w:color="auto" w:fill="auto"/>
            <w:vAlign w:val="center"/>
          </w:tcPr>
          <w:p w14:paraId="78E6687C" w14:textId="77777777" w:rsidR="00853F97" w:rsidRPr="008776F7" w:rsidRDefault="00853F97" w:rsidP="006405D5">
            <w:pPr>
              <w:pStyle w:val="Tablewriting"/>
              <w:jc w:val="right"/>
            </w:pPr>
            <w:r w:rsidRPr="000B26E4">
              <w:t>$946.98</w:t>
            </w:r>
          </w:p>
        </w:tc>
        <w:tc>
          <w:tcPr>
            <w:tcW w:w="2104" w:type="dxa"/>
            <w:shd w:val="clear" w:color="auto" w:fill="auto"/>
            <w:vAlign w:val="center"/>
          </w:tcPr>
          <w:p w14:paraId="3A43530F" w14:textId="77777777" w:rsidR="00853F97" w:rsidRPr="008776F7" w:rsidRDefault="00853F97" w:rsidP="006405D5">
            <w:pPr>
              <w:pStyle w:val="Tablewriting"/>
            </w:pPr>
            <w:proofErr w:type="spellStart"/>
            <w:r w:rsidRPr="000B26E4">
              <w:t>Diphereline</w:t>
            </w:r>
            <w:proofErr w:type="spellEnd"/>
            <w:r>
              <w:t xml:space="preserve">, </w:t>
            </w:r>
            <w:proofErr w:type="spellStart"/>
            <w:r w:rsidRPr="000B26E4">
              <w:t>Ipsen</w:t>
            </w:r>
            <w:proofErr w:type="spellEnd"/>
            <w:r w:rsidRPr="000B26E4">
              <w:t xml:space="preserve"> Pty Ltd</w:t>
            </w:r>
          </w:p>
        </w:tc>
      </w:tr>
      <w:tr w:rsidR="00853F97" w:rsidRPr="00A35800" w:rsidDel="00EE2BBB" w14:paraId="6E11C1E8" w14:textId="77777777" w:rsidTr="006405D5">
        <w:trPr>
          <w:trHeight w:val="552"/>
        </w:trPr>
        <w:tc>
          <w:tcPr>
            <w:tcW w:w="969" w:type="dxa"/>
            <w:shd w:val="clear" w:color="auto" w:fill="auto"/>
            <w:vAlign w:val="center"/>
          </w:tcPr>
          <w:p w14:paraId="0DEBA2DE" w14:textId="77777777" w:rsidR="00853F97" w:rsidRPr="008776F7" w:rsidRDefault="00853F97" w:rsidP="006405D5">
            <w:pPr>
              <w:pStyle w:val="Tablewriting"/>
            </w:pPr>
            <w:r w:rsidRPr="000B26E4">
              <w:t>5297T</w:t>
            </w:r>
          </w:p>
        </w:tc>
        <w:tc>
          <w:tcPr>
            <w:tcW w:w="3534" w:type="dxa"/>
            <w:shd w:val="clear" w:color="auto" w:fill="auto"/>
            <w:vAlign w:val="center"/>
          </w:tcPr>
          <w:p w14:paraId="23D3DC2B" w14:textId="77777777" w:rsidR="00853F97" w:rsidRPr="008776F7" w:rsidRDefault="00853F97" w:rsidP="006405D5">
            <w:pPr>
              <w:pStyle w:val="Tablewriting"/>
            </w:pPr>
            <w:proofErr w:type="spellStart"/>
            <w:r>
              <w:t>triptorelin</w:t>
            </w:r>
            <w:proofErr w:type="spellEnd"/>
            <w:r>
              <w:t xml:space="preserve"> 22.</w:t>
            </w:r>
            <w:r w:rsidRPr="000B26E4">
              <w:t>5 mg injection [1 vial] (&amp;) inert substance diluent [2 mL ampoule], 1 pack</w:t>
            </w:r>
          </w:p>
        </w:tc>
        <w:tc>
          <w:tcPr>
            <w:tcW w:w="708" w:type="dxa"/>
            <w:shd w:val="clear" w:color="auto" w:fill="auto"/>
            <w:vAlign w:val="center"/>
          </w:tcPr>
          <w:p w14:paraId="11B215F8" w14:textId="77777777" w:rsidR="00853F97" w:rsidRDefault="00853F97" w:rsidP="006405D5">
            <w:pPr>
              <w:pStyle w:val="Tablewriting"/>
              <w:jc w:val="center"/>
            </w:pPr>
            <w:r>
              <w:t>1</w:t>
            </w:r>
          </w:p>
        </w:tc>
        <w:tc>
          <w:tcPr>
            <w:tcW w:w="709" w:type="dxa"/>
            <w:shd w:val="clear" w:color="auto" w:fill="auto"/>
            <w:vAlign w:val="center"/>
          </w:tcPr>
          <w:p w14:paraId="78019558" w14:textId="77777777" w:rsidR="00853F97" w:rsidRDefault="00853F97" w:rsidP="006405D5">
            <w:pPr>
              <w:pStyle w:val="Tablewriting"/>
              <w:jc w:val="center"/>
            </w:pPr>
            <w:r>
              <w:t>0</w:t>
            </w:r>
          </w:p>
        </w:tc>
        <w:tc>
          <w:tcPr>
            <w:tcW w:w="1040" w:type="dxa"/>
            <w:shd w:val="clear" w:color="auto" w:fill="auto"/>
            <w:vAlign w:val="center"/>
          </w:tcPr>
          <w:p w14:paraId="6FCB5165" w14:textId="77777777" w:rsidR="00853F97" w:rsidRPr="008776F7" w:rsidRDefault="00853F97" w:rsidP="006405D5">
            <w:pPr>
              <w:pStyle w:val="Tablewriting"/>
              <w:jc w:val="right"/>
            </w:pPr>
            <w:r>
              <w:t>$1827.47</w:t>
            </w:r>
          </w:p>
        </w:tc>
        <w:tc>
          <w:tcPr>
            <w:tcW w:w="2104" w:type="dxa"/>
            <w:shd w:val="clear" w:color="auto" w:fill="auto"/>
            <w:vAlign w:val="center"/>
          </w:tcPr>
          <w:p w14:paraId="65FE766B" w14:textId="77777777" w:rsidR="00853F97" w:rsidRPr="008776F7" w:rsidRDefault="00853F97" w:rsidP="006405D5">
            <w:pPr>
              <w:pStyle w:val="Tablewriting"/>
            </w:pPr>
            <w:proofErr w:type="spellStart"/>
            <w:r w:rsidRPr="000B26E4">
              <w:t>Diphereline</w:t>
            </w:r>
            <w:proofErr w:type="spellEnd"/>
            <w:r>
              <w:t xml:space="preserve">, </w:t>
            </w:r>
            <w:proofErr w:type="spellStart"/>
            <w:r w:rsidRPr="000B26E4">
              <w:t>Ipsen</w:t>
            </w:r>
            <w:proofErr w:type="spellEnd"/>
            <w:r w:rsidRPr="000B26E4">
              <w:t xml:space="preserve"> Pty Ltd</w:t>
            </w:r>
          </w:p>
        </w:tc>
      </w:tr>
      <w:tr w:rsidR="00853F97" w:rsidRPr="00A35800" w:rsidDel="00EE2BBB" w14:paraId="0CEAE4D0" w14:textId="77777777" w:rsidTr="006405D5">
        <w:trPr>
          <w:trHeight w:val="552"/>
        </w:trPr>
        <w:tc>
          <w:tcPr>
            <w:tcW w:w="969" w:type="dxa"/>
            <w:shd w:val="clear" w:color="auto" w:fill="auto"/>
            <w:vAlign w:val="center"/>
          </w:tcPr>
          <w:p w14:paraId="3A48D5B8" w14:textId="77777777" w:rsidR="00853F97" w:rsidRPr="00A35800" w:rsidDel="00EE2BBB" w:rsidRDefault="00853F97" w:rsidP="006405D5">
            <w:pPr>
              <w:pStyle w:val="Tablewriting"/>
            </w:pPr>
            <w:r w:rsidRPr="008776F7">
              <w:t>2962X</w:t>
            </w:r>
          </w:p>
        </w:tc>
        <w:tc>
          <w:tcPr>
            <w:tcW w:w="3534" w:type="dxa"/>
            <w:shd w:val="clear" w:color="auto" w:fill="auto"/>
            <w:vAlign w:val="center"/>
          </w:tcPr>
          <w:p w14:paraId="173BD82D" w14:textId="77777777" w:rsidR="00853F97" w:rsidRPr="00A35800" w:rsidDel="00EE2BBB" w:rsidRDefault="00853F97" w:rsidP="006405D5">
            <w:pPr>
              <w:pStyle w:val="Tablewriting"/>
            </w:pPr>
            <w:proofErr w:type="spellStart"/>
            <w:r w:rsidRPr="008776F7">
              <w:t>nafarelin</w:t>
            </w:r>
            <w:proofErr w:type="spellEnd"/>
            <w:r w:rsidRPr="008776F7">
              <w:t xml:space="preserve"> 200 microgram/actuation nasal spray, 60 actuations</w:t>
            </w:r>
          </w:p>
        </w:tc>
        <w:tc>
          <w:tcPr>
            <w:tcW w:w="708" w:type="dxa"/>
            <w:shd w:val="clear" w:color="auto" w:fill="auto"/>
            <w:vAlign w:val="center"/>
          </w:tcPr>
          <w:p w14:paraId="6DE0F223" w14:textId="77777777" w:rsidR="00853F97" w:rsidRPr="00A35800" w:rsidDel="00EE2BBB" w:rsidRDefault="00853F97" w:rsidP="006405D5">
            <w:pPr>
              <w:pStyle w:val="Tablewriting"/>
              <w:jc w:val="center"/>
            </w:pPr>
            <w:r>
              <w:t>1</w:t>
            </w:r>
          </w:p>
        </w:tc>
        <w:tc>
          <w:tcPr>
            <w:tcW w:w="709" w:type="dxa"/>
            <w:shd w:val="clear" w:color="auto" w:fill="auto"/>
            <w:vAlign w:val="center"/>
          </w:tcPr>
          <w:p w14:paraId="69B626F8" w14:textId="77777777" w:rsidR="00853F97" w:rsidRPr="00A35800" w:rsidDel="00EE2BBB" w:rsidRDefault="00853F97" w:rsidP="006405D5">
            <w:pPr>
              <w:pStyle w:val="Tablewriting"/>
              <w:jc w:val="center"/>
            </w:pPr>
            <w:r>
              <w:t>5</w:t>
            </w:r>
          </w:p>
        </w:tc>
        <w:tc>
          <w:tcPr>
            <w:tcW w:w="1040" w:type="dxa"/>
            <w:shd w:val="clear" w:color="auto" w:fill="auto"/>
            <w:vAlign w:val="center"/>
          </w:tcPr>
          <w:p w14:paraId="0C01D47C" w14:textId="77777777" w:rsidR="00853F97" w:rsidRPr="00A35800" w:rsidDel="00EE2BBB" w:rsidRDefault="00853F97" w:rsidP="006405D5">
            <w:pPr>
              <w:pStyle w:val="Tablewriting"/>
              <w:jc w:val="right"/>
            </w:pPr>
            <w:r w:rsidRPr="008776F7">
              <w:t>$121.65</w:t>
            </w:r>
          </w:p>
        </w:tc>
        <w:tc>
          <w:tcPr>
            <w:tcW w:w="2104" w:type="dxa"/>
            <w:shd w:val="clear" w:color="auto" w:fill="auto"/>
            <w:vAlign w:val="center"/>
          </w:tcPr>
          <w:p w14:paraId="3D414B19" w14:textId="77777777" w:rsidR="00853F97" w:rsidRPr="00A35800" w:rsidDel="00EE2BBB" w:rsidRDefault="00853F97" w:rsidP="006405D5">
            <w:pPr>
              <w:pStyle w:val="Tablewriting"/>
            </w:pPr>
            <w:proofErr w:type="spellStart"/>
            <w:r w:rsidRPr="008776F7">
              <w:t>Synarel</w:t>
            </w:r>
            <w:proofErr w:type="spellEnd"/>
            <w:r>
              <w:t xml:space="preserve">, </w:t>
            </w:r>
            <w:r w:rsidRPr="008776F7">
              <w:t>Pfizer Australia Pty Ltd</w:t>
            </w:r>
          </w:p>
        </w:tc>
      </w:tr>
    </w:tbl>
    <w:p w14:paraId="35741CBF" w14:textId="77777777" w:rsidR="000856D1" w:rsidRDefault="00853F97" w:rsidP="000856D1">
      <w:pPr>
        <w:pStyle w:val="Notes"/>
      </w:pPr>
      <w:r w:rsidRPr="00A35800" w:rsidDel="00EE2BBB">
        <w:t xml:space="preserve">Source: </w:t>
      </w:r>
      <w:r w:rsidDel="00EE2BBB">
        <w:t xml:space="preserve">the </w:t>
      </w:r>
      <w:hyperlink r:id="rId32" w:history="1">
        <w:r w:rsidRPr="001624D7" w:rsidDel="00EE2BBB">
          <w:rPr>
            <w:rStyle w:val="Hyperlink"/>
          </w:rPr>
          <w:t>PBS website</w:t>
        </w:r>
      </w:hyperlink>
      <w:r w:rsidDel="00EE2BBB">
        <w:t xml:space="preserve">.  </w:t>
      </w:r>
    </w:p>
    <w:p w14:paraId="3D65B02F" w14:textId="77777777" w:rsidR="0087414C" w:rsidRDefault="0087414C">
      <w:pPr>
        <w:spacing w:line="276" w:lineRule="auto"/>
        <w:rPr>
          <w:rFonts w:eastAsiaTheme="majorEastAsia" w:cstheme="majorBidi"/>
          <w:b/>
          <w:bCs/>
          <w:sz w:val="32"/>
          <w:szCs w:val="32"/>
        </w:rPr>
      </w:pPr>
      <w:r>
        <w:br w:type="page"/>
      </w:r>
    </w:p>
    <w:p w14:paraId="587792AA" w14:textId="5AF32880" w:rsidR="000856D1" w:rsidRDefault="000856D1" w:rsidP="000856D1">
      <w:pPr>
        <w:pStyle w:val="Heading1"/>
      </w:pPr>
      <w:r>
        <w:lastRenderedPageBreak/>
        <w:t>Appendix B</w:t>
      </w:r>
    </w:p>
    <w:p w14:paraId="1FB91CEF" w14:textId="037AE6B6" w:rsidR="00736EBD" w:rsidRDefault="00736EBD" w:rsidP="00A23A95">
      <w:pPr>
        <w:pStyle w:val="Tabletitle"/>
      </w:pPr>
      <w:r>
        <w:t>Table B.1: Medicines used as an indicator of breast cancer treatment</w:t>
      </w:r>
    </w:p>
    <w:tbl>
      <w:tblPr>
        <w:tblStyle w:val="TableGrid"/>
        <w:tblW w:w="0" w:type="auto"/>
        <w:tblLook w:val="04A0" w:firstRow="1" w:lastRow="0" w:firstColumn="1" w:lastColumn="0" w:noHBand="0" w:noVBand="1"/>
        <w:tblCaption w:val="Medicines used as an indicator of breast cancer treatment"/>
        <w:tblDescription w:val="Medicines used as an indicator of breast cancer treatment"/>
      </w:tblPr>
      <w:tblGrid>
        <w:gridCol w:w="4673"/>
      </w:tblGrid>
      <w:tr w:rsidR="00051AB4" w:rsidRPr="00AF1435" w14:paraId="749A9D11" w14:textId="77777777" w:rsidTr="00A23A95">
        <w:trPr>
          <w:trHeight w:val="300"/>
          <w:tblHeader/>
        </w:trPr>
        <w:tc>
          <w:tcPr>
            <w:tcW w:w="4673" w:type="dxa"/>
            <w:shd w:val="clear" w:color="auto" w:fill="BFBFBF" w:themeFill="background1" w:themeFillShade="BF"/>
            <w:noWrap/>
          </w:tcPr>
          <w:p w14:paraId="49D11189" w14:textId="68DC62B7" w:rsidR="00051AB4" w:rsidRPr="00A23A95" w:rsidRDefault="00051AB4">
            <w:pPr>
              <w:rPr>
                <w:b/>
                <w:sz w:val="20"/>
                <w:szCs w:val="20"/>
              </w:rPr>
            </w:pPr>
            <w:r w:rsidRPr="00A23A95">
              <w:rPr>
                <w:b/>
                <w:sz w:val="20"/>
                <w:szCs w:val="20"/>
              </w:rPr>
              <w:t>Medicines</w:t>
            </w:r>
          </w:p>
        </w:tc>
      </w:tr>
      <w:tr w:rsidR="00051AB4" w:rsidRPr="00736EBD" w14:paraId="541066E8" w14:textId="77777777" w:rsidTr="00A23A95">
        <w:trPr>
          <w:trHeight w:val="300"/>
        </w:trPr>
        <w:tc>
          <w:tcPr>
            <w:tcW w:w="4673" w:type="dxa"/>
            <w:noWrap/>
            <w:hideMark/>
          </w:tcPr>
          <w:p w14:paraId="7713F7A5" w14:textId="12FECA5D" w:rsidR="00051AB4" w:rsidRPr="00A23A95" w:rsidRDefault="00051AB4">
            <w:pPr>
              <w:rPr>
                <w:sz w:val="20"/>
                <w:szCs w:val="20"/>
              </w:rPr>
            </w:pPr>
            <w:proofErr w:type="spellStart"/>
            <w:r w:rsidRPr="00A23A95">
              <w:rPr>
                <w:sz w:val="20"/>
                <w:szCs w:val="20"/>
              </w:rPr>
              <w:t>Anastrozole</w:t>
            </w:r>
            <w:proofErr w:type="spellEnd"/>
          </w:p>
        </w:tc>
      </w:tr>
      <w:tr w:rsidR="00051AB4" w:rsidRPr="00736EBD" w14:paraId="44982092" w14:textId="77777777" w:rsidTr="00A23A95">
        <w:trPr>
          <w:trHeight w:val="300"/>
        </w:trPr>
        <w:tc>
          <w:tcPr>
            <w:tcW w:w="4673" w:type="dxa"/>
            <w:noWrap/>
            <w:hideMark/>
          </w:tcPr>
          <w:p w14:paraId="1448B6C3" w14:textId="219ADEBB" w:rsidR="00051AB4" w:rsidRPr="00A23A95" w:rsidRDefault="00051AB4">
            <w:pPr>
              <w:rPr>
                <w:sz w:val="20"/>
                <w:szCs w:val="20"/>
              </w:rPr>
            </w:pPr>
            <w:proofErr w:type="spellStart"/>
            <w:r w:rsidRPr="00A23A95">
              <w:rPr>
                <w:sz w:val="20"/>
                <w:szCs w:val="20"/>
              </w:rPr>
              <w:t>Capecitabine</w:t>
            </w:r>
            <w:proofErr w:type="spellEnd"/>
          </w:p>
        </w:tc>
      </w:tr>
      <w:tr w:rsidR="00051AB4" w:rsidRPr="00736EBD" w14:paraId="27F24D00" w14:textId="77777777" w:rsidTr="00A23A95">
        <w:trPr>
          <w:trHeight w:val="300"/>
        </w:trPr>
        <w:tc>
          <w:tcPr>
            <w:tcW w:w="4673" w:type="dxa"/>
            <w:noWrap/>
            <w:hideMark/>
          </w:tcPr>
          <w:p w14:paraId="1B2650B1" w14:textId="62E9C221" w:rsidR="00051AB4" w:rsidRPr="00A23A95" w:rsidRDefault="00051AB4">
            <w:pPr>
              <w:rPr>
                <w:sz w:val="20"/>
                <w:szCs w:val="20"/>
              </w:rPr>
            </w:pPr>
            <w:r w:rsidRPr="00A23A95">
              <w:rPr>
                <w:sz w:val="20"/>
                <w:szCs w:val="20"/>
              </w:rPr>
              <w:t>Cisplatin</w:t>
            </w:r>
          </w:p>
        </w:tc>
      </w:tr>
      <w:tr w:rsidR="00051AB4" w:rsidRPr="00736EBD" w14:paraId="07D52E6C" w14:textId="77777777" w:rsidTr="00A23A95">
        <w:trPr>
          <w:trHeight w:val="300"/>
        </w:trPr>
        <w:tc>
          <w:tcPr>
            <w:tcW w:w="4673" w:type="dxa"/>
            <w:noWrap/>
            <w:hideMark/>
          </w:tcPr>
          <w:p w14:paraId="1580C368" w14:textId="11BC39DA" w:rsidR="00051AB4" w:rsidRPr="00A23A95" w:rsidRDefault="00051AB4">
            <w:pPr>
              <w:rPr>
                <w:sz w:val="20"/>
                <w:szCs w:val="20"/>
              </w:rPr>
            </w:pPr>
            <w:r w:rsidRPr="00A23A95">
              <w:rPr>
                <w:sz w:val="20"/>
                <w:szCs w:val="20"/>
              </w:rPr>
              <w:t>Cyclophosphamide</w:t>
            </w:r>
          </w:p>
        </w:tc>
      </w:tr>
      <w:tr w:rsidR="00051AB4" w:rsidRPr="00736EBD" w14:paraId="1A35C808" w14:textId="77777777" w:rsidTr="00A23A95">
        <w:trPr>
          <w:trHeight w:val="300"/>
        </w:trPr>
        <w:tc>
          <w:tcPr>
            <w:tcW w:w="4673" w:type="dxa"/>
            <w:noWrap/>
            <w:hideMark/>
          </w:tcPr>
          <w:p w14:paraId="18629D35" w14:textId="234ABE70" w:rsidR="00051AB4" w:rsidRPr="00A23A95" w:rsidRDefault="00051AB4">
            <w:pPr>
              <w:rPr>
                <w:sz w:val="20"/>
                <w:szCs w:val="20"/>
              </w:rPr>
            </w:pPr>
            <w:r w:rsidRPr="00A23A95">
              <w:rPr>
                <w:sz w:val="20"/>
                <w:szCs w:val="20"/>
              </w:rPr>
              <w:t>Docetaxel</w:t>
            </w:r>
          </w:p>
        </w:tc>
      </w:tr>
      <w:tr w:rsidR="00051AB4" w:rsidRPr="00736EBD" w14:paraId="034D3353" w14:textId="77777777" w:rsidTr="00A23A95">
        <w:trPr>
          <w:trHeight w:val="300"/>
        </w:trPr>
        <w:tc>
          <w:tcPr>
            <w:tcW w:w="4673" w:type="dxa"/>
            <w:noWrap/>
            <w:hideMark/>
          </w:tcPr>
          <w:p w14:paraId="1C47A337" w14:textId="7FD22120" w:rsidR="00051AB4" w:rsidRPr="00A23A95" w:rsidRDefault="00051AB4">
            <w:pPr>
              <w:rPr>
                <w:sz w:val="20"/>
                <w:szCs w:val="20"/>
              </w:rPr>
            </w:pPr>
            <w:r w:rsidRPr="00A23A95">
              <w:rPr>
                <w:sz w:val="20"/>
                <w:szCs w:val="20"/>
              </w:rPr>
              <w:t>Doxorubicin</w:t>
            </w:r>
          </w:p>
        </w:tc>
      </w:tr>
      <w:tr w:rsidR="00051AB4" w:rsidRPr="00736EBD" w14:paraId="5274ABE3" w14:textId="77777777" w:rsidTr="00A23A95">
        <w:trPr>
          <w:trHeight w:val="300"/>
        </w:trPr>
        <w:tc>
          <w:tcPr>
            <w:tcW w:w="4673" w:type="dxa"/>
            <w:noWrap/>
            <w:hideMark/>
          </w:tcPr>
          <w:p w14:paraId="43B6AF6C" w14:textId="33D8EAD9" w:rsidR="00051AB4" w:rsidRPr="00A23A95" w:rsidRDefault="00051AB4">
            <w:pPr>
              <w:rPr>
                <w:sz w:val="20"/>
                <w:szCs w:val="20"/>
              </w:rPr>
            </w:pPr>
            <w:r w:rsidRPr="00A23A95">
              <w:rPr>
                <w:sz w:val="20"/>
                <w:szCs w:val="20"/>
              </w:rPr>
              <w:t>Doxorubicin hydrochloride</w:t>
            </w:r>
          </w:p>
        </w:tc>
      </w:tr>
      <w:tr w:rsidR="00051AB4" w:rsidRPr="00736EBD" w14:paraId="6345DE04" w14:textId="77777777" w:rsidTr="00A23A95">
        <w:trPr>
          <w:trHeight w:val="300"/>
        </w:trPr>
        <w:tc>
          <w:tcPr>
            <w:tcW w:w="4673" w:type="dxa"/>
            <w:noWrap/>
            <w:hideMark/>
          </w:tcPr>
          <w:p w14:paraId="60F2F24A" w14:textId="248270DC" w:rsidR="00051AB4" w:rsidRPr="00A23A95" w:rsidRDefault="00051AB4">
            <w:pPr>
              <w:rPr>
                <w:sz w:val="20"/>
                <w:szCs w:val="20"/>
              </w:rPr>
            </w:pPr>
            <w:proofErr w:type="spellStart"/>
            <w:r w:rsidRPr="00A23A95">
              <w:rPr>
                <w:sz w:val="20"/>
                <w:szCs w:val="20"/>
              </w:rPr>
              <w:t>Epirubicin</w:t>
            </w:r>
            <w:proofErr w:type="spellEnd"/>
          </w:p>
        </w:tc>
      </w:tr>
      <w:tr w:rsidR="00051AB4" w:rsidRPr="00736EBD" w14:paraId="1B491052" w14:textId="77777777" w:rsidTr="00A23A95">
        <w:trPr>
          <w:trHeight w:val="300"/>
        </w:trPr>
        <w:tc>
          <w:tcPr>
            <w:tcW w:w="4673" w:type="dxa"/>
            <w:noWrap/>
            <w:hideMark/>
          </w:tcPr>
          <w:p w14:paraId="0A633731" w14:textId="4C17A83B" w:rsidR="00051AB4" w:rsidRPr="00A23A95" w:rsidRDefault="00051AB4">
            <w:pPr>
              <w:rPr>
                <w:sz w:val="20"/>
                <w:szCs w:val="20"/>
              </w:rPr>
            </w:pPr>
            <w:proofErr w:type="spellStart"/>
            <w:r w:rsidRPr="00A23A95">
              <w:rPr>
                <w:sz w:val="20"/>
                <w:szCs w:val="20"/>
              </w:rPr>
              <w:t>Eribulin</w:t>
            </w:r>
            <w:proofErr w:type="spellEnd"/>
          </w:p>
        </w:tc>
      </w:tr>
      <w:tr w:rsidR="00051AB4" w:rsidRPr="00736EBD" w14:paraId="76A152F7" w14:textId="77777777" w:rsidTr="00A23A95">
        <w:trPr>
          <w:trHeight w:val="300"/>
        </w:trPr>
        <w:tc>
          <w:tcPr>
            <w:tcW w:w="4673" w:type="dxa"/>
            <w:noWrap/>
            <w:hideMark/>
          </w:tcPr>
          <w:p w14:paraId="5D03D222" w14:textId="38CDD91C" w:rsidR="00051AB4" w:rsidRPr="00A23A95" w:rsidRDefault="00051AB4">
            <w:pPr>
              <w:rPr>
                <w:sz w:val="20"/>
                <w:szCs w:val="20"/>
              </w:rPr>
            </w:pPr>
            <w:proofErr w:type="spellStart"/>
            <w:r w:rsidRPr="00A23A95">
              <w:rPr>
                <w:sz w:val="20"/>
                <w:szCs w:val="20"/>
              </w:rPr>
              <w:t>Everolimus</w:t>
            </w:r>
            <w:proofErr w:type="spellEnd"/>
          </w:p>
        </w:tc>
      </w:tr>
      <w:tr w:rsidR="00051AB4" w:rsidRPr="00736EBD" w14:paraId="5509BB42" w14:textId="77777777" w:rsidTr="00A23A95">
        <w:trPr>
          <w:trHeight w:val="300"/>
        </w:trPr>
        <w:tc>
          <w:tcPr>
            <w:tcW w:w="4673" w:type="dxa"/>
            <w:noWrap/>
            <w:hideMark/>
          </w:tcPr>
          <w:p w14:paraId="25F8CE29" w14:textId="71092B33" w:rsidR="00051AB4" w:rsidRPr="00A23A95" w:rsidRDefault="00051AB4">
            <w:pPr>
              <w:rPr>
                <w:sz w:val="20"/>
                <w:szCs w:val="20"/>
              </w:rPr>
            </w:pPr>
            <w:proofErr w:type="spellStart"/>
            <w:r w:rsidRPr="00A23A95">
              <w:rPr>
                <w:sz w:val="20"/>
                <w:szCs w:val="20"/>
              </w:rPr>
              <w:t>Exemestane</w:t>
            </w:r>
            <w:proofErr w:type="spellEnd"/>
          </w:p>
        </w:tc>
      </w:tr>
      <w:tr w:rsidR="00051AB4" w:rsidRPr="00736EBD" w14:paraId="4B5ABDA8" w14:textId="77777777" w:rsidTr="00A23A95">
        <w:trPr>
          <w:trHeight w:val="300"/>
        </w:trPr>
        <w:tc>
          <w:tcPr>
            <w:tcW w:w="4673" w:type="dxa"/>
            <w:noWrap/>
            <w:hideMark/>
          </w:tcPr>
          <w:p w14:paraId="7161ADF0" w14:textId="1AF819DC" w:rsidR="00051AB4" w:rsidRPr="00A23A95" w:rsidRDefault="00051AB4">
            <w:pPr>
              <w:rPr>
                <w:sz w:val="20"/>
                <w:szCs w:val="20"/>
              </w:rPr>
            </w:pPr>
            <w:r w:rsidRPr="00A23A95">
              <w:rPr>
                <w:sz w:val="20"/>
                <w:szCs w:val="20"/>
              </w:rPr>
              <w:t>Fluorouracil</w:t>
            </w:r>
          </w:p>
        </w:tc>
      </w:tr>
      <w:tr w:rsidR="00051AB4" w:rsidRPr="00736EBD" w14:paraId="49D77698" w14:textId="77777777" w:rsidTr="00A23A95">
        <w:trPr>
          <w:trHeight w:val="300"/>
        </w:trPr>
        <w:tc>
          <w:tcPr>
            <w:tcW w:w="4673" w:type="dxa"/>
            <w:noWrap/>
            <w:hideMark/>
          </w:tcPr>
          <w:p w14:paraId="732ABE67" w14:textId="4241649D" w:rsidR="00051AB4" w:rsidRPr="00A23A95" w:rsidRDefault="00051AB4">
            <w:pPr>
              <w:rPr>
                <w:sz w:val="20"/>
                <w:szCs w:val="20"/>
              </w:rPr>
            </w:pPr>
            <w:r w:rsidRPr="00A23A95">
              <w:rPr>
                <w:sz w:val="20"/>
                <w:szCs w:val="20"/>
              </w:rPr>
              <w:t>Gemcitabine</w:t>
            </w:r>
          </w:p>
        </w:tc>
      </w:tr>
      <w:tr w:rsidR="00051AB4" w:rsidRPr="00736EBD" w14:paraId="580AAA4B" w14:textId="77777777" w:rsidTr="00A23A95">
        <w:trPr>
          <w:trHeight w:val="300"/>
        </w:trPr>
        <w:tc>
          <w:tcPr>
            <w:tcW w:w="4673" w:type="dxa"/>
            <w:noWrap/>
            <w:hideMark/>
          </w:tcPr>
          <w:p w14:paraId="69ED84C0" w14:textId="43A04044" w:rsidR="00051AB4" w:rsidRPr="00A23A95" w:rsidRDefault="00051AB4">
            <w:pPr>
              <w:rPr>
                <w:sz w:val="20"/>
                <w:szCs w:val="20"/>
              </w:rPr>
            </w:pPr>
            <w:proofErr w:type="spellStart"/>
            <w:r w:rsidRPr="00A23A95">
              <w:rPr>
                <w:sz w:val="20"/>
                <w:szCs w:val="20"/>
              </w:rPr>
              <w:t>Lapatinib</w:t>
            </w:r>
            <w:proofErr w:type="spellEnd"/>
          </w:p>
        </w:tc>
      </w:tr>
      <w:tr w:rsidR="00051AB4" w:rsidRPr="00736EBD" w14:paraId="5B193E4D" w14:textId="77777777" w:rsidTr="00A23A95">
        <w:trPr>
          <w:trHeight w:val="300"/>
        </w:trPr>
        <w:tc>
          <w:tcPr>
            <w:tcW w:w="4673" w:type="dxa"/>
            <w:noWrap/>
            <w:hideMark/>
          </w:tcPr>
          <w:p w14:paraId="2C33D258" w14:textId="05AFAC71" w:rsidR="00051AB4" w:rsidRPr="00A23A95" w:rsidRDefault="00051AB4">
            <w:pPr>
              <w:rPr>
                <w:sz w:val="20"/>
                <w:szCs w:val="20"/>
              </w:rPr>
            </w:pPr>
            <w:proofErr w:type="spellStart"/>
            <w:r w:rsidRPr="00A23A95">
              <w:rPr>
                <w:sz w:val="20"/>
                <w:szCs w:val="20"/>
              </w:rPr>
              <w:t>Lenograstim</w:t>
            </w:r>
            <w:proofErr w:type="spellEnd"/>
          </w:p>
        </w:tc>
      </w:tr>
      <w:tr w:rsidR="00051AB4" w:rsidRPr="00736EBD" w14:paraId="011776C9" w14:textId="77777777" w:rsidTr="00A23A95">
        <w:trPr>
          <w:trHeight w:val="300"/>
        </w:trPr>
        <w:tc>
          <w:tcPr>
            <w:tcW w:w="4673" w:type="dxa"/>
            <w:noWrap/>
            <w:hideMark/>
          </w:tcPr>
          <w:p w14:paraId="727802FC" w14:textId="552ED17E" w:rsidR="00051AB4" w:rsidRPr="00A23A95" w:rsidRDefault="00051AB4">
            <w:pPr>
              <w:rPr>
                <w:sz w:val="20"/>
                <w:szCs w:val="20"/>
              </w:rPr>
            </w:pPr>
            <w:proofErr w:type="spellStart"/>
            <w:r w:rsidRPr="00A23A95">
              <w:rPr>
                <w:sz w:val="20"/>
                <w:szCs w:val="20"/>
              </w:rPr>
              <w:t>Letrozole</w:t>
            </w:r>
            <w:proofErr w:type="spellEnd"/>
          </w:p>
        </w:tc>
      </w:tr>
      <w:tr w:rsidR="00051AB4" w:rsidRPr="00736EBD" w14:paraId="0BCE508A" w14:textId="77777777" w:rsidTr="00A23A95">
        <w:trPr>
          <w:trHeight w:val="300"/>
        </w:trPr>
        <w:tc>
          <w:tcPr>
            <w:tcW w:w="4673" w:type="dxa"/>
            <w:noWrap/>
            <w:hideMark/>
          </w:tcPr>
          <w:p w14:paraId="7C34AC98" w14:textId="0FACBBFB" w:rsidR="00051AB4" w:rsidRPr="00A23A95" w:rsidRDefault="00051AB4">
            <w:pPr>
              <w:rPr>
                <w:sz w:val="20"/>
                <w:szCs w:val="20"/>
              </w:rPr>
            </w:pPr>
            <w:r w:rsidRPr="00A23A95">
              <w:rPr>
                <w:sz w:val="20"/>
                <w:szCs w:val="20"/>
              </w:rPr>
              <w:t>Medroxyprogesterone</w:t>
            </w:r>
          </w:p>
        </w:tc>
      </w:tr>
      <w:tr w:rsidR="00051AB4" w:rsidRPr="00736EBD" w14:paraId="2FFF479F" w14:textId="77777777" w:rsidTr="00A23A95">
        <w:trPr>
          <w:trHeight w:val="300"/>
        </w:trPr>
        <w:tc>
          <w:tcPr>
            <w:tcW w:w="4673" w:type="dxa"/>
            <w:noWrap/>
            <w:hideMark/>
          </w:tcPr>
          <w:p w14:paraId="04F46CD1" w14:textId="50BE369E" w:rsidR="00051AB4" w:rsidRPr="00A23A95" w:rsidRDefault="00051AB4">
            <w:pPr>
              <w:rPr>
                <w:sz w:val="20"/>
                <w:szCs w:val="20"/>
              </w:rPr>
            </w:pPr>
            <w:proofErr w:type="spellStart"/>
            <w:r w:rsidRPr="00A23A95">
              <w:rPr>
                <w:sz w:val="20"/>
                <w:szCs w:val="20"/>
              </w:rPr>
              <w:t>Megestrol</w:t>
            </w:r>
            <w:proofErr w:type="spellEnd"/>
          </w:p>
        </w:tc>
      </w:tr>
      <w:tr w:rsidR="00051AB4" w:rsidRPr="00736EBD" w14:paraId="083546AC" w14:textId="77777777" w:rsidTr="00A23A95">
        <w:trPr>
          <w:trHeight w:val="300"/>
        </w:trPr>
        <w:tc>
          <w:tcPr>
            <w:tcW w:w="4673" w:type="dxa"/>
            <w:noWrap/>
            <w:hideMark/>
          </w:tcPr>
          <w:p w14:paraId="6F6B735A" w14:textId="044FFC29" w:rsidR="00051AB4" w:rsidRPr="00A23A95" w:rsidRDefault="00051AB4">
            <w:pPr>
              <w:rPr>
                <w:sz w:val="20"/>
                <w:szCs w:val="20"/>
              </w:rPr>
            </w:pPr>
            <w:proofErr w:type="spellStart"/>
            <w:r w:rsidRPr="00A23A95">
              <w:rPr>
                <w:sz w:val="20"/>
                <w:szCs w:val="20"/>
              </w:rPr>
              <w:t>Mitozantrone</w:t>
            </w:r>
            <w:proofErr w:type="spellEnd"/>
          </w:p>
        </w:tc>
      </w:tr>
      <w:tr w:rsidR="00051AB4" w:rsidRPr="00736EBD" w14:paraId="318EF86A" w14:textId="77777777" w:rsidTr="00A23A95">
        <w:trPr>
          <w:trHeight w:val="300"/>
        </w:trPr>
        <w:tc>
          <w:tcPr>
            <w:tcW w:w="4673" w:type="dxa"/>
            <w:noWrap/>
            <w:hideMark/>
          </w:tcPr>
          <w:p w14:paraId="7EE4FB70" w14:textId="0A39799B" w:rsidR="00051AB4" w:rsidRPr="00A23A95" w:rsidRDefault="00051AB4">
            <w:pPr>
              <w:rPr>
                <w:sz w:val="20"/>
                <w:szCs w:val="20"/>
              </w:rPr>
            </w:pPr>
            <w:r w:rsidRPr="00A23A95">
              <w:rPr>
                <w:sz w:val="20"/>
                <w:szCs w:val="20"/>
              </w:rPr>
              <w:t>Nanoparticle albumin-bound paclitaxel</w:t>
            </w:r>
          </w:p>
        </w:tc>
      </w:tr>
      <w:tr w:rsidR="00051AB4" w:rsidRPr="00736EBD" w14:paraId="372727DE" w14:textId="77777777" w:rsidTr="00A23A95">
        <w:trPr>
          <w:trHeight w:val="300"/>
        </w:trPr>
        <w:tc>
          <w:tcPr>
            <w:tcW w:w="4673" w:type="dxa"/>
            <w:noWrap/>
            <w:hideMark/>
          </w:tcPr>
          <w:p w14:paraId="54DCD6BE" w14:textId="0A8FF70A" w:rsidR="00051AB4" w:rsidRPr="00A23A95" w:rsidRDefault="00051AB4">
            <w:pPr>
              <w:rPr>
                <w:sz w:val="20"/>
                <w:szCs w:val="20"/>
              </w:rPr>
            </w:pPr>
            <w:r w:rsidRPr="00A23A95">
              <w:rPr>
                <w:sz w:val="20"/>
                <w:szCs w:val="20"/>
              </w:rPr>
              <w:t>Paclitaxel</w:t>
            </w:r>
          </w:p>
        </w:tc>
      </w:tr>
      <w:tr w:rsidR="00051AB4" w:rsidRPr="00736EBD" w14:paraId="1F47EFD4" w14:textId="77777777" w:rsidTr="00A23A95">
        <w:trPr>
          <w:trHeight w:val="300"/>
        </w:trPr>
        <w:tc>
          <w:tcPr>
            <w:tcW w:w="4673" w:type="dxa"/>
            <w:noWrap/>
            <w:hideMark/>
          </w:tcPr>
          <w:p w14:paraId="74313840" w14:textId="663B5058" w:rsidR="00051AB4" w:rsidRPr="00A23A95" w:rsidRDefault="00051AB4">
            <w:pPr>
              <w:rPr>
                <w:sz w:val="20"/>
                <w:szCs w:val="20"/>
              </w:rPr>
            </w:pPr>
            <w:proofErr w:type="spellStart"/>
            <w:r w:rsidRPr="00A23A95">
              <w:rPr>
                <w:sz w:val="20"/>
                <w:szCs w:val="20"/>
              </w:rPr>
              <w:t>Pertuzumab</w:t>
            </w:r>
            <w:proofErr w:type="spellEnd"/>
          </w:p>
        </w:tc>
      </w:tr>
      <w:tr w:rsidR="00051AB4" w:rsidRPr="00736EBD" w14:paraId="14044469" w14:textId="77777777" w:rsidTr="00A23A95">
        <w:trPr>
          <w:trHeight w:val="300"/>
        </w:trPr>
        <w:tc>
          <w:tcPr>
            <w:tcW w:w="4673" w:type="dxa"/>
            <w:noWrap/>
            <w:hideMark/>
          </w:tcPr>
          <w:p w14:paraId="25C8662B" w14:textId="13813EDE" w:rsidR="00051AB4" w:rsidRPr="00A23A95" w:rsidRDefault="00051AB4">
            <w:pPr>
              <w:rPr>
                <w:sz w:val="20"/>
                <w:szCs w:val="20"/>
              </w:rPr>
            </w:pPr>
            <w:proofErr w:type="spellStart"/>
            <w:r w:rsidRPr="00A23A95">
              <w:rPr>
                <w:sz w:val="20"/>
                <w:szCs w:val="20"/>
              </w:rPr>
              <w:t>Ribociclib</w:t>
            </w:r>
            <w:proofErr w:type="spellEnd"/>
          </w:p>
        </w:tc>
      </w:tr>
      <w:tr w:rsidR="00051AB4" w:rsidRPr="00736EBD" w14:paraId="450AAD3F" w14:textId="77777777" w:rsidTr="00A23A95">
        <w:trPr>
          <w:trHeight w:val="300"/>
        </w:trPr>
        <w:tc>
          <w:tcPr>
            <w:tcW w:w="4673" w:type="dxa"/>
            <w:noWrap/>
            <w:hideMark/>
          </w:tcPr>
          <w:p w14:paraId="02C119E2" w14:textId="4E4F7B35" w:rsidR="00051AB4" w:rsidRPr="00A23A95" w:rsidRDefault="00051AB4">
            <w:pPr>
              <w:rPr>
                <w:sz w:val="20"/>
                <w:szCs w:val="20"/>
              </w:rPr>
            </w:pPr>
            <w:r w:rsidRPr="00A23A95">
              <w:rPr>
                <w:sz w:val="20"/>
                <w:szCs w:val="20"/>
              </w:rPr>
              <w:t>Tamoxifen</w:t>
            </w:r>
          </w:p>
        </w:tc>
      </w:tr>
      <w:tr w:rsidR="00051AB4" w:rsidRPr="00736EBD" w14:paraId="6B138259" w14:textId="77777777" w:rsidTr="00A23A95">
        <w:trPr>
          <w:trHeight w:val="300"/>
        </w:trPr>
        <w:tc>
          <w:tcPr>
            <w:tcW w:w="4673" w:type="dxa"/>
            <w:noWrap/>
            <w:hideMark/>
          </w:tcPr>
          <w:p w14:paraId="45A521EE" w14:textId="752AD114" w:rsidR="00051AB4" w:rsidRPr="00A23A95" w:rsidRDefault="00051AB4">
            <w:pPr>
              <w:rPr>
                <w:sz w:val="20"/>
                <w:szCs w:val="20"/>
              </w:rPr>
            </w:pPr>
            <w:proofErr w:type="spellStart"/>
            <w:r w:rsidRPr="00A23A95">
              <w:rPr>
                <w:sz w:val="20"/>
                <w:szCs w:val="20"/>
              </w:rPr>
              <w:t>Trastuzumab</w:t>
            </w:r>
            <w:proofErr w:type="spellEnd"/>
          </w:p>
        </w:tc>
      </w:tr>
      <w:tr w:rsidR="00051AB4" w:rsidRPr="00736EBD" w14:paraId="4FE7B5CD" w14:textId="77777777" w:rsidTr="00A23A95">
        <w:trPr>
          <w:trHeight w:val="300"/>
        </w:trPr>
        <w:tc>
          <w:tcPr>
            <w:tcW w:w="4673" w:type="dxa"/>
            <w:noWrap/>
            <w:hideMark/>
          </w:tcPr>
          <w:p w14:paraId="667C76D5" w14:textId="5AB63DB3" w:rsidR="00051AB4" w:rsidRPr="00A23A95" w:rsidRDefault="00051AB4">
            <w:pPr>
              <w:rPr>
                <w:sz w:val="20"/>
                <w:szCs w:val="20"/>
              </w:rPr>
            </w:pPr>
            <w:proofErr w:type="spellStart"/>
            <w:r w:rsidRPr="00A23A95">
              <w:rPr>
                <w:sz w:val="20"/>
                <w:szCs w:val="20"/>
              </w:rPr>
              <w:t>Trastuzumab</w:t>
            </w:r>
            <w:proofErr w:type="spellEnd"/>
            <w:r w:rsidRPr="00A23A95">
              <w:rPr>
                <w:sz w:val="20"/>
                <w:szCs w:val="20"/>
              </w:rPr>
              <w:t xml:space="preserve"> </w:t>
            </w:r>
            <w:proofErr w:type="spellStart"/>
            <w:r w:rsidRPr="00A23A95">
              <w:rPr>
                <w:sz w:val="20"/>
                <w:szCs w:val="20"/>
              </w:rPr>
              <w:t>emtansine</w:t>
            </w:r>
            <w:proofErr w:type="spellEnd"/>
          </w:p>
        </w:tc>
      </w:tr>
      <w:tr w:rsidR="00051AB4" w:rsidRPr="00736EBD" w14:paraId="4932A0BA" w14:textId="77777777" w:rsidTr="00A23A95">
        <w:trPr>
          <w:trHeight w:val="300"/>
        </w:trPr>
        <w:tc>
          <w:tcPr>
            <w:tcW w:w="4673" w:type="dxa"/>
            <w:noWrap/>
            <w:hideMark/>
          </w:tcPr>
          <w:p w14:paraId="07364CF2" w14:textId="26213616" w:rsidR="00051AB4" w:rsidRPr="00A23A95" w:rsidRDefault="00051AB4">
            <w:pPr>
              <w:rPr>
                <w:sz w:val="20"/>
                <w:szCs w:val="20"/>
              </w:rPr>
            </w:pPr>
            <w:proofErr w:type="spellStart"/>
            <w:r w:rsidRPr="00A23A95">
              <w:rPr>
                <w:sz w:val="20"/>
                <w:szCs w:val="20"/>
              </w:rPr>
              <w:t>Vinorelbine</w:t>
            </w:r>
            <w:proofErr w:type="spellEnd"/>
          </w:p>
        </w:tc>
      </w:tr>
    </w:tbl>
    <w:p w14:paraId="05AE23D4" w14:textId="7F15BDDC" w:rsidR="00051AB4" w:rsidRDefault="00051AB4" w:rsidP="000856D1"/>
    <w:p w14:paraId="22E964C5" w14:textId="77777777" w:rsidR="0087414C" w:rsidRDefault="0087414C">
      <w:pPr>
        <w:spacing w:line="276" w:lineRule="auto"/>
        <w:rPr>
          <w:b/>
        </w:rPr>
      </w:pPr>
      <w:r>
        <w:br w:type="page"/>
      </w:r>
    </w:p>
    <w:p w14:paraId="00219D3B" w14:textId="6937F61B" w:rsidR="00736EBD" w:rsidRDefault="00736EBD" w:rsidP="00A23A95">
      <w:pPr>
        <w:pStyle w:val="Tabletitle"/>
      </w:pPr>
      <w:r>
        <w:lastRenderedPageBreak/>
        <w:t>Table B.2: Specialities used as indicators of breast cancer and endometriosis</w:t>
      </w:r>
    </w:p>
    <w:tbl>
      <w:tblPr>
        <w:tblStyle w:val="TableGrid"/>
        <w:tblW w:w="0" w:type="auto"/>
        <w:tblLook w:val="04A0" w:firstRow="1" w:lastRow="0" w:firstColumn="1" w:lastColumn="0" w:noHBand="0" w:noVBand="1"/>
        <w:tblCaption w:val="Specialities used as indicators of breast cancer and endometriosis"/>
        <w:tblDescription w:val="Specialities used as indicators of breast cancer and endometriosis"/>
      </w:tblPr>
      <w:tblGrid>
        <w:gridCol w:w="4673"/>
        <w:gridCol w:w="4274"/>
      </w:tblGrid>
      <w:tr w:rsidR="00736EBD" w:rsidRPr="00AF1435" w14:paraId="3D4F64A7" w14:textId="77777777" w:rsidTr="00A23A95">
        <w:trPr>
          <w:trHeight w:val="300"/>
          <w:tblHeader/>
        </w:trPr>
        <w:tc>
          <w:tcPr>
            <w:tcW w:w="4673" w:type="dxa"/>
            <w:shd w:val="clear" w:color="auto" w:fill="BFBFBF" w:themeFill="background1" w:themeFillShade="BF"/>
            <w:noWrap/>
          </w:tcPr>
          <w:p w14:paraId="4FCDBA89" w14:textId="68370EC5" w:rsidR="00736EBD" w:rsidRPr="00A23A95" w:rsidRDefault="00736EBD">
            <w:pPr>
              <w:rPr>
                <w:b/>
                <w:sz w:val="20"/>
                <w:szCs w:val="20"/>
              </w:rPr>
            </w:pPr>
            <w:r w:rsidRPr="00A23A95">
              <w:rPr>
                <w:b/>
                <w:sz w:val="20"/>
                <w:szCs w:val="20"/>
              </w:rPr>
              <w:t>Prescriber type</w:t>
            </w:r>
          </w:p>
        </w:tc>
        <w:tc>
          <w:tcPr>
            <w:tcW w:w="4274" w:type="dxa"/>
            <w:shd w:val="clear" w:color="auto" w:fill="BFBFBF" w:themeFill="background1" w:themeFillShade="BF"/>
            <w:noWrap/>
          </w:tcPr>
          <w:p w14:paraId="2279FF99" w14:textId="738F01E3" w:rsidR="00736EBD" w:rsidRPr="00A23A95" w:rsidRDefault="00736EBD">
            <w:pPr>
              <w:rPr>
                <w:b/>
                <w:sz w:val="20"/>
                <w:szCs w:val="20"/>
              </w:rPr>
            </w:pPr>
            <w:r w:rsidRPr="00A23A95">
              <w:rPr>
                <w:b/>
                <w:sz w:val="20"/>
                <w:szCs w:val="20"/>
              </w:rPr>
              <w:t>Indicator</w:t>
            </w:r>
          </w:p>
        </w:tc>
      </w:tr>
      <w:tr w:rsidR="00736EBD" w:rsidRPr="00736EBD" w14:paraId="37AA1661" w14:textId="77777777" w:rsidTr="00A23A95">
        <w:trPr>
          <w:trHeight w:val="300"/>
        </w:trPr>
        <w:tc>
          <w:tcPr>
            <w:tcW w:w="4673" w:type="dxa"/>
            <w:noWrap/>
            <w:hideMark/>
          </w:tcPr>
          <w:p w14:paraId="529152F8" w14:textId="77777777" w:rsidR="00736EBD" w:rsidRPr="00A23A95" w:rsidRDefault="00736EBD">
            <w:pPr>
              <w:rPr>
                <w:sz w:val="20"/>
                <w:szCs w:val="20"/>
              </w:rPr>
            </w:pPr>
            <w:r w:rsidRPr="00A23A95">
              <w:rPr>
                <w:sz w:val="20"/>
                <w:szCs w:val="20"/>
              </w:rPr>
              <w:t>Medical Oncology</w:t>
            </w:r>
          </w:p>
        </w:tc>
        <w:tc>
          <w:tcPr>
            <w:tcW w:w="4274" w:type="dxa"/>
            <w:noWrap/>
            <w:hideMark/>
          </w:tcPr>
          <w:p w14:paraId="2C28E370" w14:textId="77777777" w:rsidR="00736EBD" w:rsidRPr="00A23A95" w:rsidRDefault="00736EBD">
            <w:pPr>
              <w:rPr>
                <w:sz w:val="20"/>
                <w:szCs w:val="20"/>
              </w:rPr>
            </w:pPr>
            <w:r w:rsidRPr="00A23A95">
              <w:rPr>
                <w:sz w:val="20"/>
                <w:szCs w:val="20"/>
              </w:rPr>
              <w:t>Medical Oncology</w:t>
            </w:r>
          </w:p>
        </w:tc>
      </w:tr>
      <w:tr w:rsidR="00736EBD" w:rsidRPr="00736EBD" w14:paraId="24310AB9" w14:textId="77777777" w:rsidTr="00A23A95">
        <w:trPr>
          <w:trHeight w:val="300"/>
        </w:trPr>
        <w:tc>
          <w:tcPr>
            <w:tcW w:w="4673" w:type="dxa"/>
            <w:noWrap/>
            <w:hideMark/>
          </w:tcPr>
          <w:p w14:paraId="13296726" w14:textId="77777777" w:rsidR="00736EBD" w:rsidRPr="00A23A95" w:rsidRDefault="00736EBD">
            <w:pPr>
              <w:rPr>
                <w:sz w:val="20"/>
                <w:szCs w:val="20"/>
              </w:rPr>
            </w:pPr>
            <w:r w:rsidRPr="00A23A95">
              <w:rPr>
                <w:sz w:val="20"/>
                <w:szCs w:val="20"/>
              </w:rPr>
              <w:t>Obstetrics and Gynaecology</w:t>
            </w:r>
          </w:p>
        </w:tc>
        <w:tc>
          <w:tcPr>
            <w:tcW w:w="4274" w:type="dxa"/>
            <w:noWrap/>
            <w:hideMark/>
          </w:tcPr>
          <w:p w14:paraId="3666E377" w14:textId="77777777" w:rsidR="00736EBD" w:rsidRPr="00A23A95" w:rsidRDefault="00736EBD">
            <w:pPr>
              <w:rPr>
                <w:sz w:val="20"/>
                <w:szCs w:val="20"/>
              </w:rPr>
            </w:pPr>
            <w:r w:rsidRPr="00A23A95">
              <w:rPr>
                <w:sz w:val="20"/>
                <w:szCs w:val="20"/>
              </w:rPr>
              <w:t>Obstetrics and Gynaecology</w:t>
            </w:r>
          </w:p>
        </w:tc>
      </w:tr>
      <w:tr w:rsidR="00736EBD" w:rsidRPr="00736EBD" w14:paraId="75E8AFF0" w14:textId="77777777" w:rsidTr="00A23A95">
        <w:trPr>
          <w:trHeight w:val="300"/>
        </w:trPr>
        <w:tc>
          <w:tcPr>
            <w:tcW w:w="4673" w:type="dxa"/>
            <w:noWrap/>
            <w:hideMark/>
          </w:tcPr>
          <w:p w14:paraId="0875216B" w14:textId="77777777" w:rsidR="00736EBD" w:rsidRPr="00A23A95" w:rsidRDefault="00736EBD">
            <w:pPr>
              <w:rPr>
                <w:sz w:val="20"/>
                <w:szCs w:val="20"/>
              </w:rPr>
            </w:pPr>
            <w:r w:rsidRPr="00A23A95">
              <w:rPr>
                <w:sz w:val="20"/>
                <w:szCs w:val="20"/>
              </w:rPr>
              <w:t>Sexual Health Medicine</w:t>
            </w:r>
          </w:p>
        </w:tc>
        <w:tc>
          <w:tcPr>
            <w:tcW w:w="4274" w:type="dxa"/>
            <w:noWrap/>
            <w:hideMark/>
          </w:tcPr>
          <w:p w14:paraId="108FC0EB" w14:textId="77777777" w:rsidR="00736EBD" w:rsidRPr="00A23A95" w:rsidRDefault="00736EBD">
            <w:pPr>
              <w:rPr>
                <w:sz w:val="20"/>
                <w:szCs w:val="20"/>
              </w:rPr>
            </w:pPr>
            <w:r w:rsidRPr="00A23A95">
              <w:rPr>
                <w:sz w:val="20"/>
                <w:szCs w:val="20"/>
              </w:rPr>
              <w:t>Obstetrics and Gynaecology</w:t>
            </w:r>
          </w:p>
        </w:tc>
      </w:tr>
      <w:tr w:rsidR="00736EBD" w:rsidRPr="00736EBD" w14:paraId="46582771" w14:textId="77777777" w:rsidTr="00A23A95">
        <w:trPr>
          <w:trHeight w:val="300"/>
        </w:trPr>
        <w:tc>
          <w:tcPr>
            <w:tcW w:w="4673" w:type="dxa"/>
            <w:noWrap/>
            <w:hideMark/>
          </w:tcPr>
          <w:p w14:paraId="7AB28FB5" w14:textId="77777777" w:rsidR="00736EBD" w:rsidRPr="00A23A95" w:rsidRDefault="00736EBD">
            <w:pPr>
              <w:rPr>
                <w:sz w:val="20"/>
                <w:szCs w:val="20"/>
              </w:rPr>
            </w:pPr>
            <w:r w:rsidRPr="00A23A95">
              <w:rPr>
                <w:sz w:val="20"/>
                <w:szCs w:val="20"/>
              </w:rPr>
              <w:t>VRGP</w:t>
            </w:r>
          </w:p>
        </w:tc>
        <w:tc>
          <w:tcPr>
            <w:tcW w:w="4274" w:type="dxa"/>
            <w:noWrap/>
            <w:hideMark/>
          </w:tcPr>
          <w:p w14:paraId="2F4006F8" w14:textId="77777777" w:rsidR="00736EBD" w:rsidRPr="00A23A95" w:rsidRDefault="00736EBD">
            <w:pPr>
              <w:rPr>
                <w:sz w:val="20"/>
                <w:szCs w:val="20"/>
              </w:rPr>
            </w:pPr>
            <w:r w:rsidRPr="00A23A95">
              <w:rPr>
                <w:sz w:val="20"/>
                <w:szCs w:val="20"/>
              </w:rPr>
              <w:t>GP</w:t>
            </w:r>
          </w:p>
        </w:tc>
      </w:tr>
      <w:tr w:rsidR="00736EBD" w:rsidRPr="00736EBD" w14:paraId="2B2A10E2" w14:textId="77777777" w:rsidTr="00A23A95">
        <w:trPr>
          <w:trHeight w:val="300"/>
        </w:trPr>
        <w:tc>
          <w:tcPr>
            <w:tcW w:w="4673" w:type="dxa"/>
            <w:noWrap/>
            <w:hideMark/>
          </w:tcPr>
          <w:p w14:paraId="3EEE019A" w14:textId="77777777" w:rsidR="00736EBD" w:rsidRPr="00A23A95" w:rsidRDefault="00736EBD">
            <w:pPr>
              <w:rPr>
                <w:sz w:val="20"/>
                <w:szCs w:val="20"/>
              </w:rPr>
            </w:pPr>
            <w:r w:rsidRPr="00A23A95">
              <w:rPr>
                <w:sz w:val="20"/>
                <w:szCs w:val="20"/>
              </w:rPr>
              <w:t>NONVRGP</w:t>
            </w:r>
          </w:p>
        </w:tc>
        <w:tc>
          <w:tcPr>
            <w:tcW w:w="4274" w:type="dxa"/>
            <w:noWrap/>
            <w:hideMark/>
          </w:tcPr>
          <w:p w14:paraId="4BC04BD5" w14:textId="77777777" w:rsidR="00736EBD" w:rsidRPr="00A23A95" w:rsidRDefault="00736EBD">
            <w:pPr>
              <w:rPr>
                <w:sz w:val="20"/>
                <w:szCs w:val="20"/>
              </w:rPr>
            </w:pPr>
            <w:r w:rsidRPr="00A23A95">
              <w:rPr>
                <w:sz w:val="20"/>
                <w:szCs w:val="20"/>
              </w:rPr>
              <w:t>GP</w:t>
            </w:r>
          </w:p>
        </w:tc>
      </w:tr>
      <w:tr w:rsidR="00736EBD" w:rsidRPr="00736EBD" w14:paraId="48D402F6" w14:textId="77777777" w:rsidTr="00A23A95">
        <w:trPr>
          <w:trHeight w:val="300"/>
        </w:trPr>
        <w:tc>
          <w:tcPr>
            <w:tcW w:w="4673" w:type="dxa"/>
            <w:noWrap/>
            <w:hideMark/>
          </w:tcPr>
          <w:p w14:paraId="07D6742A" w14:textId="77777777" w:rsidR="00736EBD" w:rsidRPr="00A23A95" w:rsidRDefault="00736EBD">
            <w:pPr>
              <w:rPr>
                <w:sz w:val="20"/>
                <w:szCs w:val="20"/>
              </w:rPr>
            </w:pPr>
            <w:r w:rsidRPr="00A23A95">
              <w:rPr>
                <w:sz w:val="20"/>
                <w:szCs w:val="20"/>
              </w:rPr>
              <w:t>GP Unclassified</w:t>
            </w:r>
          </w:p>
        </w:tc>
        <w:tc>
          <w:tcPr>
            <w:tcW w:w="4274" w:type="dxa"/>
            <w:noWrap/>
            <w:hideMark/>
          </w:tcPr>
          <w:p w14:paraId="49331C5D" w14:textId="77777777" w:rsidR="00736EBD" w:rsidRPr="00A23A95" w:rsidRDefault="00736EBD">
            <w:pPr>
              <w:rPr>
                <w:sz w:val="20"/>
                <w:szCs w:val="20"/>
              </w:rPr>
            </w:pPr>
            <w:r w:rsidRPr="00A23A95">
              <w:rPr>
                <w:sz w:val="20"/>
                <w:szCs w:val="20"/>
              </w:rPr>
              <w:t>GP</w:t>
            </w:r>
          </w:p>
        </w:tc>
      </w:tr>
      <w:tr w:rsidR="00736EBD" w:rsidRPr="00736EBD" w14:paraId="1825CBD2" w14:textId="77777777" w:rsidTr="00A23A95">
        <w:trPr>
          <w:trHeight w:val="300"/>
        </w:trPr>
        <w:tc>
          <w:tcPr>
            <w:tcW w:w="4673" w:type="dxa"/>
            <w:noWrap/>
            <w:hideMark/>
          </w:tcPr>
          <w:p w14:paraId="088275C8" w14:textId="77777777" w:rsidR="00736EBD" w:rsidRPr="00A23A95" w:rsidRDefault="00736EBD">
            <w:pPr>
              <w:rPr>
                <w:sz w:val="20"/>
                <w:szCs w:val="20"/>
              </w:rPr>
            </w:pPr>
            <w:r w:rsidRPr="00A23A95">
              <w:rPr>
                <w:sz w:val="20"/>
                <w:szCs w:val="20"/>
              </w:rPr>
              <w:t>GP Trainee</w:t>
            </w:r>
          </w:p>
        </w:tc>
        <w:tc>
          <w:tcPr>
            <w:tcW w:w="4274" w:type="dxa"/>
            <w:noWrap/>
            <w:hideMark/>
          </w:tcPr>
          <w:p w14:paraId="0FED280A" w14:textId="77777777" w:rsidR="00736EBD" w:rsidRPr="00A23A95" w:rsidRDefault="00736EBD">
            <w:pPr>
              <w:rPr>
                <w:sz w:val="20"/>
                <w:szCs w:val="20"/>
              </w:rPr>
            </w:pPr>
            <w:r w:rsidRPr="00A23A95">
              <w:rPr>
                <w:sz w:val="20"/>
                <w:szCs w:val="20"/>
              </w:rPr>
              <w:t>GP</w:t>
            </w:r>
          </w:p>
        </w:tc>
      </w:tr>
      <w:tr w:rsidR="00736EBD" w:rsidRPr="00736EBD" w14:paraId="30A5A05D" w14:textId="77777777" w:rsidTr="00A23A95">
        <w:trPr>
          <w:trHeight w:val="300"/>
        </w:trPr>
        <w:tc>
          <w:tcPr>
            <w:tcW w:w="4673" w:type="dxa"/>
            <w:noWrap/>
            <w:hideMark/>
          </w:tcPr>
          <w:p w14:paraId="7D08F600" w14:textId="77777777" w:rsidR="00736EBD" w:rsidRPr="00A23A95" w:rsidRDefault="00736EBD">
            <w:pPr>
              <w:rPr>
                <w:sz w:val="20"/>
                <w:szCs w:val="20"/>
              </w:rPr>
            </w:pPr>
            <w:r w:rsidRPr="00A23A95">
              <w:rPr>
                <w:sz w:val="20"/>
                <w:szCs w:val="20"/>
              </w:rPr>
              <w:t>Internal Medicine</w:t>
            </w:r>
          </w:p>
        </w:tc>
        <w:tc>
          <w:tcPr>
            <w:tcW w:w="4274" w:type="dxa"/>
            <w:noWrap/>
            <w:hideMark/>
          </w:tcPr>
          <w:p w14:paraId="5BD25F7A" w14:textId="77777777" w:rsidR="00736EBD" w:rsidRPr="00A23A95" w:rsidRDefault="00736EBD">
            <w:pPr>
              <w:rPr>
                <w:sz w:val="20"/>
                <w:szCs w:val="20"/>
              </w:rPr>
            </w:pPr>
            <w:r w:rsidRPr="00A23A95">
              <w:rPr>
                <w:sz w:val="20"/>
                <w:szCs w:val="20"/>
              </w:rPr>
              <w:t>Other</w:t>
            </w:r>
          </w:p>
        </w:tc>
      </w:tr>
      <w:tr w:rsidR="00736EBD" w:rsidRPr="00736EBD" w14:paraId="6C28706C" w14:textId="77777777" w:rsidTr="00A23A95">
        <w:trPr>
          <w:trHeight w:val="300"/>
        </w:trPr>
        <w:tc>
          <w:tcPr>
            <w:tcW w:w="4673" w:type="dxa"/>
            <w:noWrap/>
            <w:hideMark/>
          </w:tcPr>
          <w:p w14:paraId="5D05EFD7" w14:textId="77777777" w:rsidR="00736EBD" w:rsidRPr="00A23A95" w:rsidRDefault="00736EBD">
            <w:pPr>
              <w:rPr>
                <w:sz w:val="20"/>
                <w:szCs w:val="20"/>
              </w:rPr>
            </w:pPr>
            <w:r w:rsidRPr="00A23A95">
              <w:rPr>
                <w:sz w:val="20"/>
                <w:szCs w:val="20"/>
              </w:rPr>
              <w:t>Haematology</w:t>
            </w:r>
          </w:p>
        </w:tc>
        <w:tc>
          <w:tcPr>
            <w:tcW w:w="4274" w:type="dxa"/>
            <w:noWrap/>
            <w:hideMark/>
          </w:tcPr>
          <w:p w14:paraId="47CF0610" w14:textId="77777777" w:rsidR="00736EBD" w:rsidRPr="00A23A95" w:rsidRDefault="00736EBD">
            <w:pPr>
              <w:rPr>
                <w:sz w:val="20"/>
                <w:szCs w:val="20"/>
              </w:rPr>
            </w:pPr>
            <w:r w:rsidRPr="00A23A95">
              <w:rPr>
                <w:sz w:val="20"/>
                <w:szCs w:val="20"/>
              </w:rPr>
              <w:t>Other</w:t>
            </w:r>
          </w:p>
        </w:tc>
      </w:tr>
      <w:tr w:rsidR="00736EBD" w:rsidRPr="00736EBD" w14:paraId="37514F3C" w14:textId="77777777" w:rsidTr="00A23A95">
        <w:trPr>
          <w:trHeight w:val="300"/>
        </w:trPr>
        <w:tc>
          <w:tcPr>
            <w:tcW w:w="4673" w:type="dxa"/>
            <w:noWrap/>
            <w:hideMark/>
          </w:tcPr>
          <w:p w14:paraId="666DCC8E" w14:textId="77777777" w:rsidR="00736EBD" w:rsidRPr="00A23A95" w:rsidRDefault="00736EBD">
            <w:pPr>
              <w:rPr>
                <w:sz w:val="20"/>
                <w:szCs w:val="20"/>
              </w:rPr>
            </w:pPr>
            <w:r w:rsidRPr="00A23A95">
              <w:rPr>
                <w:sz w:val="20"/>
                <w:szCs w:val="20"/>
              </w:rPr>
              <w:t>Rheumatology</w:t>
            </w:r>
          </w:p>
        </w:tc>
        <w:tc>
          <w:tcPr>
            <w:tcW w:w="4274" w:type="dxa"/>
            <w:noWrap/>
            <w:hideMark/>
          </w:tcPr>
          <w:p w14:paraId="1D4D3E07" w14:textId="77777777" w:rsidR="00736EBD" w:rsidRPr="00A23A95" w:rsidRDefault="00736EBD">
            <w:pPr>
              <w:rPr>
                <w:sz w:val="20"/>
                <w:szCs w:val="20"/>
              </w:rPr>
            </w:pPr>
            <w:r w:rsidRPr="00A23A95">
              <w:rPr>
                <w:sz w:val="20"/>
                <w:szCs w:val="20"/>
              </w:rPr>
              <w:t>Other</w:t>
            </w:r>
          </w:p>
        </w:tc>
      </w:tr>
      <w:tr w:rsidR="00736EBD" w:rsidRPr="00736EBD" w14:paraId="71410AA3" w14:textId="77777777" w:rsidTr="00A23A95">
        <w:trPr>
          <w:trHeight w:val="300"/>
        </w:trPr>
        <w:tc>
          <w:tcPr>
            <w:tcW w:w="4673" w:type="dxa"/>
            <w:noWrap/>
            <w:hideMark/>
          </w:tcPr>
          <w:p w14:paraId="45598F95" w14:textId="77777777" w:rsidR="00736EBD" w:rsidRPr="00A23A95" w:rsidRDefault="00736EBD">
            <w:pPr>
              <w:rPr>
                <w:sz w:val="20"/>
                <w:szCs w:val="20"/>
              </w:rPr>
            </w:pPr>
            <w:r w:rsidRPr="00A23A95">
              <w:rPr>
                <w:sz w:val="20"/>
                <w:szCs w:val="20"/>
              </w:rPr>
              <w:t>Surgery</w:t>
            </w:r>
          </w:p>
        </w:tc>
        <w:tc>
          <w:tcPr>
            <w:tcW w:w="4274" w:type="dxa"/>
            <w:noWrap/>
            <w:hideMark/>
          </w:tcPr>
          <w:p w14:paraId="17E6185B" w14:textId="77777777" w:rsidR="00736EBD" w:rsidRPr="00A23A95" w:rsidRDefault="00736EBD">
            <w:pPr>
              <w:rPr>
                <w:sz w:val="20"/>
                <w:szCs w:val="20"/>
              </w:rPr>
            </w:pPr>
            <w:r w:rsidRPr="00A23A95">
              <w:rPr>
                <w:sz w:val="20"/>
                <w:szCs w:val="20"/>
              </w:rPr>
              <w:t>Other</w:t>
            </w:r>
          </w:p>
        </w:tc>
      </w:tr>
      <w:tr w:rsidR="00736EBD" w:rsidRPr="00736EBD" w14:paraId="1B3E017A" w14:textId="77777777" w:rsidTr="00A23A95">
        <w:trPr>
          <w:trHeight w:val="300"/>
        </w:trPr>
        <w:tc>
          <w:tcPr>
            <w:tcW w:w="4673" w:type="dxa"/>
            <w:noWrap/>
            <w:hideMark/>
          </w:tcPr>
          <w:p w14:paraId="6741F62A" w14:textId="77777777" w:rsidR="00736EBD" w:rsidRPr="00A23A95" w:rsidRDefault="00736EBD">
            <w:pPr>
              <w:rPr>
                <w:sz w:val="20"/>
                <w:szCs w:val="20"/>
              </w:rPr>
            </w:pPr>
            <w:r w:rsidRPr="00A23A95">
              <w:rPr>
                <w:sz w:val="20"/>
                <w:szCs w:val="20"/>
              </w:rPr>
              <w:t>Paediatric Medicine</w:t>
            </w:r>
          </w:p>
        </w:tc>
        <w:tc>
          <w:tcPr>
            <w:tcW w:w="4274" w:type="dxa"/>
            <w:noWrap/>
            <w:hideMark/>
          </w:tcPr>
          <w:p w14:paraId="688D9946" w14:textId="77777777" w:rsidR="00736EBD" w:rsidRPr="00A23A95" w:rsidRDefault="00736EBD">
            <w:pPr>
              <w:rPr>
                <w:sz w:val="20"/>
                <w:szCs w:val="20"/>
              </w:rPr>
            </w:pPr>
            <w:r w:rsidRPr="00A23A95">
              <w:rPr>
                <w:sz w:val="20"/>
                <w:szCs w:val="20"/>
              </w:rPr>
              <w:t>Other</w:t>
            </w:r>
          </w:p>
        </w:tc>
      </w:tr>
      <w:tr w:rsidR="00736EBD" w:rsidRPr="00736EBD" w14:paraId="5D346A54" w14:textId="77777777" w:rsidTr="00A23A95">
        <w:trPr>
          <w:trHeight w:val="300"/>
        </w:trPr>
        <w:tc>
          <w:tcPr>
            <w:tcW w:w="4673" w:type="dxa"/>
            <w:noWrap/>
            <w:hideMark/>
          </w:tcPr>
          <w:p w14:paraId="34CB6024" w14:textId="77777777" w:rsidR="00736EBD" w:rsidRPr="00A23A95" w:rsidRDefault="00736EBD">
            <w:pPr>
              <w:rPr>
                <w:sz w:val="20"/>
                <w:szCs w:val="20"/>
              </w:rPr>
            </w:pPr>
            <w:r w:rsidRPr="00A23A95">
              <w:rPr>
                <w:sz w:val="20"/>
                <w:szCs w:val="20"/>
              </w:rPr>
              <w:t>Endocrinology</w:t>
            </w:r>
          </w:p>
        </w:tc>
        <w:tc>
          <w:tcPr>
            <w:tcW w:w="4274" w:type="dxa"/>
            <w:noWrap/>
            <w:hideMark/>
          </w:tcPr>
          <w:p w14:paraId="79340F1B" w14:textId="77777777" w:rsidR="00736EBD" w:rsidRPr="00A23A95" w:rsidRDefault="00736EBD">
            <w:pPr>
              <w:rPr>
                <w:sz w:val="20"/>
                <w:szCs w:val="20"/>
              </w:rPr>
            </w:pPr>
            <w:r w:rsidRPr="00A23A95">
              <w:rPr>
                <w:sz w:val="20"/>
                <w:szCs w:val="20"/>
              </w:rPr>
              <w:t>Other</w:t>
            </w:r>
          </w:p>
        </w:tc>
      </w:tr>
      <w:tr w:rsidR="00736EBD" w:rsidRPr="00736EBD" w14:paraId="5EE70096" w14:textId="77777777" w:rsidTr="00A23A95">
        <w:trPr>
          <w:trHeight w:val="300"/>
        </w:trPr>
        <w:tc>
          <w:tcPr>
            <w:tcW w:w="4673" w:type="dxa"/>
            <w:noWrap/>
            <w:hideMark/>
          </w:tcPr>
          <w:p w14:paraId="3EE00B88" w14:textId="77777777" w:rsidR="00736EBD" w:rsidRPr="00A23A95" w:rsidRDefault="00736EBD">
            <w:pPr>
              <w:rPr>
                <w:sz w:val="20"/>
                <w:szCs w:val="20"/>
              </w:rPr>
            </w:pPr>
            <w:r w:rsidRPr="00A23A95">
              <w:rPr>
                <w:sz w:val="20"/>
                <w:szCs w:val="20"/>
              </w:rPr>
              <w:t xml:space="preserve">Gastroenterology and </w:t>
            </w:r>
            <w:proofErr w:type="spellStart"/>
            <w:r w:rsidRPr="00A23A95">
              <w:rPr>
                <w:sz w:val="20"/>
                <w:szCs w:val="20"/>
              </w:rPr>
              <w:t>Hepatology</w:t>
            </w:r>
            <w:proofErr w:type="spellEnd"/>
          </w:p>
        </w:tc>
        <w:tc>
          <w:tcPr>
            <w:tcW w:w="4274" w:type="dxa"/>
            <w:noWrap/>
            <w:hideMark/>
          </w:tcPr>
          <w:p w14:paraId="34273347" w14:textId="77777777" w:rsidR="00736EBD" w:rsidRPr="00A23A95" w:rsidRDefault="00736EBD">
            <w:pPr>
              <w:rPr>
                <w:sz w:val="20"/>
                <w:szCs w:val="20"/>
              </w:rPr>
            </w:pPr>
            <w:r w:rsidRPr="00A23A95">
              <w:rPr>
                <w:sz w:val="20"/>
                <w:szCs w:val="20"/>
              </w:rPr>
              <w:t>Other</w:t>
            </w:r>
          </w:p>
        </w:tc>
      </w:tr>
      <w:tr w:rsidR="00736EBD" w:rsidRPr="00736EBD" w14:paraId="63BBF7D0" w14:textId="77777777" w:rsidTr="00A23A95">
        <w:trPr>
          <w:trHeight w:val="300"/>
        </w:trPr>
        <w:tc>
          <w:tcPr>
            <w:tcW w:w="4673" w:type="dxa"/>
            <w:noWrap/>
            <w:hideMark/>
          </w:tcPr>
          <w:p w14:paraId="5F0E5381" w14:textId="77777777" w:rsidR="00736EBD" w:rsidRPr="00A23A95" w:rsidRDefault="00736EBD">
            <w:pPr>
              <w:rPr>
                <w:sz w:val="20"/>
                <w:szCs w:val="20"/>
              </w:rPr>
            </w:pPr>
            <w:r w:rsidRPr="00A23A95">
              <w:rPr>
                <w:sz w:val="20"/>
                <w:szCs w:val="20"/>
              </w:rPr>
              <w:t>Pathology</w:t>
            </w:r>
          </w:p>
        </w:tc>
        <w:tc>
          <w:tcPr>
            <w:tcW w:w="4274" w:type="dxa"/>
            <w:noWrap/>
            <w:hideMark/>
          </w:tcPr>
          <w:p w14:paraId="43A673F9" w14:textId="77777777" w:rsidR="00736EBD" w:rsidRPr="00A23A95" w:rsidRDefault="00736EBD">
            <w:pPr>
              <w:rPr>
                <w:sz w:val="20"/>
                <w:szCs w:val="20"/>
              </w:rPr>
            </w:pPr>
            <w:r w:rsidRPr="00A23A95">
              <w:rPr>
                <w:sz w:val="20"/>
                <w:szCs w:val="20"/>
              </w:rPr>
              <w:t>Other</w:t>
            </w:r>
          </w:p>
        </w:tc>
      </w:tr>
      <w:tr w:rsidR="00736EBD" w:rsidRPr="00736EBD" w14:paraId="2DEF93BA" w14:textId="77777777" w:rsidTr="00A23A95">
        <w:trPr>
          <w:trHeight w:val="300"/>
        </w:trPr>
        <w:tc>
          <w:tcPr>
            <w:tcW w:w="4673" w:type="dxa"/>
            <w:noWrap/>
            <w:hideMark/>
          </w:tcPr>
          <w:p w14:paraId="3D1ED708" w14:textId="77777777" w:rsidR="00736EBD" w:rsidRPr="00A23A95" w:rsidRDefault="00736EBD">
            <w:pPr>
              <w:rPr>
                <w:sz w:val="20"/>
                <w:szCs w:val="20"/>
              </w:rPr>
            </w:pPr>
            <w:r w:rsidRPr="00A23A95">
              <w:rPr>
                <w:sz w:val="20"/>
                <w:szCs w:val="20"/>
              </w:rPr>
              <w:t>College Trainee - Physician</w:t>
            </w:r>
          </w:p>
        </w:tc>
        <w:tc>
          <w:tcPr>
            <w:tcW w:w="4274" w:type="dxa"/>
            <w:noWrap/>
            <w:hideMark/>
          </w:tcPr>
          <w:p w14:paraId="632C1A08" w14:textId="77777777" w:rsidR="00736EBD" w:rsidRPr="00A23A95" w:rsidRDefault="00736EBD">
            <w:pPr>
              <w:rPr>
                <w:sz w:val="20"/>
                <w:szCs w:val="20"/>
              </w:rPr>
            </w:pPr>
            <w:r w:rsidRPr="00A23A95">
              <w:rPr>
                <w:sz w:val="20"/>
                <w:szCs w:val="20"/>
              </w:rPr>
              <w:t>Other</w:t>
            </w:r>
          </w:p>
        </w:tc>
      </w:tr>
      <w:tr w:rsidR="00736EBD" w:rsidRPr="00736EBD" w14:paraId="5DC4A61B" w14:textId="77777777" w:rsidTr="00A23A95">
        <w:trPr>
          <w:trHeight w:val="300"/>
        </w:trPr>
        <w:tc>
          <w:tcPr>
            <w:tcW w:w="4673" w:type="dxa"/>
            <w:noWrap/>
            <w:hideMark/>
          </w:tcPr>
          <w:p w14:paraId="5B0312D9" w14:textId="77777777" w:rsidR="00736EBD" w:rsidRPr="00A23A95" w:rsidRDefault="00736EBD">
            <w:pPr>
              <w:rPr>
                <w:sz w:val="20"/>
                <w:szCs w:val="20"/>
              </w:rPr>
            </w:pPr>
            <w:r w:rsidRPr="00A23A95">
              <w:rPr>
                <w:sz w:val="20"/>
                <w:szCs w:val="20"/>
              </w:rPr>
              <w:t>Neurology</w:t>
            </w:r>
          </w:p>
        </w:tc>
        <w:tc>
          <w:tcPr>
            <w:tcW w:w="4274" w:type="dxa"/>
            <w:noWrap/>
            <w:hideMark/>
          </w:tcPr>
          <w:p w14:paraId="1FF6E53A" w14:textId="77777777" w:rsidR="00736EBD" w:rsidRPr="00A23A95" w:rsidRDefault="00736EBD">
            <w:pPr>
              <w:rPr>
                <w:sz w:val="20"/>
                <w:szCs w:val="20"/>
              </w:rPr>
            </w:pPr>
            <w:r w:rsidRPr="00A23A95">
              <w:rPr>
                <w:sz w:val="20"/>
                <w:szCs w:val="20"/>
              </w:rPr>
              <w:t>Other</w:t>
            </w:r>
          </w:p>
        </w:tc>
      </w:tr>
      <w:tr w:rsidR="00736EBD" w:rsidRPr="00736EBD" w14:paraId="6B1EC425" w14:textId="77777777" w:rsidTr="00A23A95">
        <w:trPr>
          <w:trHeight w:val="300"/>
        </w:trPr>
        <w:tc>
          <w:tcPr>
            <w:tcW w:w="4673" w:type="dxa"/>
            <w:noWrap/>
            <w:hideMark/>
          </w:tcPr>
          <w:p w14:paraId="5C2530F3" w14:textId="77777777" w:rsidR="00736EBD" w:rsidRPr="00A23A95" w:rsidRDefault="00736EBD">
            <w:pPr>
              <w:rPr>
                <w:sz w:val="20"/>
                <w:szCs w:val="20"/>
              </w:rPr>
            </w:pPr>
            <w:r w:rsidRPr="00A23A95">
              <w:rPr>
                <w:sz w:val="20"/>
                <w:szCs w:val="20"/>
              </w:rPr>
              <w:t>Palliative Medicine</w:t>
            </w:r>
          </w:p>
        </w:tc>
        <w:tc>
          <w:tcPr>
            <w:tcW w:w="4274" w:type="dxa"/>
            <w:noWrap/>
            <w:hideMark/>
          </w:tcPr>
          <w:p w14:paraId="19D3BDA3" w14:textId="77777777" w:rsidR="00736EBD" w:rsidRPr="00A23A95" w:rsidRDefault="00736EBD">
            <w:pPr>
              <w:rPr>
                <w:sz w:val="20"/>
                <w:szCs w:val="20"/>
              </w:rPr>
            </w:pPr>
            <w:r w:rsidRPr="00A23A95">
              <w:rPr>
                <w:sz w:val="20"/>
                <w:szCs w:val="20"/>
              </w:rPr>
              <w:t>Other</w:t>
            </w:r>
          </w:p>
        </w:tc>
      </w:tr>
      <w:tr w:rsidR="00736EBD" w:rsidRPr="00736EBD" w14:paraId="102D450E" w14:textId="77777777" w:rsidTr="00A23A95">
        <w:trPr>
          <w:trHeight w:val="300"/>
        </w:trPr>
        <w:tc>
          <w:tcPr>
            <w:tcW w:w="4673" w:type="dxa"/>
            <w:noWrap/>
            <w:hideMark/>
          </w:tcPr>
          <w:p w14:paraId="1657A68C" w14:textId="77777777" w:rsidR="00736EBD" w:rsidRPr="00A23A95" w:rsidRDefault="00736EBD">
            <w:pPr>
              <w:rPr>
                <w:sz w:val="20"/>
                <w:szCs w:val="20"/>
              </w:rPr>
            </w:pPr>
            <w:r w:rsidRPr="00A23A95">
              <w:rPr>
                <w:sz w:val="20"/>
                <w:szCs w:val="20"/>
              </w:rPr>
              <w:t>Nephrology</w:t>
            </w:r>
          </w:p>
        </w:tc>
        <w:tc>
          <w:tcPr>
            <w:tcW w:w="4274" w:type="dxa"/>
            <w:noWrap/>
            <w:hideMark/>
          </w:tcPr>
          <w:p w14:paraId="3B9CF9F0" w14:textId="77777777" w:rsidR="00736EBD" w:rsidRPr="00A23A95" w:rsidRDefault="00736EBD">
            <w:pPr>
              <w:rPr>
                <w:sz w:val="20"/>
                <w:szCs w:val="20"/>
              </w:rPr>
            </w:pPr>
            <w:r w:rsidRPr="00A23A95">
              <w:rPr>
                <w:sz w:val="20"/>
                <w:szCs w:val="20"/>
              </w:rPr>
              <w:t>Other</w:t>
            </w:r>
          </w:p>
        </w:tc>
      </w:tr>
      <w:tr w:rsidR="00736EBD" w:rsidRPr="00736EBD" w14:paraId="66A9FF19" w14:textId="77777777" w:rsidTr="00A23A95">
        <w:trPr>
          <w:trHeight w:val="300"/>
        </w:trPr>
        <w:tc>
          <w:tcPr>
            <w:tcW w:w="4673" w:type="dxa"/>
            <w:noWrap/>
            <w:hideMark/>
          </w:tcPr>
          <w:p w14:paraId="33BEEDE6" w14:textId="77777777" w:rsidR="00736EBD" w:rsidRPr="00A23A95" w:rsidRDefault="00736EBD">
            <w:pPr>
              <w:rPr>
                <w:sz w:val="20"/>
                <w:szCs w:val="20"/>
              </w:rPr>
            </w:pPr>
            <w:r w:rsidRPr="00A23A95">
              <w:rPr>
                <w:sz w:val="20"/>
                <w:szCs w:val="20"/>
              </w:rPr>
              <w:t>Dermatology</w:t>
            </w:r>
          </w:p>
        </w:tc>
        <w:tc>
          <w:tcPr>
            <w:tcW w:w="4274" w:type="dxa"/>
            <w:noWrap/>
            <w:hideMark/>
          </w:tcPr>
          <w:p w14:paraId="3EB952CB" w14:textId="77777777" w:rsidR="00736EBD" w:rsidRPr="00A23A95" w:rsidRDefault="00736EBD">
            <w:pPr>
              <w:rPr>
                <w:sz w:val="20"/>
                <w:szCs w:val="20"/>
              </w:rPr>
            </w:pPr>
            <w:r w:rsidRPr="00A23A95">
              <w:rPr>
                <w:sz w:val="20"/>
                <w:szCs w:val="20"/>
              </w:rPr>
              <w:t>Other</w:t>
            </w:r>
          </w:p>
        </w:tc>
      </w:tr>
      <w:tr w:rsidR="00736EBD" w:rsidRPr="00736EBD" w14:paraId="3EB9CCEC" w14:textId="77777777" w:rsidTr="00A23A95">
        <w:trPr>
          <w:trHeight w:val="300"/>
        </w:trPr>
        <w:tc>
          <w:tcPr>
            <w:tcW w:w="4673" w:type="dxa"/>
            <w:noWrap/>
            <w:hideMark/>
          </w:tcPr>
          <w:p w14:paraId="22AC5B9E" w14:textId="77777777" w:rsidR="00736EBD" w:rsidRPr="00A23A95" w:rsidRDefault="00736EBD">
            <w:pPr>
              <w:rPr>
                <w:sz w:val="20"/>
                <w:szCs w:val="20"/>
              </w:rPr>
            </w:pPr>
            <w:r w:rsidRPr="00A23A95">
              <w:rPr>
                <w:sz w:val="20"/>
                <w:szCs w:val="20"/>
              </w:rPr>
              <w:t>Immunology and Allergy</w:t>
            </w:r>
          </w:p>
        </w:tc>
        <w:tc>
          <w:tcPr>
            <w:tcW w:w="4274" w:type="dxa"/>
            <w:noWrap/>
            <w:hideMark/>
          </w:tcPr>
          <w:p w14:paraId="494387B3" w14:textId="77777777" w:rsidR="00736EBD" w:rsidRPr="00A23A95" w:rsidRDefault="00736EBD">
            <w:pPr>
              <w:rPr>
                <w:sz w:val="20"/>
                <w:szCs w:val="20"/>
              </w:rPr>
            </w:pPr>
            <w:r w:rsidRPr="00A23A95">
              <w:rPr>
                <w:sz w:val="20"/>
                <w:szCs w:val="20"/>
              </w:rPr>
              <w:t>Other</w:t>
            </w:r>
          </w:p>
        </w:tc>
      </w:tr>
      <w:tr w:rsidR="00736EBD" w:rsidRPr="00736EBD" w14:paraId="3A314C10" w14:textId="77777777" w:rsidTr="00A23A95">
        <w:trPr>
          <w:trHeight w:val="300"/>
        </w:trPr>
        <w:tc>
          <w:tcPr>
            <w:tcW w:w="4673" w:type="dxa"/>
            <w:noWrap/>
            <w:hideMark/>
          </w:tcPr>
          <w:p w14:paraId="78F74CFA" w14:textId="77777777" w:rsidR="00736EBD" w:rsidRPr="00A23A95" w:rsidRDefault="00736EBD">
            <w:pPr>
              <w:rPr>
                <w:sz w:val="20"/>
                <w:szCs w:val="20"/>
              </w:rPr>
            </w:pPr>
            <w:r w:rsidRPr="00A23A95">
              <w:rPr>
                <w:sz w:val="20"/>
                <w:szCs w:val="20"/>
              </w:rPr>
              <w:t>Psychiatry</w:t>
            </w:r>
          </w:p>
        </w:tc>
        <w:tc>
          <w:tcPr>
            <w:tcW w:w="4274" w:type="dxa"/>
            <w:noWrap/>
            <w:hideMark/>
          </w:tcPr>
          <w:p w14:paraId="42510B74" w14:textId="77777777" w:rsidR="00736EBD" w:rsidRPr="00A23A95" w:rsidRDefault="00736EBD">
            <w:pPr>
              <w:rPr>
                <w:sz w:val="20"/>
                <w:szCs w:val="20"/>
              </w:rPr>
            </w:pPr>
            <w:r w:rsidRPr="00A23A95">
              <w:rPr>
                <w:sz w:val="20"/>
                <w:szCs w:val="20"/>
              </w:rPr>
              <w:t>Other</w:t>
            </w:r>
          </w:p>
        </w:tc>
      </w:tr>
      <w:tr w:rsidR="00736EBD" w:rsidRPr="00736EBD" w14:paraId="400FE8BC" w14:textId="77777777" w:rsidTr="00A23A95">
        <w:trPr>
          <w:trHeight w:val="300"/>
        </w:trPr>
        <w:tc>
          <w:tcPr>
            <w:tcW w:w="4673" w:type="dxa"/>
            <w:noWrap/>
            <w:hideMark/>
          </w:tcPr>
          <w:p w14:paraId="103FE35F" w14:textId="77777777" w:rsidR="00736EBD" w:rsidRPr="00A23A95" w:rsidRDefault="00736EBD">
            <w:pPr>
              <w:rPr>
                <w:sz w:val="20"/>
                <w:szCs w:val="20"/>
              </w:rPr>
            </w:pPr>
            <w:r w:rsidRPr="00A23A95">
              <w:rPr>
                <w:sz w:val="20"/>
                <w:szCs w:val="20"/>
              </w:rPr>
              <w:t>Nuclear Medicine</w:t>
            </w:r>
          </w:p>
        </w:tc>
        <w:tc>
          <w:tcPr>
            <w:tcW w:w="4274" w:type="dxa"/>
            <w:noWrap/>
            <w:hideMark/>
          </w:tcPr>
          <w:p w14:paraId="7E027A04" w14:textId="77777777" w:rsidR="00736EBD" w:rsidRPr="00A23A95" w:rsidRDefault="00736EBD">
            <w:pPr>
              <w:rPr>
                <w:sz w:val="20"/>
                <w:szCs w:val="20"/>
              </w:rPr>
            </w:pPr>
            <w:r w:rsidRPr="00A23A95">
              <w:rPr>
                <w:sz w:val="20"/>
                <w:szCs w:val="20"/>
              </w:rPr>
              <w:t>Other</w:t>
            </w:r>
          </w:p>
        </w:tc>
      </w:tr>
      <w:tr w:rsidR="00736EBD" w:rsidRPr="00736EBD" w14:paraId="216FDDFA" w14:textId="77777777" w:rsidTr="00A23A95">
        <w:trPr>
          <w:trHeight w:val="300"/>
        </w:trPr>
        <w:tc>
          <w:tcPr>
            <w:tcW w:w="4673" w:type="dxa"/>
            <w:noWrap/>
            <w:hideMark/>
          </w:tcPr>
          <w:p w14:paraId="3D6042BF" w14:textId="77777777" w:rsidR="00736EBD" w:rsidRPr="00A23A95" w:rsidRDefault="00736EBD">
            <w:pPr>
              <w:rPr>
                <w:sz w:val="20"/>
                <w:szCs w:val="20"/>
              </w:rPr>
            </w:pPr>
            <w:r w:rsidRPr="00A23A95">
              <w:rPr>
                <w:sz w:val="20"/>
                <w:szCs w:val="20"/>
              </w:rPr>
              <w:t>Cardiology</w:t>
            </w:r>
          </w:p>
        </w:tc>
        <w:tc>
          <w:tcPr>
            <w:tcW w:w="4274" w:type="dxa"/>
            <w:noWrap/>
            <w:hideMark/>
          </w:tcPr>
          <w:p w14:paraId="30ED7A0C" w14:textId="77777777" w:rsidR="00736EBD" w:rsidRPr="00A23A95" w:rsidRDefault="00736EBD">
            <w:pPr>
              <w:rPr>
                <w:sz w:val="20"/>
                <w:szCs w:val="20"/>
              </w:rPr>
            </w:pPr>
            <w:r w:rsidRPr="00A23A95">
              <w:rPr>
                <w:sz w:val="20"/>
                <w:szCs w:val="20"/>
              </w:rPr>
              <w:t>Other</w:t>
            </w:r>
          </w:p>
        </w:tc>
      </w:tr>
      <w:tr w:rsidR="00736EBD" w:rsidRPr="00736EBD" w14:paraId="6AF845A0" w14:textId="77777777" w:rsidTr="00A23A95">
        <w:trPr>
          <w:trHeight w:val="300"/>
        </w:trPr>
        <w:tc>
          <w:tcPr>
            <w:tcW w:w="4673" w:type="dxa"/>
            <w:noWrap/>
            <w:hideMark/>
          </w:tcPr>
          <w:p w14:paraId="5BA37B76" w14:textId="77777777" w:rsidR="00736EBD" w:rsidRPr="00A23A95" w:rsidRDefault="00736EBD">
            <w:pPr>
              <w:rPr>
                <w:sz w:val="20"/>
                <w:szCs w:val="20"/>
              </w:rPr>
            </w:pPr>
            <w:r w:rsidRPr="00A23A95">
              <w:rPr>
                <w:sz w:val="20"/>
                <w:szCs w:val="20"/>
              </w:rPr>
              <w:t>Geriatric Medicine</w:t>
            </w:r>
          </w:p>
        </w:tc>
        <w:tc>
          <w:tcPr>
            <w:tcW w:w="4274" w:type="dxa"/>
            <w:noWrap/>
            <w:hideMark/>
          </w:tcPr>
          <w:p w14:paraId="29C44E30" w14:textId="77777777" w:rsidR="00736EBD" w:rsidRPr="00A23A95" w:rsidRDefault="00736EBD">
            <w:pPr>
              <w:rPr>
                <w:sz w:val="20"/>
                <w:szCs w:val="20"/>
              </w:rPr>
            </w:pPr>
            <w:r w:rsidRPr="00A23A95">
              <w:rPr>
                <w:sz w:val="20"/>
                <w:szCs w:val="20"/>
              </w:rPr>
              <w:t>Other</w:t>
            </w:r>
          </w:p>
        </w:tc>
      </w:tr>
      <w:tr w:rsidR="00736EBD" w:rsidRPr="00736EBD" w14:paraId="398EDF0A" w14:textId="77777777" w:rsidTr="00A23A95">
        <w:trPr>
          <w:trHeight w:val="300"/>
        </w:trPr>
        <w:tc>
          <w:tcPr>
            <w:tcW w:w="4673" w:type="dxa"/>
            <w:noWrap/>
            <w:hideMark/>
          </w:tcPr>
          <w:p w14:paraId="5194022F" w14:textId="77777777" w:rsidR="00736EBD" w:rsidRPr="00A23A95" w:rsidRDefault="00736EBD">
            <w:pPr>
              <w:rPr>
                <w:sz w:val="20"/>
                <w:szCs w:val="20"/>
              </w:rPr>
            </w:pPr>
            <w:r w:rsidRPr="00A23A95">
              <w:rPr>
                <w:sz w:val="20"/>
                <w:szCs w:val="20"/>
              </w:rPr>
              <w:t>Intensive Care</w:t>
            </w:r>
          </w:p>
        </w:tc>
        <w:tc>
          <w:tcPr>
            <w:tcW w:w="4274" w:type="dxa"/>
            <w:noWrap/>
            <w:hideMark/>
          </w:tcPr>
          <w:p w14:paraId="3624B70B" w14:textId="77777777" w:rsidR="00736EBD" w:rsidRPr="00A23A95" w:rsidRDefault="00736EBD">
            <w:pPr>
              <w:rPr>
                <w:sz w:val="20"/>
                <w:szCs w:val="20"/>
              </w:rPr>
            </w:pPr>
            <w:r w:rsidRPr="00A23A95">
              <w:rPr>
                <w:sz w:val="20"/>
                <w:szCs w:val="20"/>
              </w:rPr>
              <w:t>Other</w:t>
            </w:r>
          </w:p>
        </w:tc>
      </w:tr>
      <w:tr w:rsidR="00736EBD" w:rsidRPr="00736EBD" w14:paraId="28B9168E" w14:textId="77777777" w:rsidTr="00A23A95">
        <w:trPr>
          <w:trHeight w:val="300"/>
        </w:trPr>
        <w:tc>
          <w:tcPr>
            <w:tcW w:w="4673" w:type="dxa"/>
            <w:noWrap/>
            <w:hideMark/>
          </w:tcPr>
          <w:p w14:paraId="390F4565" w14:textId="77777777" w:rsidR="00736EBD" w:rsidRPr="00A23A95" w:rsidRDefault="00736EBD">
            <w:pPr>
              <w:rPr>
                <w:sz w:val="20"/>
                <w:szCs w:val="20"/>
              </w:rPr>
            </w:pPr>
            <w:r w:rsidRPr="00A23A95">
              <w:rPr>
                <w:sz w:val="20"/>
                <w:szCs w:val="20"/>
              </w:rPr>
              <w:t>Anaesthetics</w:t>
            </w:r>
          </w:p>
        </w:tc>
        <w:tc>
          <w:tcPr>
            <w:tcW w:w="4274" w:type="dxa"/>
            <w:noWrap/>
            <w:hideMark/>
          </w:tcPr>
          <w:p w14:paraId="19E60777" w14:textId="77777777" w:rsidR="00736EBD" w:rsidRPr="00A23A95" w:rsidRDefault="00736EBD">
            <w:pPr>
              <w:rPr>
                <w:sz w:val="20"/>
                <w:szCs w:val="20"/>
              </w:rPr>
            </w:pPr>
            <w:r w:rsidRPr="00A23A95">
              <w:rPr>
                <w:sz w:val="20"/>
                <w:szCs w:val="20"/>
              </w:rPr>
              <w:t>Other</w:t>
            </w:r>
          </w:p>
        </w:tc>
      </w:tr>
      <w:tr w:rsidR="00736EBD" w:rsidRPr="00736EBD" w14:paraId="70B2EDD6" w14:textId="77777777" w:rsidTr="00A23A95">
        <w:trPr>
          <w:trHeight w:val="300"/>
        </w:trPr>
        <w:tc>
          <w:tcPr>
            <w:tcW w:w="4673" w:type="dxa"/>
            <w:noWrap/>
            <w:hideMark/>
          </w:tcPr>
          <w:p w14:paraId="5FA31382" w14:textId="77777777" w:rsidR="00736EBD" w:rsidRPr="00A23A95" w:rsidRDefault="00736EBD">
            <w:pPr>
              <w:rPr>
                <w:sz w:val="20"/>
                <w:szCs w:val="20"/>
              </w:rPr>
            </w:pPr>
            <w:r w:rsidRPr="00A23A95">
              <w:rPr>
                <w:sz w:val="20"/>
                <w:szCs w:val="20"/>
              </w:rPr>
              <w:t>Nurse Practitioner</w:t>
            </w:r>
          </w:p>
        </w:tc>
        <w:tc>
          <w:tcPr>
            <w:tcW w:w="4274" w:type="dxa"/>
            <w:noWrap/>
            <w:hideMark/>
          </w:tcPr>
          <w:p w14:paraId="0E305ED6" w14:textId="77777777" w:rsidR="00736EBD" w:rsidRPr="00A23A95" w:rsidRDefault="00736EBD">
            <w:pPr>
              <w:rPr>
                <w:sz w:val="20"/>
                <w:szCs w:val="20"/>
              </w:rPr>
            </w:pPr>
            <w:r w:rsidRPr="00A23A95">
              <w:rPr>
                <w:sz w:val="20"/>
                <w:szCs w:val="20"/>
              </w:rPr>
              <w:t>Other</w:t>
            </w:r>
          </w:p>
        </w:tc>
      </w:tr>
      <w:tr w:rsidR="00736EBD" w:rsidRPr="00736EBD" w14:paraId="44096AA9" w14:textId="77777777" w:rsidTr="00A23A95">
        <w:trPr>
          <w:trHeight w:val="300"/>
        </w:trPr>
        <w:tc>
          <w:tcPr>
            <w:tcW w:w="4673" w:type="dxa"/>
            <w:noWrap/>
            <w:hideMark/>
          </w:tcPr>
          <w:p w14:paraId="1B5B307E" w14:textId="77777777" w:rsidR="00736EBD" w:rsidRPr="00A23A95" w:rsidRDefault="00736EBD">
            <w:pPr>
              <w:rPr>
                <w:sz w:val="20"/>
                <w:szCs w:val="20"/>
              </w:rPr>
            </w:pPr>
            <w:r w:rsidRPr="00A23A95">
              <w:rPr>
                <w:sz w:val="20"/>
                <w:szCs w:val="20"/>
              </w:rPr>
              <w:t>Respiratory and Sleep Medicine</w:t>
            </w:r>
          </w:p>
        </w:tc>
        <w:tc>
          <w:tcPr>
            <w:tcW w:w="4274" w:type="dxa"/>
            <w:noWrap/>
            <w:hideMark/>
          </w:tcPr>
          <w:p w14:paraId="14600E18" w14:textId="77777777" w:rsidR="00736EBD" w:rsidRPr="00A23A95" w:rsidRDefault="00736EBD">
            <w:pPr>
              <w:rPr>
                <w:sz w:val="20"/>
                <w:szCs w:val="20"/>
              </w:rPr>
            </w:pPr>
            <w:r w:rsidRPr="00A23A95">
              <w:rPr>
                <w:sz w:val="20"/>
                <w:szCs w:val="20"/>
              </w:rPr>
              <w:t>Other</w:t>
            </w:r>
          </w:p>
        </w:tc>
      </w:tr>
      <w:tr w:rsidR="00736EBD" w:rsidRPr="00736EBD" w14:paraId="3AF89D7D" w14:textId="77777777" w:rsidTr="00A23A95">
        <w:trPr>
          <w:trHeight w:val="300"/>
        </w:trPr>
        <w:tc>
          <w:tcPr>
            <w:tcW w:w="4673" w:type="dxa"/>
            <w:noWrap/>
            <w:hideMark/>
          </w:tcPr>
          <w:p w14:paraId="384DBB39" w14:textId="77777777" w:rsidR="00736EBD" w:rsidRPr="00A23A95" w:rsidRDefault="00736EBD">
            <w:pPr>
              <w:rPr>
                <w:sz w:val="20"/>
                <w:szCs w:val="20"/>
              </w:rPr>
            </w:pPr>
            <w:r w:rsidRPr="00A23A95">
              <w:rPr>
                <w:sz w:val="20"/>
                <w:szCs w:val="20"/>
              </w:rPr>
              <w:t>Ophthalmology</w:t>
            </w:r>
          </w:p>
        </w:tc>
        <w:tc>
          <w:tcPr>
            <w:tcW w:w="4274" w:type="dxa"/>
            <w:noWrap/>
            <w:hideMark/>
          </w:tcPr>
          <w:p w14:paraId="19144DC7" w14:textId="77777777" w:rsidR="00736EBD" w:rsidRPr="00A23A95" w:rsidRDefault="00736EBD">
            <w:pPr>
              <w:rPr>
                <w:sz w:val="20"/>
                <w:szCs w:val="20"/>
              </w:rPr>
            </w:pPr>
            <w:r w:rsidRPr="00A23A95">
              <w:rPr>
                <w:sz w:val="20"/>
                <w:szCs w:val="20"/>
              </w:rPr>
              <w:t>Other</w:t>
            </w:r>
          </w:p>
        </w:tc>
      </w:tr>
      <w:tr w:rsidR="00736EBD" w:rsidRPr="00736EBD" w14:paraId="20A910A9" w14:textId="77777777" w:rsidTr="00A23A95">
        <w:trPr>
          <w:trHeight w:val="300"/>
        </w:trPr>
        <w:tc>
          <w:tcPr>
            <w:tcW w:w="4673" w:type="dxa"/>
            <w:noWrap/>
            <w:hideMark/>
          </w:tcPr>
          <w:p w14:paraId="6EBEA836" w14:textId="77777777" w:rsidR="00736EBD" w:rsidRPr="00A23A95" w:rsidRDefault="00736EBD">
            <w:pPr>
              <w:rPr>
                <w:sz w:val="20"/>
                <w:szCs w:val="20"/>
              </w:rPr>
            </w:pPr>
            <w:r w:rsidRPr="00A23A95">
              <w:rPr>
                <w:sz w:val="20"/>
                <w:szCs w:val="20"/>
              </w:rPr>
              <w:t>ENT</w:t>
            </w:r>
          </w:p>
        </w:tc>
        <w:tc>
          <w:tcPr>
            <w:tcW w:w="4274" w:type="dxa"/>
            <w:noWrap/>
            <w:hideMark/>
          </w:tcPr>
          <w:p w14:paraId="23481DB9" w14:textId="77777777" w:rsidR="00736EBD" w:rsidRPr="00A23A95" w:rsidRDefault="00736EBD">
            <w:pPr>
              <w:rPr>
                <w:sz w:val="20"/>
                <w:szCs w:val="20"/>
              </w:rPr>
            </w:pPr>
            <w:r w:rsidRPr="00A23A95">
              <w:rPr>
                <w:sz w:val="20"/>
                <w:szCs w:val="20"/>
              </w:rPr>
              <w:t>Other</w:t>
            </w:r>
          </w:p>
        </w:tc>
      </w:tr>
      <w:tr w:rsidR="00736EBD" w:rsidRPr="00736EBD" w14:paraId="4FF88903" w14:textId="77777777" w:rsidTr="00A23A95">
        <w:trPr>
          <w:trHeight w:val="300"/>
        </w:trPr>
        <w:tc>
          <w:tcPr>
            <w:tcW w:w="4673" w:type="dxa"/>
            <w:noWrap/>
            <w:hideMark/>
          </w:tcPr>
          <w:p w14:paraId="10F0DDB1" w14:textId="77777777" w:rsidR="00736EBD" w:rsidRPr="00A23A95" w:rsidRDefault="00736EBD">
            <w:pPr>
              <w:rPr>
                <w:sz w:val="20"/>
                <w:szCs w:val="20"/>
              </w:rPr>
            </w:pPr>
            <w:r w:rsidRPr="00A23A95">
              <w:rPr>
                <w:sz w:val="20"/>
                <w:szCs w:val="20"/>
              </w:rPr>
              <w:t>Infectious Diseases</w:t>
            </w:r>
          </w:p>
        </w:tc>
        <w:tc>
          <w:tcPr>
            <w:tcW w:w="4274" w:type="dxa"/>
            <w:noWrap/>
            <w:hideMark/>
          </w:tcPr>
          <w:p w14:paraId="03758EEB" w14:textId="77777777" w:rsidR="00736EBD" w:rsidRPr="00A23A95" w:rsidRDefault="00736EBD">
            <w:pPr>
              <w:rPr>
                <w:sz w:val="20"/>
                <w:szCs w:val="20"/>
              </w:rPr>
            </w:pPr>
            <w:r w:rsidRPr="00A23A95">
              <w:rPr>
                <w:sz w:val="20"/>
                <w:szCs w:val="20"/>
              </w:rPr>
              <w:t>Other</w:t>
            </w:r>
          </w:p>
        </w:tc>
      </w:tr>
      <w:tr w:rsidR="00736EBD" w:rsidRPr="00736EBD" w14:paraId="510A6DF0" w14:textId="77777777" w:rsidTr="00A23A95">
        <w:trPr>
          <w:trHeight w:val="300"/>
        </w:trPr>
        <w:tc>
          <w:tcPr>
            <w:tcW w:w="4673" w:type="dxa"/>
            <w:noWrap/>
            <w:hideMark/>
          </w:tcPr>
          <w:p w14:paraId="0CAD2869" w14:textId="77777777" w:rsidR="00736EBD" w:rsidRPr="00A23A95" w:rsidRDefault="00736EBD">
            <w:pPr>
              <w:rPr>
                <w:sz w:val="20"/>
                <w:szCs w:val="20"/>
              </w:rPr>
            </w:pPr>
            <w:r w:rsidRPr="00A23A95">
              <w:rPr>
                <w:sz w:val="20"/>
                <w:szCs w:val="20"/>
              </w:rPr>
              <w:t>Sport and Exercise Medicine</w:t>
            </w:r>
          </w:p>
        </w:tc>
        <w:tc>
          <w:tcPr>
            <w:tcW w:w="4274" w:type="dxa"/>
            <w:noWrap/>
            <w:hideMark/>
          </w:tcPr>
          <w:p w14:paraId="69F40255" w14:textId="77777777" w:rsidR="00736EBD" w:rsidRPr="00A23A95" w:rsidRDefault="00736EBD">
            <w:pPr>
              <w:rPr>
                <w:sz w:val="20"/>
                <w:szCs w:val="20"/>
              </w:rPr>
            </w:pPr>
            <w:r w:rsidRPr="00A23A95">
              <w:rPr>
                <w:sz w:val="20"/>
                <w:szCs w:val="20"/>
              </w:rPr>
              <w:t>Other</w:t>
            </w:r>
          </w:p>
        </w:tc>
      </w:tr>
      <w:tr w:rsidR="00736EBD" w:rsidRPr="00736EBD" w14:paraId="285ABE46" w14:textId="77777777" w:rsidTr="00A23A95">
        <w:trPr>
          <w:trHeight w:val="300"/>
        </w:trPr>
        <w:tc>
          <w:tcPr>
            <w:tcW w:w="4673" w:type="dxa"/>
            <w:noWrap/>
            <w:hideMark/>
          </w:tcPr>
          <w:p w14:paraId="18288215" w14:textId="77777777" w:rsidR="00736EBD" w:rsidRPr="00A23A95" w:rsidRDefault="00736EBD">
            <w:pPr>
              <w:rPr>
                <w:sz w:val="20"/>
                <w:szCs w:val="20"/>
              </w:rPr>
            </w:pPr>
            <w:proofErr w:type="spellStart"/>
            <w:r w:rsidRPr="00A23A95">
              <w:rPr>
                <w:sz w:val="20"/>
                <w:szCs w:val="20"/>
              </w:rPr>
              <w:t>Urogynaecology</w:t>
            </w:r>
            <w:proofErr w:type="spellEnd"/>
          </w:p>
        </w:tc>
        <w:tc>
          <w:tcPr>
            <w:tcW w:w="4274" w:type="dxa"/>
            <w:noWrap/>
            <w:hideMark/>
          </w:tcPr>
          <w:p w14:paraId="651316B3" w14:textId="77777777" w:rsidR="00736EBD" w:rsidRPr="00A23A95" w:rsidRDefault="00736EBD">
            <w:pPr>
              <w:rPr>
                <w:sz w:val="20"/>
                <w:szCs w:val="20"/>
              </w:rPr>
            </w:pPr>
            <w:r w:rsidRPr="00A23A95">
              <w:rPr>
                <w:sz w:val="20"/>
                <w:szCs w:val="20"/>
              </w:rPr>
              <w:t>Other</w:t>
            </w:r>
          </w:p>
        </w:tc>
      </w:tr>
      <w:tr w:rsidR="00736EBD" w:rsidRPr="00736EBD" w14:paraId="089F2675" w14:textId="77777777" w:rsidTr="00A23A95">
        <w:trPr>
          <w:trHeight w:val="300"/>
        </w:trPr>
        <w:tc>
          <w:tcPr>
            <w:tcW w:w="4673" w:type="dxa"/>
            <w:noWrap/>
            <w:hideMark/>
          </w:tcPr>
          <w:p w14:paraId="3C4256D3" w14:textId="77777777" w:rsidR="00736EBD" w:rsidRPr="00A23A95" w:rsidRDefault="00736EBD">
            <w:pPr>
              <w:rPr>
                <w:sz w:val="20"/>
                <w:szCs w:val="20"/>
              </w:rPr>
            </w:pPr>
            <w:r w:rsidRPr="00A23A95">
              <w:rPr>
                <w:sz w:val="20"/>
                <w:szCs w:val="20"/>
              </w:rPr>
              <w:t>Public Health Medicine</w:t>
            </w:r>
          </w:p>
        </w:tc>
        <w:tc>
          <w:tcPr>
            <w:tcW w:w="4274" w:type="dxa"/>
            <w:noWrap/>
            <w:hideMark/>
          </w:tcPr>
          <w:p w14:paraId="5809BCDC" w14:textId="77777777" w:rsidR="00736EBD" w:rsidRPr="00A23A95" w:rsidRDefault="00736EBD">
            <w:pPr>
              <w:rPr>
                <w:sz w:val="20"/>
                <w:szCs w:val="20"/>
              </w:rPr>
            </w:pPr>
            <w:r w:rsidRPr="00A23A95">
              <w:rPr>
                <w:sz w:val="20"/>
                <w:szCs w:val="20"/>
              </w:rPr>
              <w:t>Other</w:t>
            </w:r>
          </w:p>
        </w:tc>
      </w:tr>
      <w:tr w:rsidR="00736EBD" w:rsidRPr="00736EBD" w14:paraId="7AD67FED" w14:textId="77777777" w:rsidTr="00A23A95">
        <w:trPr>
          <w:trHeight w:val="300"/>
        </w:trPr>
        <w:tc>
          <w:tcPr>
            <w:tcW w:w="4673" w:type="dxa"/>
            <w:noWrap/>
            <w:hideMark/>
          </w:tcPr>
          <w:p w14:paraId="5C930482" w14:textId="77777777" w:rsidR="00736EBD" w:rsidRPr="00A23A95" w:rsidRDefault="00736EBD">
            <w:pPr>
              <w:rPr>
                <w:sz w:val="20"/>
                <w:szCs w:val="20"/>
              </w:rPr>
            </w:pPr>
            <w:r w:rsidRPr="00A23A95">
              <w:rPr>
                <w:sz w:val="20"/>
                <w:szCs w:val="20"/>
              </w:rPr>
              <w:t>Rehabilitation Medicine</w:t>
            </w:r>
          </w:p>
        </w:tc>
        <w:tc>
          <w:tcPr>
            <w:tcW w:w="4274" w:type="dxa"/>
            <w:noWrap/>
            <w:hideMark/>
          </w:tcPr>
          <w:p w14:paraId="0F20DD4D" w14:textId="77777777" w:rsidR="00736EBD" w:rsidRPr="00A23A95" w:rsidRDefault="00736EBD">
            <w:pPr>
              <w:rPr>
                <w:sz w:val="20"/>
                <w:szCs w:val="20"/>
              </w:rPr>
            </w:pPr>
            <w:r w:rsidRPr="00A23A95">
              <w:rPr>
                <w:sz w:val="20"/>
                <w:szCs w:val="20"/>
              </w:rPr>
              <w:t>Other</w:t>
            </w:r>
          </w:p>
        </w:tc>
      </w:tr>
      <w:tr w:rsidR="00736EBD" w:rsidRPr="00736EBD" w14:paraId="6B445213" w14:textId="77777777" w:rsidTr="00A23A95">
        <w:trPr>
          <w:trHeight w:val="300"/>
        </w:trPr>
        <w:tc>
          <w:tcPr>
            <w:tcW w:w="4673" w:type="dxa"/>
            <w:noWrap/>
            <w:hideMark/>
          </w:tcPr>
          <w:p w14:paraId="11F6A6B4" w14:textId="77777777" w:rsidR="00736EBD" w:rsidRPr="00A23A95" w:rsidRDefault="00736EBD">
            <w:pPr>
              <w:rPr>
                <w:sz w:val="20"/>
                <w:szCs w:val="20"/>
              </w:rPr>
            </w:pPr>
            <w:r w:rsidRPr="00A23A95">
              <w:rPr>
                <w:sz w:val="20"/>
                <w:szCs w:val="20"/>
              </w:rPr>
              <w:t>Diagnostic Radiology</w:t>
            </w:r>
          </w:p>
        </w:tc>
        <w:tc>
          <w:tcPr>
            <w:tcW w:w="4274" w:type="dxa"/>
            <w:noWrap/>
            <w:hideMark/>
          </w:tcPr>
          <w:p w14:paraId="3E6607C1" w14:textId="77777777" w:rsidR="00736EBD" w:rsidRPr="00A23A95" w:rsidRDefault="00736EBD">
            <w:pPr>
              <w:rPr>
                <w:sz w:val="20"/>
                <w:szCs w:val="20"/>
              </w:rPr>
            </w:pPr>
            <w:r w:rsidRPr="00A23A95">
              <w:rPr>
                <w:sz w:val="20"/>
                <w:szCs w:val="20"/>
              </w:rPr>
              <w:t>Other</w:t>
            </w:r>
          </w:p>
        </w:tc>
      </w:tr>
      <w:tr w:rsidR="00736EBD" w:rsidRPr="00736EBD" w14:paraId="28590348" w14:textId="77777777" w:rsidTr="00A23A95">
        <w:trPr>
          <w:trHeight w:val="300"/>
        </w:trPr>
        <w:tc>
          <w:tcPr>
            <w:tcW w:w="4673" w:type="dxa"/>
            <w:noWrap/>
            <w:hideMark/>
          </w:tcPr>
          <w:p w14:paraId="370D9060" w14:textId="77777777" w:rsidR="00736EBD" w:rsidRPr="00A23A95" w:rsidRDefault="00736EBD">
            <w:pPr>
              <w:rPr>
                <w:sz w:val="20"/>
                <w:szCs w:val="20"/>
              </w:rPr>
            </w:pPr>
            <w:r w:rsidRPr="00A23A95">
              <w:rPr>
                <w:sz w:val="20"/>
                <w:szCs w:val="20"/>
              </w:rPr>
              <w:t>Occupational &amp; Environmental Medicine</w:t>
            </w:r>
          </w:p>
        </w:tc>
        <w:tc>
          <w:tcPr>
            <w:tcW w:w="4274" w:type="dxa"/>
            <w:noWrap/>
            <w:hideMark/>
          </w:tcPr>
          <w:p w14:paraId="1E6874E4" w14:textId="77777777" w:rsidR="00736EBD" w:rsidRPr="00A23A95" w:rsidRDefault="00736EBD">
            <w:pPr>
              <w:rPr>
                <w:sz w:val="20"/>
                <w:szCs w:val="20"/>
              </w:rPr>
            </w:pPr>
            <w:r w:rsidRPr="00A23A95">
              <w:rPr>
                <w:sz w:val="20"/>
                <w:szCs w:val="20"/>
              </w:rPr>
              <w:t>Other</w:t>
            </w:r>
          </w:p>
        </w:tc>
      </w:tr>
      <w:tr w:rsidR="00736EBD" w:rsidRPr="00736EBD" w14:paraId="62E149E8" w14:textId="77777777" w:rsidTr="00A23A95">
        <w:trPr>
          <w:trHeight w:val="300"/>
        </w:trPr>
        <w:tc>
          <w:tcPr>
            <w:tcW w:w="4673" w:type="dxa"/>
            <w:noWrap/>
            <w:hideMark/>
          </w:tcPr>
          <w:p w14:paraId="79DF9A53" w14:textId="77777777" w:rsidR="00736EBD" w:rsidRPr="00A23A95" w:rsidRDefault="00736EBD">
            <w:pPr>
              <w:rPr>
                <w:sz w:val="20"/>
                <w:szCs w:val="20"/>
              </w:rPr>
            </w:pPr>
            <w:r w:rsidRPr="00A23A95">
              <w:rPr>
                <w:sz w:val="20"/>
                <w:szCs w:val="20"/>
              </w:rPr>
              <w:t>Addiction Medicine</w:t>
            </w:r>
          </w:p>
        </w:tc>
        <w:tc>
          <w:tcPr>
            <w:tcW w:w="4274" w:type="dxa"/>
            <w:noWrap/>
            <w:hideMark/>
          </w:tcPr>
          <w:p w14:paraId="123052B3" w14:textId="77777777" w:rsidR="00736EBD" w:rsidRPr="00A23A95" w:rsidRDefault="00736EBD">
            <w:pPr>
              <w:rPr>
                <w:sz w:val="20"/>
                <w:szCs w:val="20"/>
              </w:rPr>
            </w:pPr>
            <w:r w:rsidRPr="00A23A95">
              <w:rPr>
                <w:sz w:val="20"/>
                <w:szCs w:val="20"/>
              </w:rPr>
              <w:t>Other</w:t>
            </w:r>
          </w:p>
        </w:tc>
      </w:tr>
      <w:tr w:rsidR="00736EBD" w:rsidRPr="00736EBD" w14:paraId="0F90045B" w14:textId="77777777" w:rsidTr="00A23A95">
        <w:trPr>
          <w:trHeight w:val="300"/>
        </w:trPr>
        <w:tc>
          <w:tcPr>
            <w:tcW w:w="4673" w:type="dxa"/>
            <w:noWrap/>
            <w:hideMark/>
          </w:tcPr>
          <w:p w14:paraId="77DD41EA" w14:textId="77777777" w:rsidR="00736EBD" w:rsidRPr="00A23A95" w:rsidRDefault="00736EBD">
            <w:pPr>
              <w:rPr>
                <w:sz w:val="20"/>
                <w:szCs w:val="20"/>
              </w:rPr>
            </w:pPr>
            <w:r w:rsidRPr="00A23A95">
              <w:rPr>
                <w:sz w:val="20"/>
                <w:szCs w:val="20"/>
              </w:rPr>
              <w:t>Clinical Genetics</w:t>
            </w:r>
          </w:p>
        </w:tc>
        <w:tc>
          <w:tcPr>
            <w:tcW w:w="4274" w:type="dxa"/>
            <w:noWrap/>
            <w:hideMark/>
          </w:tcPr>
          <w:p w14:paraId="7E3698C7" w14:textId="77777777" w:rsidR="00736EBD" w:rsidRPr="00A23A95" w:rsidRDefault="00736EBD">
            <w:pPr>
              <w:rPr>
                <w:sz w:val="20"/>
                <w:szCs w:val="20"/>
              </w:rPr>
            </w:pPr>
            <w:r w:rsidRPr="00A23A95">
              <w:rPr>
                <w:sz w:val="20"/>
                <w:szCs w:val="20"/>
              </w:rPr>
              <w:t>Other</w:t>
            </w:r>
          </w:p>
        </w:tc>
      </w:tr>
      <w:tr w:rsidR="00736EBD" w:rsidRPr="00736EBD" w14:paraId="26B26159" w14:textId="77777777" w:rsidTr="00A23A95">
        <w:trPr>
          <w:trHeight w:val="300"/>
        </w:trPr>
        <w:tc>
          <w:tcPr>
            <w:tcW w:w="4673" w:type="dxa"/>
            <w:noWrap/>
            <w:hideMark/>
          </w:tcPr>
          <w:p w14:paraId="2303C67E" w14:textId="77777777" w:rsidR="00736EBD" w:rsidRPr="00A23A95" w:rsidRDefault="00736EBD">
            <w:pPr>
              <w:rPr>
                <w:sz w:val="20"/>
                <w:szCs w:val="20"/>
              </w:rPr>
            </w:pPr>
            <w:r w:rsidRPr="00A23A95">
              <w:rPr>
                <w:sz w:val="20"/>
                <w:szCs w:val="20"/>
              </w:rPr>
              <w:t>Optometrist</w:t>
            </w:r>
          </w:p>
        </w:tc>
        <w:tc>
          <w:tcPr>
            <w:tcW w:w="4274" w:type="dxa"/>
            <w:noWrap/>
            <w:hideMark/>
          </w:tcPr>
          <w:p w14:paraId="62E2826C" w14:textId="77777777" w:rsidR="00736EBD" w:rsidRPr="00A23A95" w:rsidRDefault="00736EBD">
            <w:pPr>
              <w:rPr>
                <w:sz w:val="20"/>
                <w:szCs w:val="20"/>
              </w:rPr>
            </w:pPr>
            <w:r w:rsidRPr="00A23A95">
              <w:rPr>
                <w:sz w:val="20"/>
                <w:szCs w:val="20"/>
              </w:rPr>
              <w:t>Other</w:t>
            </w:r>
          </w:p>
        </w:tc>
      </w:tr>
    </w:tbl>
    <w:p w14:paraId="315A16A3" w14:textId="281D06D2" w:rsidR="000856D1" w:rsidRDefault="000856D1" w:rsidP="000856D1">
      <w:pPr>
        <w:pStyle w:val="Heading1"/>
      </w:pPr>
      <w:r>
        <w:lastRenderedPageBreak/>
        <w:t>Appendix C</w:t>
      </w:r>
    </w:p>
    <w:p w14:paraId="6C96FD6F" w14:textId="50360C2B" w:rsidR="00493386" w:rsidRDefault="00493386" w:rsidP="000A2C54">
      <w:r>
        <w:t xml:space="preserve">Table C.1 shows the </w:t>
      </w:r>
      <w:r w:rsidRPr="00FB45D8">
        <w:t xml:space="preserve">number of </w:t>
      </w:r>
      <w:r>
        <w:t xml:space="preserve">initiating </w:t>
      </w:r>
      <w:r w:rsidRPr="00FB45D8">
        <w:t>patients in</w:t>
      </w:r>
      <w:r>
        <w:t xml:space="preserve"> each age group between 1 January 2014 and 31 December 2018. </w:t>
      </w:r>
    </w:p>
    <w:p w14:paraId="447DA5D0" w14:textId="61AD2F14" w:rsidR="00493386" w:rsidRPr="00775229" w:rsidRDefault="00493386" w:rsidP="000A2C54">
      <w:pPr>
        <w:pStyle w:val="Tabletitle"/>
      </w:pPr>
      <w:r>
        <w:t>Table C.1: Age and gender of initiating patients</w:t>
      </w:r>
    </w:p>
    <w:tbl>
      <w:tblPr>
        <w:tblW w:w="4645" w:type="dxa"/>
        <w:tblInd w:w="113" w:type="dxa"/>
        <w:tblLayout w:type="fixed"/>
        <w:tblLook w:val="04A0" w:firstRow="1" w:lastRow="0" w:firstColumn="1" w:lastColumn="0" w:noHBand="0" w:noVBand="1"/>
        <w:tblCaption w:val="Age and gender of initiating patients"/>
        <w:tblDescription w:val="Age and gender of initiating patients"/>
      </w:tblPr>
      <w:tblGrid>
        <w:gridCol w:w="1180"/>
        <w:gridCol w:w="1732"/>
        <w:gridCol w:w="1733"/>
      </w:tblGrid>
      <w:tr w:rsidR="00493386" w:rsidRPr="00493386" w14:paraId="581827D4" w14:textId="77777777" w:rsidTr="0087414C">
        <w:trPr>
          <w:trHeight w:val="300"/>
          <w:tblHeader/>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10E88C6" w14:textId="3786514B" w:rsidR="00493386" w:rsidRPr="000A2C54" w:rsidRDefault="00493386" w:rsidP="00493386">
            <w:pPr>
              <w:spacing w:after="0"/>
              <w:rPr>
                <w:rFonts w:ascii="Calibri" w:eastAsia="Times New Roman" w:hAnsi="Calibri" w:cs="Calibri"/>
                <w:b/>
                <w:color w:val="000000"/>
                <w:sz w:val="20"/>
                <w:szCs w:val="20"/>
                <w:highlight w:val="green"/>
              </w:rPr>
            </w:pPr>
          </w:p>
        </w:tc>
        <w:tc>
          <w:tcPr>
            <w:tcW w:w="173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5A1CF6C" w14:textId="36E98CC7" w:rsidR="00493386" w:rsidRPr="000A2C54" w:rsidRDefault="00493386" w:rsidP="00493386">
            <w:pPr>
              <w:spacing w:after="0"/>
              <w:jc w:val="right"/>
              <w:rPr>
                <w:rFonts w:ascii="Calibri" w:eastAsia="Times New Roman" w:hAnsi="Calibri" w:cs="Calibri"/>
                <w:b/>
                <w:color w:val="000000"/>
                <w:sz w:val="20"/>
                <w:szCs w:val="20"/>
                <w:highlight w:val="green"/>
              </w:rPr>
            </w:pPr>
            <w:r w:rsidRPr="000A2C54">
              <w:rPr>
                <w:rFonts w:ascii="Calibri" w:hAnsi="Calibri" w:cs="Calibri"/>
                <w:b/>
                <w:color w:val="000000"/>
                <w:sz w:val="20"/>
                <w:szCs w:val="20"/>
              </w:rPr>
              <w:t>Female patients</w:t>
            </w:r>
          </w:p>
        </w:tc>
        <w:tc>
          <w:tcPr>
            <w:tcW w:w="173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B9F449D" w14:textId="38CA82AA" w:rsidR="00493386" w:rsidRPr="000A2C54" w:rsidRDefault="00493386" w:rsidP="00493386">
            <w:pPr>
              <w:spacing w:after="0"/>
              <w:jc w:val="right"/>
              <w:rPr>
                <w:rFonts w:ascii="Calibri" w:eastAsia="Times New Roman" w:hAnsi="Calibri" w:cs="Calibri"/>
                <w:b/>
                <w:color w:val="000000"/>
                <w:sz w:val="20"/>
                <w:szCs w:val="20"/>
                <w:highlight w:val="green"/>
              </w:rPr>
            </w:pPr>
            <w:r w:rsidRPr="000A2C54">
              <w:rPr>
                <w:rFonts w:ascii="Calibri" w:hAnsi="Calibri" w:cs="Calibri"/>
                <w:b/>
                <w:color w:val="000000"/>
                <w:sz w:val="20"/>
                <w:szCs w:val="20"/>
              </w:rPr>
              <w:t>Male patients</w:t>
            </w:r>
          </w:p>
        </w:tc>
      </w:tr>
      <w:tr w:rsidR="00493386" w:rsidRPr="002130A7" w14:paraId="555851EE" w14:textId="77777777" w:rsidTr="000A2C5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1BCE654" w14:textId="4C037B77" w:rsidR="00493386" w:rsidRPr="000A2C54" w:rsidRDefault="00493386" w:rsidP="00493386">
            <w:pPr>
              <w:spacing w:after="0"/>
              <w:rPr>
                <w:rFonts w:ascii="Calibri" w:eastAsia="Times New Roman" w:hAnsi="Calibri" w:cs="Calibri"/>
                <w:color w:val="000000"/>
                <w:sz w:val="20"/>
                <w:szCs w:val="20"/>
                <w:highlight w:val="green"/>
              </w:rPr>
            </w:pPr>
            <w:r w:rsidRPr="000A2C54">
              <w:rPr>
                <w:rFonts w:ascii="Calibri" w:hAnsi="Calibri" w:cs="Calibri"/>
                <w:color w:val="000000"/>
                <w:sz w:val="20"/>
                <w:szCs w:val="20"/>
              </w:rPr>
              <w:t xml:space="preserve"> 0-4  </w:t>
            </w:r>
            <w:proofErr w:type="spellStart"/>
            <w:r w:rsidRPr="000A2C54">
              <w:rPr>
                <w:rFonts w:ascii="Calibri" w:hAnsi="Calibri" w:cs="Calibri"/>
                <w:color w:val="000000"/>
                <w:sz w:val="20"/>
                <w:szCs w:val="20"/>
              </w:rPr>
              <w:t>yrs</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36DCF716" w14:textId="3CA4578D"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46</w:t>
            </w:r>
          </w:p>
        </w:tc>
        <w:tc>
          <w:tcPr>
            <w:tcW w:w="1733" w:type="dxa"/>
            <w:tcBorders>
              <w:top w:val="nil"/>
              <w:left w:val="nil"/>
              <w:bottom w:val="single" w:sz="4" w:space="0" w:color="auto"/>
              <w:right w:val="single" w:sz="4" w:space="0" w:color="auto"/>
            </w:tcBorders>
            <w:shd w:val="clear" w:color="auto" w:fill="auto"/>
            <w:noWrap/>
            <w:vAlign w:val="bottom"/>
            <w:hideMark/>
          </w:tcPr>
          <w:p w14:paraId="55FFE746" w14:textId="07BF9577"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15</w:t>
            </w:r>
          </w:p>
        </w:tc>
      </w:tr>
      <w:tr w:rsidR="00493386" w:rsidRPr="002130A7" w14:paraId="1C7C0027" w14:textId="77777777" w:rsidTr="000A2C5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84BE7B6" w14:textId="5BD5B684" w:rsidR="00493386" w:rsidRPr="000A2C54" w:rsidRDefault="00493386" w:rsidP="00493386">
            <w:pPr>
              <w:spacing w:after="0"/>
              <w:rPr>
                <w:rFonts w:ascii="Calibri" w:eastAsia="Times New Roman" w:hAnsi="Calibri" w:cs="Calibri"/>
                <w:color w:val="000000"/>
                <w:sz w:val="20"/>
                <w:szCs w:val="20"/>
                <w:highlight w:val="green"/>
              </w:rPr>
            </w:pPr>
            <w:r w:rsidRPr="000A2C54">
              <w:rPr>
                <w:rFonts w:ascii="Calibri" w:hAnsi="Calibri" w:cs="Calibri"/>
                <w:color w:val="000000"/>
                <w:sz w:val="20"/>
                <w:szCs w:val="20"/>
              </w:rPr>
              <w:t xml:space="preserve"> 5-9  </w:t>
            </w:r>
            <w:proofErr w:type="spellStart"/>
            <w:r w:rsidRPr="000A2C54">
              <w:rPr>
                <w:rFonts w:ascii="Calibri" w:hAnsi="Calibri" w:cs="Calibri"/>
                <w:color w:val="000000"/>
                <w:sz w:val="20"/>
                <w:szCs w:val="20"/>
              </w:rPr>
              <w:t>yrs</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5304F933" w14:textId="30C7E050"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563</w:t>
            </w:r>
          </w:p>
        </w:tc>
        <w:tc>
          <w:tcPr>
            <w:tcW w:w="1733" w:type="dxa"/>
            <w:tcBorders>
              <w:top w:val="nil"/>
              <w:left w:val="nil"/>
              <w:bottom w:val="single" w:sz="4" w:space="0" w:color="auto"/>
              <w:right w:val="single" w:sz="4" w:space="0" w:color="auto"/>
            </w:tcBorders>
            <w:shd w:val="clear" w:color="auto" w:fill="auto"/>
            <w:noWrap/>
            <w:vAlign w:val="bottom"/>
            <w:hideMark/>
          </w:tcPr>
          <w:p w14:paraId="00D8E955" w14:textId="7EF52849"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87</w:t>
            </w:r>
          </w:p>
        </w:tc>
      </w:tr>
      <w:tr w:rsidR="00493386" w:rsidRPr="002130A7" w14:paraId="7A8253D8" w14:textId="77777777" w:rsidTr="000A2C5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C1E9A54" w14:textId="1E1786D0" w:rsidR="00493386" w:rsidRPr="000A2C54" w:rsidRDefault="00493386" w:rsidP="00493386">
            <w:pPr>
              <w:spacing w:after="0"/>
              <w:rPr>
                <w:rFonts w:ascii="Calibri" w:eastAsia="Times New Roman" w:hAnsi="Calibri" w:cs="Calibri"/>
                <w:color w:val="000000"/>
                <w:sz w:val="20"/>
                <w:szCs w:val="20"/>
                <w:highlight w:val="green"/>
              </w:rPr>
            </w:pPr>
            <w:r w:rsidRPr="000A2C54">
              <w:rPr>
                <w:rFonts w:ascii="Calibri" w:hAnsi="Calibri" w:cs="Calibri"/>
                <w:color w:val="000000"/>
                <w:sz w:val="20"/>
                <w:szCs w:val="20"/>
              </w:rPr>
              <w:t xml:space="preserve">10-14 </w:t>
            </w:r>
            <w:proofErr w:type="spellStart"/>
            <w:r w:rsidRPr="000A2C54">
              <w:rPr>
                <w:rFonts w:ascii="Calibri" w:hAnsi="Calibri" w:cs="Calibri"/>
                <w:color w:val="000000"/>
                <w:sz w:val="20"/>
                <w:szCs w:val="20"/>
              </w:rPr>
              <w:t>yrs</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1D137CC5" w14:textId="079B8AA5"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149</w:t>
            </w:r>
          </w:p>
        </w:tc>
        <w:tc>
          <w:tcPr>
            <w:tcW w:w="1733" w:type="dxa"/>
            <w:tcBorders>
              <w:top w:val="nil"/>
              <w:left w:val="nil"/>
              <w:bottom w:val="single" w:sz="4" w:space="0" w:color="auto"/>
              <w:right w:val="single" w:sz="4" w:space="0" w:color="auto"/>
            </w:tcBorders>
            <w:shd w:val="clear" w:color="auto" w:fill="auto"/>
            <w:noWrap/>
            <w:vAlign w:val="bottom"/>
            <w:hideMark/>
          </w:tcPr>
          <w:p w14:paraId="0FA6511C" w14:textId="75228E71"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100</w:t>
            </w:r>
          </w:p>
        </w:tc>
      </w:tr>
      <w:tr w:rsidR="00493386" w:rsidRPr="002130A7" w14:paraId="1257BBC8" w14:textId="77777777" w:rsidTr="000A2C5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4D779E8" w14:textId="49BF6F39" w:rsidR="00493386" w:rsidRPr="000A2C54" w:rsidRDefault="00493386" w:rsidP="00493386">
            <w:pPr>
              <w:spacing w:after="0"/>
              <w:rPr>
                <w:rFonts w:ascii="Calibri" w:eastAsia="Times New Roman" w:hAnsi="Calibri" w:cs="Calibri"/>
                <w:color w:val="000000"/>
                <w:sz w:val="20"/>
                <w:szCs w:val="20"/>
                <w:highlight w:val="green"/>
              </w:rPr>
            </w:pPr>
            <w:r w:rsidRPr="000A2C54">
              <w:rPr>
                <w:rFonts w:ascii="Calibri" w:hAnsi="Calibri" w:cs="Calibri"/>
                <w:color w:val="000000"/>
                <w:sz w:val="20"/>
                <w:szCs w:val="20"/>
              </w:rPr>
              <w:t xml:space="preserve">15-19 </w:t>
            </w:r>
            <w:proofErr w:type="spellStart"/>
            <w:r w:rsidRPr="000A2C54">
              <w:rPr>
                <w:rFonts w:ascii="Calibri" w:hAnsi="Calibri" w:cs="Calibri"/>
                <w:color w:val="000000"/>
                <w:sz w:val="20"/>
                <w:szCs w:val="20"/>
              </w:rPr>
              <w:t>yrs</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096C9D9D" w14:textId="501AC662"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394</w:t>
            </w:r>
          </w:p>
        </w:tc>
        <w:tc>
          <w:tcPr>
            <w:tcW w:w="1733" w:type="dxa"/>
            <w:tcBorders>
              <w:top w:val="nil"/>
              <w:left w:val="nil"/>
              <w:bottom w:val="single" w:sz="4" w:space="0" w:color="auto"/>
              <w:right w:val="single" w:sz="4" w:space="0" w:color="auto"/>
            </w:tcBorders>
            <w:shd w:val="clear" w:color="auto" w:fill="auto"/>
            <w:noWrap/>
            <w:vAlign w:val="bottom"/>
            <w:hideMark/>
          </w:tcPr>
          <w:p w14:paraId="26E74BE8" w14:textId="2E396DED"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67</w:t>
            </w:r>
          </w:p>
        </w:tc>
      </w:tr>
      <w:tr w:rsidR="00493386" w:rsidRPr="002130A7" w14:paraId="09D0EEE2" w14:textId="77777777" w:rsidTr="000A2C5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ACB997C" w14:textId="6C3AEC25" w:rsidR="00493386" w:rsidRPr="000A2C54" w:rsidRDefault="00493386" w:rsidP="00493386">
            <w:pPr>
              <w:spacing w:after="0"/>
              <w:rPr>
                <w:rFonts w:ascii="Calibri" w:eastAsia="Times New Roman" w:hAnsi="Calibri" w:cs="Calibri"/>
                <w:color w:val="000000"/>
                <w:sz w:val="20"/>
                <w:szCs w:val="20"/>
                <w:highlight w:val="green"/>
              </w:rPr>
            </w:pPr>
            <w:r w:rsidRPr="000A2C54">
              <w:rPr>
                <w:rFonts w:ascii="Calibri" w:hAnsi="Calibri" w:cs="Calibri"/>
                <w:color w:val="000000"/>
                <w:sz w:val="20"/>
                <w:szCs w:val="20"/>
              </w:rPr>
              <w:t xml:space="preserve">20-24 </w:t>
            </w:r>
            <w:proofErr w:type="spellStart"/>
            <w:r w:rsidRPr="000A2C54">
              <w:rPr>
                <w:rFonts w:ascii="Calibri" w:hAnsi="Calibri" w:cs="Calibri"/>
                <w:color w:val="000000"/>
                <w:sz w:val="20"/>
                <w:szCs w:val="20"/>
              </w:rPr>
              <w:t>yrs</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7FCBFBDD" w14:textId="2B82397C"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1,060</w:t>
            </w:r>
          </w:p>
        </w:tc>
        <w:tc>
          <w:tcPr>
            <w:tcW w:w="1733" w:type="dxa"/>
            <w:tcBorders>
              <w:top w:val="nil"/>
              <w:left w:val="nil"/>
              <w:bottom w:val="single" w:sz="4" w:space="0" w:color="auto"/>
              <w:right w:val="single" w:sz="4" w:space="0" w:color="auto"/>
            </w:tcBorders>
            <w:shd w:val="clear" w:color="auto" w:fill="auto"/>
            <w:noWrap/>
            <w:vAlign w:val="bottom"/>
            <w:hideMark/>
          </w:tcPr>
          <w:p w14:paraId="4F8A5AF9" w14:textId="3DE40F35"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24</w:t>
            </w:r>
          </w:p>
        </w:tc>
      </w:tr>
      <w:tr w:rsidR="00493386" w:rsidRPr="002130A7" w14:paraId="67CB6041" w14:textId="77777777" w:rsidTr="000A2C5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F690136" w14:textId="712830D4" w:rsidR="00493386" w:rsidRPr="000A2C54" w:rsidRDefault="00493386" w:rsidP="00493386">
            <w:pPr>
              <w:spacing w:after="0"/>
              <w:rPr>
                <w:rFonts w:ascii="Calibri" w:eastAsia="Times New Roman" w:hAnsi="Calibri" w:cs="Calibri"/>
                <w:color w:val="000000"/>
                <w:sz w:val="20"/>
                <w:szCs w:val="20"/>
                <w:highlight w:val="green"/>
              </w:rPr>
            </w:pPr>
            <w:r w:rsidRPr="000A2C54">
              <w:rPr>
                <w:rFonts w:ascii="Calibri" w:hAnsi="Calibri" w:cs="Calibri"/>
                <w:color w:val="000000"/>
                <w:sz w:val="20"/>
                <w:szCs w:val="20"/>
              </w:rPr>
              <w:t xml:space="preserve">25-29 </w:t>
            </w:r>
            <w:proofErr w:type="spellStart"/>
            <w:r w:rsidRPr="000A2C54">
              <w:rPr>
                <w:rFonts w:ascii="Calibri" w:hAnsi="Calibri" w:cs="Calibri"/>
                <w:color w:val="000000"/>
                <w:sz w:val="20"/>
                <w:szCs w:val="20"/>
              </w:rPr>
              <w:t>yrs</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6A60356E" w14:textId="2DE62748"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1,735</w:t>
            </w:r>
          </w:p>
        </w:tc>
        <w:tc>
          <w:tcPr>
            <w:tcW w:w="1733" w:type="dxa"/>
            <w:tcBorders>
              <w:top w:val="nil"/>
              <w:left w:val="nil"/>
              <w:bottom w:val="single" w:sz="4" w:space="0" w:color="auto"/>
              <w:right w:val="single" w:sz="4" w:space="0" w:color="auto"/>
            </w:tcBorders>
            <w:shd w:val="clear" w:color="auto" w:fill="auto"/>
            <w:noWrap/>
            <w:vAlign w:val="bottom"/>
            <w:hideMark/>
          </w:tcPr>
          <w:p w14:paraId="07EE9B60" w14:textId="717DCF24"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26</w:t>
            </w:r>
          </w:p>
        </w:tc>
      </w:tr>
      <w:tr w:rsidR="00493386" w:rsidRPr="002130A7" w14:paraId="38B01C73" w14:textId="77777777" w:rsidTr="000A2C5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038882A" w14:textId="02809E0E" w:rsidR="00493386" w:rsidRPr="000A2C54" w:rsidRDefault="00493386" w:rsidP="00493386">
            <w:pPr>
              <w:spacing w:after="0"/>
              <w:rPr>
                <w:rFonts w:ascii="Calibri" w:eastAsia="Times New Roman" w:hAnsi="Calibri" w:cs="Calibri"/>
                <w:color w:val="000000"/>
                <w:sz w:val="20"/>
                <w:szCs w:val="20"/>
                <w:highlight w:val="green"/>
              </w:rPr>
            </w:pPr>
            <w:r w:rsidRPr="000A2C54">
              <w:rPr>
                <w:rFonts w:ascii="Calibri" w:hAnsi="Calibri" w:cs="Calibri"/>
                <w:color w:val="000000"/>
                <w:sz w:val="20"/>
                <w:szCs w:val="20"/>
              </w:rPr>
              <w:t xml:space="preserve">30-34 </w:t>
            </w:r>
            <w:proofErr w:type="spellStart"/>
            <w:r w:rsidRPr="000A2C54">
              <w:rPr>
                <w:rFonts w:ascii="Calibri" w:hAnsi="Calibri" w:cs="Calibri"/>
                <w:color w:val="000000"/>
                <w:sz w:val="20"/>
                <w:szCs w:val="20"/>
              </w:rPr>
              <w:t>yrs</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13CC71FA" w14:textId="1B3C29DF"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3,522</w:t>
            </w:r>
          </w:p>
        </w:tc>
        <w:tc>
          <w:tcPr>
            <w:tcW w:w="1733" w:type="dxa"/>
            <w:tcBorders>
              <w:top w:val="nil"/>
              <w:left w:val="nil"/>
              <w:bottom w:val="single" w:sz="4" w:space="0" w:color="auto"/>
              <w:right w:val="single" w:sz="4" w:space="0" w:color="auto"/>
            </w:tcBorders>
            <w:shd w:val="clear" w:color="auto" w:fill="auto"/>
            <w:noWrap/>
            <w:vAlign w:val="bottom"/>
            <w:hideMark/>
          </w:tcPr>
          <w:p w14:paraId="253D3893" w14:textId="6E1F1EFC"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38</w:t>
            </w:r>
          </w:p>
        </w:tc>
      </w:tr>
      <w:tr w:rsidR="00493386" w:rsidRPr="002130A7" w14:paraId="53E2CCD4" w14:textId="77777777" w:rsidTr="000A2C5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7404AE8" w14:textId="3AF4AB9F" w:rsidR="00493386" w:rsidRPr="000A2C54" w:rsidRDefault="00493386" w:rsidP="00493386">
            <w:pPr>
              <w:spacing w:after="0"/>
              <w:rPr>
                <w:rFonts w:ascii="Calibri" w:eastAsia="Times New Roman" w:hAnsi="Calibri" w:cs="Calibri"/>
                <w:color w:val="000000"/>
                <w:sz w:val="20"/>
                <w:szCs w:val="20"/>
                <w:highlight w:val="green"/>
              </w:rPr>
            </w:pPr>
            <w:r w:rsidRPr="000A2C54">
              <w:rPr>
                <w:rFonts w:ascii="Calibri" w:hAnsi="Calibri" w:cs="Calibri"/>
                <w:color w:val="000000"/>
                <w:sz w:val="20"/>
                <w:szCs w:val="20"/>
              </w:rPr>
              <w:t xml:space="preserve">35-39 </w:t>
            </w:r>
            <w:proofErr w:type="spellStart"/>
            <w:r w:rsidRPr="000A2C54">
              <w:rPr>
                <w:rFonts w:ascii="Calibri" w:hAnsi="Calibri" w:cs="Calibri"/>
                <w:color w:val="000000"/>
                <w:sz w:val="20"/>
                <w:szCs w:val="20"/>
              </w:rPr>
              <w:t>yrs</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58868C08" w14:textId="5768D930"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4,369</w:t>
            </w:r>
          </w:p>
        </w:tc>
        <w:tc>
          <w:tcPr>
            <w:tcW w:w="1733" w:type="dxa"/>
            <w:tcBorders>
              <w:top w:val="nil"/>
              <w:left w:val="nil"/>
              <w:bottom w:val="single" w:sz="4" w:space="0" w:color="auto"/>
              <w:right w:val="single" w:sz="4" w:space="0" w:color="auto"/>
            </w:tcBorders>
            <w:shd w:val="clear" w:color="auto" w:fill="auto"/>
            <w:noWrap/>
            <w:vAlign w:val="bottom"/>
            <w:hideMark/>
          </w:tcPr>
          <w:p w14:paraId="3CB7025F" w14:textId="6C60EBE3"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48</w:t>
            </w:r>
          </w:p>
        </w:tc>
      </w:tr>
      <w:tr w:rsidR="00493386" w:rsidRPr="002130A7" w14:paraId="4F0D13D5" w14:textId="77777777" w:rsidTr="000A2C5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ED8C472" w14:textId="5D46616B" w:rsidR="00493386" w:rsidRPr="000A2C54" w:rsidRDefault="00493386" w:rsidP="00493386">
            <w:pPr>
              <w:spacing w:after="0"/>
              <w:rPr>
                <w:rFonts w:ascii="Calibri" w:eastAsia="Times New Roman" w:hAnsi="Calibri" w:cs="Calibri"/>
                <w:color w:val="000000"/>
                <w:sz w:val="20"/>
                <w:szCs w:val="20"/>
                <w:highlight w:val="green"/>
              </w:rPr>
            </w:pPr>
            <w:r w:rsidRPr="000A2C54">
              <w:rPr>
                <w:rFonts w:ascii="Calibri" w:hAnsi="Calibri" w:cs="Calibri"/>
                <w:color w:val="000000"/>
                <w:sz w:val="20"/>
                <w:szCs w:val="20"/>
              </w:rPr>
              <w:t xml:space="preserve">40-44 </w:t>
            </w:r>
            <w:proofErr w:type="spellStart"/>
            <w:r w:rsidRPr="000A2C54">
              <w:rPr>
                <w:rFonts w:ascii="Calibri" w:hAnsi="Calibri" w:cs="Calibri"/>
                <w:color w:val="000000"/>
                <w:sz w:val="20"/>
                <w:szCs w:val="20"/>
              </w:rPr>
              <w:t>yrs</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1CF524AE" w14:textId="70142CBF"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4,453</w:t>
            </w:r>
          </w:p>
        </w:tc>
        <w:tc>
          <w:tcPr>
            <w:tcW w:w="1733" w:type="dxa"/>
            <w:tcBorders>
              <w:top w:val="nil"/>
              <w:left w:val="nil"/>
              <w:bottom w:val="single" w:sz="4" w:space="0" w:color="auto"/>
              <w:right w:val="single" w:sz="4" w:space="0" w:color="auto"/>
            </w:tcBorders>
            <w:shd w:val="clear" w:color="auto" w:fill="auto"/>
            <w:noWrap/>
            <w:vAlign w:val="bottom"/>
            <w:hideMark/>
          </w:tcPr>
          <w:p w14:paraId="038CE3D5" w14:textId="51058449"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86</w:t>
            </w:r>
          </w:p>
        </w:tc>
      </w:tr>
      <w:tr w:rsidR="00493386" w:rsidRPr="002130A7" w14:paraId="6BB78C87" w14:textId="77777777" w:rsidTr="000A2C5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3BEA7B9" w14:textId="5BB0C9BF" w:rsidR="00493386" w:rsidRPr="000A2C54" w:rsidRDefault="00493386" w:rsidP="00493386">
            <w:pPr>
              <w:spacing w:after="0"/>
              <w:rPr>
                <w:rFonts w:ascii="Calibri" w:eastAsia="Times New Roman" w:hAnsi="Calibri" w:cs="Calibri"/>
                <w:color w:val="000000"/>
                <w:sz w:val="20"/>
                <w:szCs w:val="20"/>
                <w:highlight w:val="green"/>
              </w:rPr>
            </w:pPr>
            <w:r w:rsidRPr="000A2C54">
              <w:rPr>
                <w:rFonts w:ascii="Calibri" w:hAnsi="Calibri" w:cs="Calibri"/>
                <w:color w:val="000000"/>
                <w:sz w:val="20"/>
                <w:szCs w:val="20"/>
              </w:rPr>
              <w:t xml:space="preserve">45-49 </w:t>
            </w:r>
            <w:proofErr w:type="spellStart"/>
            <w:r w:rsidRPr="000A2C54">
              <w:rPr>
                <w:rFonts w:ascii="Calibri" w:hAnsi="Calibri" w:cs="Calibri"/>
                <w:color w:val="000000"/>
                <w:sz w:val="20"/>
                <w:szCs w:val="20"/>
              </w:rPr>
              <w:t>yrs</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043539C7" w14:textId="28388D70"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3,163</w:t>
            </w:r>
          </w:p>
        </w:tc>
        <w:tc>
          <w:tcPr>
            <w:tcW w:w="1733" w:type="dxa"/>
            <w:tcBorders>
              <w:top w:val="nil"/>
              <w:left w:val="nil"/>
              <w:bottom w:val="single" w:sz="4" w:space="0" w:color="auto"/>
              <w:right w:val="single" w:sz="4" w:space="0" w:color="auto"/>
            </w:tcBorders>
            <w:shd w:val="clear" w:color="auto" w:fill="auto"/>
            <w:noWrap/>
            <w:vAlign w:val="bottom"/>
            <w:hideMark/>
          </w:tcPr>
          <w:p w14:paraId="08F64B68" w14:textId="1C96CE7E"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198</w:t>
            </w:r>
          </w:p>
        </w:tc>
      </w:tr>
      <w:tr w:rsidR="00493386" w:rsidRPr="002130A7" w14:paraId="2A565860" w14:textId="77777777" w:rsidTr="000A2C5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B96F646" w14:textId="607C7237" w:rsidR="00493386" w:rsidRPr="000A2C54" w:rsidRDefault="00493386" w:rsidP="00493386">
            <w:pPr>
              <w:spacing w:after="0"/>
              <w:rPr>
                <w:rFonts w:ascii="Calibri" w:eastAsia="Times New Roman" w:hAnsi="Calibri" w:cs="Calibri"/>
                <w:color w:val="000000"/>
                <w:sz w:val="20"/>
                <w:szCs w:val="20"/>
                <w:highlight w:val="green"/>
              </w:rPr>
            </w:pPr>
            <w:r w:rsidRPr="000A2C54">
              <w:rPr>
                <w:rFonts w:ascii="Calibri" w:hAnsi="Calibri" w:cs="Calibri"/>
                <w:color w:val="000000"/>
                <w:sz w:val="20"/>
                <w:szCs w:val="20"/>
              </w:rPr>
              <w:t xml:space="preserve">50-54 </w:t>
            </w:r>
            <w:proofErr w:type="spellStart"/>
            <w:r w:rsidRPr="000A2C54">
              <w:rPr>
                <w:rFonts w:ascii="Calibri" w:hAnsi="Calibri" w:cs="Calibri"/>
                <w:color w:val="000000"/>
                <w:sz w:val="20"/>
                <w:szCs w:val="20"/>
              </w:rPr>
              <w:t>yrs</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6972D689" w14:textId="21369BE6"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1,168</w:t>
            </w:r>
          </w:p>
        </w:tc>
        <w:tc>
          <w:tcPr>
            <w:tcW w:w="1733" w:type="dxa"/>
            <w:tcBorders>
              <w:top w:val="nil"/>
              <w:left w:val="nil"/>
              <w:bottom w:val="single" w:sz="4" w:space="0" w:color="auto"/>
              <w:right w:val="single" w:sz="4" w:space="0" w:color="auto"/>
            </w:tcBorders>
            <w:shd w:val="clear" w:color="auto" w:fill="auto"/>
            <w:noWrap/>
            <w:vAlign w:val="bottom"/>
            <w:hideMark/>
          </w:tcPr>
          <w:p w14:paraId="759D3064" w14:textId="470779F5"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738</w:t>
            </w:r>
          </w:p>
        </w:tc>
      </w:tr>
      <w:tr w:rsidR="00493386" w:rsidRPr="002130A7" w14:paraId="1B23F3E1" w14:textId="77777777" w:rsidTr="000A2C5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D893204" w14:textId="04DE76B6" w:rsidR="00493386" w:rsidRPr="000A2C54" w:rsidRDefault="00493386" w:rsidP="00493386">
            <w:pPr>
              <w:spacing w:after="0"/>
              <w:rPr>
                <w:rFonts w:ascii="Calibri" w:eastAsia="Times New Roman" w:hAnsi="Calibri" w:cs="Calibri"/>
                <w:color w:val="000000"/>
                <w:sz w:val="20"/>
                <w:szCs w:val="20"/>
                <w:highlight w:val="green"/>
              </w:rPr>
            </w:pPr>
            <w:r w:rsidRPr="000A2C54">
              <w:rPr>
                <w:rFonts w:ascii="Calibri" w:hAnsi="Calibri" w:cs="Calibri"/>
                <w:color w:val="000000"/>
                <w:sz w:val="20"/>
                <w:szCs w:val="20"/>
              </w:rPr>
              <w:t xml:space="preserve">55-59 </w:t>
            </w:r>
            <w:proofErr w:type="spellStart"/>
            <w:r w:rsidRPr="000A2C54">
              <w:rPr>
                <w:rFonts w:ascii="Calibri" w:hAnsi="Calibri" w:cs="Calibri"/>
                <w:color w:val="000000"/>
                <w:sz w:val="20"/>
                <w:szCs w:val="20"/>
              </w:rPr>
              <w:t>yrs</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2350A6CF" w14:textId="657CDB43"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128</w:t>
            </w:r>
          </w:p>
        </w:tc>
        <w:tc>
          <w:tcPr>
            <w:tcW w:w="1733" w:type="dxa"/>
            <w:tcBorders>
              <w:top w:val="nil"/>
              <w:left w:val="nil"/>
              <w:bottom w:val="single" w:sz="4" w:space="0" w:color="auto"/>
              <w:right w:val="single" w:sz="4" w:space="0" w:color="auto"/>
            </w:tcBorders>
            <w:shd w:val="clear" w:color="auto" w:fill="auto"/>
            <w:noWrap/>
            <w:vAlign w:val="bottom"/>
            <w:hideMark/>
          </w:tcPr>
          <w:p w14:paraId="681C277E" w14:textId="01F48D8F"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2,142</w:t>
            </w:r>
          </w:p>
        </w:tc>
      </w:tr>
      <w:tr w:rsidR="00493386" w:rsidRPr="002130A7" w14:paraId="29C1A830" w14:textId="77777777" w:rsidTr="000A2C5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D4FAFD1" w14:textId="1DE74FDD" w:rsidR="00493386" w:rsidRPr="000A2C54" w:rsidRDefault="00493386" w:rsidP="00493386">
            <w:pPr>
              <w:spacing w:after="0"/>
              <w:rPr>
                <w:rFonts w:ascii="Calibri" w:eastAsia="Times New Roman" w:hAnsi="Calibri" w:cs="Calibri"/>
                <w:color w:val="000000"/>
                <w:sz w:val="20"/>
                <w:szCs w:val="20"/>
                <w:highlight w:val="green"/>
              </w:rPr>
            </w:pPr>
            <w:r w:rsidRPr="000A2C54">
              <w:rPr>
                <w:rFonts w:ascii="Calibri" w:hAnsi="Calibri" w:cs="Calibri"/>
                <w:color w:val="000000"/>
                <w:sz w:val="20"/>
                <w:szCs w:val="20"/>
              </w:rPr>
              <w:t xml:space="preserve">60-64 </w:t>
            </w:r>
            <w:proofErr w:type="spellStart"/>
            <w:r w:rsidRPr="000A2C54">
              <w:rPr>
                <w:rFonts w:ascii="Calibri" w:hAnsi="Calibri" w:cs="Calibri"/>
                <w:color w:val="000000"/>
                <w:sz w:val="20"/>
                <w:szCs w:val="20"/>
              </w:rPr>
              <w:t>yrs</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0518BDCB" w14:textId="4DEF8B82"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53</w:t>
            </w:r>
          </w:p>
        </w:tc>
        <w:tc>
          <w:tcPr>
            <w:tcW w:w="1733" w:type="dxa"/>
            <w:tcBorders>
              <w:top w:val="nil"/>
              <w:left w:val="nil"/>
              <w:bottom w:val="single" w:sz="4" w:space="0" w:color="auto"/>
              <w:right w:val="single" w:sz="4" w:space="0" w:color="auto"/>
            </w:tcBorders>
            <w:shd w:val="clear" w:color="auto" w:fill="auto"/>
            <w:noWrap/>
            <w:vAlign w:val="bottom"/>
            <w:hideMark/>
          </w:tcPr>
          <w:p w14:paraId="2135D88F" w14:textId="79C7C9DF"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5,063</w:t>
            </w:r>
          </w:p>
        </w:tc>
      </w:tr>
      <w:tr w:rsidR="00493386" w:rsidRPr="002130A7" w14:paraId="52032761" w14:textId="77777777" w:rsidTr="000A2C5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55E02CC" w14:textId="00987371" w:rsidR="00493386" w:rsidRPr="000A2C54" w:rsidRDefault="00493386" w:rsidP="00493386">
            <w:pPr>
              <w:spacing w:after="0"/>
              <w:rPr>
                <w:rFonts w:ascii="Calibri" w:eastAsia="Times New Roman" w:hAnsi="Calibri" w:cs="Calibri"/>
                <w:color w:val="000000"/>
                <w:sz w:val="20"/>
                <w:szCs w:val="20"/>
                <w:highlight w:val="green"/>
              </w:rPr>
            </w:pPr>
            <w:r w:rsidRPr="000A2C54">
              <w:rPr>
                <w:rFonts w:ascii="Calibri" w:hAnsi="Calibri" w:cs="Calibri"/>
                <w:color w:val="000000"/>
                <w:sz w:val="20"/>
                <w:szCs w:val="20"/>
              </w:rPr>
              <w:t xml:space="preserve">65-69 </w:t>
            </w:r>
            <w:proofErr w:type="spellStart"/>
            <w:r w:rsidRPr="000A2C54">
              <w:rPr>
                <w:rFonts w:ascii="Calibri" w:hAnsi="Calibri" w:cs="Calibri"/>
                <w:color w:val="000000"/>
                <w:sz w:val="20"/>
                <w:szCs w:val="20"/>
              </w:rPr>
              <w:t>yrs</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029DF8EC" w14:textId="73915A3D"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82</w:t>
            </w:r>
          </w:p>
        </w:tc>
        <w:tc>
          <w:tcPr>
            <w:tcW w:w="1733" w:type="dxa"/>
            <w:tcBorders>
              <w:top w:val="nil"/>
              <w:left w:val="nil"/>
              <w:bottom w:val="single" w:sz="4" w:space="0" w:color="auto"/>
              <w:right w:val="single" w:sz="4" w:space="0" w:color="auto"/>
            </w:tcBorders>
            <w:shd w:val="clear" w:color="auto" w:fill="auto"/>
            <w:noWrap/>
            <w:vAlign w:val="bottom"/>
            <w:hideMark/>
          </w:tcPr>
          <w:p w14:paraId="01631AAE" w14:textId="2A3FCC1A"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9,838</w:t>
            </w:r>
          </w:p>
        </w:tc>
      </w:tr>
      <w:tr w:rsidR="00493386" w:rsidRPr="002130A7" w14:paraId="632EFC42" w14:textId="77777777" w:rsidTr="000A2C5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E0A9E7B" w14:textId="6C85BCB6" w:rsidR="00493386" w:rsidRPr="000A2C54" w:rsidRDefault="00493386" w:rsidP="00493386">
            <w:pPr>
              <w:spacing w:after="0"/>
              <w:rPr>
                <w:rFonts w:ascii="Calibri" w:eastAsia="Times New Roman" w:hAnsi="Calibri" w:cs="Calibri"/>
                <w:color w:val="000000"/>
                <w:sz w:val="20"/>
                <w:szCs w:val="20"/>
                <w:highlight w:val="green"/>
              </w:rPr>
            </w:pPr>
            <w:r w:rsidRPr="000A2C54">
              <w:rPr>
                <w:rFonts w:ascii="Calibri" w:hAnsi="Calibri" w:cs="Calibri"/>
                <w:color w:val="000000"/>
                <w:sz w:val="20"/>
                <w:szCs w:val="20"/>
              </w:rPr>
              <w:t xml:space="preserve">70-74 </w:t>
            </w:r>
            <w:proofErr w:type="spellStart"/>
            <w:r w:rsidRPr="000A2C54">
              <w:rPr>
                <w:rFonts w:ascii="Calibri" w:hAnsi="Calibri" w:cs="Calibri"/>
                <w:color w:val="000000"/>
                <w:sz w:val="20"/>
                <w:szCs w:val="20"/>
              </w:rPr>
              <w:t>yrs</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586EB125" w14:textId="61A585F4"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99</w:t>
            </w:r>
          </w:p>
        </w:tc>
        <w:tc>
          <w:tcPr>
            <w:tcW w:w="1733" w:type="dxa"/>
            <w:tcBorders>
              <w:top w:val="nil"/>
              <w:left w:val="nil"/>
              <w:bottom w:val="single" w:sz="4" w:space="0" w:color="auto"/>
              <w:right w:val="single" w:sz="4" w:space="0" w:color="auto"/>
            </w:tcBorders>
            <w:shd w:val="clear" w:color="auto" w:fill="auto"/>
            <w:noWrap/>
            <w:vAlign w:val="bottom"/>
            <w:hideMark/>
          </w:tcPr>
          <w:p w14:paraId="298EB7D4" w14:textId="2610DAF4"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12,902</w:t>
            </w:r>
          </w:p>
        </w:tc>
      </w:tr>
      <w:tr w:rsidR="00493386" w:rsidRPr="002130A7" w14:paraId="03E338BE" w14:textId="77777777" w:rsidTr="000A2C5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C904B51" w14:textId="6FAC7909" w:rsidR="00493386" w:rsidRPr="000A2C54" w:rsidRDefault="00493386" w:rsidP="00493386">
            <w:pPr>
              <w:spacing w:after="0"/>
              <w:rPr>
                <w:rFonts w:ascii="Calibri" w:eastAsia="Times New Roman" w:hAnsi="Calibri" w:cs="Calibri"/>
                <w:color w:val="000000"/>
                <w:sz w:val="20"/>
                <w:szCs w:val="20"/>
                <w:highlight w:val="green"/>
              </w:rPr>
            </w:pPr>
            <w:r w:rsidRPr="000A2C54">
              <w:rPr>
                <w:rFonts w:ascii="Calibri" w:hAnsi="Calibri" w:cs="Calibri"/>
                <w:color w:val="000000"/>
                <w:sz w:val="20"/>
                <w:szCs w:val="20"/>
              </w:rPr>
              <w:t xml:space="preserve">75-79 </w:t>
            </w:r>
            <w:proofErr w:type="spellStart"/>
            <w:r w:rsidRPr="000A2C54">
              <w:rPr>
                <w:rFonts w:ascii="Calibri" w:hAnsi="Calibri" w:cs="Calibri"/>
                <w:color w:val="000000"/>
                <w:sz w:val="20"/>
                <w:szCs w:val="20"/>
              </w:rPr>
              <w:t>yrs</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66A62602" w14:textId="46AC4987"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75</w:t>
            </w:r>
          </w:p>
        </w:tc>
        <w:tc>
          <w:tcPr>
            <w:tcW w:w="1733" w:type="dxa"/>
            <w:tcBorders>
              <w:top w:val="nil"/>
              <w:left w:val="nil"/>
              <w:bottom w:val="single" w:sz="4" w:space="0" w:color="auto"/>
              <w:right w:val="single" w:sz="4" w:space="0" w:color="auto"/>
            </w:tcBorders>
            <w:shd w:val="clear" w:color="auto" w:fill="auto"/>
            <w:noWrap/>
            <w:vAlign w:val="bottom"/>
            <w:hideMark/>
          </w:tcPr>
          <w:p w14:paraId="0F0D14CA" w14:textId="5A8D923D"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14,185</w:t>
            </w:r>
          </w:p>
        </w:tc>
      </w:tr>
      <w:tr w:rsidR="00493386" w:rsidRPr="002130A7" w14:paraId="77473D02" w14:textId="77777777" w:rsidTr="000A2C5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F047CB5" w14:textId="043011F8" w:rsidR="00493386" w:rsidRPr="000A2C54" w:rsidRDefault="00493386" w:rsidP="00493386">
            <w:pPr>
              <w:spacing w:after="0"/>
              <w:rPr>
                <w:rFonts w:ascii="Calibri" w:eastAsia="Times New Roman" w:hAnsi="Calibri" w:cs="Calibri"/>
                <w:color w:val="000000"/>
                <w:sz w:val="20"/>
                <w:szCs w:val="20"/>
                <w:highlight w:val="green"/>
              </w:rPr>
            </w:pPr>
            <w:r w:rsidRPr="000A2C54">
              <w:rPr>
                <w:rFonts w:ascii="Calibri" w:hAnsi="Calibri" w:cs="Calibri"/>
                <w:color w:val="000000"/>
                <w:sz w:val="20"/>
                <w:szCs w:val="20"/>
              </w:rPr>
              <w:t xml:space="preserve">80-84 </w:t>
            </w:r>
            <w:proofErr w:type="spellStart"/>
            <w:r w:rsidRPr="000A2C54">
              <w:rPr>
                <w:rFonts w:ascii="Calibri" w:hAnsi="Calibri" w:cs="Calibri"/>
                <w:color w:val="000000"/>
                <w:sz w:val="20"/>
                <w:szCs w:val="20"/>
              </w:rPr>
              <w:t>yrs</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2A3101A0" w14:textId="432E0879"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84</w:t>
            </w:r>
          </w:p>
        </w:tc>
        <w:tc>
          <w:tcPr>
            <w:tcW w:w="1733" w:type="dxa"/>
            <w:tcBorders>
              <w:top w:val="nil"/>
              <w:left w:val="nil"/>
              <w:bottom w:val="single" w:sz="4" w:space="0" w:color="auto"/>
              <w:right w:val="single" w:sz="4" w:space="0" w:color="auto"/>
            </w:tcBorders>
            <w:shd w:val="clear" w:color="auto" w:fill="auto"/>
            <w:noWrap/>
            <w:vAlign w:val="bottom"/>
            <w:hideMark/>
          </w:tcPr>
          <w:p w14:paraId="351810BF" w14:textId="5807D855"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12,714</w:t>
            </w:r>
          </w:p>
        </w:tc>
      </w:tr>
      <w:tr w:rsidR="00493386" w:rsidRPr="002130A7" w14:paraId="1A1ACCCD" w14:textId="77777777" w:rsidTr="000A2C5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2FC7CD4" w14:textId="40030E92" w:rsidR="00493386" w:rsidRPr="000A2C54" w:rsidRDefault="00493386" w:rsidP="00493386">
            <w:pPr>
              <w:spacing w:after="0"/>
              <w:rPr>
                <w:rFonts w:ascii="Calibri" w:eastAsia="Times New Roman" w:hAnsi="Calibri" w:cs="Calibri"/>
                <w:color w:val="000000"/>
                <w:sz w:val="20"/>
                <w:szCs w:val="20"/>
                <w:highlight w:val="green"/>
              </w:rPr>
            </w:pPr>
            <w:r w:rsidRPr="000A2C54">
              <w:rPr>
                <w:rFonts w:ascii="Calibri" w:hAnsi="Calibri" w:cs="Calibri"/>
                <w:color w:val="000000"/>
                <w:sz w:val="20"/>
                <w:szCs w:val="20"/>
              </w:rPr>
              <w:t xml:space="preserve">85-89 </w:t>
            </w:r>
            <w:proofErr w:type="spellStart"/>
            <w:r w:rsidRPr="000A2C54">
              <w:rPr>
                <w:rFonts w:ascii="Calibri" w:hAnsi="Calibri" w:cs="Calibri"/>
                <w:color w:val="000000"/>
                <w:sz w:val="20"/>
                <w:szCs w:val="20"/>
              </w:rPr>
              <w:t>yrs</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2B4D7150" w14:textId="5052BAC6"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53</w:t>
            </w:r>
          </w:p>
        </w:tc>
        <w:tc>
          <w:tcPr>
            <w:tcW w:w="1733" w:type="dxa"/>
            <w:tcBorders>
              <w:top w:val="nil"/>
              <w:left w:val="nil"/>
              <w:bottom w:val="single" w:sz="4" w:space="0" w:color="auto"/>
              <w:right w:val="single" w:sz="4" w:space="0" w:color="auto"/>
            </w:tcBorders>
            <w:shd w:val="clear" w:color="auto" w:fill="auto"/>
            <w:noWrap/>
            <w:vAlign w:val="bottom"/>
            <w:hideMark/>
          </w:tcPr>
          <w:p w14:paraId="5500C88E" w14:textId="10D41F91"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9,612</w:t>
            </w:r>
          </w:p>
        </w:tc>
      </w:tr>
      <w:tr w:rsidR="00493386" w:rsidRPr="002130A7" w14:paraId="7DA3774A" w14:textId="77777777" w:rsidTr="000A2C5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12F8674" w14:textId="34CBA4CA" w:rsidR="00493386" w:rsidRPr="000A2C54" w:rsidRDefault="00493386" w:rsidP="00493386">
            <w:pPr>
              <w:spacing w:after="0"/>
              <w:rPr>
                <w:rFonts w:ascii="Calibri" w:eastAsia="Times New Roman" w:hAnsi="Calibri" w:cs="Calibri"/>
                <w:color w:val="000000"/>
                <w:sz w:val="20"/>
                <w:szCs w:val="20"/>
                <w:highlight w:val="green"/>
              </w:rPr>
            </w:pPr>
            <w:r w:rsidRPr="000A2C54">
              <w:rPr>
                <w:rFonts w:ascii="Calibri" w:hAnsi="Calibri" w:cs="Calibri"/>
                <w:color w:val="000000"/>
                <w:sz w:val="20"/>
                <w:szCs w:val="20"/>
              </w:rPr>
              <w:t xml:space="preserve">90-94 </w:t>
            </w:r>
            <w:proofErr w:type="spellStart"/>
            <w:r w:rsidRPr="000A2C54">
              <w:rPr>
                <w:rFonts w:ascii="Calibri" w:hAnsi="Calibri" w:cs="Calibri"/>
                <w:color w:val="000000"/>
                <w:sz w:val="20"/>
                <w:szCs w:val="20"/>
              </w:rPr>
              <w:t>yrs</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6745C989" w14:textId="037DAC2F"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9</w:t>
            </w:r>
          </w:p>
        </w:tc>
        <w:tc>
          <w:tcPr>
            <w:tcW w:w="1733" w:type="dxa"/>
            <w:tcBorders>
              <w:top w:val="nil"/>
              <w:left w:val="nil"/>
              <w:bottom w:val="single" w:sz="4" w:space="0" w:color="auto"/>
              <w:right w:val="single" w:sz="4" w:space="0" w:color="auto"/>
            </w:tcBorders>
            <w:shd w:val="clear" w:color="auto" w:fill="auto"/>
            <w:noWrap/>
            <w:vAlign w:val="bottom"/>
            <w:hideMark/>
          </w:tcPr>
          <w:p w14:paraId="7B516BDA" w14:textId="07432F8A"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3,490</w:t>
            </w:r>
          </w:p>
        </w:tc>
      </w:tr>
      <w:tr w:rsidR="00493386" w:rsidRPr="002130A7" w14:paraId="63574FC5" w14:textId="77777777" w:rsidTr="000A2C5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3243DB5" w14:textId="378377E8" w:rsidR="00493386" w:rsidRPr="000A2C54" w:rsidRDefault="00493386" w:rsidP="00493386">
            <w:pPr>
              <w:spacing w:after="0"/>
              <w:rPr>
                <w:rFonts w:ascii="Calibri" w:eastAsia="Times New Roman" w:hAnsi="Calibri" w:cs="Calibri"/>
                <w:color w:val="000000"/>
                <w:sz w:val="20"/>
                <w:szCs w:val="20"/>
                <w:highlight w:val="green"/>
              </w:rPr>
            </w:pPr>
            <w:r w:rsidRPr="000A2C54">
              <w:rPr>
                <w:rFonts w:ascii="Calibri" w:hAnsi="Calibri" w:cs="Calibri"/>
                <w:color w:val="000000"/>
                <w:sz w:val="20"/>
                <w:szCs w:val="20"/>
              </w:rPr>
              <w:t xml:space="preserve">95-99 </w:t>
            </w:r>
            <w:proofErr w:type="spellStart"/>
            <w:r w:rsidRPr="000A2C54">
              <w:rPr>
                <w:rFonts w:ascii="Calibri" w:hAnsi="Calibri" w:cs="Calibri"/>
                <w:color w:val="000000"/>
                <w:sz w:val="20"/>
                <w:szCs w:val="20"/>
              </w:rPr>
              <w:t>yrs</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20600AEB" w14:textId="4257678D" w:rsidR="00493386" w:rsidRPr="000A2C54" w:rsidRDefault="00450B92" w:rsidP="00493386">
            <w:pPr>
              <w:spacing w:after="0"/>
              <w:jc w:val="right"/>
              <w:rPr>
                <w:rFonts w:ascii="Calibri" w:eastAsia="Times New Roman" w:hAnsi="Calibri" w:cs="Calibri"/>
                <w:color w:val="000000"/>
                <w:sz w:val="20"/>
                <w:szCs w:val="20"/>
                <w:highlight w:val="green"/>
              </w:rPr>
            </w:pPr>
            <w:r>
              <w:rPr>
                <w:rFonts w:ascii="Calibri" w:hAnsi="Calibri" w:cs="Calibri"/>
                <w:color w:val="000000"/>
                <w:sz w:val="20"/>
                <w:szCs w:val="20"/>
              </w:rPr>
              <w:t>≤</w:t>
            </w:r>
            <w:r w:rsidR="00493386" w:rsidRPr="000A2C54">
              <w:rPr>
                <w:rFonts w:ascii="Calibri" w:hAnsi="Calibri" w:cs="Calibri"/>
                <w:color w:val="000000"/>
                <w:sz w:val="20"/>
                <w:szCs w:val="20"/>
              </w:rPr>
              <w:t>5</w:t>
            </w:r>
          </w:p>
        </w:tc>
        <w:tc>
          <w:tcPr>
            <w:tcW w:w="1733" w:type="dxa"/>
            <w:tcBorders>
              <w:top w:val="nil"/>
              <w:left w:val="nil"/>
              <w:bottom w:val="single" w:sz="4" w:space="0" w:color="auto"/>
              <w:right w:val="single" w:sz="4" w:space="0" w:color="auto"/>
            </w:tcBorders>
            <w:shd w:val="clear" w:color="auto" w:fill="auto"/>
            <w:noWrap/>
            <w:vAlign w:val="bottom"/>
            <w:hideMark/>
          </w:tcPr>
          <w:p w14:paraId="1F8F9BC3" w14:textId="79A07A8B"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481</w:t>
            </w:r>
          </w:p>
        </w:tc>
      </w:tr>
      <w:tr w:rsidR="00493386" w:rsidRPr="002130A7" w14:paraId="0F8EFE91" w14:textId="77777777" w:rsidTr="000A2C5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79C20CB" w14:textId="1C8A2B92" w:rsidR="00493386" w:rsidRPr="000A2C54" w:rsidRDefault="00493386" w:rsidP="00493386">
            <w:pPr>
              <w:spacing w:after="0"/>
              <w:rPr>
                <w:rFonts w:ascii="Calibri" w:eastAsia="Times New Roman" w:hAnsi="Calibri" w:cs="Calibri"/>
                <w:color w:val="000000"/>
                <w:sz w:val="20"/>
                <w:szCs w:val="20"/>
                <w:highlight w:val="green"/>
              </w:rPr>
            </w:pPr>
            <w:r w:rsidRPr="000A2C54">
              <w:rPr>
                <w:rFonts w:ascii="Calibri" w:hAnsi="Calibri" w:cs="Calibri"/>
                <w:color w:val="000000"/>
                <w:sz w:val="20"/>
                <w:szCs w:val="20"/>
              </w:rPr>
              <w:t xml:space="preserve">100+  </w:t>
            </w:r>
            <w:proofErr w:type="spellStart"/>
            <w:r w:rsidRPr="000A2C54">
              <w:rPr>
                <w:rFonts w:ascii="Calibri" w:hAnsi="Calibri" w:cs="Calibri"/>
                <w:color w:val="000000"/>
                <w:sz w:val="20"/>
                <w:szCs w:val="20"/>
              </w:rPr>
              <w:t>yrs</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2BA2D8A0" w14:textId="7BB64A4A" w:rsidR="00493386" w:rsidRPr="000A2C54" w:rsidRDefault="00493386" w:rsidP="00493386">
            <w:pPr>
              <w:spacing w:after="0"/>
              <w:jc w:val="right"/>
              <w:rPr>
                <w:rFonts w:ascii="Calibri" w:eastAsia="Times New Roman" w:hAnsi="Calibri" w:cs="Calibri"/>
                <w:color w:val="000000"/>
                <w:sz w:val="20"/>
                <w:szCs w:val="20"/>
                <w:highlight w:val="green"/>
              </w:rPr>
            </w:pPr>
          </w:p>
        </w:tc>
        <w:tc>
          <w:tcPr>
            <w:tcW w:w="1733" w:type="dxa"/>
            <w:tcBorders>
              <w:top w:val="nil"/>
              <w:left w:val="nil"/>
              <w:bottom w:val="single" w:sz="4" w:space="0" w:color="auto"/>
              <w:right w:val="single" w:sz="4" w:space="0" w:color="auto"/>
            </w:tcBorders>
            <w:shd w:val="clear" w:color="auto" w:fill="auto"/>
            <w:noWrap/>
            <w:vAlign w:val="bottom"/>
            <w:hideMark/>
          </w:tcPr>
          <w:p w14:paraId="215D338A" w14:textId="1B4CF950" w:rsidR="00493386" w:rsidRPr="000A2C54" w:rsidRDefault="00493386" w:rsidP="00493386">
            <w:pPr>
              <w:spacing w:after="0"/>
              <w:jc w:val="right"/>
              <w:rPr>
                <w:rFonts w:ascii="Calibri" w:eastAsia="Times New Roman" w:hAnsi="Calibri" w:cs="Calibri"/>
                <w:color w:val="000000"/>
                <w:sz w:val="20"/>
                <w:szCs w:val="20"/>
                <w:highlight w:val="green"/>
              </w:rPr>
            </w:pPr>
            <w:r w:rsidRPr="000A2C54">
              <w:rPr>
                <w:rFonts w:ascii="Calibri" w:hAnsi="Calibri" w:cs="Calibri"/>
                <w:color w:val="000000"/>
                <w:sz w:val="20"/>
                <w:szCs w:val="20"/>
              </w:rPr>
              <w:t>30</w:t>
            </w:r>
          </w:p>
        </w:tc>
      </w:tr>
    </w:tbl>
    <w:p w14:paraId="25D65B04" w14:textId="1EFBC4F4" w:rsidR="00FE645A" w:rsidRDefault="00FE645A">
      <w:pPr>
        <w:spacing w:line="276" w:lineRule="auto"/>
      </w:pPr>
    </w:p>
    <w:sectPr w:rsidR="00FE645A" w:rsidSect="00DD188C">
      <w:headerReference w:type="even" r:id="rId33"/>
      <w:headerReference w:type="default" r:id="rId34"/>
      <w:footerReference w:type="even" r:id="rId35"/>
      <w:footerReference w:type="default" r:id="rId36"/>
      <w:headerReference w:type="first" r:id="rId37"/>
      <w:footerReference w:type="first" r:id="rId38"/>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50FC2" w14:textId="77777777" w:rsidR="0094329A" w:rsidRDefault="0094329A" w:rsidP="00A35800">
      <w:r>
        <w:separator/>
      </w:r>
    </w:p>
  </w:endnote>
  <w:endnote w:type="continuationSeparator" w:id="0">
    <w:p w14:paraId="45A4A8C8" w14:textId="77777777" w:rsidR="0094329A" w:rsidRDefault="0094329A"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rlito">
    <w:altName w:val="Calibri"/>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D5E5" w14:textId="77777777" w:rsidR="0094329A" w:rsidRDefault="0094329A"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94329A" w:rsidRDefault="0094329A"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18F99A0" w14:textId="2CE961C1" w:rsidR="0094329A" w:rsidRDefault="0094329A" w:rsidP="000E72C6">
            <w:pPr>
              <w:pStyle w:val="Footer"/>
              <w:jc w:val="center"/>
              <w:rPr>
                <w:i/>
                <w:sz w:val="20"/>
              </w:rPr>
            </w:pPr>
            <w:r w:rsidRPr="00036CCA">
              <w:rPr>
                <w:i/>
                <w:sz w:val="20"/>
              </w:rPr>
              <w:t>Public Release D</w:t>
            </w:r>
            <w:r>
              <w:rPr>
                <w:i/>
                <w:sz w:val="20"/>
              </w:rPr>
              <w:t>ocument, June 2019 DUSC Meeting</w:t>
            </w:r>
            <w:r w:rsidRPr="00036CCA">
              <w:rPr>
                <w:i/>
                <w:sz w:val="20"/>
              </w:rPr>
              <w:t xml:space="preserve"> </w:t>
            </w:r>
          </w:p>
          <w:p w14:paraId="10292A9A" w14:textId="45C09151" w:rsidR="0094329A" w:rsidRDefault="0094329A"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450B92">
              <w:rPr>
                <w:bCs/>
                <w:i/>
                <w:noProof/>
                <w:sz w:val="20"/>
              </w:rPr>
              <w:t>22</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450B92">
              <w:rPr>
                <w:bCs/>
                <w:i/>
                <w:noProof/>
                <w:sz w:val="20"/>
              </w:rPr>
              <w:t>39</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2E1F" w14:textId="77777777" w:rsidR="0094329A" w:rsidRDefault="0094329A" w:rsidP="007A5733">
    <w:pPr>
      <w:pStyle w:val="Footer"/>
      <w:jc w:val="center"/>
      <w:rPr>
        <w:rStyle w:val="PageNumber"/>
      </w:rPr>
    </w:pPr>
    <w:r>
      <w:rPr>
        <w:rStyle w:val="PageNumber"/>
      </w:rPr>
      <w:t>Committee-in-Confidence</w:t>
    </w:r>
  </w:p>
  <w:p w14:paraId="3CE6880B" w14:textId="77777777" w:rsidR="0094329A" w:rsidRDefault="0094329A"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EEDE" w14:textId="77777777" w:rsidR="0094329A" w:rsidRDefault="0094329A" w:rsidP="00A35800">
      <w:r>
        <w:separator/>
      </w:r>
    </w:p>
  </w:footnote>
  <w:footnote w:type="continuationSeparator" w:id="0">
    <w:p w14:paraId="7E2CA1E4" w14:textId="77777777" w:rsidR="0094329A" w:rsidRDefault="0094329A" w:rsidP="00A35800">
      <w:r>
        <w:continuationSeparator/>
      </w:r>
    </w:p>
  </w:footnote>
  <w:footnote w:id="1">
    <w:p w14:paraId="4C96DA1A" w14:textId="77777777" w:rsidR="0094329A" w:rsidRDefault="0094329A" w:rsidP="004A2EBE">
      <w:pPr>
        <w:pStyle w:val="FootnoteText"/>
      </w:pPr>
      <w:r>
        <w:rPr>
          <w:rStyle w:val="FootnoteReference"/>
        </w:rPr>
        <w:footnoteRef/>
      </w:r>
      <w:r>
        <w:t xml:space="preserve"> </w:t>
      </w:r>
      <w:proofErr w:type="spellStart"/>
      <w:r>
        <w:t>Zoladex</w:t>
      </w:r>
      <w:proofErr w:type="spellEnd"/>
      <w:r>
        <w:t xml:space="preserve"> (</w:t>
      </w:r>
      <w:proofErr w:type="spellStart"/>
      <w:r>
        <w:t>goserelin</w:t>
      </w:r>
      <w:proofErr w:type="spellEnd"/>
      <w:r>
        <w:t xml:space="preserve">) Consumer Medicine Information, AstraZeneca Pty Ltd, Available from: </w:t>
      </w:r>
      <w:hyperlink r:id="rId1" w:history="1">
        <w:r w:rsidRPr="00F72B99">
          <w:rPr>
            <w:rStyle w:val="Hyperlink"/>
          </w:rPr>
          <w:t>https://www.ebs.tga.gov.au/ebs/picmi/picmirepository.nsf/pdf?OpenAgent&amp;id=CP-2010-CMI-04915-3&amp;d=201903011016933</w:t>
        </w:r>
      </w:hyperlink>
      <w:r>
        <w:t xml:space="preserve"> </w:t>
      </w:r>
    </w:p>
  </w:footnote>
  <w:footnote w:id="2">
    <w:p w14:paraId="1C48B966" w14:textId="5C78DA86" w:rsidR="0094329A" w:rsidRDefault="0094329A">
      <w:pPr>
        <w:pStyle w:val="FootnoteText"/>
      </w:pPr>
      <w:r>
        <w:rPr>
          <w:rStyle w:val="FootnoteReference"/>
        </w:rPr>
        <w:footnoteRef/>
      </w:r>
      <w:r>
        <w:t xml:space="preserve"> </w:t>
      </w:r>
      <w:proofErr w:type="spellStart"/>
      <w:r>
        <w:t>Leuprorelin</w:t>
      </w:r>
      <w:proofErr w:type="spellEnd"/>
      <w:r>
        <w:t xml:space="preserve"> PI (</w:t>
      </w:r>
      <w:proofErr w:type="spellStart"/>
      <w:r>
        <w:t>Lucrin</w:t>
      </w:r>
      <w:proofErr w:type="spellEnd"/>
      <w:r>
        <w:t xml:space="preserve">) </w:t>
      </w:r>
      <w:r w:rsidRPr="00573F89">
        <w:t>https://www.ebs.tga.gov.au/ebs/picmi/picmirepository.nsf/pdf?OpenAgent&amp;id=CP-2009-PI-01299-3</w:t>
      </w:r>
    </w:p>
  </w:footnote>
  <w:footnote w:id="3">
    <w:p w14:paraId="61EDC90C" w14:textId="627FC052" w:rsidR="0094329A" w:rsidRDefault="0094329A">
      <w:pPr>
        <w:pStyle w:val="FootnoteText"/>
      </w:pPr>
      <w:r>
        <w:rPr>
          <w:rStyle w:val="FootnoteReference"/>
        </w:rPr>
        <w:footnoteRef/>
      </w:r>
      <w:r>
        <w:t xml:space="preserve"> </w:t>
      </w:r>
      <w:proofErr w:type="spellStart"/>
      <w:r>
        <w:t>Triptorelin</w:t>
      </w:r>
      <w:proofErr w:type="spellEnd"/>
      <w:r>
        <w:t xml:space="preserve"> PI (</w:t>
      </w:r>
      <w:proofErr w:type="spellStart"/>
      <w:r>
        <w:t>Decapeptyl</w:t>
      </w:r>
      <w:proofErr w:type="spellEnd"/>
      <w:r>
        <w:t xml:space="preserve">) </w:t>
      </w:r>
      <w:r w:rsidRPr="00573F89">
        <w:t>https://www.ebs.tga.gov.au/ebs/picmi/picmirepository.nsf/pdf?OpenAgent&amp;id=CP-2015-PI-01452-1</w:t>
      </w:r>
    </w:p>
  </w:footnote>
  <w:footnote w:id="4">
    <w:p w14:paraId="2BDE6F5E" w14:textId="2DBECF59" w:rsidR="0094329A" w:rsidRDefault="0094329A">
      <w:pPr>
        <w:pStyle w:val="FootnoteText"/>
      </w:pPr>
      <w:r>
        <w:rPr>
          <w:rStyle w:val="FootnoteReference"/>
        </w:rPr>
        <w:footnoteRef/>
      </w:r>
      <w:r>
        <w:t xml:space="preserve"> </w:t>
      </w:r>
      <w:proofErr w:type="spellStart"/>
      <w:r>
        <w:t>Nafarelin</w:t>
      </w:r>
      <w:proofErr w:type="spellEnd"/>
      <w:r>
        <w:t xml:space="preserve"> PI (</w:t>
      </w:r>
      <w:proofErr w:type="spellStart"/>
      <w:r>
        <w:t>Synarel</w:t>
      </w:r>
      <w:proofErr w:type="spellEnd"/>
      <w:r>
        <w:t xml:space="preserve">) </w:t>
      </w:r>
      <w:r w:rsidRPr="00DA4351">
        <w:t>https://www.ebs.tga.gov.au/ebs/picmi/picmirepository.nsf/pdf?OpenAgent&amp;id=CP-2010-PI-05495-3</w:t>
      </w:r>
    </w:p>
  </w:footnote>
  <w:footnote w:id="5">
    <w:p w14:paraId="5158FCEE" w14:textId="181863B2" w:rsidR="0094329A" w:rsidRDefault="0094329A">
      <w:pPr>
        <w:pStyle w:val="FootnoteText"/>
      </w:pPr>
      <w:r>
        <w:rPr>
          <w:rStyle w:val="FootnoteReference"/>
        </w:rPr>
        <w:footnoteRef/>
      </w:r>
      <w:r>
        <w:t xml:space="preserve"> </w:t>
      </w:r>
      <w:proofErr w:type="spellStart"/>
      <w:r>
        <w:t>Bicalutamide</w:t>
      </w:r>
      <w:proofErr w:type="spellEnd"/>
      <w:r>
        <w:t xml:space="preserve"> and </w:t>
      </w:r>
      <w:proofErr w:type="spellStart"/>
      <w:r>
        <w:t>goserelin</w:t>
      </w:r>
      <w:proofErr w:type="spellEnd"/>
      <w:r>
        <w:t xml:space="preserve"> composite pack PI (</w:t>
      </w:r>
      <w:proofErr w:type="spellStart"/>
      <w:r>
        <w:t>Zolacos</w:t>
      </w:r>
      <w:proofErr w:type="spellEnd"/>
      <w:r>
        <w:t xml:space="preserve"> CP) </w:t>
      </w:r>
      <w:r w:rsidRPr="00573F89">
        <w:t>https://www.ebs.tga.gov.au/ebs/picmi/picmirepository.nsf/pdf?OpenAgent&amp;id=CP-2010-PI-06002-3&amp;d=201905021016933</w:t>
      </w:r>
    </w:p>
  </w:footnote>
  <w:footnote w:id="6">
    <w:p w14:paraId="6B28C325" w14:textId="115E9CD6" w:rsidR="0094329A" w:rsidRDefault="0094329A">
      <w:pPr>
        <w:pStyle w:val="FootnoteText"/>
      </w:pPr>
      <w:r>
        <w:rPr>
          <w:rStyle w:val="FootnoteReference"/>
        </w:rPr>
        <w:footnoteRef/>
      </w:r>
      <w:r>
        <w:t xml:space="preserve"> </w:t>
      </w:r>
      <w:proofErr w:type="spellStart"/>
      <w:r>
        <w:t>B</w:t>
      </w:r>
      <w:r w:rsidRPr="00DA4351">
        <w:t>ic</w:t>
      </w:r>
      <w:r>
        <w:t>alutamide</w:t>
      </w:r>
      <w:proofErr w:type="spellEnd"/>
      <w:r>
        <w:t xml:space="preserve"> and </w:t>
      </w:r>
      <w:proofErr w:type="spellStart"/>
      <w:r>
        <w:t>leuprorelin</w:t>
      </w:r>
      <w:proofErr w:type="spellEnd"/>
      <w:r>
        <w:t xml:space="preserve"> acetate composite pack PI (BI </w:t>
      </w:r>
      <w:proofErr w:type="spellStart"/>
      <w:r>
        <w:t>Eligard</w:t>
      </w:r>
      <w:proofErr w:type="spellEnd"/>
      <w:r>
        <w:t xml:space="preserve"> CP) </w:t>
      </w:r>
      <w:r w:rsidRPr="00573F89">
        <w:t>https://www.ebs.tga.gov.au/ebs/picmi/picmirepository.nsf/pdf?OpenAgent&amp;id=CP-2018-PI-02760-1</w:t>
      </w:r>
    </w:p>
  </w:footnote>
  <w:footnote w:id="7">
    <w:p w14:paraId="21DB5879" w14:textId="7CE73CDB" w:rsidR="0094329A" w:rsidRDefault="0094329A">
      <w:pPr>
        <w:pStyle w:val="FootnoteText"/>
      </w:pPr>
      <w:r>
        <w:rPr>
          <w:rStyle w:val="FootnoteReference"/>
        </w:rPr>
        <w:footnoteRef/>
      </w:r>
      <w:r>
        <w:t xml:space="preserve"> </w:t>
      </w:r>
      <w:proofErr w:type="spellStart"/>
      <w:r>
        <w:t>Goserelin</w:t>
      </w:r>
      <w:proofErr w:type="spellEnd"/>
      <w:r>
        <w:t xml:space="preserve"> PI (</w:t>
      </w:r>
      <w:proofErr w:type="spellStart"/>
      <w:r>
        <w:t>Zoladex</w:t>
      </w:r>
      <w:proofErr w:type="spellEnd"/>
      <w:r>
        <w:t xml:space="preserve">) </w:t>
      </w:r>
      <w:r w:rsidRPr="00DA4351">
        <w:t>https://www.ebs.tga.gov.au/ebs/picmi/picmirepository.nsf/pdf?OpenAgent&amp;id=CP-2010-PI-04914-3</w:t>
      </w:r>
    </w:p>
  </w:footnote>
  <w:footnote w:id="8">
    <w:p w14:paraId="3B7F103D" w14:textId="6D130B4A" w:rsidR="0094329A" w:rsidRDefault="0094329A">
      <w:pPr>
        <w:pStyle w:val="FootnoteText"/>
      </w:pPr>
      <w:r>
        <w:rPr>
          <w:rStyle w:val="FootnoteReference"/>
        </w:rPr>
        <w:footnoteRef/>
      </w:r>
      <w:r>
        <w:t xml:space="preserve"> </w:t>
      </w:r>
      <w:proofErr w:type="spellStart"/>
      <w:r>
        <w:t>Goserelin</w:t>
      </w:r>
      <w:proofErr w:type="spellEnd"/>
      <w:r>
        <w:t xml:space="preserve"> (</w:t>
      </w:r>
      <w:proofErr w:type="spellStart"/>
      <w:r>
        <w:t>Zoladex</w:t>
      </w:r>
      <w:proofErr w:type="spellEnd"/>
      <w:r>
        <w:t xml:space="preserve">) Public Summary Document March 2017 </w:t>
      </w:r>
      <w:r w:rsidRPr="00773785">
        <w:t>http://www.pbs.gov.au/industry/listing/elements/pbac-meetings/psd/2017-03/files/goserelin-psd-march-2017.pdf</w:t>
      </w:r>
    </w:p>
  </w:footnote>
  <w:footnote w:id="9">
    <w:p w14:paraId="0A4DD767" w14:textId="77777777" w:rsidR="0094329A" w:rsidRPr="00BC5AE2" w:rsidRDefault="0094329A" w:rsidP="00576B18">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2" w:history="1">
        <w:r>
          <w:rPr>
            <w:rStyle w:val="Hyperlink"/>
            <w:sz w:val="20"/>
          </w:rPr>
          <w:t>http://www.medicareaustralia.gov.au/provider/pbs/stats.jsp</w:t>
        </w:r>
      </w:hyperlink>
      <w:r>
        <w:rPr>
          <w:sz w:val="20"/>
        </w:rPr>
        <w:t>&gt;.</w:t>
      </w:r>
    </w:p>
  </w:footnote>
  <w:footnote w:id="10">
    <w:p w14:paraId="15965CDC" w14:textId="77777777" w:rsidR="0094329A" w:rsidRDefault="0094329A" w:rsidP="003A4C77">
      <w:pPr>
        <w:pStyle w:val="FootnoteText"/>
      </w:pPr>
      <w:r>
        <w:rPr>
          <w:rStyle w:val="FootnoteReference"/>
        </w:rPr>
        <w:footnoteRef/>
      </w:r>
      <w:r>
        <w:t xml:space="preserve"> Australian Institute of Health and Welfare 2019. Cancer in Australia 2019. Cancer series no.119.</w:t>
      </w:r>
    </w:p>
    <w:p w14:paraId="2B3C3458" w14:textId="63CAA6AE" w:rsidR="0094329A" w:rsidRDefault="0094329A" w:rsidP="003A4C77">
      <w:pPr>
        <w:pStyle w:val="FootnoteText"/>
      </w:pPr>
      <w:r>
        <w:t xml:space="preserve">Cat. </w:t>
      </w:r>
      <w:proofErr w:type="gramStart"/>
      <w:r>
        <w:t>no</w:t>
      </w:r>
      <w:proofErr w:type="gramEnd"/>
      <w:r>
        <w:t>. CAN 123. Canberra: AIHW., p51,</w:t>
      </w:r>
      <w:r w:rsidRPr="00BA2290">
        <w:t xml:space="preserve"> </w:t>
      </w:r>
      <w:r w:rsidRPr="00457C06">
        <w:t>https://www.aihw.gov.au/getmedia/8c9fcf52-0055-41a0-96d9-f81b0feb98cf/aihw-can-123.pdf.aspx?inline=true</w:t>
      </w:r>
    </w:p>
  </w:footnote>
  <w:footnote w:id="11">
    <w:p w14:paraId="2BA8CC17" w14:textId="78B653CB" w:rsidR="0094329A" w:rsidRDefault="0094329A">
      <w:pPr>
        <w:pStyle w:val="FootnoteText"/>
      </w:pPr>
      <w:r>
        <w:rPr>
          <w:rStyle w:val="FootnoteReference"/>
        </w:rPr>
        <w:footnoteRef/>
      </w:r>
      <w:r>
        <w:t xml:space="preserve"> </w:t>
      </w:r>
      <w:r w:rsidRPr="003A4C77">
        <w:t>Australian Institute of Health and Welfare (AIHW) 2018 Cancer Data in Australia; Australian Cancer Incidence and Mortality (ACIM) books: prostate cancer Canberra: AIHW. &lt;https://www.aihw.gov.au/reports/cancer/cancer-data-in-australia/&gt;.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23E56" w14:textId="77777777" w:rsidR="0094329A" w:rsidRDefault="00943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07B84" w14:textId="5803D28C" w:rsidR="0094329A" w:rsidRDefault="0094329A" w:rsidP="00FB77FA">
    <w:pPr>
      <w:pStyle w:val="Header"/>
    </w:pPr>
  </w:p>
  <w:p w14:paraId="3A96F15D" w14:textId="77777777" w:rsidR="0094329A" w:rsidRDefault="009432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4C46A" w14:textId="77777777" w:rsidR="0094329A" w:rsidRDefault="00943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36E4"/>
    <w:multiLevelType w:val="hybridMultilevel"/>
    <w:tmpl w:val="E172737C"/>
    <w:lvl w:ilvl="0" w:tplc="C14AE0FC">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F9836F5"/>
    <w:multiLevelType w:val="hybridMultilevel"/>
    <w:tmpl w:val="3E34CF0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E764EF"/>
    <w:multiLevelType w:val="hybridMultilevel"/>
    <w:tmpl w:val="D6EA6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69C2"/>
    <w:rsid w:val="00007E85"/>
    <w:rsid w:val="00010FFA"/>
    <w:rsid w:val="00013465"/>
    <w:rsid w:val="000226B3"/>
    <w:rsid w:val="00023B6E"/>
    <w:rsid w:val="00024549"/>
    <w:rsid w:val="0003329D"/>
    <w:rsid w:val="00036CCA"/>
    <w:rsid w:val="00040EEA"/>
    <w:rsid w:val="00042E03"/>
    <w:rsid w:val="000449C4"/>
    <w:rsid w:val="0004785B"/>
    <w:rsid w:val="00051AB4"/>
    <w:rsid w:val="00052009"/>
    <w:rsid w:val="000544B6"/>
    <w:rsid w:val="000604AF"/>
    <w:rsid w:val="00077EBC"/>
    <w:rsid w:val="00080DA1"/>
    <w:rsid w:val="00082C38"/>
    <w:rsid w:val="000856D1"/>
    <w:rsid w:val="00086C11"/>
    <w:rsid w:val="0009216B"/>
    <w:rsid w:val="00092461"/>
    <w:rsid w:val="00094DCF"/>
    <w:rsid w:val="000A1184"/>
    <w:rsid w:val="000A1FDF"/>
    <w:rsid w:val="000A2C54"/>
    <w:rsid w:val="000A6CFD"/>
    <w:rsid w:val="000A7AD9"/>
    <w:rsid w:val="000B0982"/>
    <w:rsid w:val="000B26E4"/>
    <w:rsid w:val="000B796C"/>
    <w:rsid w:val="000C15BB"/>
    <w:rsid w:val="000C46BB"/>
    <w:rsid w:val="000C4D9D"/>
    <w:rsid w:val="000C570A"/>
    <w:rsid w:val="000C6133"/>
    <w:rsid w:val="000C6FDE"/>
    <w:rsid w:val="000C7C4B"/>
    <w:rsid w:val="000C7D8B"/>
    <w:rsid w:val="000D37AE"/>
    <w:rsid w:val="000D5428"/>
    <w:rsid w:val="000E2B58"/>
    <w:rsid w:val="000E485D"/>
    <w:rsid w:val="000E72C6"/>
    <w:rsid w:val="000F1893"/>
    <w:rsid w:val="000F201B"/>
    <w:rsid w:val="000F2F51"/>
    <w:rsid w:val="000F314B"/>
    <w:rsid w:val="0010283B"/>
    <w:rsid w:val="00106033"/>
    <w:rsid w:val="00110BD0"/>
    <w:rsid w:val="001124A8"/>
    <w:rsid w:val="001134CB"/>
    <w:rsid w:val="00113CF8"/>
    <w:rsid w:val="00113D74"/>
    <w:rsid w:val="001150E8"/>
    <w:rsid w:val="00115C99"/>
    <w:rsid w:val="00117C5C"/>
    <w:rsid w:val="00123580"/>
    <w:rsid w:val="0013035F"/>
    <w:rsid w:val="001310AE"/>
    <w:rsid w:val="001364B9"/>
    <w:rsid w:val="001375C8"/>
    <w:rsid w:val="00141590"/>
    <w:rsid w:val="001420B3"/>
    <w:rsid w:val="001460C4"/>
    <w:rsid w:val="001479B3"/>
    <w:rsid w:val="00155041"/>
    <w:rsid w:val="001552B9"/>
    <w:rsid w:val="0015691C"/>
    <w:rsid w:val="00156D13"/>
    <w:rsid w:val="001621F7"/>
    <w:rsid w:val="0016223B"/>
    <w:rsid w:val="001624D7"/>
    <w:rsid w:val="00163C4A"/>
    <w:rsid w:val="00164C3E"/>
    <w:rsid w:val="0017428D"/>
    <w:rsid w:val="00177B86"/>
    <w:rsid w:val="001813C7"/>
    <w:rsid w:val="00181843"/>
    <w:rsid w:val="0018256C"/>
    <w:rsid w:val="00182585"/>
    <w:rsid w:val="001910B0"/>
    <w:rsid w:val="00191182"/>
    <w:rsid w:val="00192793"/>
    <w:rsid w:val="0019664D"/>
    <w:rsid w:val="001A6103"/>
    <w:rsid w:val="001B5D37"/>
    <w:rsid w:val="001C0EEC"/>
    <w:rsid w:val="001C2940"/>
    <w:rsid w:val="001C3A42"/>
    <w:rsid w:val="001C3C93"/>
    <w:rsid w:val="001C3EAE"/>
    <w:rsid w:val="001C4016"/>
    <w:rsid w:val="001C548D"/>
    <w:rsid w:val="001C6A5D"/>
    <w:rsid w:val="001D0B4D"/>
    <w:rsid w:val="001D67D8"/>
    <w:rsid w:val="001E31A6"/>
    <w:rsid w:val="001E42C7"/>
    <w:rsid w:val="001E4CAB"/>
    <w:rsid w:val="001E7C22"/>
    <w:rsid w:val="001F0A4E"/>
    <w:rsid w:val="001F2F3E"/>
    <w:rsid w:val="001F4906"/>
    <w:rsid w:val="001F494E"/>
    <w:rsid w:val="001F4B23"/>
    <w:rsid w:val="001F7A1F"/>
    <w:rsid w:val="001F7C4A"/>
    <w:rsid w:val="0020578A"/>
    <w:rsid w:val="00207631"/>
    <w:rsid w:val="00210051"/>
    <w:rsid w:val="002130A7"/>
    <w:rsid w:val="00213632"/>
    <w:rsid w:val="00214013"/>
    <w:rsid w:val="00217E32"/>
    <w:rsid w:val="00220FC1"/>
    <w:rsid w:val="00221DA7"/>
    <w:rsid w:val="002229E4"/>
    <w:rsid w:val="00222E9A"/>
    <w:rsid w:val="00226C92"/>
    <w:rsid w:val="00227512"/>
    <w:rsid w:val="0023179D"/>
    <w:rsid w:val="0024512D"/>
    <w:rsid w:val="00250287"/>
    <w:rsid w:val="002533CB"/>
    <w:rsid w:val="0025389D"/>
    <w:rsid w:val="00253F39"/>
    <w:rsid w:val="00254E02"/>
    <w:rsid w:val="00260EBA"/>
    <w:rsid w:val="0026265F"/>
    <w:rsid w:val="00262AF4"/>
    <w:rsid w:val="00274A32"/>
    <w:rsid w:val="002759BB"/>
    <w:rsid w:val="0027623F"/>
    <w:rsid w:val="002762D0"/>
    <w:rsid w:val="002859F4"/>
    <w:rsid w:val="00286C3A"/>
    <w:rsid w:val="00287AFD"/>
    <w:rsid w:val="002930F5"/>
    <w:rsid w:val="002A06B7"/>
    <w:rsid w:val="002A59D2"/>
    <w:rsid w:val="002A6704"/>
    <w:rsid w:val="002B118D"/>
    <w:rsid w:val="002B61C5"/>
    <w:rsid w:val="002B654E"/>
    <w:rsid w:val="002B75C5"/>
    <w:rsid w:val="002C2C7C"/>
    <w:rsid w:val="002C6E0C"/>
    <w:rsid w:val="002D144A"/>
    <w:rsid w:val="002D293E"/>
    <w:rsid w:val="002D4058"/>
    <w:rsid w:val="002E1912"/>
    <w:rsid w:val="002E19A3"/>
    <w:rsid w:val="002E212B"/>
    <w:rsid w:val="002E3337"/>
    <w:rsid w:val="002E42AE"/>
    <w:rsid w:val="002E45D4"/>
    <w:rsid w:val="002E6D03"/>
    <w:rsid w:val="002F2260"/>
    <w:rsid w:val="002F49A8"/>
    <w:rsid w:val="002F5E66"/>
    <w:rsid w:val="002F61CA"/>
    <w:rsid w:val="0030010D"/>
    <w:rsid w:val="003007CE"/>
    <w:rsid w:val="00305B7B"/>
    <w:rsid w:val="0031380B"/>
    <w:rsid w:val="00314921"/>
    <w:rsid w:val="0031560A"/>
    <w:rsid w:val="003177D9"/>
    <w:rsid w:val="00330D1A"/>
    <w:rsid w:val="00332654"/>
    <w:rsid w:val="00333265"/>
    <w:rsid w:val="00333454"/>
    <w:rsid w:val="0033504C"/>
    <w:rsid w:val="00336816"/>
    <w:rsid w:val="003370D0"/>
    <w:rsid w:val="00337355"/>
    <w:rsid w:val="003402E4"/>
    <w:rsid w:val="00340F95"/>
    <w:rsid w:val="003531ED"/>
    <w:rsid w:val="00353F09"/>
    <w:rsid w:val="003543FE"/>
    <w:rsid w:val="00355A38"/>
    <w:rsid w:val="00355F55"/>
    <w:rsid w:val="00360B9A"/>
    <w:rsid w:val="0037727E"/>
    <w:rsid w:val="00383392"/>
    <w:rsid w:val="00385DCC"/>
    <w:rsid w:val="00385E62"/>
    <w:rsid w:val="00387F96"/>
    <w:rsid w:val="0039017F"/>
    <w:rsid w:val="00394AEE"/>
    <w:rsid w:val="00396AAD"/>
    <w:rsid w:val="00397FCC"/>
    <w:rsid w:val="003A1149"/>
    <w:rsid w:val="003A1588"/>
    <w:rsid w:val="003A4C77"/>
    <w:rsid w:val="003A4DBF"/>
    <w:rsid w:val="003A5E96"/>
    <w:rsid w:val="003B4895"/>
    <w:rsid w:val="003B492A"/>
    <w:rsid w:val="003B56E9"/>
    <w:rsid w:val="003B5970"/>
    <w:rsid w:val="003C0BB9"/>
    <w:rsid w:val="003C2D98"/>
    <w:rsid w:val="003C6A8C"/>
    <w:rsid w:val="003D3A96"/>
    <w:rsid w:val="003D3B9C"/>
    <w:rsid w:val="003E49DA"/>
    <w:rsid w:val="003E5070"/>
    <w:rsid w:val="003E6E7B"/>
    <w:rsid w:val="003F2E42"/>
    <w:rsid w:val="003F58D0"/>
    <w:rsid w:val="003F5946"/>
    <w:rsid w:val="00404F03"/>
    <w:rsid w:val="00412051"/>
    <w:rsid w:val="004145B7"/>
    <w:rsid w:val="00421D52"/>
    <w:rsid w:val="00423B94"/>
    <w:rsid w:val="00431E00"/>
    <w:rsid w:val="00434AB5"/>
    <w:rsid w:val="00443792"/>
    <w:rsid w:val="0044508B"/>
    <w:rsid w:val="004459DA"/>
    <w:rsid w:val="004467F6"/>
    <w:rsid w:val="00450B92"/>
    <w:rsid w:val="00453856"/>
    <w:rsid w:val="00457C06"/>
    <w:rsid w:val="00463712"/>
    <w:rsid w:val="00463731"/>
    <w:rsid w:val="0046400A"/>
    <w:rsid w:val="00467B25"/>
    <w:rsid w:val="00474A3D"/>
    <w:rsid w:val="00475389"/>
    <w:rsid w:val="00475BFA"/>
    <w:rsid w:val="00477607"/>
    <w:rsid w:val="00481108"/>
    <w:rsid w:val="004831A8"/>
    <w:rsid w:val="00484353"/>
    <w:rsid w:val="00484CF5"/>
    <w:rsid w:val="00487408"/>
    <w:rsid w:val="0049042B"/>
    <w:rsid w:val="00492D5C"/>
    <w:rsid w:val="00493386"/>
    <w:rsid w:val="00495473"/>
    <w:rsid w:val="00496FFD"/>
    <w:rsid w:val="00497B60"/>
    <w:rsid w:val="004A2EBE"/>
    <w:rsid w:val="004A458E"/>
    <w:rsid w:val="004A5539"/>
    <w:rsid w:val="004B23E7"/>
    <w:rsid w:val="004B306F"/>
    <w:rsid w:val="004B6D22"/>
    <w:rsid w:val="004C1DC3"/>
    <w:rsid w:val="004C3186"/>
    <w:rsid w:val="004C5042"/>
    <w:rsid w:val="004C7CAF"/>
    <w:rsid w:val="004C7D89"/>
    <w:rsid w:val="004E0D4E"/>
    <w:rsid w:val="004E0EC2"/>
    <w:rsid w:val="004E4422"/>
    <w:rsid w:val="00503998"/>
    <w:rsid w:val="0050566F"/>
    <w:rsid w:val="005058C2"/>
    <w:rsid w:val="0050623B"/>
    <w:rsid w:val="00512219"/>
    <w:rsid w:val="0051563E"/>
    <w:rsid w:val="00517D37"/>
    <w:rsid w:val="00520146"/>
    <w:rsid w:val="00522A8C"/>
    <w:rsid w:val="00523181"/>
    <w:rsid w:val="0052411A"/>
    <w:rsid w:val="00524658"/>
    <w:rsid w:val="00524D13"/>
    <w:rsid w:val="00525DC9"/>
    <w:rsid w:val="005261DE"/>
    <w:rsid w:val="00533336"/>
    <w:rsid w:val="005339F6"/>
    <w:rsid w:val="00545917"/>
    <w:rsid w:val="005472FB"/>
    <w:rsid w:val="0055177F"/>
    <w:rsid w:val="00551D2E"/>
    <w:rsid w:val="005532E1"/>
    <w:rsid w:val="005548DB"/>
    <w:rsid w:val="00563BDB"/>
    <w:rsid w:val="00564E52"/>
    <w:rsid w:val="00573F89"/>
    <w:rsid w:val="00576B18"/>
    <w:rsid w:val="005802F6"/>
    <w:rsid w:val="005865E0"/>
    <w:rsid w:val="00587724"/>
    <w:rsid w:val="00591512"/>
    <w:rsid w:val="00591AF9"/>
    <w:rsid w:val="00591BF9"/>
    <w:rsid w:val="00593772"/>
    <w:rsid w:val="005941AE"/>
    <w:rsid w:val="005A7911"/>
    <w:rsid w:val="005B2768"/>
    <w:rsid w:val="005B2D91"/>
    <w:rsid w:val="005B48B4"/>
    <w:rsid w:val="005B593B"/>
    <w:rsid w:val="005C2994"/>
    <w:rsid w:val="005C6661"/>
    <w:rsid w:val="005C6E3B"/>
    <w:rsid w:val="005D0513"/>
    <w:rsid w:val="005D0614"/>
    <w:rsid w:val="005D0C6E"/>
    <w:rsid w:val="005D25EA"/>
    <w:rsid w:val="005D3F18"/>
    <w:rsid w:val="005D474B"/>
    <w:rsid w:val="005D5D19"/>
    <w:rsid w:val="005D7A76"/>
    <w:rsid w:val="005E085C"/>
    <w:rsid w:val="005E147D"/>
    <w:rsid w:val="005E1FF5"/>
    <w:rsid w:val="005E22C2"/>
    <w:rsid w:val="005E4546"/>
    <w:rsid w:val="005E5763"/>
    <w:rsid w:val="005E57BB"/>
    <w:rsid w:val="005F0017"/>
    <w:rsid w:val="006014F1"/>
    <w:rsid w:val="006026A1"/>
    <w:rsid w:val="00604C76"/>
    <w:rsid w:val="006053A7"/>
    <w:rsid w:val="0061313F"/>
    <w:rsid w:val="00613164"/>
    <w:rsid w:val="0061357B"/>
    <w:rsid w:val="00614A7D"/>
    <w:rsid w:val="00616F97"/>
    <w:rsid w:val="0063631C"/>
    <w:rsid w:val="0063757B"/>
    <w:rsid w:val="006377CE"/>
    <w:rsid w:val="00637E91"/>
    <w:rsid w:val="006405D5"/>
    <w:rsid w:val="00640A46"/>
    <w:rsid w:val="00646879"/>
    <w:rsid w:val="00646B2F"/>
    <w:rsid w:val="00646F78"/>
    <w:rsid w:val="006537D9"/>
    <w:rsid w:val="00653E15"/>
    <w:rsid w:val="006620DA"/>
    <w:rsid w:val="00663674"/>
    <w:rsid w:val="00664A48"/>
    <w:rsid w:val="00665DEF"/>
    <w:rsid w:val="006729AD"/>
    <w:rsid w:val="00673B1F"/>
    <w:rsid w:val="00675BB1"/>
    <w:rsid w:val="006760B3"/>
    <w:rsid w:val="006762F1"/>
    <w:rsid w:val="00676A25"/>
    <w:rsid w:val="006775F1"/>
    <w:rsid w:val="00681B9D"/>
    <w:rsid w:val="00691BAC"/>
    <w:rsid w:val="00692AA7"/>
    <w:rsid w:val="0069357F"/>
    <w:rsid w:val="00697FEC"/>
    <w:rsid w:val="006A175F"/>
    <w:rsid w:val="006A44F5"/>
    <w:rsid w:val="006B3429"/>
    <w:rsid w:val="006B4537"/>
    <w:rsid w:val="006B5F85"/>
    <w:rsid w:val="006B6929"/>
    <w:rsid w:val="006B709B"/>
    <w:rsid w:val="006C0EC2"/>
    <w:rsid w:val="006C54AF"/>
    <w:rsid w:val="006D4AB4"/>
    <w:rsid w:val="006D674C"/>
    <w:rsid w:val="006D7B5B"/>
    <w:rsid w:val="006E0181"/>
    <w:rsid w:val="006E225C"/>
    <w:rsid w:val="006E2A59"/>
    <w:rsid w:val="006E6C90"/>
    <w:rsid w:val="006E7BA0"/>
    <w:rsid w:val="006F77C3"/>
    <w:rsid w:val="00700C0E"/>
    <w:rsid w:val="0070431E"/>
    <w:rsid w:val="00705DAD"/>
    <w:rsid w:val="007129AB"/>
    <w:rsid w:val="007247B9"/>
    <w:rsid w:val="00725944"/>
    <w:rsid w:val="00727D85"/>
    <w:rsid w:val="00730232"/>
    <w:rsid w:val="007346C7"/>
    <w:rsid w:val="0073572B"/>
    <w:rsid w:val="00736041"/>
    <w:rsid w:val="0073698A"/>
    <w:rsid w:val="00736EBD"/>
    <w:rsid w:val="0074039E"/>
    <w:rsid w:val="007408C7"/>
    <w:rsid w:val="00745651"/>
    <w:rsid w:val="007465DA"/>
    <w:rsid w:val="00752C7F"/>
    <w:rsid w:val="007556C7"/>
    <w:rsid w:val="007624D2"/>
    <w:rsid w:val="00773785"/>
    <w:rsid w:val="00775229"/>
    <w:rsid w:val="00776598"/>
    <w:rsid w:val="0078259E"/>
    <w:rsid w:val="0078639D"/>
    <w:rsid w:val="00790909"/>
    <w:rsid w:val="00792948"/>
    <w:rsid w:val="007943D7"/>
    <w:rsid w:val="00796E84"/>
    <w:rsid w:val="007A222B"/>
    <w:rsid w:val="007A3ADE"/>
    <w:rsid w:val="007A5733"/>
    <w:rsid w:val="007A5774"/>
    <w:rsid w:val="007B3D4C"/>
    <w:rsid w:val="007B6031"/>
    <w:rsid w:val="007C0A1B"/>
    <w:rsid w:val="007C543B"/>
    <w:rsid w:val="007E128F"/>
    <w:rsid w:val="007E4236"/>
    <w:rsid w:val="007E51F0"/>
    <w:rsid w:val="007F27F1"/>
    <w:rsid w:val="00801E74"/>
    <w:rsid w:val="00804337"/>
    <w:rsid w:val="0080485E"/>
    <w:rsid w:val="008142B4"/>
    <w:rsid w:val="00816BB1"/>
    <w:rsid w:val="00826EB6"/>
    <w:rsid w:val="00832324"/>
    <w:rsid w:val="008332DC"/>
    <w:rsid w:val="00833858"/>
    <w:rsid w:val="008340C4"/>
    <w:rsid w:val="0083473B"/>
    <w:rsid w:val="00835337"/>
    <w:rsid w:val="00843738"/>
    <w:rsid w:val="00846DCD"/>
    <w:rsid w:val="00847EB3"/>
    <w:rsid w:val="00851D85"/>
    <w:rsid w:val="00853F97"/>
    <w:rsid w:val="0085640B"/>
    <w:rsid w:val="00860CCB"/>
    <w:rsid w:val="0086106C"/>
    <w:rsid w:val="00862CB6"/>
    <w:rsid w:val="00866620"/>
    <w:rsid w:val="00867AED"/>
    <w:rsid w:val="00873C74"/>
    <w:rsid w:val="008740A3"/>
    <w:rsid w:val="0087414C"/>
    <w:rsid w:val="00874575"/>
    <w:rsid w:val="008776F7"/>
    <w:rsid w:val="0089297B"/>
    <w:rsid w:val="00893918"/>
    <w:rsid w:val="008946EA"/>
    <w:rsid w:val="0089740B"/>
    <w:rsid w:val="00897AA4"/>
    <w:rsid w:val="00897FC9"/>
    <w:rsid w:val="008A0C07"/>
    <w:rsid w:val="008A15D6"/>
    <w:rsid w:val="008A38C2"/>
    <w:rsid w:val="008A48F5"/>
    <w:rsid w:val="008B2522"/>
    <w:rsid w:val="008B2930"/>
    <w:rsid w:val="008B30D1"/>
    <w:rsid w:val="008B44CB"/>
    <w:rsid w:val="008C0FFD"/>
    <w:rsid w:val="008C36CA"/>
    <w:rsid w:val="008C4203"/>
    <w:rsid w:val="008C5D4C"/>
    <w:rsid w:val="008E04E9"/>
    <w:rsid w:val="008E3F8C"/>
    <w:rsid w:val="008E762C"/>
    <w:rsid w:val="008F3F1F"/>
    <w:rsid w:val="008F698C"/>
    <w:rsid w:val="008F6FD4"/>
    <w:rsid w:val="009000E3"/>
    <w:rsid w:val="00902FD0"/>
    <w:rsid w:val="009053D3"/>
    <w:rsid w:val="009060F2"/>
    <w:rsid w:val="0090691F"/>
    <w:rsid w:val="00907488"/>
    <w:rsid w:val="0091108E"/>
    <w:rsid w:val="009142D4"/>
    <w:rsid w:val="009164CB"/>
    <w:rsid w:val="00920BD8"/>
    <w:rsid w:val="00924179"/>
    <w:rsid w:val="0092785B"/>
    <w:rsid w:val="0093111F"/>
    <w:rsid w:val="00932AAD"/>
    <w:rsid w:val="00935689"/>
    <w:rsid w:val="009370CA"/>
    <w:rsid w:val="0094329A"/>
    <w:rsid w:val="00946640"/>
    <w:rsid w:val="009505BF"/>
    <w:rsid w:val="009516AB"/>
    <w:rsid w:val="0095303B"/>
    <w:rsid w:val="009539EC"/>
    <w:rsid w:val="009663B6"/>
    <w:rsid w:val="00974A47"/>
    <w:rsid w:val="0097554E"/>
    <w:rsid w:val="00975F24"/>
    <w:rsid w:val="00980286"/>
    <w:rsid w:val="00990051"/>
    <w:rsid w:val="00990DCF"/>
    <w:rsid w:val="00994BB8"/>
    <w:rsid w:val="00997146"/>
    <w:rsid w:val="0099714D"/>
    <w:rsid w:val="009A121C"/>
    <w:rsid w:val="009A24A9"/>
    <w:rsid w:val="009A413E"/>
    <w:rsid w:val="009A4CD6"/>
    <w:rsid w:val="009A537C"/>
    <w:rsid w:val="009A65CF"/>
    <w:rsid w:val="009B38A1"/>
    <w:rsid w:val="009B47D2"/>
    <w:rsid w:val="009B54E2"/>
    <w:rsid w:val="009B6961"/>
    <w:rsid w:val="009C0886"/>
    <w:rsid w:val="009C19EE"/>
    <w:rsid w:val="009C28D0"/>
    <w:rsid w:val="009C35F2"/>
    <w:rsid w:val="009C50DD"/>
    <w:rsid w:val="009C7782"/>
    <w:rsid w:val="009C7C61"/>
    <w:rsid w:val="009C7C68"/>
    <w:rsid w:val="009C7C74"/>
    <w:rsid w:val="009D1ED5"/>
    <w:rsid w:val="009D4AA3"/>
    <w:rsid w:val="009D4C13"/>
    <w:rsid w:val="009D4D30"/>
    <w:rsid w:val="009D52F6"/>
    <w:rsid w:val="009E21A7"/>
    <w:rsid w:val="009E2261"/>
    <w:rsid w:val="009F0FCD"/>
    <w:rsid w:val="009F43FE"/>
    <w:rsid w:val="00A00BC6"/>
    <w:rsid w:val="00A044E9"/>
    <w:rsid w:val="00A05362"/>
    <w:rsid w:val="00A103ED"/>
    <w:rsid w:val="00A10B65"/>
    <w:rsid w:val="00A12A9D"/>
    <w:rsid w:val="00A13528"/>
    <w:rsid w:val="00A13C60"/>
    <w:rsid w:val="00A15134"/>
    <w:rsid w:val="00A23A95"/>
    <w:rsid w:val="00A341A3"/>
    <w:rsid w:val="00A35800"/>
    <w:rsid w:val="00A364A4"/>
    <w:rsid w:val="00A41AF3"/>
    <w:rsid w:val="00A5038E"/>
    <w:rsid w:val="00A52918"/>
    <w:rsid w:val="00A53F3B"/>
    <w:rsid w:val="00A547B3"/>
    <w:rsid w:val="00A557A2"/>
    <w:rsid w:val="00A70E82"/>
    <w:rsid w:val="00A71EAD"/>
    <w:rsid w:val="00A725CB"/>
    <w:rsid w:val="00A745F0"/>
    <w:rsid w:val="00A75F16"/>
    <w:rsid w:val="00A75FA7"/>
    <w:rsid w:val="00A84CAD"/>
    <w:rsid w:val="00A861F1"/>
    <w:rsid w:val="00A86C91"/>
    <w:rsid w:val="00A90215"/>
    <w:rsid w:val="00A90E50"/>
    <w:rsid w:val="00A95FA5"/>
    <w:rsid w:val="00A96D92"/>
    <w:rsid w:val="00AA00D4"/>
    <w:rsid w:val="00AA1C5F"/>
    <w:rsid w:val="00AA3A08"/>
    <w:rsid w:val="00AA517C"/>
    <w:rsid w:val="00AA7770"/>
    <w:rsid w:val="00AB199C"/>
    <w:rsid w:val="00AB2868"/>
    <w:rsid w:val="00AB3733"/>
    <w:rsid w:val="00AB588C"/>
    <w:rsid w:val="00AB7897"/>
    <w:rsid w:val="00AC5054"/>
    <w:rsid w:val="00AD6FAC"/>
    <w:rsid w:val="00AE2804"/>
    <w:rsid w:val="00AE4BAC"/>
    <w:rsid w:val="00AE501D"/>
    <w:rsid w:val="00AF1435"/>
    <w:rsid w:val="00AF18B4"/>
    <w:rsid w:val="00AF4DD6"/>
    <w:rsid w:val="00B00AB6"/>
    <w:rsid w:val="00B0304D"/>
    <w:rsid w:val="00B034FC"/>
    <w:rsid w:val="00B04D6B"/>
    <w:rsid w:val="00B05310"/>
    <w:rsid w:val="00B10A0B"/>
    <w:rsid w:val="00B11673"/>
    <w:rsid w:val="00B11F39"/>
    <w:rsid w:val="00B131CF"/>
    <w:rsid w:val="00B13E22"/>
    <w:rsid w:val="00B16ADB"/>
    <w:rsid w:val="00B24F90"/>
    <w:rsid w:val="00B304A4"/>
    <w:rsid w:val="00B30D85"/>
    <w:rsid w:val="00B35A4A"/>
    <w:rsid w:val="00B453CF"/>
    <w:rsid w:val="00B61C35"/>
    <w:rsid w:val="00B635EF"/>
    <w:rsid w:val="00B63FD7"/>
    <w:rsid w:val="00B643AF"/>
    <w:rsid w:val="00B72521"/>
    <w:rsid w:val="00B74C14"/>
    <w:rsid w:val="00B762F0"/>
    <w:rsid w:val="00B76C75"/>
    <w:rsid w:val="00B77BE9"/>
    <w:rsid w:val="00B816D9"/>
    <w:rsid w:val="00B8452D"/>
    <w:rsid w:val="00B87C51"/>
    <w:rsid w:val="00B87CEF"/>
    <w:rsid w:val="00B9120F"/>
    <w:rsid w:val="00B91E3F"/>
    <w:rsid w:val="00B9216C"/>
    <w:rsid w:val="00B924A4"/>
    <w:rsid w:val="00B94EB8"/>
    <w:rsid w:val="00B96FBD"/>
    <w:rsid w:val="00BA0EFC"/>
    <w:rsid w:val="00BA2290"/>
    <w:rsid w:val="00BA7F28"/>
    <w:rsid w:val="00BB0AC2"/>
    <w:rsid w:val="00BB0D1A"/>
    <w:rsid w:val="00BB1D3B"/>
    <w:rsid w:val="00BC35ED"/>
    <w:rsid w:val="00BC40C2"/>
    <w:rsid w:val="00BC5DA5"/>
    <w:rsid w:val="00BC5EC4"/>
    <w:rsid w:val="00BD251D"/>
    <w:rsid w:val="00BD4CA3"/>
    <w:rsid w:val="00BE205A"/>
    <w:rsid w:val="00BE34BD"/>
    <w:rsid w:val="00BE3802"/>
    <w:rsid w:val="00BE3CD8"/>
    <w:rsid w:val="00BE4E85"/>
    <w:rsid w:val="00BE7D45"/>
    <w:rsid w:val="00BF076B"/>
    <w:rsid w:val="00BF0C81"/>
    <w:rsid w:val="00BF238E"/>
    <w:rsid w:val="00BF2D22"/>
    <w:rsid w:val="00BF2F4A"/>
    <w:rsid w:val="00BF30D6"/>
    <w:rsid w:val="00BF544D"/>
    <w:rsid w:val="00BF6002"/>
    <w:rsid w:val="00C0076F"/>
    <w:rsid w:val="00C00898"/>
    <w:rsid w:val="00C0301C"/>
    <w:rsid w:val="00C050B6"/>
    <w:rsid w:val="00C10F12"/>
    <w:rsid w:val="00C11593"/>
    <w:rsid w:val="00C121D1"/>
    <w:rsid w:val="00C13953"/>
    <w:rsid w:val="00C13E24"/>
    <w:rsid w:val="00C149C1"/>
    <w:rsid w:val="00C22BD9"/>
    <w:rsid w:val="00C245EA"/>
    <w:rsid w:val="00C256F6"/>
    <w:rsid w:val="00C25F3E"/>
    <w:rsid w:val="00C26F12"/>
    <w:rsid w:val="00C27EEE"/>
    <w:rsid w:val="00C3097E"/>
    <w:rsid w:val="00C35ECC"/>
    <w:rsid w:val="00C361A8"/>
    <w:rsid w:val="00C36846"/>
    <w:rsid w:val="00C400E7"/>
    <w:rsid w:val="00C41246"/>
    <w:rsid w:val="00C43488"/>
    <w:rsid w:val="00C45E5F"/>
    <w:rsid w:val="00C46291"/>
    <w:rsid w:val="00C53A5A"/>
    <w:rsid w:val="00C53C96"/>
    <w:rsid w:val="00C54E0A"/>
    <w:rsid w:val="00C55DDD"/>
    <w:rsid w:val="00C61AC9"/>
    <w:rsid w:val="00C62AE4"/>
    <w:rsid w:val="00C63412"/>
    <w:rsid w:val="00C64688"/>
    <w:rsid w:val="00C714D0"/>
    <w:rsid w:val="00C75ADD"/>
    <w:rsid w:val="00C80616"/>
    <w:rsid w:val="00C82E56"/>
    <w:rsid w:val="00C86EB2"/>
    <w:rsid w:val="00C8730E"/>
    <w:rsid w:val="00C90EF4"/>
    <w:rsid w:val="00CA015A"/>
    <w:rsid w:val="00CA04AF"/>
    <w:rsid w:val="00CA1539"/>
    <w:rsid w:val="00CA4E12"/>
    <w:rsid w:val="00CB406F"/>
    <w:rsid w:val="00CC0ACA"/>
    <w:rsid w:val="00CC0B54"/>
    <w:rsid w:val="00CC1AA3"/>
    <w:rsid w:val="00CC26FB"/>
    <w:rsid w:val="00CC35E7"/>
    <w:rsid w:val="00CD0145"/>
    <w:rsid w:val="00CD1B5A"/>
    <w:rsid w:val="00CD23F0"/>
    <w:rsid w:val="00CD4486"/>
    <w:rsid w:val="00CE5564"/>
    <w:rsid w:val="00CE7240"/>
    <w:rsid w:val="00CF1C35"/>
    <w:rsid w:val="00CF5E22"/>
    <w:rsid w:val="00CF7A94"/>
    <w:rsid w:val="00D0030B"/>
    <w:rsid w:val="00D06A44"/>
    <w:rsid w:val="00D11DA7"/>
    <w:rsid w:val="00D151EB"/>
    <w:rsid w:val="00D15BD9"/>
    <w:rsid w:val="00D238E4"/>
    <w:rsid w:val="00D300E0"/>
    <w:rsid w:val="00D30214"/>
    <w:rsid w:val="00D374CD"/>
    <w:rsid w:val="00D37A0A"/>
    <w:rsid w:val="00D410AA"/>
    <w:rsid w:val="00D476CE"/>
    <w:rsid w:val="00D530E0"/>
    <w:rsid w:val="00D5578B"/>
    <w:rsid w:val="00D63C80"/>
    <w:rsid w:val="00D650CE"/>
    <w:rsid w:val="00D66B34"/>
    <w:rsid w:val="00D71719"/>
    <w:rsid w:val="00D7430D"/>
    <w:rsid w:val="00D776DA"/>
    <w:rsid w:val="00D84DA9"/>
    <w:rsid w:val="00D86796"/>
    <w:rsid w:val="00D873C2"/>
    <w:rsid w:val="00D8758B"/>
    <w:rsid w:val="00D9012E"/>
    <w:rsid w:val="00D942B3"/>
    <w:rsid w:val="00D94863"/>
    <w:rsid w:val="00D96B9C"/>
    <w:rsid w:val="00D96FED"/>
    <w:rsid w:val="00D97C09"/>
    <w:rsid w:val="00DA0666"/>
    <w:rsid w:val="00DA3559"/>
    <w:rsid w:val="00DA4351"/>
    <w:rsid w:val="00DA4B54"/>
    <w:rsid w:val="00DA74AB"/>
    <w:rsid w:val="00DA7D09"/>
    <w:rsid w:val="00DB0ADA"/>
    <w:rsid w:val="00DB250B"/>
    <w:rsid w:val="00DB2DCB"/>
    <w:rsid w:val="00DB5654"/>
    <w:rsid w:val="00DB7041"/>
    <w:rsid w:val="00DB7D47"/>
    <w:rsid w:val="00DC013B"/>
    <w:rsid w:val="00DC2630"/>
    <w:rsid w:val="00DC44D9"/>
    <w:rsid w:val="00DC49E9"/>
    <w:rsid w:val="00DC55E4"/>
    <w:rsid w:val="00DC7D71"/>
    <w:rsid w:val="00DD188C"/>
    <w:rsid w:val="00DD29A3"/>
    <w:rsid w:val="00DD32CB"/>
    <w:rsid w:val="00DD48EE"/>
    <w:rsid w:val="00DD57D0"/>
    <w:rsid w:val="00DE0B96"/>
    <w:rsid w:val="00DE10B9"/>
    <w:rsid w:val="00DE7860"/>
    <w:rsid w:val="00DF0B13"/>
    <w:rsid w:val="00DF28E0"/>
    <w:rsid w:val="00DF2EB8"/>
    <w:rsid w:val="00DF4A94"/>
    <w:rsid w:val="00DF4C2B"/>
    <w:rsid w:val="00DF59CC"/>
    <w:rsid w:val="00DF6003"/>
    <w:rsid w:val="00DF7E66"/>
    <w:rsid w:val="00E00095"/>
    <w:rsid w:val="00E023EB"/>
    <w:rsid w:val="00E038AC"/>
    <w:rsid w:val="00E04C10"/>
    <w:rsid w:val="00E066C3"/>
    <w:rsid w:val="00E10D8C"/>
    <w:rsid w:val="00E1353A"/>
    <w:rsid w:val="00E1564B"/>
    <w:rsid w:val="00E208A0"/>
    <w:rsid w:val="00E22E13"/>
    <w:rsid w:val="00E25B49"/>
    <w:rsid w:val="00E302B5"/>
    <w:rsid w:val="00E371EA"/>
    <w:rsid w:val="00E40564"/>
    <w:rsid w:val="00E47183"/>
    <w:rsid w:val="00E55C1F"/>
    <w:rsid w:val="00E564CB"/>
    <w:rsid w:val="00E61B6E"/>
    <w:rsid w:val="00E6349A"/>
    <w:rsid w:val="00E64429"/>
    <w:rsid w:val="00E677DD"/>
    <w:rsid w:val="00E678E3"/>
    <w:rsid w:val="00E7137A"/>
    <w:rsid w:val="00E73B20"/>
    <w:rsid w:val="00E7594B"/>
    <w:rsid w:val="00E81E8E"/>
    <w:rsid w:val="00E82C6E"/>
    <w:rsid w:val="00E82D59"/>
    <w:rsid w:val="00E85104"/>
    <w:rsid w:val="00EA26AD"/>
    <w:rsid w:val="00EA2CBC"/>
    <w:rsid w:val="00EA401F"/>
    <w:rsid w:val="00EA4500"/>
    <w:rsid w:val="00EA4DC5"/>
    <w:rsid w:val="00EA635E"/>
    <w:rsid w:val="00EB4688"/>
    <w:rsid w:val="00EB6C07"/>
    <w:rsid w:val="00EC028D"/>
    <w:rsid w:val="00EC105A"/>
    <w:rsid w:val="00EC1099"/>
    <w:rsid w:val="00EC1FD6"/>
    <w:rsid w:val="00EC3816"/>
    <w:rsid w:val="00EC433E"/>
    <w:rsid w:val="00EC7A86"/>
    <w:rsid w:val="00ED61C3"/>
    <w:rsid w:val="00ED633B"/>
    <w:rsid w:val="00ED65D9"/>
    <w:rsid w:val="00EE04B0"/>
    <w:rsid w:val="00EE165E"/>
    <w:rsid w:val="00EE2BBB"/>
    <w:rsid w:val="00EE478C"/>
    <w:rsid w:val="00EF0123"/>
    <w:rsid w:val="00F1132C"/>
    <w:rsid w:val="00F12D61"/>
    <w:rsid w:val="00F15DD5"/>
    <w:rsid w:val="00F17D4B"/>
    <w:rsid w:val="00F23139"/>
    <w:rsid w:val="00F25472"/>
    <w:rsid w:val="00F34E25"/>
    <w:rsid w:val="00F3543D"/>
    <w:rsid w:val="00F3581C"/>
    <w:rsid w:val="00F36FB0"/>
    <w:rsid w:val="00F37DA7"/>
    <w:rsid w:val="00F5380E"/>
    <w:rsid w:val="00F65382"/>
    <w:rsid w:val="00F66CD5"/>
    <w:rsid w:val="00F67A9A"/>
    <w:rsid w:val="00F70F4E"/>
    <w:rsid w:val="00F712EE"/>
    <w:rsid w:val="00F717D4"/>
    <w:rsid w:val="00F72FE5"/>
    <w:rsid w:val="00F73113"/>
    <w:rsid w:val="00F75FC4"/>
    <w:rsid w:val="00F85981"/>
    <w:rsid w:val="00F87263"/>
    <w:rsid w:val="00F90C41"/>
    <w:rsid w:val="00F91BC4"/>
    <w:rsid w:val="00F93725"/>
    <w:rsid w:val="00F93B10"/>
    <w:rsid w:val="00F960A7"/>
    <w:rsid w:val="00F979BA"/>
    <w:rsid w:val="00FA28AB"/>
    <w:rsid w:val="00FA4890"/>
    <w:rsid w:val="00FA4FC3"/>
    <w:rsid w:val="00FA613E"/>
    <w:rsid w:val="00FA67F2"/>
    <w:rsid w:val="00FA76C9"/>
    <w:rsid w:val="00FB45D8"/>
    <w:rsid w:val="00FB506A"/>
    <w:rsid w:val="00FB69D5"/>
    <w:rsid w:val="00FB77FA"/>
    <w:rsid w:val="00FB7DA2"/>
    <w:rsid w:val="00FC3C70"/>
    <w:rsid w:val="00FC4A73"/>
    <w:rsid w:val="00FC559C"/>
    <w:rsid w:val="00FC7F0D"/>
    <w:rsid w:val="00FD6880"/>
    <w:rsid w:val="00FE0722"/>
    <w:rsid w:val="00FE645A"/>
    <w:rsid w:val="00FF5CDB"/>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6737"/>
    <o:shapelayout v:ext="edit">
      <o:idmap v:ext="edit" data="1"/>
    </o:shapelayout>
  </w:shapeDefaults>
  <w:decimalSymbol w:val="."/>
  <w:listSeparator w:val=","/>
  <w14:docId w14:val="3FC01F9B"/>
  <w15:docId w15:val="{EAEDBB23-B8A9-4CE1-9F60-50BA481B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aliases w:val="Table Title"/>
    <w:basedOn w:val="DefaultParagraphFont"/>
    <w:uiPriority w:val="99"/>
    <w:unhideWhenUsed/>
    <w:qFormat/>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customStyle="1" w:styleId="TableFooter">
    <w:name w:val="Table Footer"/>
    <w:basedOn w:val="Normal"/>
    <w:qFormat/>
    <w:rsid w:val="00975F24"/>
    <w:pPr>
      <w:widowControl w:val="0"/>
      <w:spacing w:after="0"/>
      <w:jc w:val="both"/>
    </w:pPr>
    <w:rPr>
      <w:rFonts w:ascii="Arial Narrow" w:eastAsia="Times New Roman" w:hAnsi="Arial Narrow" w:cs="Arial"/>
      <w:snapToGrid w:val="0"/>
      <w:sz w:val="18"/>
      <w:szCs w:val="20"/>
      <w:lang w:eastAsia="en-US"/>
    </w:rPr>
  </w:style>
  <w:style w:type="paragraph" w:styleId="Revision">
    <w:name w:val="Revision"/>
    <w:hidden/>
    <w:uiPriority w:val="99"/>
    <w:semiHidden/>
    <w:rsid w:val="00D11DA7"/>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22254">
      <w:bodyDiv w:val="1"/>
      <w:marLeft w:val="0"/>
      <w:marRight w:val="0"/>
      <w:marTop w:val="0"/>
      <w:marBottom w:val="0"/>
      <w:divBdr>
        <w:top w:val="none" w:sz="0" w:space="0" w:color="auto"/>
        <w:left w:val="none" w:sz="0" w:space="0" w:color="auto"/>
        <w:bottom w:val="none" w:sz="0" w:space="0" w:color="auto"/>
        <w:right w:val="none" w:sz="0" w:space="0" w:color="auto"/>
      </w:divBdr>
    </w:div>
    <w:div w:id="252204472">
      <w:bodyDiv w:val="1"/>
      <w:marLeft w:val="0"/>
      <w:marRight w:val="0"/>
      <w:marTop w:val="0"/>
      <w:marBottom w:val="0"/>
      <w:divBdr>
        <w:top w:val="none" w:sz="0" w:space="0" w:color="auto"/>
        <w:left w:val="none" w:sz="0" w:space="0" w:color="auto"/>
        <w:bottom w:val="none" w:sz="0" w:space="0" w:color="auto"/>
        <w:right w:val="none" w:sz="0" w:space="0" w:color="auto"/>
      </w:divBdr>
    </w:div>
    <w:div w:id="274677357">
      <w:bodyDiv w:val="1"/>
      <w:marLeft w:val="0"/>
      <w:marRight w:val="0"/>
      <w:marTop w:val="0"/>
      <w:marBottom w:val="0"/>
      <w:divBdr>
        <w:top w:val="none" w:sz="0" w:space="0" w:color="auto"/>
        <w:left w:val="none" w:sz="0" w:space="0" w:color="auto"/>
        <w:bottom w:val="none" w:sz="0" w:space="0" w:color="auto"/>
        <w:right w:val="none" w:sz="0" w:space="0" w:color="auto"/>
      </w:divBdr>
    </w:div>
    <w:div w:id="291904472">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37214781">
      <w:bodyDiv w:val="1"/>
      <w:marLeft w:val="0"/>
      <w:marRight w:val="0"/>
      <w:marTop w:val="0"/>
      <w:marBottom w:val="0"/>
      <w:divBdr>
        <w:top w:val="none" w:sz="0" w:space="0" w:color="auto"/>
        <w:left w:val="none" w:sz="0" w:space="0" w:color="auto"/>
        <w:bottom w:val="none" w:sz="0" w:space="0" w:color="auto"/>
        <w:right w:val="none" w:sz="0" w:space="0" w:color="auto"/>
      </w:divBdr>
    </w:div>
    <w:div w:id="444465925">
      <w:bodyDiv w:val="1"/>
      <w:marLeft w:val="0"/>
      <w:marRight w:val="0"/>
      <w:marTop w:val="0"/>
      <w:marBottom w:val="0"/>
      <w:divBdr>
        <w:top w:val="none" w:sz="0" w:space="0" w:color="auto"/>
        <w:left w:val="none" w:sz="0" w:space="0" w:color="auto"/>
        <w:bottom w:val="none" w:sz="0" w:space="0" w:color="auto"/>
        <w:right w:val="none" w:sz="0" w:space="0" w:color="auto"/>
      </w:divBdr>
    </w:div>
    <w:div w:id="482429914">
      <w:bodyDiv w:val="1"/>
      <w:marLeft w:val="0"/>
      <w:marRight w:val="0"/>
      <w:marTop w:val="0"/>
      <w:marBottom w:val="0"/>
      <w:divBdr>
        <w:top w:val="none" w:sz="0" w:space="0" w:color="auto"/>
        <w:left w:val="none" w:sz="0" w:space="0" w:color="auto"/>
        <w:bottom w:val="none" w:sz="0" w:space="0" w:color="auto"/>
        <w:right w:val="none" w:sz="0" w:space="0" w:color="auto"/>
      </w:divBdr>
    </w:div>
    <w:div w:id="544371243">
      <w:bodyDiv w:val="1"/>
      <w:marLeft w:val="0"/>
      <w:marRight w:val="0"/>
      <w:marTop w:val="0"/>
      <w:marBottom w:val="0"/>
      <w:divBdr>
        <w:top w:val="none" w:sz="0" w:space="0" w:color="auto"/>
        <w:left w:val="none" w:sz="0" w:space="0" w:color="auto"/>
        <w:bottom w:val="none" w:sz="0" w:space="0" w:color="auto"/>
        <w:right w:val="none" w:sz="0" w:space="0" w:color="auto"/>
      </w:divBdr>
    </w:div>
    <w:div w:id="748118761">
      <w:bodyDiv w:val="1"/>
      <w:marLeft w:val="0"/>
      <w:marRight w:val="0"/>
      <w:marTop w:val="0"/>
      <w:marBottom w:val="0"/>
      <w:divBdr>
        <w:top w:val="none" w:sz="0" w:space="0" w:color="auto"/>
        <w:left w:val="none" w:sz="0" w:space="0" w:color="auto"/>
        <w:bottom w:val="none" w:sz="0" w:space="0" w:color="auto"/>
        <w:right w:val="none" w:sz="0" w:space="0" w:color="auto"/>
      </w:divBdr>
      <w:divsChild>
        <w:div w:id="1751850891">
          <w:marLeft w:val="0"/>
          <w:marRight w:val="0"/>
          <w:marTop w:val="0"/>
          <w:marBottom w:val="0"/>
          <w:divBdr>
            <w:top w:val="none" w:sz="0" w:space="0" w:color="C4DEEE"/>
            <w:left w:val="none" w:sz="0" w:space="0" w:color="C4DEEE"/>
            <w:bottom w:val="none" w:sz="0" w:space="0" w:color="C4DEEE"/>
            <w:right w:val="none" w:sz="0" w:space="0" w:color="C4DEEE"/>
          </w:divBdr>
          <w:divsChild>
            <w:div w:id="1743722974">
              <w:marLeft w:val="0"/>
              <w:marRight w:val="0"/>
              <w:marTop w:val="0"/>
              <w:marBottom w:val="0"/>
              <w:divBdr>
                <w:top w:val="none" w:sz="0" w:space="0" w:color="C4DEEE"/>
                <w:left w:val="none" w:sz="0" w:space="0" w:color="C4DEEE"/>
                <w:bottom w:val="none" w:sz="0" w:space="0" w:color="C4DEEE"/>
                <w:right w:val="none" w:sz="0" w:space="0" w:color="C4DEEE"/>
              </w:divBdr>
            </w:div>
          </w:divsChild>
        </w:div>
        <w:div w:id="490676271">
          <w:marLeft w:val="0"/>
          <w:marRight w:val="0"/>
          <w:marTop w:val="0"/>
          <w:marBottom w:val="0"/>
          <w:divBdr>
            <w:top w:val="none" w:sz="0" w:space="0" w:color="C4DEEE"/>
            <w:left w:val="none" w:sz="0" w:space="0" w:color="C4DEEE"/>
            <w:bottom w:val="none" w:sz="0" w:space="0" w:color="C4DEEE"/>
            <w:right w:val="none" w:sz="0" w:space="0" w:color="C4DEEE"/>
          </w:divBdr>
        </w:div>
      </w:divsChild>
    </w:div>
    <w:div w:id="776214441">
      <w:bodyDiv w:val="1"/>
      <w:marLeft w:val="0"/>
      <w:marRight w:val="0"/>
      <w:marTop w:val="0"/>
      <w:marBottom w:val="0"/>
      <w:divBdr>
        <w:top w:val="none" w:sz="0" w:space="0" w:color="auto"/>
        <w:left w:val="none" w:sz="0" w:space="0" w:color="auto"/>
        <w:bottom w:val="none" w:sz="0" w:space="0" w:color="auto"/>
        <w:right w:val="none" w:sz="0" w:space="0" w:color="auto"/>
      </w:divBdr>
    </w:div>
    <w:div w:id="793796266">
      <w:bodyDiv w:val="1"/>
      <w:marLeft w:val="0"/>
      <w:marRight w:val="0"/>
      <w:marTop w:val="0"/>
      <w:marBottom w:val="0"/>
      <w:divBdr>
        <w:top w:val="none" w:sz="0" w:space="0" w:color="auto"/>
        <w:left w:val="none" w:sz="0" w:space="0" w:color="auto"/>
        <w:bottom w:val="none" w:sz="0" w:space="0" w:color="auto"/>
        <w:right w:val="none" w:sz="0" w:space="0" w:color="auto"/>
      </w:divBdr>
    </w:div>
    <w:div w:id="836114368">
      <w:bodyDiv w:val="1"/>
      <w:marLeft w:val="0"/>
      <w:marRight w:val="0"/>
      <w:marTop w:val="0"/>
      <w:marBottom w:val="0"/>
      <w:divBdr>
        <w:top w:val="none" w:sz="0" w:space="0" w:color="auto"/>
        <w:left w:val="none" w:sz="0" w:space="0" w:color="auto"/>
        <w:bottom w:val="none" w:sz="0" w:space="0" w:color="auto"/>
        <w:right w:val="none" w:sz="0" w:space="0" w:color="auto"/>
      </w:divBdr>
    </w:div>
    <w:div w:id="886918996">
      <w:bodyDiv w:val="1"/>
      <w:marLeft w:val="0"/>
      <w:marRight w:val="0"/>
      <w:marTop w:val="0"/>
      <w:marBottom w:val="0"/>
      <w:divBdr>
        <w:top w:val="none" w:sz="0" w:space="0" w:color="auto"/>
        <w:left w:val="none" w:sz="0" w:space="0" w:color="auto"/>
        <w:bottom w:val="none" w:sz="0" w:space="0" w:color="auto"/>
        <w:right w:val="none" w:sz="0" w:space="0" w:color="auto"/>
      </w:divBdr>
    </w:div>
    <w:div w:id="903754694">
      <w:bodyDiv w:val="1"/>
      <w:marLeft w:val="0"/>
      <w:marRight w:val="0"/>
      <w:marTop w:val="0"/>
      <w:marBottom w:val="0"/>
      <w:divBdr>
        <w:top w:val="none" w:sz="0" w:space="0" w:color="auto"/>
        <w:left w:val="none" w:sz="0" w:space="0" w:color="auto"/>
        <w:bottom w:val="none" w:sz="0" w:space="0" w:color="auto"/>
        <w:right w:val="none" w:sz="0" w:space="0" w:color="auto"/>
      </w:divBdr>
    </w:div>
    <w:div w:id="945967730">
      <w:bodyDiv w:val="1"/>
      <w:marLeft w:val="0"/>
      <w:marRight w:val="0"/>
      <w:marTop w:val="0"/>
      <w:marBottom w:val="0"/>
      <w:divBdr>
        <w:top w:val="none" w:sz="0" w:space="0" w:color="auto"/>
        <w:left w:val="none" w:sz="0" w:space="0" w:color="auto"/>
        <w:bottom w:val="none" w:sz="0" w:space="0" w:color="auto"/>
        <w:right w:val="none" w:sz="0" w:space="0" w:color="auto"/>
      </w:divBdr>
    </w:div>
    <w:div w:id="1011447010">
      <w:bodyDiv w:val="1"/>
      <w:marLeft w:val="0"/>
      <w:marRight w:val="0"/>
      <w:marTop w:val="0"/>
      <w:marBottom w:val="0"/>
      <w:divBdr>
        <w:top w:val="none" w:sz="0" w:space="0" w:color="auto"/>
        <w:left w:val="none" w:sz="0" w:space="0" w:color="auto"/>
        <w:bottom w:val="none" w:sz="0" w:space="0" w:color="auto"/>
        <w:right w:val="none" w:sz="0" w:space="0" w:color="auto"/>
      </w:divBdr>
    </w:div>
    <w:div w:id="1017342126">
      <w:bodyDiv w:val="1"/>
      <w:marLeft w:val="0"/>
      <w:marRight w:val="0"/>
      <w:marTop w:val="0"/>
      <w:marBottom w:val="0"/>
      <w:divBdr>
        <w:top w:val="none" w:sz="0" w:space="0" w:color="auto"/>
        <w:left w:val="none" w:sz="0" w:space="0" w:color="auto"/>
        <w:bottom w:val="none" w:sz="0" w:space="0" w:color="auto"/>
        <w:right w:val="none" w:sz="0" w:space="0" w:color="auto"/>
      </w:divBdr>
    </w:div>
    <w:div w:id="1091849469">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33597115">
      <w:bodyDiv w:val="1"/>
      <w:marLeft w:val="0"/>
      <w:marRight w:val="0"/>
      <w:marTop w:val="0"/>
      <w:marBottom w:val="0"/>
      <w:divBdr>
        <w:top w:val="none" w:sz="0" w:space="0" w:color="auto"/>
        <w:left w:val="none" w:sz="0" w:space="0" w:color="auto"/>
        <w:bottom w:val="none" w:sz="0" w:space="0" w:color="auto"/>
        <w:right w:val="none" w:sz="0" w:space="0" w:color="auto"/>
      </w:divBdr>
    </w:div>
    <w:div w:id="1163474027">
      <w:bodyDiv w:val="1"/>
      <w:marLeft w:val="0"/>
      <w:marRight w:val="0"/>
      <w:marTop w:val="0"/>
      <w:marBottom w:val="0"/>
      <w:divBdr>
        <w:top w:val="none" w:sz="0" w:space="0" w:color="auto"/>
        <w:left w:val="none" w:sz="0" w:space="0" w:color="auto"/>
        <w:bottom w:val="none" w:sz="0" w:space="0" w:color="auto"/>
        <w:right w:val="none" w:sz="0" w:space="0" w:color="auto"/>
      </w:divBdr>
    </w:div>
    <w:div w:id="1173300946">
      <w:bodyDiv w:val="1"/>
      <w:marLeft w:val="0"/>
      <w:marRight w:val="0"/>
      <w:marTop w:val="0"/>
      <w:marBottom w:val="0"/>
      <w:divBdr>
        <w:top w:val="none" w:sz="0" w:space="0" w:color="auto"/>
        <w:left w:val="none" w:sz="0" w:space="0" w:color="auto"/>
        <w:bottom w:val="none" w:sz="0" w:space="0" w:color="auto"/>
        <w:right w:val="none" w:sz="0" w:space="0" w:color="auto"/>
      </w:divBdr>
    </w:div>
    <w:div w:id="1180318072">
      <w:bodyDiv w:val="1"/>
      <w:marLeft w:val="0"/>
      <w:marRight w:val="0"/>
      <w:marTop w:val="0"/>
      <w:marBottom w:val="0"/>
      <w:divBdr>
        <w:top w:val="none" w:sz="0" w:space="0" w:color="auto"/>
        <w:left w:val="none" w:sz="0" w:space="0" w:color="auto"/>
        <w:bottom w:val="none" w:sz="0" w:space="0" w:color="auto"/>
        <w:right w:val="none" w:sz="0" w:space="0" w:color="auto"/>
      </w:divBdr>
    </w:div>
    <w:div w:id="1412392414">
      <w:bodyDiv w:val="1"/>
      <w:marLeft w:val="0"/>
      <w:marRight w:val="0"/>
      <w:marTop w:val="0"/>
      <w:marBottom w:val="0"/>
      <w:divBdr>
        <w:top w:val="none" w:sz="0" w:space="0" w:color="auto"/>
        <w:left w:val="none" w:sz="0" w:space="0" w:color="auto"/>
        <w:bottom w:val="none" w:sz="0" w:space="0" w:color="auto"/>
        <w:right w:val="none" w:sz="0" w:space="0" w:color="auto"/>
      </w:divBdr>
    </w:div>
    <w:div w:id="1508981649">
      <w:bodyDiv w:val="1"/>
      <w:marLeft w:val="0"/>
      <w:marRight w:val="0"/>
      <w:marTop w:val="0"/>
      <w:marBottom w:val="0"/>
      <w:divBdr>
        <w:top w:val="none" w:sz="0" w:space="0" w:color="auto"/>
        <w:left w:val="none" w:sz="0" w:space="0" w:color="auto"/>
        <w:bottom w:val="none" w:sz="0" w:space="0" w:color="auto"/>
        <w:right w:val="none" w:sz="0" w:space="0" w:color="auto"/>
      </w:divBdr>
    </w:div>
    <w:div w:id="1527789010">
      <w:bodyDiv w:val="1"/>
      <w:marLeft w:val="0"/>
      <w:marRight w:val="0"/>
      <w:marTop w:val="0"/>
      <w:marBottom w:val="0"/>
      <w:divBdr>
        <w:top w:val="none" w:sz="0" w:space="0" w:color="auto"/>
        <w:left w:val="none" w:sz="0" w:space="0" w:color="auto"/>
        <w:bottom w:val="none" w:sz="0" w:space="0" w:color="auto"/>
        <w:right w:val="none" w:sz="0" w:space="0" w:color="auto"/>
      </w:divBdr>
    </w:div>
    <w:div w:id="1554150186">
      <w:bodyDiv w:val="1"/>
      <w:marLeft w:val="0"/>
      <w:marRight w:val="0"/>
      <w:marTop w:val="0"/>
      <w:marBottom w:val="0"/>
      <w:divBdr>
        <w:top w:val="none" w:sz="0" w:space="0" w:color="auto"/>
        <w:left w:val="none" w:sz="0" w:space="0" w:color="auto"/>
        <w:bottom w:val="none" w:sz="0" w:space="0" w:color="auto"/>
        <w:right w:val="none" w:sz="0" w:space="0" w:color="auto"/>
      </w:divBdr>
    </w:div>
    <w:div w:id="1590038475">
      <w:bodyDiv w:val="1"/>
      <w:marLeft w:val="0"/>
      <w:marRight w:val="0"/>
      <w:marTop w:val="0"/>
      <w:marBottom w:val="0"/>
      <w:divBdr>
        <w:top w:val="none" w:sz="0" w:space="0" w:color="auto"/>
        <w:left w:val="none" w:sz="0" w:space="0" w:color="auto"/>
        <w:bottom w:val="none" w:sz="0" w:space="0" w:color="auto"/>
        <w:right w:val="none" w:sz="0" w:space="0" w:color="auto"/>
      </w:divBdr>
    </w:div>
    <w:div w:id="1611281776">
      <w:bodyDiv w:val="1"/>
      <w:marLeft w:val="0"/>
      <w:marRight w:val="0"/>
      <w:marTop w:val="0"/>
      <w:marBottom w:val="0"/>
      <w:divBdr>
        <w:top w:val="none" w:sz="0" w:space="0" w:color="auto"/>
        <w:left w:val="none" w:sz="0" w:space="0" w:color="auto"/>
        <w:bottom w:val="none" w:sz="0" w:space="0" w:color="auto"/>
        <w:right w:val="none" w:sz="0" w:space="0" w:color="auto"/>
      </w:divBdr>
    </w:div>
    <w:div w:id="1657219669">
      <w:bodyDiv w:val="1"/>
      <w:marLeft w:val="0"/>
      <w:marRight w:val="0"/>
      <w:marTop w:val="0"/>
      <w:marBottom w:val="0"/>
      <w:divBdr>
        <w:top w:val="none" w:sz="0" w:space="0" w:color="auto"/>
        <w:left w:val="none" w:sz="0" w:space="0" w:color="auto"/>
        <w:bottom w:val="none" w:sz="0" w:space="0" w:color="auto"/>
        <w:right w:val="none" w:sz="0" w:space="0" w:color="auto"/>
      </w:divBdr>
    </w:div>
    <w:div w:id="1688213230">
      <w:bodyDiv w:val="1"/>
      <w:marLeft w:val="0"/>
      <w:marRight w:val="0"/>
      <w:marTop w:val="0"/>
      <w:marBottom w:val="0"/>
      <w:divBdr>
        <w:top w:val="none" w:sz="0" w:space="0" w:color="auto"/>
        <w:left w:val="none" w:sz="0" w:space="0" w:color="auto"/>
        <w:bottom w:val="none" w:sz="0" w:space="0" w:color="auto"/>
        <w:right w:val="none" w:sz="0" w:space="0" w:color="auto"/>
      </w:divBdr>
    </w:div>
    <w:div w:id="1926643552">
      <w:bodyDiv w:val="1"/>
      <w:marLeft w:val="0"/>
      <w:marRight w:val="0"/>
      <w:marTop w:val="0"/>
      <w:marBottom w:val="0"/>
      <w:divBdr>
        <w:top w:val="none" w:sz="0" w:space="0" w:color="auto"/>
        <w:left w:val="none" w:sz="0" w:space="0" w:color="auto"/>
        <w:bottom w:val="none" w:sz="0" w:space="0" w:color="auto"/>
        <w:right w:val="none" w:sz="0" w:space="0" w:color="auto"/>
      </w:divBdr>
    </w:div>
    <w:div w:id="1949391909">
      <w:bodyDiv w:val="1"/>
      <w:marLeft w:val="0"/>
      <w:marRight w:val="0"/>
      <w:marTop w:val="0"/>
      <w:marBottom w:val="0"/>
      <w:divBdr>
        <w:top w:val="none" w:sz="0" w:space="0" w:color="auto"/>
        <w:left w:val="none" w:sz="0" w:space="0" w:color="auto"/>
        <w:bottom w:val="none" w:sz="0" w:space="0" w:color="auto"/>
        <w:right w:val="none" w:sz="0" w:space="0" w:color="auto"/>
      </w:divBdr>
    </w:div>
    <w:div w:id="2031568742">
      <w:bodyDiv w:val="1"/>
      <w:marLeft w:val="0"/>
      <w:marRight w:val="0"/>
      <w:marTop w:val="0"/>
      <w:marBottom w:val="0"/>
      <w:divBdr>
        <w:top w:val="none" w:sz="0" w:space="0" w:color="auto"/>
        <w:left w:val="none" w:sz="0" w:space="0" w:color="auto"/>
        <w:bottom w:val="none" w:sz="0" w:space="0" w:color="auto"/>
        <w:right w:val="none" w:sz="0" w:space="0" w:color="auto"/>
      </w:divBdr>
    </w:div>
    <w:div w:id="204690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artg" TargetMode="External"/><Relationship Id="rId13" Type="http://schemas.openxmlformats.org/officeDocument/2006/relationships/hyperlink" Target="file:///\\central.health\DFSGroupData\Sites\CO1\CO\PBD\PEB\EVAL\DUSC\DUSC%20Documents\Predicted%20vs%20actual%20usage\pbs.gov.au" TargetMode="External"/><Relationship Id="rId18" Type="http://schemas.openxmlformats.org/officeDocument/2006/relationships/chart" Target="charts/chart4.xml"/><Relationship Id="rId26" Type="http://schemas.openxmlformats.org/officeDocument/2006/relationships/image" Target="media/image4.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entral.health\DFSGroupData\Sites\CO1\CO\PBD\PEB\EVAL\DUSC\DUSC%20Documents\Predicted%20vs%20actual%20usage\pbs.gov.au" TargetMode="External"/><Relationship Id="rId17" Type="http://schemas.openxmlformats.org/officeDocument/2006/relationships/chart" Target="charts/chart3.xml"/><Relationship Id="rId25" Type="http://schemas.openxmlformats.org/officeDocument/2006/relationships/image" Target="media/image3.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gov.au/pbs/home" TargetMode="External"/><Relationship Id="rId24" Type="http://schemas.openxmlformats.org/officeDocument/2006/relationships/image" Target="media/image2.png"/><Relationship Id="rId32" Type="http://schemas.openxmlformats.org/officeDocument/2006/relationships/hyperlink" Target="http://www.pbs.gov.au/pbs/home"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1.png"/><Relationship Id="rId28" Type="http://schemas.openxmlformats.org/officeDocument/2006/relationships/chart" Target="charts/chart9.xml"/><Relationship Id="rId36" Type="http://schemas.openxmlformats.org/officeDocument/2006/relationships/footer" Target="footer2.xml"/><Relationship Id="rId10" Type="http://schemas.openxmlformats.org/officeDocument/2006/relationships/hyperlink" Target="http://www.tga.gov.au/consumers/information-medicines-cmi.htm" TargetMode="External"/><Relationship Id="rId19" Type="http://schemas.openxmlformats.org/officeDocument/2006/relationships/chart" Target="charts/chart5.xml"/><Relationship Id="rId31"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hyperlink" Target="http://tga.gov.au/hp/information-medicines-pi.htm" TargetMode="External"/><Relationship Id="rId14" Type="http://schemas.openxmlformats.org/officeDocument/2006/relationships/hyperlink" Target="http://www.pbs.gov.au/industry/listing/elements/pbac-meetings/psd/2016-03/files/leuprorelin-psd-march-2016.pdf" TargetMode="External"/><Relationship Id="rId22" Type="http://schemas.openxmlformats.org/officeDocument/2006/relationships/chart" Target="charts/chart8.xml"/><Relationship Id="rId27" Type="http://schemas.openxmlformats.org/officeDocument/2006/relationships/image" Target="media/image5.png"/><Relationship Id="rId30" Type="http://schemas.openxmlformats.org/officeDocument/2006/relationships/image" Target="media/image6.png"/><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medicareaustralia.gov.au/provider/pbs/stats.jsp" TargetMode="External"/><Relationship Id="rId1" Type="http://schemas.openxmlformats.org/officeDocument/2006/relationships/hyperlink" Target="https://www.ebs.tga.gov.au/ebs/picmi/picmirepository.nsf/pdf?OpenAgent&amp;id=CP-2010-CMI-04915-3&amp;d=20190301101693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39%20-%20GnRH%20analysis\D1139%20-%20A%20-%20GnRH%20patient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39%20-%20GnRH%20analysis\D1139%20-%20E%20-%20GnRH%20male%20patient%20analysis-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39%20-%20GnRH%20analysis\D1139%20-%20A%20-%20GnRH%20patients.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39%20-%20GnRH%20analysis\D1139%20-%20A%20-%20GnRH%20patien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39%20-%20GnRH%20analysis\D1139%20-%20A%20-%20GnRH%20patien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39%20-%20GnRH%20analysis\D1139%20-%20A%20-%20GnRH%20patien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39%20-%20GnRH%20analysis\D1139%20-%20A%20-%20GnRH%20patien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39%20-%20GnRH%20analysis\D1139%20-%20F%20-%20GnRH%20female%20patient%20analysis-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39%20-%20GnRH%20analysis\D1139%20-%20F%20-%20GnRH%20female%20patient%20analysis-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39%20-%20GnRH%20analysis\D1139%20-%20F%20-%20GnRH%20female%20patient%20analysis-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39%20-%20GnRH%20analysis\D1139%20-%20E%20-%20GnRH%20male%20patient%20analysis-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[D1139 - A - GnRH patients.xlsx]Sheet6!PivotTable8</c:name>
    <c:fmtId val="5"/>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Sheet6!$B$3:$B$4</c:f>
              <c:strCache>
                <c:ptCount val="1"/>
                <c:pt idx="0">
                  <c:v>GOSERELIN</c:v>
                </c:pt>
              </c:strCache>
            </c:strRef>
          </c:tx>
          <c:spPr>
            <a:ln w="28575" cap="rnd">
              <a:solidFill>
                <a:schemeClr val="accent1"/>
              </a:solidFill>
              <a:round/>
            </a:ln>
            <a:effectLst/>
          </c:spPr>
          <c:marker>
            <c:symbol val="none"/>
          </c:marker>
          <c:cat>
            <c:strRef>
              <c:f>Sheet6!$A$5:$A$65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Sheet6!$B$5:$B$65</c:f>
              <c:numCache>
                <c:formatCode>General</c:formatCode>
                <c:ptCount val="60"/>
                <c:pt idx="0">
                  <c:v>5200</c:v>
                </c:pt>
                <c:pt idx="1">
                  <c:v>5474</c:v>
                </c:pt>
                <c:pt idx="2">
                  <c:v>5653</c:v>
                </c:pt>
                <c:pt idx="3">
                  <c:v>5487</c:v>
                </c:pt>
                <c:pt idx="4">
                  <c:v>6078</c:v>
                </c:pt>
                <c:pt idx="5">
                  <c:v>5626</c:v>
                </c:pt>
                <c:pt idx="6">
                  <c:v>5792</c:v>
                </c:pt>
                <c:pt idx="7">
                  <c:v>5778</c:v>
                </c:pt>
                <c:pt idx="8">
                  <c:v>5728</c:v>
                </c:pt>
                <c:pt idx="9">
                  <c:v>5914</c:v>
                </c:pt>
                <c:pt idx="10">
                  <c:v>5845</c:v>
                </c:pt>
                <c:pt idx="11">
                  <c:v>6474</c:v>
                </c:pt>
                <c:pt idx="12">
                  <c:v>5193</c:v>
                </c:pt>
                <c:pt idx="13">
                  <c:v>5480</c:v>
                </c:pt>
                <c:pt idx="14">
                  <c:v>5906</c:v>
                </c:pt>
                <c:pt idx="15">
                  <c:v>5571</c:v>
                </c:pt>
                <c:pt idx="16">
                  <c:v>5891</c:v>
                </c:pt>
                <c:pt idx="17">
                  <c:v>6019</c:v>
                </c:pt>
                <c:pt idx="18">
                  <c:v>6211</c:v>
                </c:pt>
                <c:pt idx="19">
                  <c:v>6111</c:v>
                </c:pt>
                <c:pt idx="20">
                  <c:v>6138</c:v>
                </c:pt>
                <c:pt idx="21">
                  <c:v>6239</c:v>
                </c:pt>
                <c:pt idx="22">
                  <c:v>6525</c:v>
                </c:pt>
                <c:pt idx="23">
                  <c:v>6971</c:v>
                </c:pt>
                <c:pt idx="24">
                  <c:v>5499</c:v>
                </c:pt>
                <c:pt idx="25">
                  <c:v>6369</c:v>
                </c:pt>
                <c:pt idx="26">
                  <c:v>6796</c:v>
                </c:pt>
                <c:pt idx="27">
                  <c:v>6135</c:v>
                </c:pt>
                <c:pt idx="28">
                  <c:v>6811</c:v>
                </c:pt>
                <c:pt idx="29">
                  <c:v>6516</c:v>
                </c:pt>
                <c:pt idx="30">
                  <c:v>6430</c:v>
                </c:pt>
                <c:pt idx="31">
                  <c:v>7126</c:v>
                </c:pt>
                <c:pt idx="32">
                  <c:v>6745</c:v>
                </c:pt>
                <c:pt idx="33">
                  <c:v>6616</c:v>
                </c:pt>
                <c:pt idx="34">
                  <c:v>7060</c:v>
                </c:pt>
                <c:pt idx="35">
                  <c:v>7293</c:v>
                </c:pt>
                <c:pt idx="36">
                  <c:v>6232</c:v>
                </c:pt>
                <c:pt idx="37">
                  <c:v>6394</c:v>
                </c:pt>
                <c:pt idx="38">
                  <c:v>7159</c:v>
                </c:pt>
                <c:pt idx="39">
                  <c:v>6408</c:v>
                </c:pt>
                <c:pt idx="40">
                  <c:v>7598</c:v>
                </c:pt>
                <c:pt idx="41">
                  <c:v>7193</c:v>
                </c:pt>
                <c:pt idx="42">
                  <c:v>6921</c:v>
                </c:pt>
                <c:pt idx="43">
                  <c:v>7671</c:v>
                </c:pt>
                <c:pt idx="44">
                  <c:v>7077</c:v>
                </c:pt>
                <c:pt idx="45">
                  <c:v>7496</c:v>
                </c:pt>
                <c:pt idx="46">
                  <c:v>7523</c:v>
                </c:pt>
                <c:pt idx="47">
                  <c:v>7566</c:v>
                </c:pt>
                <c:pt idx="48">
                  <c:v>7236</c:v>
                </c:pt>
                <c:pt idx="49">
                  <c:v>7098</c:v>
                </c:pt>
                <c:pt idx="50">
                  <c:v>7678</c:v>
                </c:pt>
                <c:pt idx="51">
                  <c:v>7348</c:v>
                </c:pt>
                <c:pt idx="52">
                  <c:v>8978</c:v>
                </c:pt>
                <c:pt idx="53">
                  <c:v>7515</c:v>
                </c:pt>
                <c:pt idx="54">
                  <c:v>7898</c:v>
                </c:pt>
                <c:pt idx="55">
                  <c:v>8392</c:v>
                </c:pt>
                <c:pt idx="56">
                  <c:v>7630</c:v>
                </c:pt>
                <c:pt idx="57">
                  <c:v>8411</c:v>
                </c:pt>
                <c:pt idx="58">
                  <c:v>8636</c:v>
                </c:pt>
                <c:pt idx="59">
                  <c:v>8318</c:v>
                </c:pt>
              </c:numCache>
            </c:numRef>
          </c:val>
          <c:smooth val="0"/>
          <c:extLst>
            <c:ext xmlns:c16="http://schemas.microsoft.com/office/drawing/2014/chart" uri="{C3380CC4-5D6E-409C-BE32-E72D297353CC}">
              <c16:uniqueId val="{00000000-58E4-4D3F-853E-839DB83C5489}"/>
            </c:ext>
          </c:extLst>
        </c:ser>
        <c:ser>
          <c:idx val="1"/>
          <c:order val="1"/>
          <c:tx>
            <c:strRef>
              <c:f>Sheet6!$C$3:$C$4</c:f>
              <c:strCache>
                <c:ptCount val="1"/>
                <c:pt idx="0">
                  <c:v>GOSERELIN&amp;BICALUTAMIDE</c:v>
                </c:pt>
              </c:strCache>
            </c:strRef>
          </c:tx>
          <c:spPr>
            <a:ln w="28575" cap="rnd">
              <a:solidFill>
                <a:schemeClr val="accent2"/>
              </a:solidFill>
              <a:round/>
            </a:ln>
            <a:effectLst/>
          </c:spPr>
          <c:marker>
            <c:symbol val="none"/>
          </c:marker>
          <c:cat>
            <c:strRef>
              <c:f>Sheet6!$A$5:$A$65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Sheet6!$C$5:$C$65</c:f>
              <c:numCache>
                <c:formatCode>General</c:formatCode>
                <c:ptCount val="60"/>
                <c:pt idx="0">
                  <c:v>396</c:v>
                </c:pt>
                <c:pt idx="1">
                  <c:v>418</c:v>
                </c:pt>
                <c:pt idx="2">
                  <c:v>438</c:v>
                </c:pt>
                <c:pt idx="3">
                  <c:v>421</c:v>
                </c:pt>
                <c:pt idx="4">
                  <c:v>475</c:v>
                </c:pt>
                <c:pt idx="5">
                  <c:v>439</c:v>
                </c:pt>
                <c:pt idx="6">
                  <c:v>444</c:v>
                </c:pt>
                <c:pt idx="7">
                  <c:v>445</c:v>
                </c:pt>
                <c:pt idx="8">
                  <c:v>434</c:v>
                </c:pt>
                <c:pt idx="9">
                  <c:v>436</c:v>
                </c:pt>
                <c:pt idx="10">
                  <c:v>418</c:v>
                </c:pt>
                <c:pt idx="11">
                  <c:v>479</c:v>
                </c:pt>
                <c:pt idx="12">
                  <c:v>345</c:v>
                </c:pt>
                <c:pt idx="13">
                  <c:v>412</c:v>
                </c:pt>
                <c:pt idx="14">
                  <c:v>408</c:v>
                </c:pt>
                <c:pt idx="15">
                  <c:v>372</c:v>
                </c:pt>
                <c:pt idx="16">
                  <c:v>444</c:v>
                </c:pt>
                <c:pt idx="17">
                  <c:v>394</c:v>
                </c:pt>
                <c:pt idx="18">
                  <c:v>409</c:v>
                </c:pt>
                <c:pt idx="19">
                  <c:v>427</c:v>
                </c:pt>
                <c:pt idx="20">
                  <c:v>402</c:v>
                </c:pt>
                <c:pt idx="21">
                  <c:v>382</c:v>
                </c:pt>
                <c:pt idx="22">
                  <c:v>418</c:v>
                </c:pt>
                <c:pt idx="23">
                  <c:v>436</c:v>
                </c:pt>
                <c:pt idx="24">
                  <c:v>334</c:v>
                </c:pt>
                <c:pt idx="25">
                  <c:v>439</c:v>
                </c:pt>
                <c:pt idx="26">
                  <c:v>431</c:v>
                </c:pt>
                <c:pt idx="27">
                  <c:v>425</c:v>
                </c:pt>
                <c:pt idx="28">
                  <c:v>470</c:v>
                </c:pt>
                <c:pt idx="29">
                  <c:v>426</c:v>
                </c:pt>
                <c:pt idx="30">
                  <c:v>410</c:v>
                </c:pt>
                <c:pt idx="31">
                  <c:v>493</c:v>
                </c:pt>
                <c:pt idx="32">
                  <c:v>411</c:v>
                </c:pt>
                <c:pt idx="33">
                  <c:v>396</c:v>
                </c:pt>
                <c:pt idx="34">
                  <c:v>433</c:v>
                </c:pt>
                <c:pt idx="35">
                  <c:v>489</c:v>
                </c:pt>
                <c:pt idx="36">
                  <c:v>353</c:v>
                </c:pt>
                <c:pt idx="37">
                  <c:v>345</c:v>
                </c:pt>
                <c:pt idx="38">
                  <c:v>463</c:v>
                </c:pt>
                <c:pt idx="39">
                  <c:v>348</c:v>
                </c:pt>
                <c:pt idx="40">
                  <c:v>433</c:v>
                </c:pt>
                <c:pt idx="41">
                  <c:v>392</c:v>
                </c:pt>
                <c:pt idx="42">
                  <c:v>420</c:v>
                </c:pt>
                <c:pt idx="43">
                  <c:v>415</c:v>
                </c:pt>
                <c:pt idx="44">
                  <c:v>425</c:v>
                </c:pt>
                <c:pt idx="45">
                  <c:v>389</c:v>
                </c:pt>
                <c:pt idx="46">
                  <c:v>379</c:v>
                </c:pt>
                <c:pt idx="47">
                  <c:v>409</c:v>
                </c:pt>
                <c:pt idx="48">
                  <c:v>330</c:v>
                </c:pt>
                <c:pt idx="49">
                  <c:v>333</c:v>
                </c:pt>
                <c:pt idx="50">
                  <c:v>336</c:v>
                </c:pt>
                <c:pt idx="51">
                  <c:v>300</c:v>
                </c:pt>
                <c:pt idx="52">
                  <c:v>408</c:v>
                </c:pt>
                <c:pt idx="53">
                  <c:v>310</c:v>
                </c:pt>
                <c:pt idx="54">
                  <c:v>321</c:v>
                </c:pt>
                <c:pt idx="55">
                  <c:v>334</c:v>
                </c:pt>
                <c:pt idx="56">
                  <c:v>300</c:v>
                </c:pt>
                <c:pt idx="57">
                  <c:v>318</c:v>
                </c:pt>
                <c:pt idx="58">
                  <c:v>331</c:v>
                </c:pt>
                <c:pt idx="59">
                  <c:v>341</c:v>
                </c:pt>
              </c:numCache>
            </c:numRef>
          </c:val>
          <c:smooth val="0"/>
          <c:extLst>
            <c:ext xmlns:c16="http://schemas.microsoft.com/office/drawing/2014/chart" uri="{C3380CC4-5D6E-409C-BE32-E72D297353CC}">
              <c16:uniqueId val="{00000001-58E4-4D3F-853E-839DB83C5489}"/>
            </c:ext>
          </c:extLst>
        </c:ser>
        <c:ser>
          <c:idx val="2"/>
          <c:order val="2"/>
          <c:tx>
            <c:strRef>
              <c:f>Sheet6!$D$3:$D$4</c:f>
              <c:strCache>
                <c:ptCount val="1"/>
                <c:pt idx="0">
                  <c:v>LEUPRORELIN</c:v>
                </c:pt>
              </c:strCache>
            </c:strRef>
          </c:tx>
          <c:spPr>
            <a:ln w="28575" cap="rnd">
              <a:solidFill>
                <a:schemeClr val="accent3"/>
              </a:solidFill>
              <a:round/>
            </a:ln>
            <a:effectLst/>
          </c:spPr>
          <c:marker>
            <c:symbol val="none"/>
          </c:marker>
          <c:cat>
            <c:strRef>
              <c:f>Sheet6!$A$5:$A$65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Sheet6!$D$5:$D$65</c:f>
              <c:numCache>
                <c:formatCode>General</c:formatCode>
                <c:ptCount val="60"/>
                <c:pt idx="0">
                  <c:v>2465</c:v>
                </c:pt>
                <c:pt idx="1">
                  <c:v>2853</c:v>
                </c:pt>
                <c:pt idx="2">
                  <c:v>2893</c:v>
                </c:pt>
                <c:pt idx="3">
                  <c:v>2649</c:v>
                </c:pt>
                <c:pt idx="4">
                  <c:v>3075</c:v>
                </c:pt>
                <c:pt idx="5">
                  <c:v>2832</c:v>
                </c:pt>
                <c:pt idx="6">
                  <c:v>2819</c:v>
                </c:pt>
                <c:pt idx="7">
                  <c:v>2918</c:v>
                </c:pt>
                <c:pt idx="8">
                  <c:v>2677</c:v>
                </c:pt>
                <c:pt idx="9">
                  <c:v>2974</c:v>
                </c:pt>
                <c:pt idx="10">
                  <c:v>3033</c:v>
                </c:pt>
                <c:pt idx="11">
                  <c:v>3136</c:v>
                </c:pt>
                <c:pt idx="12">
                  <c:v>2452</c:v>
                </c:pt>
                <c:pt idx="13">
                  <c:v>2890</c:v>
                </c:pt>
                <c:pt idx="14">
                  <c:v>3082</c:v>
                </c:pt>
                <c:pt idx="15">
                  <c:v>2740</c:v>
                </c:pt>
                <c:pt idx="16">
                  <c:v>2930</c:v>
                </c:pt>
                <c:pt idx="17">
                  <c:v>2992</c:v>
                </c:pt>
                <c:pt idx="18">
                  <c:v>3009</c:v>
                </c:pt>
                <c:pt idx="19">
                  <c:v>3094</c:v>
                </c:pt>
                <c:pt idx="20">
                  <c:v>3061</c:v>
                </c:pt>
                <c:pt idx="21">
                  <c:v>2999</c:v>
                </c:pt>
                <c:pt idx="22">
                  <c:v>3356</c:v>
                </c:pt>
                <c:pt idx="23">
                  <c:v>3419</c:v>
                </c:pt>
                <c:pt idx="24">
                  <c:v>2571</c:v>
                </c:pt>
                <c:pt idx="25">
                  <c:v>3129</c:v>
                </c:pt>
                <c:pt idx="26">
                  <c:v>3230</c:v>
                </c:pt>
                <c:pt idx="27">
                  <c:v>2975</c:v>
                </c:pt>
                <c:pt idx="28">
                  <c:v>3310</c:v>
                </c:pt>
                <c:pt idx="29">
                  <c:v>3138</c:v>
                </c:pt>
                <c:pt idx="30">
                  <c:v>3073</c:v>
                </c:pt>
                <c:pt idx="31">
                  <c:v>3521</c:v>
                </c:pt>
                <c:pt idx="32">
                  <c:v>3299</c:v>
                </c:pt>
                <c:pt idx="33">
                  <c:v>3301</c:v>
                </c:pt>
                <c:pt idx="34">
                  <c:v>3646</c:v>
                </c:pt>
                <c:pt idx="35">
                  <c:v>3537</c:v>
                </c:pt>
                <c:pt idx="36">
                  <c:v>3042</c:v>
                </c:pt>
                <c:pt idx="37">
                  <c:v>3284</c:v>
                </c:pt>
                <c:pt idx="38">
                  <c:v>3637</c:v>
                </c:pt>
                <c:pt idx="39">
                  <c:v>3118</c:v>
                </c:pt>
                <c:pt idx="40">
                  <c:v>3782</c:v>
                </c:pt>
                <c:pt idx="41">
                  <c:v>3527</c:v>
                </c:pt>
                <c:pt idx="42">
                  <c:v>3370</c:v>
                </c:pt>
                <c:pt idx="43">
                  <c:v>3766</c:v>
                </c:pt>
                <c:pt idx="44">
                  <c:v>3388</c:v>
                </c:pt>
                <c:pt idx="45">
                  <c:v>3636</c:v>
                </c:pt>
                <c:pt idx="46">
                  <c:v>3981</c:v>
                </c:pt>
                <c:pt idx="47">
                  <c:v>3726</c:v>
                </c:pt>
                <c:pt idx="48">
                  <c:v>3444</c:v>
                </c:pt>
                <c:pt idx="49">
                  <c:v>3513</c:v>
                </c:pt>
                <c:pt idx="50">
                  <c:v>3740</c:v>
                </c:pt>
                <c:pt idx="51">
                  <c:v>3535</c:v>
                </c:pt>
                <c:pt idx="52">
                  <c:v>4182</c:v>
                </c:pt>
                <c:pt idx="53">
                  <c:v>3531</c:v>
                </c:pt>
                <c:pt idx="54">
                  <c:v>3686</c:v>
                </c:pt>
                <c:pt idx="55">
                  <c:v>3942</c:v>
                </c:pt>
                <c:pt idx="56">
                  <c:v>3635</c:v>
                </c:pt>
                <c:pt idx="57">
                  <c:v>3981</c:v>
                </c:pt>
                <c:pt idx="58">
                  <c:v>4265</c:v>
                </c:pt>
                <c:pt idx="59">
                  <c:v>3919</c:v>
                </c:pt>
              </c:numCache>
            </c:numRef>
          </c:val>
          <c:smooth val="0"/>
          <c:extLst>
            <c:ext xmlns:c16="http://schemas.microsoft.com/office/drawing/2014/chart" uri="{C3380CC4-5D6E-409C-BE32-E72D297353CC}">
              <c16:uniqueId val="{00000002-58E4-4D3F-853E-839DB83C5489}"/>
            </c:ext>
          </c:extLst>
        </c:ser>
        <c:ser>
          <c:idx val="3"/>
          <c:order val="3"/>
          <c:tx>
            <c:strRef>
              <c:f>Sheet6!$E$3:$E$4</c:f>
              <c:strCache>
                <c:ptCount val="1"/>
                <c:pt idx="0">
                  <c:v>LEUPRORELIN&amp;BICALUTAMIDE</c:v>
                </c:pt>
              </c:strCache>
            </c:strRef>
          </c:tx>
          <c:spPr>
            <a:ln w="28575" cap="rnd">
              <a:solidFill>
                <a:schemeClr val="accent4"/>
              </a:solidFill>
              <a:round/>
            </a:ln>
            <a:effectLst/>
          </c:spPr>
          <c:marker>
            <c:symbol val="none"/>
          </c:marker>
          <c:cat>
            <c:strRef>
              <c:f>Sheet6!$A$5:$A$65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Sheet6!$E$5:$E$65</c:f>
              <c:numCache>
                <c:formatCode>General</c:formatCode>
                <c:ptCount val="60"/>
                <c:pt idx="35">
                  <c:v>1</c:v>
                </c:pt>
                <c:pt idx="36">
                  <c:v>4</c:v>
                </c:pt>
                <c:pt idx="37">
                  <c:v>23</c:v>
                </c:pt>
                <c:pt idx="38">
                  <c:v>11</c:v>
                </c:pt>
                <c:pt idx="39">
                  <c:v>22</c:v>
                </c:pt>
                <c:pt idx="40">
                  <c:v>44</c:v>
                </c:pt>
                <c:pt idx="41">
                  <c:v>27</c:v>
                </c:pt>
                <c:pt idx="42">
                  <c:v>29</c:v>
                </c:pt>
                <c:pt idx="43">
                  <c:v>44</c:v>
                </c:pt>
                <c:pt idx="44">
                  <c:v>48</c:v>
                </c:pt>
                <c:pt idx="45">
                  <c:v>40</c:v>
                </c:pt>
                <c:pt idx="46">
                  <c:v>36</c:v>
                </c:pt>
                <c:pt idx="47">
                  <c:v>48</c:v>
                </c:pt>
                <c:pt idx="48">
                  <c:v>34</c:v>
                </c:pt>
                <c:pt idx="49">
                  <c:v>49</c:v>
                </c:pt>
                <c:pt idx="50">
                  <c:v>47</c:v>
                </c:pt>
                <c:pt idx="51">
                  <c:v>51</c:v>
                </c:pt>
                <c:pt idx="52">
                  <c:v>48</c:v>
                </c:pt>
                <c:pt idx="53">
                  <c:v>45</c:v>
                </c:pt>
                <c:pt idx="54">
                  <c:v>39</c:v>
                </c:pt>
                <c:pt idx="55">
                  <c:v>42</c:v>
                </c:pt>
                <c:pt idx="56">
                  <c:v>38</c:v>
                </c:pt>
                <c:pt idx="57">
                  <c:v>35</c:v>
                </c:pt>
                <c:pt idx="58">
                  <c:v>44</c:v>
                </c:pt>
                <c:pt idx="59">
                  <c:v>40</c:v>
                </c:pt>
              </c:numCache>
            </c:numRef>
          </c:val>
          <c:smooth val="0"/>
          <c:extLst>
            <c:ext xmlns:c16="http://schemas.microsoft.com/office/drawing/2014/chart" uri="{C3380CC4-5D6E-409C-BE32-E72D297353CC}">
              <c16:uniqueId val="{00000003-58E4-4D3F-853E-839DB83C5489}"/>
            </c:ext>
          </c:extLst>
        </c:ser>
        <c:ser>
          <c:idx val="4"/>
          <c:order val="4"/>
          <c:tx>
            <c:strRef>
              <c:f>Sheet6!$F$3:$F$4</c:f>
              <c:strCache>
                <c:ptCount val="1"/>
                <c:pt idx="0">
                  <c:v>NAFARELIN</c:v>
                </c:pt>
              </c:strCache>
            </c:strRef>
          </c:tx>
          <c:spPr>
            <a:ln w="28575" cap="rnd">
              <a:solidFill>
                <a:schemeClr val="accent5"/>
              </a:solidFill>
              <a:round/>
            </a:ln>
            <a:effectLst/>
          </c:spPr>
          <c:marker>
            <c:symbol val="none"/>
          </c:marker>
          <c:cat>
            <c:strRef>
              <c:f>Sheet6!$A$5:$A$65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Sheet6!$F$5:$F$65</c:f>
              <c:numCache>
                <c:formatCode>General</c:formatCode>
                <c:ptCount val="60"/>
                <c:pt idx="0">
                  <c:v>91</c:v>
                </c:pt>
                <c:pt idx="1">
                  <c:v>101</c:v>
                </c:pt>
                <c:pt idx="2">
                  <c:v>88</c:v>
                </c:pt>
                <c:pt idx="3">
                  <c:v>101</c:v>
                </c:pt>
                <c:pt idx="4">
                  <c:v>85</c:v>
                </c:pt>
                <c:pt idx="5">
                  <c:v>81</c:v>
                </c:pt>
                <c:pt idx="6">
                  <c:v>120</c:v>
                </c:pt>
                <c:pt idx="7">
                  <c:v>104</c:v>
                </c:pt>
                <c:pt idx="8">
                  <c:v>97</c:v>
                </c:pt>
                <c:pt idx="9">
                  <c:v>111</c:v>
                </c:pt>
                <c:pt idx="10">
                  <c:v>108</c:v>
                </c:pt>
                <c:pt idx="11">
                  <c:v>79</c:v>
                </c:pt>
                <c:pt idx="12">
                  <c:v>117</c:v>
                </c:pt>
                <c:pt idx="13">
                  <c:v>76</c:v>
                </c:pt>
                <c:pt idx="14">
                  <c:v>103</c:v>
                </c:pt>
                <c:pt idx="15">
                  <c:v>101</c:v>
                </c:pt>
                <c:pt idx="16">
                  <c:v>105</c:v>
                </c:pt>
                <c:pt idx="17">
                  <c:v>85</c:v>
                </c:pt>
                <c:pt idx="18">
                  <c:v>126</c:v>
                </c:pt>
                <c:pt idx="19">
                  <c:v>136</c:v>
                </c:pt>
                <c:pt idx="20">
                  <c:v>116</c:v>
                </c:pt>
                <c:pt idx="21">
                  <c:v>144</c:v>
                </c:pt>
                <c:pt idx="22">
                  <c:v>135</c:v>
                </c:pt>
                <c:pt idx="23">
                  <c:v>147</c:v>
                </c:pt>
                <c:pt idx="24">
                  <c:v>123</c:v>
                </c:pt>
                <c:pt idx="25">
                  <c:v>131</c:v>
                </c:pt>
                <c:pt idx="26">
                  <c:v>125</c:v>
                </c:pt>
                <c:pt idx="27">
                  <c:v>116</c:v>
                </c:pt>
                <c:pt idx="28">
                  <c:v>95</c:v>
                </c:pt>
                <c:pt idx="29">
                  <c:v>117</c:v>
                </c:pt>
                <c:pt idx="30">
                  <c:v>128</c:v>
                </c:pt>
                <c:pt idx="31">
                  <c:v>130</c:v>
                </c:pt>
                <c:pt idx="32">
                  <c:v>159</c:v>
                </c:pt>
                <c:pt idx="33">
                  <c:v>200</c:v>
                </c:pt>
                <c:pt idx="34">
                  <c:v>206</c:v>
                </c:pt>
                <c:pt idx="35">
                  <c:v>213</c:v>
                </c:pt>
                <c:pt idx="36">
                  <c:v>261</c:v>
                </c:pt>
                <c:pt idx="37">
                  <c:v>270</c:v>
                </c:pt>
                <c:pt idx="38">
                  <c:v>284</c:v>
                </c:pt>
                <c:pt idx="39">
                  <c:v>268</c:v>
                </c:pt>
                <c:pt idx="40">
                  <c:v>299</c:v>
                </c:pt>
                <c:pt idx="41">
                  <c:v>287</c:v>
                </c:pt>
                <c:pt idx="42">
                  <c:v>287</c:v>
                </c:pt>
                <c:pt idx="43">
                  <c:v>316</c:v>
                </c:pt>
                <c:pt idx="44">
                  <c:v>304</c:v>
                </c:pt>
                <c:pt idx="45">
                  <c:v>350</c:v>
                </c:pt>
                <c:pt idx="46">
                  <c:v>322</c:v>
                </c:pt>
                <c:pt idx="47">
                  <c:v>328</c:v>
                </c:pt>
                <c:pt idx="48">
                  <c:v>334</c:v>
                </c:pt>
                <c:pt idx="49">
                  <c:v>298</c:v>
                </c:pt>
                <c:pt idx="50">
                  <c:v>350</c:v>
                </c:pt>
                <c:pt idx="51">
                  <c:v>332</c:v>
                </c:pt>
                <c:pt idx="52">
                  <c:v>372</c:v>
                </c:pt>
                <c:pt idx="53">
                  <c:v>373</c:v>
                </c:pt>
                <c:pt idx="54">
                  <c:v>355</c:v>
                </c:pt>
                <c:pt idx="55">
                  <c:v>418</c:v>
                </c:pt>
                <c:pt idx="56">
                  <c:v>371</c:v>
                </c:pt>
                <c:pt idx="57">
                  <c:v>398</c:v>
                </c:pt>
                <c:pt idx="58">
                  <c:v>402</c:v>
                </c:pt>
                <c:pt idx="59">
                  <c:v>346</c:v>
                </c:pt>
              </c:numCache>
            </c:numRef>
          </c:val>
          <c:smooth val="0"/>
          <c:extLst>
            <c:ext xmlns:c16="http://schemas.microsoft.com/office/drawing/2014/chart" uri="{C3380CC4-5D6E-409C-BE32-E72D297353CC}">
              <c16:uniqueId val="{00000004-58E4-4D3F-853E-839DB83C5489}"/>
            </c:ext>
          </c:extLst>
        </c:ser>
        <c:ser>
          <c:idx val="5"/>
          <c:order val="5"/>
          <c:tx>
            <c:strRef>
              <c:f>Sheet6!$G$3:$G$4</c:f>
              <c:strCache>
                <c:ptCount val="1"/>
                <c:pt idx="0">
                  <c:v>TRIPTORELIN</c:v>
                </c:pt>
              </c:strCache>
            </c:strRef>
          </c:tx>
          <c:spPr>
            <a:ln w="28575" cap="rnd">
              <a:solidFill>
                <a:schemeClr val="accent6"/>
              </a:solidFill>
              <a:round/>
            </a:ln>
            <a:effectLst/>
          </c:spPr>
          <c:marker>
            <c:symbol val="none"/>
          </c:marker>
          <c:cat>
            <c:strRef>
              <c:f>Sheet6!$A$5:$A$65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Sheet6!$G$5:$G$65</c:f>
              <c:numCache>
                <c:formatCode>General</c:formatCode>
                <c:ptCount val="60"/>
                <c:pt idx="0">
                  <c:v>134</c:v>
                </c:pt>
                <c:pt idx="1">
                  <c:v>163</c:v>
                </c:pt>
                <c:pt idx="2">
                  <c:v>161</c:v>
                </c:pt>
                <c:pt idx="3">
                  <c:v>153</c:v>
                </c:pt>
                <c:pt idx="4">
                  <c:v>172</c:v>
                </c:pt>
                <c:pt idx="5">
                  <c:v>176</c:v>
                </c:pt>
                <c:pt idx="6">
                  <c:v>162</c:v>
                </c:pt>
                <c:pt idx="7">
                  <c:v>168</c:v>
                </c:pt>
                <c:pt idx="8">
                  <c:v>164</c:v>
                </c:pt>
                <c:pt idx="9">
                  <c:v>183</c:v>
                </c:pt>
                <c:pt idx="10">
                  <c:v>167</c:v>
                </c:pt>
                <c:pt idx="11">
                  <c:v>206</c:v>
                </c:pt>
                <c:pt idx="12">
                  <c:v>176</c:v>
                </c:pt>
                <c:pt idx="13">
                  <c:v>171</c:v>
                </c:pt>
                <c:pt idx="14">
                  <c:v>191</c:v>
                </c:pt>
                <c:pt idx="15">
                  <c:v>180</c:v>
                </c:pt>
                <c:pt idx="16">
                  <c:v>210</c:v>
                </c:pt>
                <c:pt idx="17">
                  <c:v>195</c:v>
                </c:pt>
                <c:pt idx="18">
                  <c:v>222</c:v>
                </c:pt>
                <c:pt idx="19">
                  <c:v>204</c:v>
                </c:pt>
                <c:pt idx="20">
                  <c:v>202</c:v>
                </c:pt>
                <c:pt idx="21">
                  <c:v>220</c:v>
                </c:pt>
                <c:pt idx="22">
                  <c:v>262</c:v>
                </c:pt>
                <c:pt idx="23">
                  <c:v>248</c:v>
                </c:pt>
                <c:pt idx="24">
                  <c:v>184</c:v>
                </c:pt>
                <c:pt idx="25">
                  <c:v>213</c:v>
                </c:pt>
                <c:pt idx="26">
                  <c:v>228</c:v>
                </c:pt>
                <c:pt idx="27">
                  <c:v>232</c:v>
                </c:pt>
                <c:pt idx="28">
                  <c:v>247</c:v>
                </c:pt>
                <c:pt idx="29">
                  <c:v>232</c:v>
                </c:pt>
                <c:pt idx="30">
                  <c:v>230</c:v>
                </c:pt>
                <c:pt idx="31">
                  <c:v>249</c:v>
                </c:pt>
                <c:pt idx="32">
                  <c:v>228</c:v>
                </c:pt>
                <c:pt idx="33">
                  <c:v>239</c:v>
                </c:pt>
                <c:pt idx="34">
                  <c:v>265</c:v>
                </c:pt>
                <c:pt idx="35">
                  <c:v>274</c:v>
                </c:pt>
                <c:pt idx="36">
                  <c:v>208</c:v>
                </c:pt>
                <c:pt idx="37">
                  <c:v>276</c:v>
                </c:pt>
                <c:pt idx="38">
                  <c:v>276</c:v>
                </c:pt>
                <c:pt idx="39">
                  <c:v>230</c:v>
                </c:pt>
                <c:pt idx="40">
                  <c:v>332</c:v>
                </c:pt>
                <c:pt idx="41">
                  <c:v>284</c:v>
                </c:pt>
                <c:pt idx="42">
                  <c:v>269</c:v>
                </c:pt>
                <c:pt idx="43">
                  <c:v>326</c:v>
                </c:pt>
                <c:pt idx="44">
                  <c:v>264</c:v>
                </c:pt>
                <c:pt idx="45">
                  <c:v>306</c:v>
                </c:pt>
                <c:pt idx="46">
                  <c:v>375</c:v>
                </c:pt>
                <c:pt idx="47">
                  <c:v>324</c:v>
                </c:pt>
                <c:pt idx="48">
                  <c:v>287</c:v>
                </c:pt>
                <c:pt idx="49">
                  <c:v>350</c:v>
                </c:pt>
                <c:pt idx="50">
                  <c:v>314</c:v>
                </c:pt>
                <c:pt idx="51">
                  <c:v>287</c:v>
                </c:pt>
                <c:pt idx="52">
                  <c:v>358</c:v>
                </c:pt>
                <c:pt idx="53">
                  <c:v>341</c:v>
                </c:pt>
                <c:pt idx="54">
                  <c:v>292</c:v>
                </c:pt>
                <c:pt idx="55">
                  <c:v>345</c:v>
                </c:pt>
                <c:pt idx="56">
                  <c:v>323</c:v>
                </c:pt>
                <c:pt idx="57">
                  <c:v>297</c:v>
                </c:pt>
                <c:pt idx="58">
                  <c:v>362</c:v>
                </c:pt>
                <c:pt idx="59">
                  <c:v>330</c:v>
                </c:pt>
              </c:numCache>
            </c:numRef>
          </c:val>
          <c:smooth val="0"/>
          <c:extLst>
            <c:ext xmlns:c16="http://schemas.microsoft.com/office/drawing/2014/chart" uri="{C3380CC4-5D6E-409C-BE32-E72D297353CC}">
              <c16:uniqueId val="{00000005-58E4-4D3F-853E-839DB83C5489}"/>
            </c:ext>
          </c:extLst>
        </c:ser>
        <c:dLbls>
          <c:showLegendKey val="0"/>
          <c:showVal val="0"/>
          <c:showCatName val="0"/>
          <c:showSerName val="0"/>
          <c:showPercent val="0"/>
          <c:showBubbleSize val="0"/>
        </c:dLbls>
        <c:smooth val="0"/>
        <c:axId val="984104016"/>
        <c:axId val="984105328"/>
      </c:lineChart>
      <c:catAx>
        <c:axId val="98410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105328"/>
        <c:crosses val="autoZero"/>
        <c:auto val="1"/>
        <c:lblAlgn val="ctr"/>
        <c:lblOffset val="100"/>
        <c:noMultiLvlLbl val="0"/>
      </c:catAx>
      <c:valAx>
        <c:axId val="984105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prescriptions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104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[D1139 - E - GnRH male patient analysis-3.xlsx]Sheet4!PivotTable3</c:name>
    <c:fmtId val="13"/>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none"/>
        </c:marker>
      </c:pivotFmt>
      <c:pivotFmt>
        <c:idx val="33"/>
        <c:spPr>
          <a:solidFill>
            <a:schemeClr val="accent1"/>
          </a:solidFill>
          <a:ln w="28575" cap="rnd">
            <a:solidFill>
              <a:schemeClr val="accent1"/>
            </a:solidFill>
            <a:round/>
          </a:ln>
          <a:effectLst/>
        </c:spPr>
        <c:marker>
          <c:symbol val="none"/>
        </c:marker>
      </c:pivotFmt>
      <c:pivotFmt>
        <c:idx val="34"/>
        <c:spPr>
          <a:solidFill>
            <a:schemeClr val="accent1"/>
          </a:solidFill>
          <a:ln w="28575" cap="rnd">
            <a:solidFill>
              <a:schemeClr val="accent1"/>
            </a:solidFill>
            <a:round/>
          </a:ln>
          <a:effectLst/>
        </c:spPr>
        <c:marker>
          <c:symbol val="none"/>
        </c:marker>
      </c:pivotFmt>
      <c:pivotFmt>
        <c:idx val="35"/>
        <c:spPr>
          <a:solidFill>
            <a:schemeClr val="accent1"/>
          </a:solidFill>
          <a:ln w="28575" cap="rnd">
            <a:solidFill>
              <a:schemeClr val="accent1"/>
            </a:solidFill>
            <a:round/>
          </a:ln>
          <a:effectLst/>
        </c:spPr>
        <c:marker>
          <c:symbol val="none"/>
        </c:marker>
      </c:pivotFmt>
      <c:pivotFmt>
        <c:idx val="36"/>
        <c:spPr>
          <a:solidFill>
            <a:schemeClr val="accent1"/>
          </a:solidFill>
          <a:ln w="28575" cap="rnd">
            <a:solidFill>
              <a:schemeClr val="accent1"/>
            </a:solidFill>
            <a:round/>
          </a:ln>
          <a:effectLst/>
        </c:spPr>
        <c:marker>
          <c:symbol val="none"/>
        </c:marker>
      </c:pivotFmt>
      <c:pivotFmt>
        <c:idx val="37"/>
        <c:spPr>
          <a:solidFill>
            <a:schemeClr val="accent1"/>
          </a:solidFill>
          <a:ln w="28575" cap="rnd">
            <a:solidFill>
              <a:schemeClr val="accent1"/>
            </a:solidFill>
            <a:round/>
          </a:ln>
          <a:effectLst/>
        </c:spPr>
        <c:marker>
          <c:symbol val="none"/>
        </c:marker>
      </c:pivotFmt>
      <c:pivotFmt>
        <c:idx val="38"/>
        <c:spPr>
          <a:solidFill>
            <a:schemeClr val="accent1"/>
          </a:solidFill>
          <a:ln w="28575" cap="rnd">
            <a:solidFill>
              <a:schemeClr val="accent1"/>
            </a:solidFill>
            <a:round/>
          </a:ln>
          <a:effectLst/>
        </c:spPr>
        <c:marker>
          <c:symbol val="none"/>
        </c:marker>
      </c:pivotFmt>
      <c:pivotFmt>
        <c:idx val="39"/>
        <c:spPr>
          <a:solidFill>
            <a:schemeClr val="accent1"/>
          </a:solidFill>
          <a:ln w="28575" cap="rnd">
            <a:solidFill>
              <a:schemeClr val="accent1"/>
            </a:solidFill>
            <a:round/>
          </a:ln>
          <a:effectLst/>
        </c:spPr>
        <c:marker>
          <c:symbol val="none"/>
        </c:marker>
      </c:pivotFmt>
      <c:pivotFmt>
        <c:idx val="40"/>
        <c:spPr>
          <a:solidFill>
            <a:schemeClr val="accent1"/>
          </a:solidFill>
          <a:ln w="28575" cap="rnd">
            <a:solidFill>
              <a:schemeClr val="accent1"/>
            </a:solidFill>
            <a:round/>
          </a:ln>
          <a:effectLst/>
        </c:spPr>
        <c:marker>
          <c:symbol val="none"/>
        </c:marker>
      </c:pivotFmt>
      <c:pivotFmt>
        <c:idx val="41"/>
        <c:spPr>
          <a:solidFill>
            <a:schemeClr val="accent1"/>
          </a:solidFill>
          <a:ln w="28575" cap="rnd">
            <a:solidFill>
              <a:schemeClr val="accent1"/>
            </a:solidFill>
            <a:round/>
          </a:ln>
          <a:effectLst/>
        </c:spPr>
        <c:marker>
          <c:symbol val="none"/>
        </c:marker>
      </c:pivotFmt>
      <c:pivotFmt>
        <c:idx val="42"/>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Sheet4!$S$3:$S$4</c:f>
              <c:strCache>
                <c:ptCount val="1"/>
                <c:pt idx="0">
                  <c:v>Goserelin 1 month</c:v>
                </c:pt>
              </c:strCache>
            </c:strRef>
          </c:tx>
          <c:spPr>
            <a:ln w="28575" cap="rnd">
              <a:solidFill>
                <a:schemeClr val="accent1"/>
              </a:solidFill>
              <a:round/>
            </a:ln>
            <a:effectLst/>
          </c:spPr>
          <c:marker>
            <c:symbol val="none"/>
          </c:marker>
          <c:cat>
            <c:strRef>
              <c:f>Sheet4!$R$5:$R$65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Sheet4!$S$5:$S$65</c:f>
              <c:numCache>
                <c:formatCode>General</c:formatCode>
                <c:ptCount val="60"/>
                <c:pt idx="0">
                  <c:v>362</c:v>
                </c:pt>
                <c:pt idx="1">
                  <c:v>379</c:v>
                </c:pt>
                <c:pt idx="2">
                  <c:v>404</c:v>
                </c:pt>
                <c:pt idx="3">
                  <c:v>388</c:v>
                </c:pt>
                <c:pt idx="4">
                  <c:v>391</c:v>
                </c:pt>
                <c:pt idx="5">
                  <c:v>374</c:v>
                </c:pt>
                <c:pt idx="6">
                  <c:v>390</c:v>
                </c:pt>
                <c:pt idx="7">
                  <c:v>350</c:v>
                </c:pt>
                <c:pt idx="8">
                  <c:v>368</c:v>
                </c:pt>
                <c:pt idx="9">
                  <c:v>360</c:v>
                </c:pt>
                <c:pt idx="10">
                  <c:v>363</c:v>
                </c:pt>
                <c:pt idx="11">
                  <c:v>431</c:v>
                </c:pt>
                <c:pt idx="12">
                  <c:v>320</c:v>
                </c:pt>
                <c:pt idx="13">
                  <c:v>346</c:v>
                </c:pt>
                <c:pt idx="14">
                  <c:v>375</c:v>
                </c:pt>
                <c:pt idx="15">
                  <c:v>348</c:v>
                </c:pt>
                <c:pt idx="16">
                  <c:v>370</c:v>
                </c:pt>
                <c:pt idx="17">
                  <c:v>366</c:v>
                </c:pt>
                <c:pt idx="18">
                  <c:v>393</c:v>
                </c:pt>
                <c:pt idx="19">
                  <c:v>374</c:v>
                </c:pt>
                <c:pt idx="20">
                  <c:v>396</c:v>
                </c:pt>
                <c:pt idx="21">
                  <c:v>402</c:v>
                </c:pt>
                <c:pt idx="22">
                  <c:v>399</c:v>
                </c:pt>
                <c:pt idx="23">
                  <c:v>413</c:v>
                </c:pt>
                <c:pt idx="24">
                  <c:v>343</c:v>
                </c:pt>
                <c:pt idx="25">
                  <c:v>392</c:v>
                </c:pt>
                <c:pt idx="26">
                  <c:v>397</c:v>
                </c:pt>
                <c:pt idx="27">
                  <c:v>404</c:v>
                </c:pt>
                <c:pt idx="28">
                  <c:v>403</c:v>
                </c:pt>
                <c:pt idx="29">
                  <c:v>386</c:v>
                </c:pt>
                <c:pt idx="30">
                  <c:v>400</c:v>
                </c:pt>
                <c:pt idx="31">
                  <c:v>419</c:v>
                </c:pt>
                <c:pt idx="32">
                  <c:v>426</c:v>
                </c:pt>
                <c:pt idx="33">
                  <c:v>370</c:v>
                </c:pt>
                <c:pt idx="34">
                  <c:v>415</c:v>
                </c:pt>
                <c:pt idx="35">
                  <c:v>405</c:v>
                </c:pt>
                <c:pt idx="36">
                  <c:v>365</c:v>
                </c:pt>
                <c:pt idx="37">
                  <c:v>339</c:v>
                </c:pt>
                <c:pt idx="38">
                  <c:v>376</c:v>
                </c:pt>
                <c:pt idx="39">
                  <c:v>355</c:v>
                </c:pt>
                <c:pt idx="40">
                  <c:v>377</c:v>
                </c:pt>
                <c:pt idx="41">
                  <c:v>378</c:v>
                </c:pt>
                <c:pt idx="42">
                  <c:v>373</c:v>
                </c:pt>
                <c:pt idx="43">
                  <c:v>389</c:v>
                </c:pt>
                <c:pt idx="44">
                  <c:v>347</c:v>
                </c:pt>
                <c:pt idx="45">
                  <c:v>390</c:v>
                </c:pt>
                <c:pt idx="46">
                  <c:v>372</c:v>
                </c:pt>
                <c:pt idx="47">
                  <c:v>374</c:v>
                </c:pt>
                <c:pt idx="48">
                  <c:v>345</c:v>
                </c:pt>
                <c:pt idx="49">
                  <c:v>345</c:v>
                </c:pt>
                <c:pt idx="50">
                  <c:v>384</c:v>
                </c:pt>
                <c:pt idx="51">
                  <c:v>342</c:v>
                </c:pt>
                <c:pt idx="52">
                  <c:v>405</c:v>
                </c:pt>
                <c:pt idx="53">
                  <c:v>322</c:v>
                </c:pt>
                <c:pt idx="54">
                  <c:v>357</c:v>
                </c:pt>
                <c:pt idx="55">
                  <c:v>356</c:v>
                </c:pt>
                <c:pt idx="56">
                  <c:v>338</c:v>
                </c:pt>
                <c:pt idx="57">
                  <c:v>357</c:v>
                </c:pt>
                <c:pt idx="58">
                  <c:v>342</c:v>
                </c:pt>
                <c:pt idx="59">
                  <c:v>337</c:v>
                </c:pt>
              </c:numCache>
            </c:numRef>
          </c:val>
          <c:smooth val="0"/>
          <c:extLst>
            <c:ext xmlns:c16="http://schemas.microsoft.com/office/drawing/2014/chart" uri="{C3380CC4-5D6E-409C-BE32-E72D297353CC}">
              <c16:uniqueId val="{00000000-040E-4EF0-8D25-C853D6B78F0E}"/>
            </c:ext>
          </c:extLst>
        </c:ser>
        <c:ser>
          <c:idx val="1"/>
          <c:order val="1"/>
          <c:tx>
            <c:strRef>
              <c:f>Sheet4!$T$3:$T$4</c:f>
              <c:strCache>
                <c:ptCount val="1"/>
                <c:pt idx="0">
                  <c:v>Goserelin 3 month</c:v>
                </c:pt>
              </c:strCache>
            </c:strRef>
          </c:tx>
          <c:spPr>
            <a:ln w="28575" cap="rnd">
              <a:solidFill>
                <a:schemeClr val="accent2"/>
              </a:solidFill>
              <a:round/>
            </a:ln>
            <a:effectLst/>
          </c:spPr>
          <c:marker>
            <c:symbol val="none"/>
          </c:marker>
          <c:cat>
            <c:strRef>
              <c:f>Sheet4!$R$5:$R$65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Sheet4!$T$5:$T$65</c:f>
              <c:numCache>
                <c:formatCode>General</c:formatCode>
                <c:ptCount val="60"/>
                <c:pt idx="0">
                  <c:v>3682</c:v>
                </c:pt>
                <c:pt idx="1">
                  <c:v>3962</c:v>
                </c:pt>
                <c:pt idx="2">
                  <c:v>3997</c:v>
                </c:pt>
                <c:pt idx="3">
                  <c:v>3882</c:v>
                </c:pt>
                <c:pt idx="4">
                  <c:v>4368</c:v>
                </c:pt>
                <c:pt idx="5">
                  <c:v>3930</c:v>
                </c:pt>
                <c:pt idx="6">
                  <c:v>3970</c:v>
                </c:pt>
                <c:pt idx="7">
                  <c:v>4097</c:v>
                </c:pt>
                <c:pt idx="8">
                  <c:v>3986</c:v>
                </c:pt>
                <c:pt idx="9">
                  <c:v>4086</c:v>
                </c:pt>
                <c:pt idx="10">
                  <c:v>4130</c:v>
                </c:pt>
                <c:pt idx="11">
                  <c:v>4543</c:v>
                </c:pt>
                <c:pt idx="12">
                  <c:v>3532</c:v>
                </c:pt>
                <c:pt idx="13">
                  <c:v>3810</c:v>
                </c:pt>
                <c:pt idx="14">
                  <c:v>4022</c:v>
                </c:pt>
                <c:pt idx="15">
                  <c:v>3754</c:v>
                </c:pt>
                <c:pt idx="16">
                  <c:v>4032</c:v>
                </c:pt>
                <c:pt idx="17">
                  <c:v>3991</c:v>
                </c:pt>
                <c:pt idx="18">
                  <c:v>4082</c:v>
                </c:pt>
                <c:pt idx="19">
                  <c:v>4058</c:v>
                </c:pt>
                <c:pt idx="20">
                  <c:v>3944</c:v>
                </c:pt>
                <c:pt idx="21">
                  <c:v>4027</c:v>
                </c:pt>
                <c:pt idx="22">
                  <c:v>4269</c:v>
                </c:pt>
                <c:pt idx="23">
                  <c:v>4505</c:v>
                </c:pt>
                <c:pt idx="24">
                  <c:v>3330</c:v>
                </c:pt>
                <c:pt idx="25">
                  <c:v>4008</c:v>
                </c:pt>
                <c:pt idx="26">
                  <c:v>4111</c:v>
                </c:pt>
                <c:pt idx="27">
                  <c:v>3662</c:v>
                </c:pt>
                <c:pt idx="28">
                  <c:v>4186</c:v>
                </c:pt>
                <c:pt idx="29">
                  <c:v>3946</c:v>
                </c:pt>
                <c:pt idx="30">
                  <c:v>3847</c:v>
                </c:pt>
                <c:pt idx="31">
                  <c:v>4237</c:v>
                </c:pt>
                <c:pt idx="32">
                  <c:v>3988</c:v>
                </c:pt>
                <c:pt idx="33">
                  <c:v>3965</c:v>
                </c:pt>
                <c:pt idx="34">
                  <c:v>4240</c:v>
                </c:pt>
                <c:pt idx="35">
                  <c:v>4459</c:v>
                </c:pt>
                <c:pt idx="36">
                  <c:v>3658</c:v>
                </c:pt>
                <c:pt idx="37">
                  <c:v>3839</c:v>
                </c:pt>
                <c:pt idx="38">
                  <c:v>4184</c:v>
                </c:pt>
                <c:pt idx="39">
                  <c:v>3752</c:v>
                </c:pt>
                <c:pt idx="40">
                  <c:v>4436</c:v>
                </c:pt>
                <c:pt idx="41">
                  <c:v>4178</c:v>
                </c:pt>
                <c:pt idx="42">
                  <c:v>3925</c:v>
                </c:pt>
                <c:pt idx="43">
                  <c:v>4446</c:v>
                </c:pt>
                <c:pt idx="44">
                  <c:v>4085</c:v>
                </c:pt>
                <c:pt idx="45">
                  <c:v>4260</c:v>
                </c:pt>
                <c:pt idx="46">
                  <c:v>4414</c:v>
                </c:pt>
                <c:pt idx="47">
                  <c:v>4411</c:v>
                </c:pt>
                <c:pt idx="48">
                  <c:v>4017</c:v>
                </c:pt>
                <c:pt idx="49">
                  <c:v>4023</c:v>
                </c:pt>
                <c:pt idx="50">
                  <c:v>4217</c:v>
                </c:pt>
                <c:pt idx="51">
                  <c:v>4041</c:v>
                </c:pt>
                <c:pt idx="52">
                  <c:v>4995</c:v>
                </c:pt>
                <c:pt idx="53">
                  <c:v>4030</c:v>
                </c:pt>
                <c:pt idx="54">
                  <c:v>4165</c:v>
                </c:pt>
                <c:pt idx="55">
                  <c:v>4522</c:v>
                </c:pt>
                <c:pt idx="56">
                  <c:v>4053</c:v>
                </c:pt>
                <c:pt idx="57">
                  <c:v>4454</c:v>
                </c:pt>
                <c:pt idx="58">
                  <c:v>4651</c:v>
                </c:pt>
                <c:pt idx="59">
                  <c:v>4448</c:v>
                </c:pt>
              </c:numCache>
            </c:numRef>
          </c:val>
          <c:smooth val="0"/>
          <c:extLst>
            <c:ext xmlns:c16="http://schemas.microsoft.com/office/drawing/2014/chart" uri="{C3380CC4-5D6E-409C-BE32-E72D297353CC}">
              <c16:uniqueId val="{00000001-040E-4EF0-8D25-C853D6B78F0E}"/>
            </c:ext>
          </c:extLst>
        </c:ser>
        <c:ser>
          <c:idx val="2"/>
          <c:order val="2"/>
          <c:tx>
            <c:strRef>
              <c:f>Sheet4!$U$3:$U$4</c:f>
              <c:strCache>
                <c:ptCount val="1"/>
                <c:pt idx="0">
                  <c:v>Goserelin Bicalutamide 1 month</c:v>
                </c:pt>
              </c:strCache>
            </c:strRef>
          </c:tx>
          <c:spPr>
            <a:ln w="28575" cap="rnd">
              <a:solidFill>
                <a:schemeClr val="accent3"/>
              </a:solidFill>
              <a:round/>
            </a:ln>
            <a:effectLst/>
          </c:spPr>
          <c:marker>
            <c:symbol val="none"/>
          </c:marker>
          <c:cat>
            <c:strRef>
              <c:f>Sheet4!$R$5:$R$65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Sheet4!$U$5:$U$65</c:f>
              <c:numCache>
                <c:formatCode>General</c:formatCode>
                <c:ptCount val="60"/>
                <c:pt idx="0">
                  <c:v>31</c:v>
                </c:pt>
                <c:pt idx="1">
                  <c:v>39</c:v>
                </c:pt>
                <c:pt idx="2">
                  <c:v>34</c:v>
                </c:pt>
                <c:pt idx="3">
                  <c:v>24</c:v>
                </c:pt>
                <c:pt idx="4">
                  <c:v>26</c:v>
                </c:pt>
                <c:pt idx="5">
                  <c:v>24</c:v>
                </c:pt>
                <c:pt idx="6">
                  <c:v>27</c:v>
                </c:pt>
                <c:pt idx="7">
                  <c:v>37</c:v>
                </c:pt>
                <c:pt idx="8">
                  <c:v>34</c:v>
                </c:pt>
                <c:pt idx="9">
                  <c:v>36</c:v>
                </c:pt>
                <c:pt idx="10">
                  <c:v>30</c:v>
                </c:pt>
                <c:pt idx="11">
                  <c:v>30</c:v>
                </c:pt>
                <c:pt idx="12">
                  <c:v>22</c:v>
                </c:pt>
                <c:pt idx="13">
                  <c:v>25</c:v>
                </c:pt>
                <c:pt idx="14">
                  <c:v>27</c:v>
                </c:pt>
                <c:pt idx="15">
                  <c:v>29</c:v>
                </c:pt>
                <c:pt idx="16">
                  <c:v>26</c:v>
                </c:pt>
                <c:pt idx="17">
                  <c:v>35</c:v>
                </c:pt>
                <c:pt idx="18">
                  <c:v>29</c:v>
                </c:pt>
                <c:pt idx="19">
                  <c:v>28</c:v>
                </c:pt>
                <c:pt idx="20">
                  <c:v>29</c:v>
                </c:pt>
                <c:pt idx="21">
                  <c:v>23</c:v>
                </c:pt>
                <c:pt idx="22">
                  <c:v>25</c:v>
                </c:pt>
                <c:pt idx="23">
                  <c:v>35</c:v>
                </c:pt>
                <c:pt idx="24">
                  <c:v>27</c:v>
                </c:pt>
                <c:pt idx="25">
                  <c:v>36</c:v>
                </c:pt>
                <c:pt idx="26">
                  <c:v>33</c:v>
                </c:pt>
                <c:pt idx="27">
                  <c:v>30</c:v>
                </c:pt>
                <c:pt idx="28">
                  <c:v>24</c:v>
                </c:pt>
                <c:pt idx="29">
                  <c:v>28</c:v>
                </c:pt>
                <c:pt idx="30">
                  <c:v>28</c:v>
                </c:pt>
                <c:pt idx="31">
                  <c:v>31</c:v>
                </c:pt>
                <c:pt idx="32">
                  <c:v>23</c:v>
                </c:pt>
                <c:pt idx="33">
                  <c:v>26</c:v>
                </c:pt>
                <c:pt idx="34">
                  <c:v>19</c:v>
                </c:pt>
                <c:pt idx="35">
                  <c:v>21</c:v>
                </c:pt>
                <c:pt idx="36">
                  <c:v>21</c:v>
                </c:pt>
                <c:pt idx="37">
                  <c:v>11</c:v>
                </c:pt>
                <c:pt idx="38">
                  <c:v>19</c:v>
                </c:pt>
                <c:pt idx="39">
                  <c:v>17</c:v>
                </c:pt>
                <c:pt idx="40">
                  <c:v>22</c:v>
                </c:pt>
                <c:pt idx="41">
                  <c:v>12</c:v>
                </c:pt>
                <c:pt idx="42">
                  <c:v>23</c:v>
                </c:pt>
                <c:pt idx="43">
                  <c:v>19</c:v>
                </c:pt>
                <c:pt idx="44">
                  <c:v>17</c:v>
                </c:pt>
                <c:pt idx="45">
                  <c:v>11</c:v>
                </c:pt>
                <c:pt idx="46">
                  <c:v>14</c:v>
                </c:pt>
                <c:pt idx="47">
                  <c:v>11</c:v>
                </c:pt>
                <c:pt idx="48">
                  <c:v>12</c:v>
                </c:pt>
                <c:pt idx="49">
                  <c:v>14</c:v>
                </c:pt>
                <c:pt idx="50">
                  <c:v>17</c:v>
                </c:pt>
                <c:pt idx="51">
                  <c:v>20</c:v>
                </c:pt>
                <c:pt idx="52">
                  <c:v>22</c:v>
                </c:pt>
                <c:pt idx="53">
                  <c:v>14</c:v>
                </c:pt>
                <c:pt idx="54">
                  <c:v>14</c:v>
                </c:pt>
                <c:pt idx="55">
                  <c:v>17</c:v>
                </c:pt>
                <c:pt idx="56">
                  <c:v>15</c:v>
                </c:pt>
                <c:pt idx="57">
                  <c:v>16</c:v>
                </c:pt>
                <c:pt idx="58">
                  <c:v>11</c:v>
                </c:pt>
                <c:pt idx="59">
                  <c:v>11</c:v>
                </c:pt>
              </c:numCache>
            </c:numRef>
          </c:val>
          <c:smooth val="0"/>
          <c:extLst>
            <c:ext xmlns:c16="http://schemas.microsoft.com/office/drawing/2014/chart" uri="{C3380CC4-5D6E-409C-BE32-E72D297353CC}">
              <c16:uniqueId val="{00000002-040E-4EF0-8D25-C853D6B78F0E}"/>
            </c:ext>
          </c:extLst>
        </c:ser>
        <c:ser>
          <c:idx val="3"/>
          <c:order val="3"/>
          <c:tx>
            <c:strRef>
              <c:f>Sheet4!$V$3:$V$4</c:f>
              <c:strCache>
                <c:ptCount val="1"/>
                <c:pt idx="0">
                  <c:v>Goserelin Bicalutamide 3 month</c:v>
                </c:pt>
              </c:strCache>
            </c:strRef>
          </c:tx>
          <c:spPr>
            <a:ln w="28575" cap="rnd">
              <a:solidFill>
                <a:schemeClr val="accent4"/>
              </a:solidFill>
              <a:round/>
            </a:ln>
            <a:effectLst/>
          </c:spPr>
          <c:marker>
            <c:symbol val="none"/>
          </c:marker>
          <c:cat>
            <c:strRef>
              <c:f>Sheet4!$R$5:$R$65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Sheet4!$V$5:$V$65</c:f>
              <c:numCache>
                <c:formatCode>General</c:formatCode>
                <c:ptCount val="60"/>
                <c:pt idx="0">
                  <c:v>365</c:v>
                </c:pt>
                <c:pt idx="1">
                  <c:v>379</c:v>
                </c:pt>
                <c:pt idx="2">
                  <c:v>403</c:v>
                </c:pt>
                <c:pt idx="3">
                  <c:v>397</c:v>
                </c:pt>
                <c:pt idx="4">
                  <c:v>449</c:v>
                </c:pt>
                <c:pt idx="5">
                  <c:v>415</c:v>
                </c:pt>
                <c:pt idx="6">
                  <c:v>417</c:v>
                </c:pt>
                <c:pt idx="7">
                  <c:v>408</c:v>
                </c:pt>
                <c:pt idx="8">
                  <c:v>400</c:v>
                </c:pt>
                <c:pt idx="9">
                  <c:v>400</c:v>
                </c:pt>
                <c:pt idx="10">
                  <c:v>388</c:v>
                </c:pt>
                <c:pt idx="11">
                  <c:v>449</c:v>
                </c:pt>
                <c:pt idx="12">
                  <c:v>321</c:v>
                </c:pt>
                <c:pt idx="13">
                  <c:v>387</c:v>
                </c:pt>
                <c:pt idx="14">
                  <c:v>379</c:v>
                </c:pt>
                <c:pt idx="15">
                  <c:v>342</c:v>
                </c:pt>
                <c:pt idx="16">
                  <c:v>416</c:v>
                </c:pt>
                <c:pt idx="17">
                  <c:v>358</c:v>
                </c:pt>
                <c:pt idx="18">
                  <c:v>378</c:v>
                </c:pt>
                <c:pt idx="19">
                  <c:v>396</c:v>
                </c:pt>
                <c:pt idx="20">
                  <c:v>369</c:v>
                </c:pt>
                <c:pt idx="21">
                  <c:v>358</c:v>
                </c:pt>
                <c:pt idx="22">
                  <c:v>392</c:v>
                </c:pt>
                <c:pt idx="23">
                  <c:v>392</c:v>
                </c:pt>
                <c:pt idx="24">
                  <c:v>303</c:v>
                </c:pt>
                <c:pt idx="25">
                  <c:v>399</c:v>
                </c:pt>
                <c:pt idx="26">
                  <c:v>373</c:v>
                </c:pt>
                <c:pt idx="27">
                  <c:v>380</c:v>
                </c:pt>
                <c:pt idx="28">
                  <c:v>429</c:v>
                </c:pt>
                <c:pt idx="29">
                  <c:v>391</c:v>
                </c:pt>
                <c:pt idx="30">
                  <c:v>376</c:v>
                </c:pt>
                <c:pt idx="31">
                  <c:v>431</c:v>
                </c:pt>
                <c:pt idx="32">
                  <c:v>381</c:v>
                </c:pt>
                <c:pt idx="33">
                  <c:v>358</c:v>
                </c:pt>
                <c:pt idx="34">
                  <c:v>409</c:v>
                </c:pt>
                <c:pt idx="35">
                  <c:v>454</c:v>
                </c:pt>
                <c:pt idx="36">
                  <c:v>331</c:v>
                </c:pt>
                <c:pt idx="37">
                  <c:v>331</c:v>
                </c:pt>
                <c:pt idx="38">
                  <c:v>434</c:v>
                </c:pt>
                <c:pt idx="39">
                  <c:v>319</c:v>
                </c:pt>
                <c:pt idx="40">
                  <c:v>405</c:v>
                </c:pt>
                <c:pt idx="41">
                  <c:v>374</c:v>
                </c:pt>
                <c:pt idx="42">
                  <c:v>376</c:v>
                </c:pt>
                <c:pt idx="43">
                  <c:v>391</c:v>
                </c:pt>
                <c:pt idx="44">
                  <c:v>405</c:v>
                </c:pt>
                <c:pt idx="45">
                  <c:v>376</c:v>
                </c:pt>
                <c:pt idx="46">
                  <c:v>363</c:v>
                </c:pt>
                <c:pt idx="47">
                  <c:v>396</c:v>
                </c:pt>
                <c:pt idx="48">
                  <c:v>315</c:v>
                </c:pt>
                <c:pt idx="49">
                  <c:v>318</c:v>
                </c:pt>
                <c:pt idx="50">
                  <c:v>318</c:v>
                </c:pt>
                <c:pt idx="51">
                  <c:v>279</c:v>
                </c:pt>
                <c:pt idx="52">
                  <c:v>383</c:v>
                </c:pt>
                <c:pt idx="53">
                  <c:v>295</c:v>
                </c:pt>
                <c:pt idx="54">
                  <c:v>302</c:v>
                </c:pt>
                <c:pt idx="55">
                  <c:v>312</c:v>
                </c:pt>
                <c:pt idx="56">
                  <c:v>281</c:v>
                </c:pt>
                <c:pt idx="57">
                  <c:v>299</c:v>
                </c:pt>
                <c:pt idx="58">
                  <c:v>316</c:v>
                </c:pt>
                <c:pt idx="59">
                  <c:v>327</c:v>
                </c:pt>
              </c:numCache>
            </c:numRef>
          </c:val>
          <c:smooth val="0"/>
          <c:extLst>
            <c:ext xmlns:c16="http://schemas.microsoft.com/office/drawing/2014/chart" uri="{C3380CC4-5D6E-409C-BE32-E72D297353CC}">
              <c16:uniqueId val="{00000003-040E-4EF0-8D25-C853D6B78F0E}"/>
            </c:ext>
          </c:extLst>
        </c:ser>
        <c:ser>
          <c:idx val="4"/>
          <c:order val="4"/>
          <c:tx>
            <c:strRef>
              <c:f>Sheet4!$W$3:$W$4</c:f>
              <c:strCache>
                <c:ptCount val="1"/>
                <c:pt idx="0">
                  <c:v>Leuprorelin 1 month</c:v>
                </c:pt>
              </c:strCache>
            </c:strRef>
          </c:tx>
          <c:spPr>
            <a:ln w="28575" cap="rnd">
              <a:solidFill>
                <a:schemeClr val="accent5"/>
              </a:solidFill>
              <a:round/>
            </a:ln>
            <a:effectLst/>
          </c:spPr>
          <c:marker>
            <c:symbol val="none"/>
          </c:marker>
          <c:cat>
            <c:strRef>
              <c:f>Sheet4!$R$5:$R$65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Sheet4!$W$5:$W$65</c:f>
              <c:numCache>
                <c:formatCode>General</c:formatCode>
                <c:ptCount val="60"/>
                <c:pt idx="0">
                  <c:v>272</c:v>
                </c:pt>
                <c:pt idx="1">
                  <c:v>236</c:v>
                </c:pt>
                <c:pt idx="2">
                  <c:v>277</c:v>
                </c:pt>
                <c:pt idx="3">
                  <c:v>269</c:v>
                </c:pt>
                <c:pt idx="4">
                  <c:v>274</c:v>
                </c:pt>
                <c:pt idx="5">
                  <c:v>264</c:v>
                </c:pt>
                <c:pt idx="6">
                  <c:v>276</c:v>
                </c:pt>
                <c:pt idx="7">
                  <c:v>249</c:v>
                </c:pt>
                <c:pt idx="8">
                  <c:v>269</c:v>
                </c:pt>
                <c:pt idx="9">
                  <c:v>279</c:v>
                </c:pt>
                <c:pt idx="10">
                  <c:v>283</c:v>
                </c:pt>
                <c:pt idx="11">
                  <c:v>312</c:v>
                </c:pt>
                <c:pt idx="12">
                  <c:v>283</c:v>
                </c:pt>
                <c:pt idx="13">
                  <c:v>270</c:v>
                </c:pt>
                <c:pt idx="14">
                  <c:v>320</c:v>
                </c:pt>
                <c:pt idx="15">
                  <c:v>258</c:v>
                </c:pt>
                <c:pt idx="16">
                  <c:v>273</c:v>
                </c:pt>
                <c:pt idx="17">
                  <c:v>266</c:v>
                </c:pt>
                <c:pt idx="18">
                  <c:v>274</c:v>
                </c:pt>
                <c:pt idx="19">
                  <c:v>272</c:v>
                </c:pt>
                <c:pt idx="20">
                  <c:v>258</c:v>
                </c:pt>
                <c:pt idx="21">
                  <c:v>292</c:v>
                </c:pt>
                <c:pt idx="22">
                  <c:v>253</c:v>
                </c:pt>
                <c:pt idx="23">
                  <c:v>295</c:v>
                </c:pt>
                <c:pt idx="24">
                  <c:v>231</c:v>
                </c:pt>
                <c:pt idx="25">
                  <c:v>242</c:v>
                </c:pt>
                <c:pt idx="26">
                  <c:v>270</c:v>
                </c:pt>
                <c:pt idx="27">
                  <c:v>235</c:v>
                </c:pt>
                <c:pt idx="28">
                  <c:v>262</c:v>
                </c:pt>
                <c:pt idx="29">
                  <c:v>272</c:v>
                </c:pt>
                <c:pt idx="30">
                  <c:v>260</c:v>
                </c:pt>
                <c:pt idx="31">
                  <c:v>261</c:v>
                </c:pt>
                <c:pt idx="32">
                  <c:v>271</c:v>
                </c:pt>
                <c:pt idx="33">
                  <c:v>242</c:v>
                </c:pt>
                <c:pt idx="34">
                  <c:v>278</c:v>
                </c:pt>
                <c:pt idx="35">
                  <c:v>254</c:v>
                </c:pt>
                <c:pt idx="36">
                  <c:v>235</c:v>
                </c:pt>
                <c:pt idx="37">
                  <c:v>245</c:v>
                </c:pt>
                <c:pt idx="38">
                  <c:v>276</c:v>
                </c:pt>
                <c:pt idx="39">
                  <c:v>253</c:v>
                </c:pt>
                <c:pt idx="40">
                  <c:v>287</c:v>
                </c:pt>
                <c:pt idx="41">
                  <c:v>263</c:v>
                </c:pt>
                <c:pt idx="42">
                  <c:v>283</c:v>
                </c:pt>
                <c:pt idx="43">
                  <c:v>297</c:v>
                </c:pt>
                <c:pt idx="44">
                  <c:v>244</c:v>
                </c:pt>
                <c:pt idx="45">
                  <c:v>266</c:v>
                </c:pt>
                <c:pt idx="46">
                  <c:v>293</c:v>
                </c:pt>
                <c:pt idx="47">
                  <c:v>286</c:v>
                </c:pt>
                <c:pt idx="48">
                  <c:v>280</c:v>
                </c:pt>
                <c:pt idx="49">
                  <c:v>246</c:v>
                </c:pt>
                <c:pt idx="50">
                  <c:v>281</c:v>
                </c:pt>
                <c:pt idx="51">
                  <c:v>280</c:v>
                </c:pt>
                <c:pt idx="52">
                  <c:v>292</c:v>
                </c:pt>
                <c:pt idx="53">
                  <c:v>275</c:v>
                </c:pt>
                <c:pt idx="54">
                  <c:v>284</c:v>
                </c:pt>
                <c:pt idx="55">
                  <c:v>292</c:v>
                </c:pt>
                <c:pt idx="56">
                  <c:v>258</c:v>
                </c:pt>
                <c:pt idx="57">
                  <c:v>340</c:v>
                </c:pt>
                <c:pt idx="58">
                  <c:v>320</c:v>
                </c:pt>
                <c:pt idx="59">
                  <c:v>309</c:v>
                </c:pt>
              </c:numCache>
            </c:numRef>
          </c:val>
          <c:smooth val="0"/>
          <c:extLst>
            <c:ext xmlns:c16="http://schemas.microsoft.com/office/drawing/2014/chart" uri="{C3380CC4-5D6E-409C-BE32-E72D297353CC}">
              <c16:uniqueId val="{00000004-040E-4EF0-8D25-C853D6B78F0E}"/>
            </c:ext>
          </c:extLst>
        </c:ser>
        <c:ser>
          <c:idx val="5"/>
          <c:order val="5"/>
          <c:tx>
            <c:strRef>
              <c:f>Sheet4!$X$3:$X$4</c:f>
              <c:strCache>
                <c:ptCount val="1"/>
                <c:pt idx="0">
                  <c:v>Leuprorelin 3 month</c:v>
                </c:pt>
              </c:strCache>
            </c:strRef>
          </c:tx>
          <c:spPr>
            <a:ln w="28575" cap="rnd">
              <a:solidFill>
                <a:schemeClr val="accent6"/>
              </a:solidFill>
              <a:round/>
            </a:ln>
            <a:effectLst/>
          </c:spPr>
          <c:marker>
            <c:symbol val="none"/>
          </c:marker>
          <c:cat>
            <c:strRef>
              <c:f>Sheet4!$R$5:$R$65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Sheet4!$X$5:$X$65</c:f>
              <c:numCache>
                <c:formatCode>General</c:formatCode>
                <c:ptCount val="60"/>
                <c:pt idx="0">
                  <c:v>1309</c:v>
                </c:pt>
                <c:pt idx="1">
                  <c:v>1487</c:v>
                </c:pt>
                <c:pt idx="2">
                  <c:v>1369</c:v>
                </c:pt>
                <c:pt idx="3">
                  <c:v>1315</c:v>
                </c:pt>
                <c:pt idx="4">
                  <c:v>1625</c:v>
                </c:pt>
                <c:pt idx="5">
                  <c:v>1432</c:v>
                </c:pt>
                <c:pt idx="6">
                  <c:v>1368</c:v>
                </c:pt>
                <c:pt idx="7">
                  <c:v>1585</c:v>
                </c:pt>
                <c:pt idx="8">
                  <c:v>1363</c:v>
                </c:pt>
                <c:pt idx="9">
                  <c:v>1463</c:v>
                </c:pt>
                <c:pt idx="10">
                  <c:v>1553</c:v>
                </c:pt>
                <c:pt idx="11">
                  <c:v>1599</c:v>
                </c:pt>
                <c:pt idx="12">
                  <c:v>1250</c:v>
                </c:pt>
                <c:pt idx="13">
                  <c:v>1499</c:v>
                </c:pt>
                <c:pt idx="14">
                  <c:v>1511</c:v>
                </c:pt>
                <c:pt idx="15">
                  <c:v>1400</c:v>
                </c:pt>
                <c:pt idx="16">
                  <c:v>1576</c:v>
                </c:pt>
                <c:pt idx="17">
                  <c:v>1535</c:v>
                </c:pt>
                <c:pt idx="18">
                  <c:v>1478</c:v>
                </c:pt>
                <c:pt idx="19">
                  <c:v>1593</c:v>
                </c:pt>
                <c:pt idx="20">
                  <c:v>1596</c:v>
                </c:pt>
                <c:pt idx="21">
                  <c:v>1460</c:v>
                </c:pt>
                <c:pt idx="22">
                  <c:v>1730</c:v>
                </c:pt>
                <c:pt idx="23">
                  <c:v>1751</c:v>
                </c:pt>
                <c:pt idx="24">
                  <c:v>1342</c:v>
                </c:pt>
                <c:pt idx="25">
                  <c:v>1595</c:v>
                </c:pt>
                <c:pt idx="26">
                  <c:v>1639</c:v>
                </c:pt>
                <c:pt idx="27">
                  <c:v>1497</c:v>
                </c:pt>
                <c:pt idx="28">
                  <c:v>1739</c:v>
                </c:pt>
                <c:pt idx="29">
                  <c:v>1638</c:v>
                </c:pt>
                <c:pt idx="30">
                  <c:v>1565</c:v>
                </c:pt>
                <c:pt idx="31">
                  <c:v>1929</c:v>
                </c:pt>
                <c:pt idx="32">
                  <c:v>1727</c:v>
                </c:pt>
                <c:pt idx="33">
                  <c:v>1701</c:v>
                </c:pt>
                <c:pt idx="34">
                  <c:v>1922</c:v>
                </c:pt>
                <c:pt idx="35">
                  <c:v>1919</c:v>
                </c:pt>
                <c:pt idx="36">
                  <c:v>1633</c:v>
                </c:pt>
                <c:pt idx="37">
                  <c:v>1747</c:v>
                </c:pt>
                <c:pt idx="38">
                  <c:v>1890</c:v>
                </c:pt>
                <c:pt idx="39">
                  <c:v>1624</c:v>
                </c:pt>
                <c:pt idx="40">
                  <c:v>2069</c:v>
                </c:pt>
                <c:pt idx="41">
                  <c:v>1913</c:v>
                </c:pt>
                <c:pt idx="42">
                  <c:v>1835</c:v>
                </c:pt>
                <c:pt idx="43">
                  <c:v>2120</c:v>
                </c:pt>
                <c:pt idx="44">
                  <c:v>1882</c:v>
                </c:pt>
                <c:pt idx="45">
                  <c:v>1922</c:v>
                </c:pt>
                <c:pt idx="46">
                  <c:v>2122</c:v>
                </c:pt>
                <c:pt idx="47">
                  <c:v>2052</c:v>
                </c:pt>
                <c:pt idx="48">
                  <c:v>1869</c:v>
                </c:pt>
                <c:pt idx="49">
                  <c:v>1939</c:v>
                </c:pt>
                <c:pt idx="50">
                  <c:v>2013</c:v>
                </c:pt>
                <c:pt idx="51">
                  <c:v>1906</c:v>
                </c:pt>
                <c:pt idx="52">
                  <c:v>2321</c:v>
                </c:pt>
                <c:pt idx="53">
                  <c:v>1933</c:v>
                </c:pt>
                <c:pt idx="54">
                  <c:v>2093</c:v>
                </c:pt>
                <c:pt idx="55">
                  <c:v>2229</c:v>
                </c:pt>
                <c:pt idx="56">
                  <c:v>2031</c:v>
                </c:pt>
                <c:pt idx="57">
                  <c:v>2221</c:v>
                </c:pt>
                <c:pt idx="58">
                  <c:v>2375</c:v>
                </c:pt>
                <c:pt idx="59">
                  <c:v>2220</c:v>
                </c:pt>
              </c:numCache>
            </c:numRef>
          </c:val>
          <c:smooth val="0"/>
          <c:extLst>
            <c:ext xmlns:c16="http://schemas.microsoft.com/office/drawing/2014/chart" uri="{C3380CC4-5D6E-409C-BE32-E72D297353CC}">
              <c16:uniqueId val="{00000005-040E-4EF0-8D25-C853D6B78F0E}"/>
            </c:ext>
          </c:extLst>
        </c:ser>
        <c:ser>
          <c:idx val="6"/>
          <c:order val="6"/>
          <c:tx>
            <c:strRef>
              <c:f>Sheet4!$Y$3:$Y$4</c:f>
              <c:strCache>
                <c:ptCount val="1"/>
                <c:pt idx="0">
                  <c:v>Leuprorelin 4 month</c:v>
                </c:pt>
              </c:strCache>
            </c:strRef>
          </c:tx>
          <c:spPr>
            <a:ln w="28575" cap="rnd">
              <a:solidFill>
                <a:schemeClr val="accent1">
                  <a:lumMod val="60000"/>
                </a:schemeClr>
              </a:solidFill>
              <a:round/>
            </a:ln>
            <a:effectLst/>
          </c:spPr>
          <c:marker>
            <c:symbol val="none"/>
          </c:marker>
          <c:cat>
            <c:strRef>
              <c:f>Sheet4!$R$5:$R$65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Sheet4!$Y$5:$Y$65</c:f>
              <c:numCache>
                <c:formatCode>General</c:formatCode>
                <c:ptCount val="60"/>
                <c:pt idx="0">
                  <c:v>685</c:v>
                </c:pt>
                <c:pt idx="1">
                  <c:v>872</c:v>
                </c:pt>
                <c:pt idx="2">
                  <c:v>935</c:v>
                </c:pt>
                <c:pt idx="3">
                  <c:v>783</c:v>
                </c:pt>
                <c:pt idx="4">
                  <c:v>838</c:v>
                </c:pt>
                <c:pt idx="5">
                  <c:v>859</c:v>
                </c:pt>
                <c:pt idx="6">
                  <c:v>903</c:v>
                </c:pt>
                <c:pt idx="7">
                  <c:v>807</c:v>
                </c:pt>
                <c:pt idx="8">
                  <c:v>746</c:v>
                </c:pt>
                <c:pt idx="9">
                  <c:v>907</c:v>
                </c:pt>
                <c:pt idx="10">
                  <c:v>892</c:v>
                </c:pt>
                <c:pt idx="11">
                  <c:v>906</c:v>
                </c:pt>
                <c:pt idx="12">
                  <c:v>689</c:v>
                </c:pt>
                <c:pt idx="13">
                  <c:v>832</c:v>
                </c:pt>
                <c:pt idx="14">
                  <c:v>894</c:v>
                </c:pt>
                <c:pt idx="15">
                  <c:v>777</c:v>
                </c:pt>
                <c:pt idx="16">
                  <c:v>728</c:v>
                </c:pt>
                <c:pt idx="17">
                  <c:v>811</c:v>
                </c:pt>
                <c:pt idx="18">
                  <c:v>918</c:v>
                </c:pt>
                <c:pt idx="19">
                  <c:v>829</c:v>
                </c:pt>
                <c:pt idx="20">
                  <c:v>773</c:v>
                </c:pt>
                <c:pt idx="21">
                  <c:v>821</c:v>
                </c:pt>
                <c:pt idx="22">
                  <c:v>905</c:v>
                </c:pt>
                <c:pt idx="23">
                  <c:v>936</c:v>
                </c:pt>
                <c:pt idx="24">
                  <c:v>625</c:v>
                </c:pt>
                <c:pt idx="25">
                  <c:v>824</c:v>
                </c:pt>
                <c:pt idx="26">
                  <c:v>817</c:v>
                </c:pt>
                <c:pt idx="27">
                  <c:v>727</c:v>
                </c:pt>
                <c:pt idx="28">
                  <c:v>740</c:v>
                </c:pt>
                <c:pt idx="29">
                  <c:v>714</c:v>
                </c:pt>
                <c:pt idx="30">
                  <c:v>741</c:v>
                </c:pt>
                <c:pt idx="31">
                  <c:v>764</c:v>
                </c:pt>
                <c:pt idx="32">
                  <c:v>689</c:v>
                </c:pt>
                <c:pt idx="33">
                  <c:v>757</c:v>
                </c:pt>
                <c:pt idx="34">
                  <c:v>740</c:v>
                </c:pt>
                <c:pt idx="35">
                  <c:v>742</c:v>
                </c:pt>
                <c:pt idx="36">
                  <c:v>619</c:v>
                </c:pt>
                <c:pt idx="37">
                  <c:v>670</c:v>
                </c:pt>
                <c:pt idx="38">
                  <c:v>744</c:v>
                </c:pt>
                <c:pt idx="39">
                  <c:v>596</c:v>
                </c:pt>
                <c:pt idx="40">
                  <c:v>682</c:v>
                </c:pt>
                <c:pt idx="41">
                  <c:v>679</c:v>
                </c:pt>
                <c:pt idx="42">
                  <c:v>671</c:v>
                </c:pt>
                <c:pt idx="43">
                  <c:v>640</c:v>
                </c:pt>
                <c:pt idx="44">
                  <c:v>600</c:v>
                </c:pt>
                <c:pt idx="45">
                  <c:v>690</c:v>
                </c:pt>
                <c:pt idx="46">
                  <c:v>705</c:v>
                </c:pt>
                <c:pt idx="47">
                  <c:v>663</c:v>
                </c:pt>
                <c:pt idx="48">
                  <c:v>592</c:v>
                </c:pt>
                <c:pt idx="49">
                  <c:v>599</c:v>
                </c:pt>
                <c:pt idx="50">
                  <c:v>687</c:v>
                </c:pt>
                <c:pt idx="51">
                  <c:v>595</c:v>
                </c:pt>
                <c:pt idx="52">
                  <c:v>631</c:v>
                </c:pt>
                <c:pt idx="53">
                  <c:v>592</c:v>
                </c:pt>
                <c:pt idx="54">
                  <c:v>609</c:v>
                </c:pt>
                <c:pt idx="55">
                  <c:v>613</c:v>
                </c:pt>
                <c:pt idx="56">
                  <c:v>577</c:v>
                </c:pt>
                <c:pt idx="57">
                  <c:v>607</c:v>
                </c:pt>
                <c:pt idx="58">
                  <c:v>636</c:v>
                </c:pt>
                <c:pt idx="59">
                  <c:v>575</c:v>
                </c:pt>
              </c:numCache>
            </c:numRef>
          </c:val>
          <c:smooth val="0"/>
          <c:extLst>
            <c:ext xmlns:c16="http://schemas.microsoft.com/office/drawing/2014/chart" uri="{C3380CC4-5D6E-409C-BE32-E72D297353CC}">
              <c16:uniqueId val="{00000006-040E-4EF0-8D25-C853D6B78F0E}"/>
            </c:ext>
          </c:extLst>
        </c:ser>
        <c:ser>
          <c:idx val="7"/>
          <c:order val="7"/>
          <c:tx>
            <c:strRef>
              <c:f>Sheet4!$Z$3:$Z$4</c:f>
              <c:strCache>
                <c:ptCount val="1"/>
                <c:pt idx="0">
                  <c:v>Leuprorelin 6 month</c:v>
                </c:pt>
              </c:strCache>
            </c:strRef>
          </c:tx>
          <c:spPr>
            <a:ln w="28575" cap="rnd">
              <a:solidFill>
                <a:schemeClr val="accent2">
                  <a:lumMod val="60000"/>
                </a:schemeClr>
              </a:solidFill>
              <a:round/>
            </a:ln>
            <a:effectLst/>
          </c:spPr>
          <c:marker>
            <c:symbol val="none"/>
          </c:marker>
          <c:cat>
            <c:strRef>
              <c:f>Sheet4!$R$5:$R$65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Sheet4!$Z$5:$Z$65</c:f>
              <c:numCache>
                <c:formatCode>General</c:formatCode>
                <c:ptCount val="60"/>
                <c:pt idx="0">
                  <c:v>198</c:v>
                </c:pt>
                <c:pt idx="1">
                  <c:v>252</c:v>
                </c:pt>
                <c:pt idx="2">
                  <c:v>308</c:v>
                </c:pt>
                <c:pt idx="3">
                  <c:v>280</c:v>
                </c:pt>
                <c:pt idx="4">
                  <c:v>335</c:v>
                </c:pt>
                <c:pt idx="5">
                  <c:v>274</c:v>
                </c:pt>
                <c:pt idx="6">
                  <c:v>267</c:v>
                </c:pt>
                <c:pt idx="7">
                  <c:v>274</c:v>
                </c:pt>
                <c:pt idx="8">
                  <c:v>297</c:v>
                </c:pt>
                <c:pt idx="9">
                  <c:v>321</c:v>
                </c:pt>
                <c:pt idx="10">
                  <c:v>299</c:v>
                </c:pt>
                <c:pt idx="11">
                  <c:v>314</c:v>
                </c:pt>
                <c:pt idx="12">
                  <c:v>224</c:v>
                </c:pt>
                <c:pt idx="13">
                  <c:v>288</c:v>
                </c:pt>
                <c:pt idx="14">
                  <c:v>354</c:v>
                </c:pt>
                <c:pt idx="15">
                  <c:v>302</c:v>
                </c:pt>
                <c:pt idx="16">
                  <c:v>320</c:v>
                </c:pt>
                <c:pt idx="17">
                  <c:v>306</c:v>
                </c:pt>
                <c:pt idx="18">
                  <c:v>257</c:v>
                </c:pt>
                <c:pt idx="19">
                  <c:v>294</c:v>
                </c:pt>
                <c:pt idx="20">
                  <c:v>330</c:v>
                </c:pt>
                <c:pt idx="21">
                  <c:v>325</c:v>
                </c:pt>
                <c:pt idx="22">
                  <c:v>367</c:v>
                </c:pt>
                <c:pt idx="23">
                  <c:v>296</c:v>
                </c:pt>
                <c:pt idx="24">
                  <c:v>273</c:v>
                </c:pt>
                <c:pt idx="25">
                  <c:v>332</c:v>
                </c:pt>
                <c:pt idx="26">
                  <c:v>392</c:v>
                </c:pt>
                <c:pt idx="27">
                  <c:v>389</c:v>
                </c:pt>
                <c:pt idx="28">
                  <c:v>441</c:v>
                </c:pt>
                <c:pt idx="29">
                  <c:v>395</c:v>
                </c:pt>
                <c:pt idx="30">
                  <c:v>363</c:v>
                </c:pt>
                <c:pt idx="31">
                  <c:v>437</c:v>
                </c:pt>
                <c:pt idx="32">
                  <c:v>479</c:v>
                </c:pt>
                <c:pt idx="33">
                  <c:v>451</c:v>
                </c:pt>
                <c:pt idx="34">
                  <c:v>558</c:v>
                </c:pt>
                <c:pt idx="35">
                  <c:v>469</c:v>
                </c:pt>
                <c:pt idx="36">
                  <c:v>402</c:v>
                </c:pt>
                <c:pt idx="37">
                  <c:v>487</c:v>
                </c:pt>
                <c:pt idx="38">
                  <c:v>555</c:v>
                </c:pt>
                <c:pt idx="39">
                  <c:v>494</c:v>
                </c:pt>
                <c:pt idx="40">
                  <c:v>573</c:v>
                </c:pt>
                <c:pt idx="41">
                  <c:v>511</c:v>
                </c:pt>
                <c:pt idx="42">
                  <c:v>425</c:v>
                </c:pt>
                <c:pt idx="43">
                  <c:v>537</c:v>
                </c:pt>
                <c:pt idx="44">
                  <c:v>494</c:v>
                </c:pt>
                <c:pt idx="45">
                  <c:v>591</c:v>
                </c:pt>
                <c:pt idx="46">
                  <c:v>681</c:v>
                </c:pt>
                <c:pt idx="47">
                  <c:v>540</c:v>
                </c:pt>
                <c:pt idx="48">
                  <c:v>527</c:v>
                </c:pt>
                <c:pt idx="49">
                  <c:v>554</c:v>
                </c:pt>
                <c:pt idx="50">
                  <c:v>585</c:v>
                </c:pt>
                <c:pt idx="51">
                  <c:v>581</c:v>
                </c:pt>
                <c:pt idx="52">
                  <c:v>727</c:v>
                </c:pt>
                <c:pt idx="53">
                  <c:v>582</c:v>
                </c:pt>
                <c:pt idx="54">
                  <c:v>518</c:v>
                </c:pt>
                <c:pt idx="55">
                  <c:v>607</c:v>
                </c:pt>
                <c:pt idx="56">
                  <c:v>605</c:v>
                </c:pt>
                <c:pt idx="57">
                  <c:v>610</c:v>
                </c:pt>
                <c:pt idx="58">
                  <c:v>733</c:v>
                </c:pt>
                <c:pt idx="59">
                  <c:v>618</c:v>
                </c:pt>
              </c:numCache>
            </c:numRef>
          </c:val>
          <c:smooth val="0"/>
          <c:extLst>
            <c:ext xmlns:c16="http://schemas.microsoft.com/office/drawing/2014/chart" uri="{C3380CC4-5D6E-409C-BE32-E72D297353CC}">
              <c16:uniqueId val="{00000007-040E-4EF0-8D25-C853D6B78F0E}"/>
            </c:ext>
          </c:extLst>
        </c:ser>
        <c:ser>
          <c:idx val="8"/>
          <c:order val="8"/>
          <c:tx>
            <c:strRef>
              <c:f>Sheet4!$AA$3:$AA$4</c:f>
              <c:strCache>
                <c:ptCount val="1"/>
                <c:pt idx="0">
                  <c:v>Leuprorelin Bicalutamide 1 month</c:v>
                </c:pt>
              </c:strCache>
            </c:strRef>
          </c:tx>
          <c:spPr>
            <a:ln w="28575" cap="rnd">
              <a:solidFill>
                <a:schemeClr val="accent3">
                  <a:lumMod val="60000"/>
                </a:schemeClr>
              </a:solidFill>
              <a:round/>
            </a:ln>
            <a:effectLst/>
          </c:spPr>
          <c:marker>
            <c:symbol val="none"/>
          </c:marker>
          <c:cat>
            <c:strRef>
              <c:f>Sheet4!$R$5:$R$65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Sheet4!$AA$5:$AA$65</c:f>
              <c:numCache>
                <c:formatCode>General</c:formatCode>
                <c:ptCount val="60"/>
                <c:pt idx="37">
                  <c:v>1</c:v>
                </c:pt>
                <c:pt idx="39">
                  <c:v>1</c:v>
                </c:pt>
                <c:pt idx="40">
                  <c:v>2</c:v>
                </c:pt>
                <c:pt idx="41">
                  <c:v>1</c:v>
                </c:pt>
                <c:pt idx="42">
                  <c:v>1</c:v>
                </c:pt>
                <c:pt idx="43">
                  <c:v>5</c:v>
                </c:pt>
                <c:pt idx="44">
                  <c:v>2</c:v>
                </c:pt>
                <c:pt idx="45">
                  <c:v>2</c:v>
                </c:pt>
                <c:pt idx="46">
                  <c:v>3</c:v>
                </c:pt>
                <c:pt idx="47">
                  <c:v>3</c:v>
                </c:pt>
                <c:pt idx="48">
                  <c:v>1</c:v>
                </c:pt>
                <c:pt idx="49">
                  <c:v>2</c:v>
                </c:pt>
                <c:pt idx="50">
                  <c:v>1</c:v>
                </c:pt>
                <c:pt idx="51">
                  <c:v>2</c:v>
                </c:pt>
                <c:pt idx="52">
                  <c:v>2</c:v>
                </c:pt>
                <c:pt idx="53">
                  <c:v>5</c:v>
                </c:pt>
                <c:pt idx="54">
                  <c:v>3</c:v>
                </c:pt>
                <c:pt idx="55">
                  <c:v>2</c:v>
                </c:pt>
                <c:pt idx="56">
                  <c:v>1</c:v>
                </c:pt>
                <c:pt idx="57">
                  <c:v>2</c:v>
                </c:pt>
                <c:pt idx="58">
                  <c:v>2</c:v>
                </c:pt>
                <c:pt idx="59">
                  <c:v>1</c:v>
                </c:pt>
              </c:numCache>
            </c:numRef>
          </c:val>
          <c:smooth val="0"/>
          <c:extLst>
            <c:ext xmlns:c16="http://schemas.microsoft.com/office/drawing/2014/chart" uri="{C3380CC4-5D6E-409C-BE32-E72D297353CC}">
              <c16:uniqueId val="{00000008-040E-4EF0-8D25-C853D6B78F0E}"/>
            </c:ext>
          </c:extLst>
        </c:ser>
        <c:ser>
          <c:idx val="9"/>
          <c:order val="9"/>
          <c:tx>
            <c:strRef>
              <c:f>Sheet4!$AB$3:$AB$4</c:f>
              <c:strCache>
                <c:ptCount val="1"/>
                <c:pt idx="0">
                  <c:v>Leuprorelin Bicalutamide 3 month</c:v>
                </c:pt>
              </c:strCache>
            </c:strRef>
          </c:tx>
          <c:spPr>
            <a:ln w="28575" cap="rnd">
              <a:solidFill>
                <a:schemeClr val="accent4">
                  <a:lumMod val="60000"/>
                </a:schemeClr>
              </a:solidFill>
              <a:round/>
            </a:ln>
            <a:effectLst/>
          </c:spPr>
          <c:marker>
            <c:symbol val="none"/>
          </c:marker>
          <c:cat>
            <c:strRef>
              <c:f>Sheet4!$R$5:$R$65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Sheet4!$AB$5:$AB$65</c:f>
              <c:numCache>
                <c:formatCode>General</c:formatCode>
                <c:ptCount val="60"/>
                <c:pt idx="35">
                  <c:v>1</c:v>
                </c:pt>
                <c:pt idx="36">
                  <c:v>4</c:v>
                </c:pt>
                <c:pt idx="37">
                  <c:v>22</c:v>
                </c:pt>
                <c:pt idx="38">
                  <c:v>11</c:v>
                </c:pt>
                <c:pt idx="39">
                  <c:v>21</c:v>
                </c:pt>
                <c:pt idx="40">
                  <c:v>42</c:v>
                </c:pt>
                <c:pt idx="41">
                  <c:v>26</c:v>
                </c:pt>
                <c:pt idx="42">
                  <c:v>28</c:v>
                </c:pt>
                <c:pt idx="43">
                  <c:v>39</c:v>
                </c:pt>
                <c:pt idx="44">
                  <c:v>46</c:v>
                </c:pt>
                <c:pt idx="45">
                  <c:v>38</c:v>
                </c:pt>
                <c:pt idx="46">
                  <c:v>33</c:v>
                </c:pt>
                <c:pt idx="47">
                  <c:v>45</c:v>
                </c:pt>
                <c:pt idx="48">
                  <c:v>33</c:v>
                </c:pt>
                <c:pt idx="49">
                  <c:v>47</c:v>
                </c:pt>
                <c:pt idx="50">
                  <c:v>46</c:v>
                </c:pt>
                <c:pt idx="51">
                  <c:v>49</c:v>
                </c:pt>
                <c:pt idx="52">
                  <c:v>46</c:v>
                </c:pt>
                <c:pt idx="53">
                  <c:v>40</c:v>
                </c:pt>
                <c:pt idx="54">
                  <c:v>36</c:v>
                </c:pt>
                <c:pt idx="55">
                  <c:v>40</c:v>
                </c:pt>
                <c:pt idx="56">
                  <c:v>37</c:v>
                </c:pt>
                <c:pt idx="57">
                  <c:v>33</c:v>
                </c:pt>
                <c:pt idx="58">
                  <c:v>42</c:v>
                </c:pt>
                <c:pt idx="59">
                  <c:v>39</c:v>
                </c:pt>
              </c:numCache>
            </c:numRef>
          </c:val>
          <c:smooth val="0"/>
          <c:extLst>
            <c:ext xmlns:c16="http://schemas.microsoft.com/office/drawing/2014/chart" uri="{C3380CC4-5D6E-409C-BE32-E72D297353CC}">
              <c16:uniqueId val="{00000009-040E-4EF0-8D25-C853D6B78F0E}"/>
            </c:ext>
          </c:extLst>
        </c:ser>
        <c:ser>
          <c:idx val="10"/>
          <c:order val="10"/>
          <c:tx>
            <c:strRef>
              <c:f>Sheet4!$AC$3:$AC$4</c:f>
              <c:strCache>
                <c:ptCount val="1"/>
                <c:pt idx="0">
                  <c:v>Leuprorelin Paediatric</c:v>
                </c:pt>
              </c:strCache>
            </c:strRef>
          </c:tx>
          <c:spPr>
            <a:ln w="28575" cap="rnd">
              <a:solidFill>
                <a:schemeClr val="accent5">
                  <a:lumMod val="60000"/>
                </a:schemeClr>
              </a:solidFill>
              <a:round/>
            </a:ln>
            <a:effectLst/>
          </c:spPr>
          <c:marker>
            <c:symbol val="none"/>
          </c:marker>
          <c:cat>
            <c:strRef>
              <c:f>Sheet4!$R$5:$R$65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Sheet4!$AC$5:$AC$65</c:f>
              <c:numCache>
                <c:formatCode>General</c:formatCode>
                <c:ptCount val="60"/>
                <c:pt idx="16">
                  <c:v>6</c:v>
                </c:pt>
                <c:pt idx="17">
                  <c:v>11</c:v>
                </c:pt>
                <c:pt idx="18">
                  <c:v>14</c:v>
                </c:pt>
                <c:pt idx="19">
                  <c:v>17</c:v>
                </c:pt>
                <c:pt idx="20">
                  <c:v>13</c:v>
                </c:pt>
                <c:pt idx="21">
                  <c:v>19</c:v>
                </c:pt>
                <c:pt idx="22">
                  <c:v>15</c:v>
                </c:pt>
                <c:pt idx="23">
                  <c:v>23</c:v>
                </c:pt>
                <c:pt idx="24">
                  <c:v>19</c:v>
                </c:pt>
                <c:pt idx="25">
                  <c:v>24</c:v>
                </c:pt>
                <c:pt idx="26">
                  <c:v>16</c:v>
                </c:pt>
                <c:pt idx="27">
                  <c:v>22</c:v>
                </c:pt>
                <c:pt idx="28">
                  <c:v>22</c:v>
                </c:pt>
                <c:pt idx="29">
                  <c:v>16</c:v>
                </c:pt>
                <c:pt idx="30">
                  <c:v>30</c:v>
                </c:pt>
                <c:pt idx="31">
                  <c:v>12</c:v>
                </c:pt>
                <c:pt idx="32">
                  <c:v>22</c:v>
                </c:pt>
                <c:pt idx="33">
                  <c:v>19</c:v>
                </c:pt>
                <c:pt idx="34">
                  <c:v>26</c:v>
                </c:pt>
                <c:pt idx="35">
                  <c:v>32</c:v>
                </c:pt>
                <c:pt idx="36">
                  <c:v>26</c:v>
                </c:pt>
                <c:pt idx="37">
                  <c:v>27</c:v>
                </c:pt>
                <c:pt idx="38">
                  <c:v>29</c:v>
                </c:pt>
                <c:pt idx="39">
                  <c:v>24</c:v>
                </c:pt>
                <c:pt idx="40">
                  <c:v>40</c:v>
                </c:pt>
                <c:pt idx="41">
                  <c:v>26</c:v>
                </c:pt>
                <c:pt idx="42">
                  <c:v>30</c:v>
                </c:pt>
                <c:pt idx="43">
                  <c:v>41</c:v>
                </c:pt>
                <c:pt idx="44">
                  <c:v>27</c:v>
                </c:pt>
                <c:pt idx="45">
                  <c:v>32</c:v>
                </c:pt>
                <c:pt idx="46">
                  <c:v>37</c:v>
                </c:pt>
                <c:pt idx="47">
                  <c:v>29</c:v>
                </c:pt>
                <c:pt idx="48">
                  <c:v>39</c:v>
                </c:pt>
                <c:pt idx="49">
                  <c:v>17</c:v>
                </c:pt>
                <c:pt idx="50">
                  <c:v>30</c:v>
                </c:pt>
                <c:pt idx="51">
                  <c:v>30</c:v>
                </c:pt>
                <c:pt idx="52">
                  <c:v>34</c:v>
                </c:pt>
                <c:pt idx="53">
                  <c:v>19</c:v>
                </c:pt>
                <c:pt idx="54">
                  <c:v>32</c:v>
                </c:pt>
                <c:pt idx="55">
                  <c:v>38</c:v>
                </c:pt>
                <c:pt idx="56">
                  <c:v>21</c:v>
                </c:pt>
                <c:pt idx="57">
                  <c:v>39</c:v>
                </c:pt>
                <c:pt idx="58">
                  <c:v>37</c:v>
                </c:pt>
                <c:pt idx="59">
                  <c:v>32</c:v>
                </c:pt>
              </c:numCache>
            </c:numRef>
          </c:val>
          <c:smooth val="0"/>
          <c:extLst>
            <c:ext xmlns:c16="http://schemas.microsoft.com/office/drawing/2014/chart" uri="{C3380CC4-5D6E-409C-BE32-E72D297353CC}">
              <c16:uniqueId val="{0000000A-040E-4EF0-8D25-C853D6B78F0E}"/>
            </c:ext>
          </c:extLst>
        </c:ser>
        <c:ser>
          <c:idx val="11"/>
          <c:order val="11"/>
          <c:tx>
            <c:strRef>
              <c:f>Sheet4!$AD$3:$AD$4</c:f>
              <c:strCache>
                <c:ptCount val="1"/>
                <c:pt idx="0">
                  <c:v>Triptorelin 1 month</c:v>
                </c:pt>
              </c:strCache>
            </c:strRef>
          </c:tx>
          <c:spPr>
            <a:ln w="28575" cap="rnd">
              <a:solidFill>
                <a:schemeClr val="accent6">
                  <a:lumMod val="60000"/>
                </a:schemeClr>
              </a:solidFill>
              <a:round/>
            </a:ln>
            <a:effectLst/>
          </c:spPr>
          <c:marker>
            <c:symbol val="none"/>
          </c:marker>
          <c:cat>
            <c:strRef>
              <c:f>Sheet4!$R$5:$R$65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Sheet4!$AD$5:$AD$65</c:f>
              <c:numCache>
                <c:formatCode>General</c:formatCode>
                <c:ptCount val="60"/>
                <c:pt idx="0">
                  <c:v>5</c:v>
                </c:pt>
                <c:pt idx="1">
                  <c:v>8</c:v>
                </c:pt>
                <c:pt idx="2">
                  <c:v>9</c:v>
                </c:pt>
                <c:pt idx="3">
                  <c:v>10</c:v>
                </c:pt>
                <c:pt idx="4">
                  <c:v>12</c:v>
                </c:pt>
                <c:pt idx="5">
                  <c:v>4</c:v>
                </c:pt>
                <c:pt idx="6">
                  <c:v>6</c:v>
                </c:pt>
                <c:pt idx="7">
                  <c:v>4</c:v>
                </c:pt>
                <c:pt idx="8">
                  <c:v>5</c:v>
                </c:pt>
                <c:pt idx="9">
                  <c:v>6</c:v>
                </c:pt>
                <c:pt idx="10">
                  <c:v>7</c:v>
                </c:pt>
                <c:pt idx="11">
                  <c:v>10</c:v>
                </c:pt>
                <c:pt idx="12">
                  <c:v>7</c:v>
                </c:pt>
                <c:pt idx="13">
                  <c:v>9</c:v>
                </c:pt>
                <c:pt idx="14">
                  <c:v>10</c:v>
                </c:pt>
                <c:pt idx="15">
                  <c:v>13</c:v>
                </c:pt>
                <c:pt idx="16">
                  <c:v>10</c:v>
                </c:pt>
                <c:pt idx="17">
                  <c:v>12</c:v>
                </c:pt>
                <c:pt idx="18">
                  <c:v>15</c:v>
                </c:pt>
                <c:pt idx="19">
                  <c:v>14</c:v>
                </c:pt>
                <c:pt idx="20">
                  <c:v>11</c:v>
                </c:pt>
                <c:pt idx="21">
                  <c:v>18</c:v>
                </c:pt>
                <c:pt idx="22">
                  <c:v>15</c:v>
                </c:pt>
                <c:pt idx="23">
                  <c:v>17</c:v>
                </c:pt>
                <c:pt idx="24">
                  <c:v>10</c:v>
                </c:pt>
                <c:pt idx="25">
                  <c:v>14</c:v>
                </c:pt>
                <c:pt idx="26">
                  <c:v>21</c:v>
                </c:pt>
                <c:pt idx="27">
                  <c:v>17</c:v>
                </c:pt>
                <c:pt idx="28">
                  <c:v>20</c:v>
                </c:pt>
                <c:pt idx="29">
                  <c:v>16</c:v>
                </c:pt>
                <c:pt idx="30">
                  <c:v>18</c:v>
                </c:pt>
                <c:pt idx="31">
                  <c:v>18</c:v>
                </c:pt>
                <c:pt idx="32">
                  <c:v>14</c:v>
                </c:pt>
                <c:pt idx="33">
                  <c:v>12</c:v>
                </c:pt>
                <c:pt idx="34">
                  <c:v>10</c:v>
                </c:pt>
                <c:pt idx="35">
                  <c:v>13</c:v>
                </c:pt>
                <c:pt idx="36">
                  <c:v>7</c:v>
                </c:pt>
                <c:pt idx="37">
                  <c:v>12</c:v>
                </c:pt>
                <c:pt idx="38">
                  <c:v>12</c:v>
                </c:pt>
                <c:pt idx="39">
                  <c:v>13</c:v>
                </c:pt>
                <c:pt idx="40">
                  <c:v>13</c:v>
                </c:pt>
                <c:pt idx="41">
                  <c:v>12</c:v>
                </c:pt>
                <c:pt idx="42">
                  <c:v>10</c:v>
                </c:pt>
                <c:pt idx="43">
                  <c:v>16</c:v>
                </c:pt>
                <c:pt idx="44">
                  <c:v>10</c:v>
                </c:pt>
                <c:pt idx="45">
                  <c:v>17</c:v>
                </c:pt>
                <c:pt idx="46">
                  <c:v>15</c:v>
                </c:pt>
                <c:pt idx="47">
                  <c:v>20</c:v>
                </c:pt>
                <c:pt idx="48">
                  <c:v>12</c:v>
                </c:pt>
                <c:pt idx="49">
                  <c:v>21</c:v>
                </c:pt>
                <c:pt idx="50">
                  <c:v>13</c:v>
                </c:pt>
                <c:pt idx="51">
                  <c:v>16</c:v>
                </c:pt>
                <c:pt idx="52">
                  <c:v>15</c:v>
                </c:pt>
                <c:pt idx="53">
                  <c:v>17</c:v>
                </c:pt>
                <c:pt idx="54">
                  <c:v>15</c:v>
                </c:pt>
                <c:pt idx="55">
                  <c:v>16</c:v>
                </c:pt>
                <c:pt idx="56">
                  <c:v>17</c:v>
                </c:pt>
                <c:pt idx="57">
                  <c:v>12</c:v>
                </c:pt>
                <c:pt idx="58">
                  <c:v>23</c:v>
                </c:pt>
                <c:pt idx="59">
                  <c:v>11</c:v>
                </c:pt>
              </c:numCache>
            </c:numRef>
          </c:val>
          <c:smooth val="0"/>
          <c:extLst>
            <c:ext xmlns:c16="http://schemas.microsoft.com/office/drawing/2014/chart" uri="{C3380CC4-5D6E-409C-BE32-E72D297353CC}">
              <c16:uniqueId val="{0000000B-040E-4EF0-8D25-C853D6B78F0E}"/>
            </c:ext>
          </c:extLst>
        </c:ser>
        <c:ser>
          <c:idx val="12"/>
          <c:order val="12"/>
          <c:tx>
            <c:strRef>
              <c:f>Sheet4!$AE$3:$AE$4</c:f>
              <c:strCache>
                <c:ptCount val="1"/>
                <c:pt idx="0">
                  <c:v>Triptorelin 3 month</c:v>
                </c:pt>
              </c:strCache>
            </c:strRef>
          </c:tx>
          <c:spPr>
            <a:ln w="28575" cap="rnd">
              <a:solidFill>
                <a:schemeClr val="accent1">
                  <a:lumMod val="80000"/>
                  <a:lumOff val="20000"/>
                </a:schemeClr>
              </a:solidFill>
              <a:round/>
            </a:ln>
            <a:effectLst/>
          </c:spPr>
          <c:marker>
            <c:symbol val="none"/>
          </c:marker>
          <c:cat>
            <c:strRef>
              <c:f>Sheet4!$R$5:$R$65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Sheet4!$AE$5:$AE$65</c:f>
              <c:numCache>
                <c:formatCode>General</c:formatCode>
                <c:ptCount val="60"/>
                <c:pt idx="0">
                  <c:v>95</c:v>
                </c:pt>
                <c:pt idx="1">
                  <c:v>109</c:v>
                </c:pt>
                <c:pt idx="2">
                  <c:v>120</c:v>
                </c:pt>
                <c:pt idx="3">
                  <c:v>111</c:v>
                </c:pt>
                <c:pt idx="4">
                  <c:v>116</c:v>
                </c:pt>
                <c:pt idx="5">
                  <c:v>128</c:v>
                </c:pt>
                <c:pt idx="6">
                  <c:v>116</c:v>
                </c:pt>
                <c:pt idx="7">
                  <c:v>123</c:v>
                </c:pt>
                <c:pt idx="8">
                  <c:v>125</c:v>
                </c:pt>
                <c:pt idx="9">
                  <c:v>130</c:v>
                </c:pt>
                <c:pt idx="10">
                  <c:v>114</c:v>
                </c:pt>
                <c:pt idx="11">
                  <c:v>144</c:v>
                </c:pt>
                <c:pt idx="12">
                  <c:v>121</c:v>
                </c:pt>
                <c:pt idx="13">
                  <c:v>130</c:v>
                </c:pt>
                <c:pt idx="14">
                  <c:v>126</c:v>
                </c:pt>
                <c:pt idx="15">
                  <c:v>118</c:v>
                </c:pt>
                <c:pt idx="16">
                  <c:v>134</c:v>
                </c:pt>
                <c:pt idx="17">
                  <c:v>125</c:v>
                </c:pt>
                <c:pt idx="18">
                  <c:v>146</c:v>
                </c:pt>
                <c:pt idx="19">
                  <c:v>152</c:v>
                </c:pt>
                <c:pt idx="20">
                  <c:v>135</c:v>
                </c:pt>
                <c:pt idx="21">
                  <c:v>131</c:v>
                </c:pt>
                <c:pt idx="22">
                  <c:v>165</c:v>
                </c:pt>
                <c:pt idx="23">
                  <c:v>158</c:v>
                </c:pt>
                <c:pt idx="24">
                  <c:v>119</c:v>
                </c:pt>
                <c:pt idx="25">
                  <c:v>133</c:v>
                </c:pt>
                <c:pt idx="26">
                  <c:v>146</c:v>
                </c:pt>
                <c:pt idx="27">
                  <c:v>145</c:v>
                </c:pt>
                <c:pt idx="28">
                  <c:v>141</c:v>
                </c:pt>
                <c:pt idx="29">
                  <c:v>143</c:v>
                </c:pt>
                <c:pt idx="30">
                  <c:v>135</c:v>
                </c:pt>
                <c:pt idx="31">
                  <c:v>156</c:v>
                </c:pt>
                <c:pt idx="32">
                  <c:v>150</c:v>
                </c:pt>
                <c:pt idx="33">
                  <c:v>145</c:v>
                </c:pt>
                <c:pt idx="34">
                  <c:v>172</c:v>
                </c:pt>
                <c:pt idx="35">
                  <c:v>173</c:v>
                </c:pt>
                <c:pt idx="36">
                  <c:v>137</c:v>
                </c:pt>
                <c:pt idx="37">
                  <c:v>179</c:v>
                </c:pt>
                <c:pt idx="38">
                  <c:v>192</c:v>
                </c:pt>
                <c:pt idx="39">
                  <c:v>144</c:v>
                </c:pt>
                <c:pt idx="40">
                  <c:v>221</c:v>
                </c:pt>
                <c:pt idx="41">
                  <c:v>174</c:v>
                </c:pt>
                <c:pt idx="42">
                  <c:v>166</c:v>
                </c:pt>
                <c:pt idx="43">
                  <c:v>208</c:v>
                </c:pt>
                <c:pt idx="44">
                  <c:v>170</c:v>
                </c:pt>
                <c:pt idx="45">
                  <c:v>200</c:v>
                </c:pt>
                <c:pt idx="46">
                  <c:v>243</c:v>
                </c:pt>
                <c:pt idx="47">
                  <c:v>197</c:v>
                </c:pt>
                <c:pt idx="48">
                  <c:v>170</c:v>
                </c:pt>
                <c:pt idx="49">
                  <c:v>215</c:v>
                </c:pt>
                <c:pt idx="50">
                  <c:v>194</c:v>
                </c:pt>
                <c:pt idx="51">
                  <c:v>169</c:v>
                </c:pt>
                <c:pt idx="52">
                  <c:v>220</c:v>
                </c:pt>
                <c:pt idx="53">
                  <c:v>198</c:v>
                </c:pt>
                <c:pt idx="54">
                  <c:v>168</c:v>
                </c:pt>
                <c:pt idx="55">
                  <c:v>210</c:v>
                </c:pt>
                <c:pt idx="56">
                  <c:v>201</c:v>
                </c:pt>
                <c:pt idx="57">
                  <c:v>176</c:v>
                </c:pt>
                <c:pt idx="58">
                  <c:v>203</c:v>
                </c:pt>
                <c:pt idx="59">
                  <c:v>191</c:v>
                </c:pt>
              </c:numCache>
            </c:numRef>
          </c:val>
          <c:smooth val="0"/>
          <c:extLst>
            <c:ext xmlns:c16="http://schemas.microsoft.com/office/drawing/2014/chart" uri="{C3380CC4-5D6E-409C-BE32-E72D297353CC}">
              <c16:uniqueId val="{0000000C-040E-4EF0-8D25-C853D6B78F0E}"/>
            </c:ext>
          </c:extLst>
        </c:ser>
        <c:ser>
          <c:idx val="13"/>
          <c:order val="13"/>
          <c:tx>
            <c:strRef>
              <c:f>Sheet4!$AF$3:$AF$4</c:f>
              <c:strCache>
                <c:ptCount val="1"/>
                <c:pt idx="0">
                  <c:v>Triptorelin 6 month</c:v>
                </c:pt>
              </c:strCache>
            </c:strRef>
          </c:tx>
          <c:spPr>
            <a:ln w="28575" cap="rnd">
              <a:solidFill>
                <a:schemeClr val="accent2">
                  <a:lumMod val="80000"/>
                  <a:lumOff val="20000"/>
                </a:schemeClr>
              </a:solidFill>
              <a:round/>
            </a:ln>
            <a:effectLst/>
          </c:spPr>
          <c:marker>
            <c:symbol val="none"/>
          </c:marker>
          <c:cat>
            <c:strRef>
              <c:f>Sheet4!$R$5:$R$65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Sheet4!$AF$5:$AF$65</c:f>
              <c:numCache>
                <c:formatCode>General</c:formatCode>
                <c:ptCount val="60"/>
                <c:pt idx="0">
                  <c:v>34</c:v>
                </c:pt>
                <c:pt idx="1">
                  <c:v>46</c:v>
                </c:pt>
                <c:pt idx="2">
                  <c:v>32</c:v>
                </c:pt>
                <c:pt idx="3">
                  <c:v>32</c:v>
                </c:pt>
                <c:pt idx="4">
                  <c:v>44</c:v>
                </c:pt>
                <c:pt idx="5">
                  <c:v>44</c:v>
                </c:pt>
                <c:pt idx="6">
                  <c:v>40</c:v>
                </c:pt>
                <c:pt idx="7">
                  <c:v>40</c:v>
                </c:pt>
                <c:pt idx="8">
                  <c:v>34</c:v>
                </c:pt>
                <c:pt idx="9">
                  <c:v>47</c:v>
                </c:pt>
                <c:pt idx="10">
                  <c:v>46</c:v>
                </c:pt>
                <c:pt idx="11">
                  <c:v>52</c:v>
                </c:pt>
                <c:pt idx="12">
                  <c:v>48</c:v>
                </c:pt>
                <c:pt idx="13">
                  <c:v>31</c:v>
                </c:pt>
                <c:pt idx="14">
                  <c:v>54</c:v>
                </c:pt>
                <c:pt idx="15">
                  <c:v>49</c:v>
                </c:pt>
                <c:pt idx="16">
                  <c:v>66</c:v>
                </c:pt>
                <c:pt idx="17">
                  <c:v>58</c:v>
                </c:pt>
                <c:pt idx="18">
                  <c:v>61</c:v>
                </c:pt>
                <c:pt idx="19">
                  <c:v>38</c:v>
                </c:pt>
                <c:pt idx="20">
                  <c:v>55</c:v>
                </c:pt>
                <c:pt idx="21">
                  <c:v>70</c:v>
                </c:pt>
                <c:pt idx="22">
                  <c:v>81</c:v>
                </c:pt>
                <c:pt idx="23">
                  <c:v>73</c:v>
                </c:pt>
                <c:pt idx="24">
                  <c:v>54</c:v>
                </c:pt>
                <c:pt idx="25">
                  <c:v>66</c:v>
                </c:pt>
                <c:pt idx="26">
                  <c:v>61</c:v>
                </c:pt>
                <c:pt idx="27">
                  <c:v>70</c:v>
                </c:pt>
                <c:pt idx="28">
                  <c:v>86</c:v>
                </c:pt>
                <c:pt idx="29">
                  <c:v>73</c:v>
                </c:pt>
                <c:pt idx="30">
                  <c:v>77</c:v>
                </c:pt>
                <c:pt idx="31">
                  <c:v>75</c:v>
                </c:pt>
                <c:pt idx="32">
                  <c:v>64</c:v>
                </c:pt>
                <c:pt idx="33">
                  <c:v>78</c:v>
                </c:pt>
                <c:pt idx="34">
                  <c:v>78</c:v>
                </c:pt>
                <c:pt idx="35">
                  <c:v>85</c:v>
                </c:pt>
                <c:pt idx="36">
                  <c:v>61</c:v>
                </c:pt>
                <c:pt idx="37">
                  <c:v>84</c:v>
                </c:pt>
                <c:pt idx="38">
                  <c:v>68</c:v>
                </c:pt>
                <c:pt idx="39">
                  <c:v>69</c:v>
                </c:pt>
                <c:pt idx="40">
                  <c:v>96</c:v>
                </c:pt>
                <c:pt idx="41">
                  <c:v>88</c:v>
                </c:pt>
                <c:pt idx="42">
                  <c:v>91</c:v>
                </c:pt>
                <c:pt idx="43">
                  <c:v>96</c:v>
                </c:pt>
                <c:pt idx="44">
                  <c:v>81</c:v>
                </c:pt>
                <c:pt idx="45">
                  <c:v>83</c:v>
                </c:pt>
                <c:pt idx="46">
                  <c:v>109</c:v>
                </c:pt>
                <c:pt idx="47">
                  <c:v>100</c:v>
                </c:pt>
                <c:pt idx="48">
                  <c:v>98</c:v>
                </c:pt>
                <c:pt idx="49">
                  <c:v>110</c:v>
                </c:pt>
                <c:pt idx="50">
                  <c:v>99</c:v>
                </c:pt>
                <c:pt idx="51">
                  <c:v>97</c:v>
                </c:pt>
                <c:pt idx="52">
                  <c:v>114</c:v>
                </c:pt>
                <c:pt idx="53">
                  <c:v>125</c:v>
                </c:pt>
                <c:pt idx="54">
                  <c:v>106</c:v>
                </c:pt>
                <c:pt idx="55">
                  <c:v>114</c:v>
                </c:pt>
                <c:pt idx="56">
                  <c:v>98</c:v>
                </c:pt>
                <c:pt idx="57">
                  <c:v>105</c:v>
                </c:pt>
                <c:pt idx="58">
                  <c:v>129</c:v>
                </c:pt>
                <c:pt idx="59">
                  <c:v>121</c:v>
                </c:pt>
              </c:numCache>
            </c:numRef>
          </c:val>
          <c:smooth val="0"/>
          <c:extLst>
            <c:ext xmlns:c16="http://schemas.microsoft.com/office/drawing/2014/chart" uri="{C3380CC4-5D6E-409C-BE32-E72D297353CC}">
              <c16:uniqueId val="{0000000D-040E-4EF0-8D25-C853D6B78F0E}"/>
            </c:ext>
          </c:extLst>
        </c:ser>
        <c:dLbls>
          <c:showLegendKey val="0"/>
          <c:showVal val="0"/>
          <c:showCatName val="0"/>
          <c:showSerName val="0"/>
          <c:showPercent val="0"/>
          <c:showBubbleSize val="0"/>
        </c:dLbls>
        <c:smooth val="0"/>
        <c:axId val="994208008"/>
        <c:axId val="994210304"/>
      </c:lineChart>
      <c:catAx>
        <c:axId val="994208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4210304"/>
        <c:crosses val="autoZero"/>
        <c:auto val="1"/>
        <c:lblAlgn val="ctr"/>
        <c:lblOffset val="100"/>
        <c:noMultiLvlLbl val="0"/>
      </c:catAx>
      <c:valAx>
        <c:axId val="994210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4208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[D1139 - A - GnRH patients.xlsx]benefit graph!PivotTable7</c:name>
    <c:fmtId val="5"/>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'benefit graph'!$B$3:$B$4</c:f>
              <c:strCache>
                <c:ptCount val="1"/>
                <c:pt idx="0">
                  <c:v>GOSERELIN</c:v>
                </c:pt>
              </c:strCache>
            </c:strRef>
          </c:tx>
          <c:spPr>
            <a:ln w="28575" cap="rnd">
              <a:solidFill>
                <a:schemeClr val="accent1"/>
              </a:solidFill>
              <a:round/>
            </a:ln>
            <a:effectLst/>
          </c:spPr>
          <c:marker>
            <c:symbol val="none"/>
          </c:marker>
          <c:cat>
            <c:strRef>
              <c:f>'benefit graph'!$A$5:$A$65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'benefit graph'!$B$5:$B$65</c:f>
              <c:numCache>
                <c:formatCode>General</c:formatCode>
                <c:ptCount val="60"/>
                <c:pt idx="0">
                  <c:v>4511706.2699999996</c:v>
                </c:pt>
                <c:pt idx="1">
                  <c:v>4820811.1399999997</c:v>
                </c:pt>
                <c:pt idx="2">
                  <c:v>4901591.93</c:v>
                </c:pt>
                <c:pt idx="3">
                  <c:v>4759935.49</c:v>
                </c:pt>
                <c:pt idx="4">
                  <c:v>5328732.8899999997</c:v>
                </c:pt>
                <c:pt idx="5">
                  <c:v>4839103.76</c:v>
                </c:pt>
                <c:pt idx="6">
                  <c:v>4932380.1399999997</c:v>
                </c:pt>
                <c:pt idx="7">
                  <c:v>5027996</c:v>
                </c:pt>
                <c:pt idx="8">
                  <c:v>4926162.83</c:v>
                </c:pt>
                <c:pt idx="9">
                  <c:v>5063205.5999999996</c:v>
                </c:pt>
                <c:pt idx="10">
                  <c:v>5084985.82</c:v>
                </c:pt>
                <c:pt idx="11">
                  <c:v>5608550.8799999999</c:v>
                </c:pt>
                <c:pt idx="12">
                  <c:v>4388856.8099999996</c:v>
                </c:pt>
                <c:pt idx="13">
                  <c:v>4697788.43</c:v>
                </c:pt>
                <c:pt idx="14">
                  <c:v>4991941.0599999996</c:v>
                </c:pt>
                <c:pt idx="15">
                  <c:v>4681872.78</c:v>
                </c:pt>
                <c:pt idx="16">
                  <c:v>5003545.1500000004</c:v>
                </c:pt>
                <c:pt idx="17">
                  <c:v>5017640.07</c:v>
                </c:pt>
                <c:pt idx="18">
                  <c:v>4974567.43</c:v>
                </c:pt>
                <c:pt idx="19">
                  <c:v>4926177.5</c:v>
                </c:pt>
                <c:pt idx="20">
                  <c:v>4986368.08</c:v>
                </c:pt>
                <c:pt idx="21">
                  <c:v>5105424.7</c:v>
                </c:pt>
                <c:pt idx="22">
                  <c:v>5372146.9199999999</c:v>
                </c:pt>
                <c:pt idx="23">
                  <c:v>5681772.6299999999</c:v>
                </c:pt>
                <c:pt idx="24">
                  <c:v>4285372.63</c:v>
                </c:pt>
                <c:pt idx="25">
                  <c:v>5083352.34</c:v>
                </c:pt>
                <c:pt idx="26">
                  <c:v>5321820.76</c:v>
                </c:pt>
                <c:pt idx="27">
                  <c:v>4521141.53</c:v>
                </c:pt>
                <c:pt idx="28">
                  <c:v>5094781.34</c:v>
                </c:pt>
                <c:pt idx="29">
                  <c:v>4838464.2300000004</c:v>
                </c:pt>
                <c:pt idx="30">
                  <c:v>4739763.51</c:v>
                </c:pt>
                <c:pt idx="31">
                  <c:v>5236847.0999999996</c:v>
                </c:pt>
                <c:pt idx="32">
                  <c:v>4938435.6500000004</c:v>
                </c:pt>
                <c:pt idx="33">
                  <c:v>4889999.2699999996</c:v>
                </c:pt>
                <c:pt idx="34">
                  <c:v>5230008.84</c:v>
                </c:pt>
                <c:pt idx="35">
                  <c:v>5476314.8200000003</c:v>
                </c:pt>
                <c:pt idx="36">
                  <c:v>4526116.5599999996</c:v>
                </c:pt>
                <c:pt idx="37">
                  <c:v>4715882.75</c:v>
                </c:pt>
                <c:pt idx="38">
                  <c:v>5196733.51</c:v>
                </c:pt>
                <c:pt idx="39">
                  <c:v>4643846.99</c:v>
                </c:pt>
                <c:pt idx="40">
                  <c:v>5507565.6200000001</c:v>
                </c:pt>
                <c:pt idx="41">
                  <c:v>5197808.05</c:v>
                </c:pt>
                <c:pt idx="42">
                  <c:v>4948285.3</c:v>
                </c:pt>
                <c:pt idx="43">
                  <c:v>5541921.5300000003</c:v>
                </c:pt>
                <c:pt idx="44">
                  <c:v>5099168.3099999996</c:v>
                </c:pt>
                <c:pt idx="45">
                  <c:v>5361041.25</c:v>
                </c:pt>
                <c:pt idx="46">
                  <c:v>5480845.3700000001</c:v>
                </c:pt>
                <c:pt idx="47">
                  <c:v>5505036.7300000004</c:v>
                </c:pt>
                <c:pt idx="48">
                  <c:v>5082519.9400000004</c:v>
                </c:pt>
                <c:pt idx="49">
                  <c:v>5052250.51</c:v>
                </c:pt>
                <c:pt idx="50">
                  <c:v>5363812.96</c:v>
                </c:pt>
                <c:pt idx="51">
                  <c:v>5128539.6500000004</c:v>
                </c:pt>
                <c:pt idx="52">
                  <c:v>6326177.9000000004</c:v>
                </c:pt>
                <c:pt idx="53">
                  <c:v>4416155.5599999996</c:v>
                </c:pt>
                <c:pt idx="54">
                  <c:v>4603256.6100000003</c:v>
                </c:pt>
                <c:pt idx="55">
                  <c:v>4939982.8499999996</c:v>
                </c:pt>
                <c:pt idx="56">
                  <c:v>4461785.0599999996</c:v>
                </c:pt>
                <c:pt idx="57">
                  <c:v>4915694.62</c:v>
                </c:pt>
                <c:pt idx="58">
                  <c:v>5093723.8</c:v>
                </c:pt>
                <c:pt idx="59">
                  <c:v>4894281.83</c:v>
                </c:pt>
              </c:numCache>
            </c:numRef>
          </c:val>
          <c:smooth val="0"/>
          <c:extLst>
            <c:ext xmlns:c16="http://schemas.microsoft.com/office/drawing/2014/chart" uri="{C3380CC4-5D6E-409C-BE32-E72D297353CC}">
              <c16:uniqueId val="{00000000-A9E2-4480-96A3-D8ECDCE45E6D}"/>
            </c:ext>
          </c:extLst>
        </c:ser>
        <c:ser>
          <c:idx val="1"/>
          <c:order val="1"/>
          <c:tx>
            <c:strRef>
              <c:f>'benefit graph'!$C$3:$C$4</c:f>
              <c:strCache>
                <c:ptCount val="1"/>
                <c:pt idx="0">
                  <c:v>GOSERELIN&amp;BICALUTAMIDE</c:v>
                </c:pt>
              </c:strCache>
            </c:strRef>
          </c:tx>
          <c:spPr>
            <a:ln w="28575" cap="rnd">
              <a:solidFill>
                <a:schemeClr val="accent2"/>
              </a:solidFill>
              <a:round/>
            </a:ln>
            <a:effectLst/>
          </c:spPr>
          <c:marker>
            <c:symbol val="none"/>
          </c:marker>
          <c:cat>
            <c:strRef>
              <c:f>'benefit graph'!$A$5:$A$65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'benefit graph'!$C$5:$C$65</c:f>
              <c:numCache>
                <c:formatCode>General</c:formatCode>
                <c:ptCount val="60"/>
                <c:pt idx="0">
                  <c:v>548315.17000000004</c:v>
                </c:pt>
                <c:pt idx="1">
                  <c:v>566495.75</c:v>
                </c:pt>
                <c:pt idx="2">
                  <c:v>607852.30000000005</c:v>
                </c:pt>
                <c:pt idx="3">
                  <c:v>590122.97</c:v>
                </c:pt>
                <c:pt idx="4">
                  <c:v>672129.1</c:v>
                </c:pt>
                <c:pt idx="5">
                  <c:v>617706.19999999995</c:v>
                </c:pt>
                <c:pt idx="6">
                  <c:v>623879.16</c:v>
                </c:pt>
                <c:pt idx="7">
                  <c:v>618416.44999999995</c:v>
                </c:pt>
                <c:pt idx="8">
                  <c:v>598693.68999999994</c:v>
                </c:pt>
                <c:pt idx="9">
                  <c:v>607018.14</c:v>
                </c:pt>
                <c:pt idx="10">
                  <c:v>587435.27</c:v>
                </c:pt>
                <c:pt idx="11">
                  <c:v>677583.63</c:v>
                </c:pt>
                <c:pt idx="12">
                  <c:v>481997.66</c:v>
                </c:pt>
                <c:pt idx="13">
                  <c:v>581407.68000000005</c:v>
                </c:pt>
                <c:pt idx="14">
                  <c:v>566401.35</c:v>
                </c:pt>
                <c:pt idx="15">
                  <c:v>519534.17</c:v>
                </c:pt>
                <c:pt idx="16">
                  <c:v>625116.68000000005</c:v>
                </c:pt>
                <c:pt idx="17">
                  <c:v>538970.88</c:v>
                </c:pt>
                <c:pt idx="18">
                  <c:v>546174.37</c:v>
                </c:pt>
                <c:pt idx="19">
                  <c:v>576264.53</c:v>
                </c:pt>
                <c:pt idx="20">
                  <c:v>556150.55000000005</c:v>
                </c:pt>
                <c:pt idx="21">
                  <c:v>537116.72</c:v>
                </c:pt>
                <c:pt idx="22">
                  <c:v>586104.09</c:v>
                </c:pt>
                <c:pt idx="23">
                  <c:v>607018.86</c:v>
                </c:pt>
                <c:pt idx="24">
                  <c:v>459980.47</c:v>
                </c:pt>
                <c:pt idx="25">
                  <c:v>604536.97</c:v>
                </c:pt>
                <c:pt idx="26">
                  <c:v>597926.14</c:v>
                </c:pt>
                <c:pt idx="27">
                  <c:v>568489.39</c:v>
                </c:pt>
                <c:pt idx="28">
                  <c:v>635756.93999999994</c:v>
                </c:pt>
                <c:pt idx="29">
                  <c:v>574826.38</c:v>
                </c:pt>
                <c:pt idx="30">
                  <c:v>550329.57999999996</c:v>
                </c:pt>
                <c:pt idx="31">
                  <c:v>662848.30000000005</c:v>
                </c:pt>
                <c:pt idx="32">
                  <c:v>553368.02</c:v>
                </c:pt>
                <c:pt idx="33">
                  <c:v>534926.56999999995</c:v>
                </c:pt>
                <c:pt idx="34">
                  <c:v>592315.26</c:v>
                </c:pt>
                <c:pt idx="35">
                  <c:v>668663.1</c:v>
                </c:pt>
                <c:pt idx="36">
                  <c:v>476945.59</c:v>
                </c:pt>
                <c:pt idx="37">
                  <c:v>473450.81</c:v>
                </c:pt>
                <c:pt idx="38">
                  <c:v>628885.85</c:v>
                </c:pt>
                <c:pt idx="39">
                  <c:v>465784.44</c:v>
                </c:pt>
                <c:pt idx="40">
                  <c:v>584530.5</c:v>
                </c:pt>
                <c:pt idx="41">
                  <c:v>536325.05000000005</c:v>
                </c:pt>
                <c:pt idx="42">
                  <c:v>554731.84</c:v>
                </c:pt>
                <c:pt idx="43">
                  <c:v>559351.81000000006</c:v>
                </c:pt>
                <c:pt idx="44">
                  <c:v>579767.62</c:v>
                </c:pt>
                <c:pt idx="45">
                  <c:v>532836.80000000005</c:v>
                </c:pt>
                <c:pt idx="46">
                  <c:v>520073.77</c:v>
                </c:pt>
                <c:pt idx="47">
                  <c:v>571560.82999999996</c:v>
                </c:pt>
                <c:pt idx="48">
                  <c:v>450075.76</c:v>
                </c:pt>
                <c:pt idx="49">
                  <c:v>454544.89</c:v>
                </c:pt>
                <c:pt idx="50">
                  <c:v>456769.81</c:v>
                </c:pt>
                <c:pt idx="51">
                  <c:v>403488.93</c:v>
                </c:pt>
                <c:pt idx="52">
                  <c:v>552579.88</c:v>
                </c:pt>
                <c:pt idx="53">
                  <c:v>377653.27</c:v>
                </c:pt>
                <c:pt idx="54">
                  <c:v>388362.68</c:v>
                </c:pt>
                <c:pt idx="55">
                  <c:v>405226.67</c:v>
                </c:pt>
                <c:pt idx="56">
                  <c:v>363205.62</c:v>
                </c:pt>
                <c:pt idx="57">
                  <c:v>387169.95</c:v>
                </c:pt>
                <c:pt idx="58">
                  <c:v>406275.07</c:v>
                </c:pt>
                <c:pt idx="59">
                  <c:v>417569.19</c:v>
                </c:pt>
              </c:numCache>
            </c:numRef>
          </c:val>
          <c:smooth val="0"/>
          <c:extLst>
            <c:ext xmlns:c16="http://schemas.microsoft.com/office/drawing/2014/chart" uri="{C3380CC4-5D6E-409C-BE32-E72D297353CC}">
              <c16:uniqueId val="{00000001-A9E2-4480-96A3-D8ECDCE45E6D}"/>
            </c:ext>
          </c:extLst>
        </c:ser>
        <c:ser>
          <c:idx val="2"/>
          <c:order val="2"/>
          <c:tx>
            <c:strRef>
              <c:f>'benefit graph'!$D$3:$D$4</c:f>
              <c:strCache>
                <c:ptCount val="1"/>
                <c:pt idx="0">
                  <c:v>LEUPRORELIN</c:v>
                </c:pt>
              </c:strCache>
            </c:strRef>
          </c:tx>
          <c:spPr>
            <a:ln w="28575" cap="rnd">
              <a:solidFill>
                <a:schemeClr val="accent3"/>
              </a:solidFill>
              <a:round/>
            </a:ln>
            <a:effectLst/>
          </c:spPr>
          <c:marker>
            <c:symbol val="none"/>
          </c:marker>
          <c:cat>
            <c:strRef>
              <c:f>'benefit graph'!$A$5:$A$65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'benefit graph'!$D$5:$D$65</c:f>
              <c:numCache>
                <c:formatCode>General</c:formatCode>
                <c:ptCount val="60"/>
                <c:pt idx="0">
                  <c:v>2959008.73</c:v>
                </c:pt>
                <c:pt idx="1">
                  <c:v>3528404.19</c:v>
                </c:pt>
                <c:pt idx="2">
                  <c:v>3623917.44</c:v>
                </c:pt>
                <c:pt idx="3">
                  <c:v>3280052.14</c:v>
                </c:pt>
                <c:pt idx="4">
                  <c:v>3820212.63</c:v>
                </c:pt>
                <c:pt idx="5">
                  <c:v>3507523.29</c:v>
                </c:pt>
                <c:pt idx="6">
                  <c:v>3492122.13</c:v>
                </c:pt>
                <c:pt idx="7">
                  <c:v>3595036.17</c:v>
                </c:pt>
                <c:pt idx="8">
                  <c:v>3320380.09</c:v>
                </c:pt>
                <c:pt idx="9">
                  <c:v>3722420.76</c:v>
                </c:pt>
                <c:pt idx="10">
                  <c:v>3759651.15</c:v>
                </c:pt>
                <c:pt idx="11">
                  <c:v>3874808.61</c:v>
                </c:pt>
                <c:pt idx="12">
                  <c:v>2965587.16</c:v>
                </c:pt>
                <c:pt idx="13">
                  <c:v>3568531.77</c:v>
                </c:pt>
                <c:pt idx="14">
                  <c:v>3834314.86</c:v>
                </c:pt>
                <c:pt idx="15">
                  <c:v>3408058.9</c:v>
                </c:pt>
                <c:pt idx="16">
                  <c:v>3621766.71</c:v>
                </c:pt>
                <c:pt idx="17">
                  <c:v>3721786.28</c:v>
                </c:pt>
                <c:pt idx="18">
                  <c:v>3601731.77</c:v>
                </c:pt>
                <c:pt idx="19">
                  <c:v>3712948.68</c:v>
                </c:pt>
                <c:pt idx="20">
                  <c:v>3808209.62</c:v>
                </c:pt>
                <c:pt idx="21">
                  <c:v>3726061.12</c:v>
                </c:pt>
                <c:pt idx="22">
                  <c:v>4216829.55</c:v>
                </c:pt>
                <c:pt idx="23">
                  <c:v>4209712.33</c:v>
                </c:pt>
                <c:pt idx="24">
                  <c:v>3170227.4</c:v>
                </c:pt>
                <c:pt idx="25">
                  <c:v>3913386.75</c:v>
                </c:pt>
                <c:pt idx="26">
                  <c:v>4054349.44</c:v>
                </c:pt>
                <c:pt idx="27">
                  <c:v>3591853.61</c:v>
                </c:pt>
                <c:pt idx="28">
                  <c:v>3979797.46</c:v>
                </c:pt>
                <c:pt idx="29">
                  <c:v>3737654.86</c:v>
                </c:pt>
                <c:pt idx="30">
                  <c:v>3665050.47</c:v>
                </c:pt>
                <c:pt idx="31">
                  <c:v>4203413.54</c:v>
                </c:pt>
                <c:pt idx="32">
                  <c:v>3990564.13</c:v>
                </c:pt>
                <c:pt idx="33">
                  <c:v>4008914.2</c:v>
                </c:pt>
                <c:pt idx="34">
                  <c:v>4444967.51</c:v>
                </c:pt>
                <c:pt idx="35">
                  <c:v>4265327.5999999996</c:v>
                </c:pt>
                <c:pt idx="36">
                  <c:v>3643169.48</c:v>
                </c:pt>
                <c:pt idx="37">
                  <c:v>3983115.85</c:v>
                </c:pt>
                <c:pt idx="38">
                  <c:v>4428844.41</c:v>
                </c:pt>
                <c:pt idx="39">
                  <c:v>3791743.94</c:v>
                </c:pt>
                <c:pt idx="40">
                  <c:v>4576420.49</c:v>
                </c:pt>
                <c:pt idx="41">
                  <c:v>4256993.71</c:v>
                </c:pt>
                <c:pt idx="42">
                  <c:v>3998032.75</c:v>
                </c:pt>
                <c:pt idx="43">
                  <c:v>4504768.12</c:v>
                </c:pt>
                <c:pt idx="44">
                  <c:v>4089836.46</c:v>
                </c:pt>
                <c:pt idx="45">
                  <c:v>4455232.33</c:v>
                </c:pt>
                <c:pt idx="46">
                  <c:v>4892116.88</c:v>
                </c:pt>
                <c:pt idx="47">
                  <c:v>4492823.28</c:v>
                </c:pt>
                <c:pt idx="48">
                  <c:v>4152793.93</c:v>
                </c:pt>
                <c:pt idx="49">
                  <c:v>4273376.43</c:v>
                </c:pt>
                <c:pt idx="50">
                  <c:v>4542821.8099999996</c:v>
                </c:pt>
                <c:pt idx="51">
                  <c:v>4298218.28</c:v>
                </c:pt>
                <c:pt idx="52">
                  <c:v>5118323.84</c:v>
                </c:pt>
                <c:pt idx="53">
                  <c:v>3681472.54</c:v>
                </c:pt>
                <c:pt idx="54">
                  <c:v>3768310.3</c:v>
                </c:pt>
                <c:pt idx="55">
                  <c:v>4077504.1</c:v>
                </c:pt>
                <c:pt idx="56">
                  <c:v>3799272.28</c:v>
                </c:pt>
                <c:pt idx="57">
                  <c:v>4084992.97</c:v>
                </c:pt>
                <c:pt idx="58">
                  <c:v>4470778.2</c:v>
                </c:pt>
                <c:pt idx="59">
                  <c:v>4053672.31</c:v>
                </c:pt>
              </c:numCache>
            </c:numRef>
          </c:val>
          <c:smooth val="0"/>
          <c:extLst>
            <c:ext xmlns:c16="http://schemas.microsoft.com/office/drawing/2014/chart" uri="{C3380CC4-5D6E-409C-BE32-E72D297353CC}">
              <c16:uniqueId val="{00000002-A9E2-4480-96A3-D8ECDCE45E6D}"/>
            </c:ext>
          </c:extLst>
        </c:ser>
        <c:ser>
          <c:idx val="3"/>
          <c:order val="3"/>
          <c:tx>
            <c:strRef>
              <c:f>'benefit graph'!$E$3:$E$4</c:f>
              <c:strCache>
                <c:ptCount val="1"/>
                <c:pt idx="0">
                  <c:v>LEUPRORELIN&amp;BICALUTAMIDE</c:v>
                </c:pt>
              </c:strCache>
            </c:strRef>
          </c:tx>
          <c:spPr>
            <a:ln w="28575" cap="rnd">
              <a:solidFill>
                <a:schemeClr val="accent4"/>
              </a:solidFill>
              <a:round/>
            </a:ln>
            <a:effectLst/>
          </c:spPr>
          <c:marker>
            <c:symbol val="none"/>
          </c:marker>
          <c:cat>
            <c:strRef>
              <c:f>'benefit graph'!$A$5:$A$65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'benefit graph'!$E$5:$E$65</c:f>
              <c:numCache>
                <c:formatCode>General</c:formatCode>
                <c:ptCount val="60"/>
                <c:pt idx="35">
                  <c:v>1230.1099999999999</c:v>
                </c:pt>
                <c:pt idx="36">
                  <c:v>4579.26</c:v>
                </c:pt>
                <c:pt idx="37">
                  <c:v>26499.23</c:v>
                </c:pt>
                <c:pt idx="38">
                  <c:v>13203.47</c:v>
                </c:pt>
                <c:pt idx="39">
                  <c:v>25913.23</c:v>
                </c:pt>
                <c:pt idx="40">
                  <c:v>51776.46</c:v>
                </c:pt>
                <c:pt idx="41">
                  <c:v>31817.01</c:v>
                </c:pt>
                <c:pt idx="42">
                  <c:v>34062.47</c:v>
                </c:pt>
                <c:pt idx="43">
                  <c:v>49627.26</c:v>
                </c:pt>
                <c:pt idx="44">
                  <c:v>55934.6</c:v>
                </c:pt>
                <c:pt idx="45">
                  <c:v>47534.79</c:v>
                </c:pt>
                <c:pt idx="46">
                  <c:v>41519.01</c:v>
                </c:pt>
                <c:pt idx="47">
                  <c:v>56042.28</c:v>
                </c:pt>
                <c:pt idx="48">
                  <c:v>40978.31</c:v>
                </c:pt>
                <c:pt idx="49">
                  <c:v>56783.94</c:v>
                </c:pt>
                <c:pt idx="50">
                  <c:v>56081.29</c:v>
                </c:pt>
                <c:pt idx="51">
                  <c:v>60274.92</c:v>
                </c:pt>
                <c:pt idx="52">
                  <c:v>56261.64</c:v>
                </c:pt>
                <c:pt idx="53">
                  <c:v>45151.95</c:v>
                </c:pt>
                <c:pt idx="54">
                  <c:v>39615.89</c:v>
                </c:pt>
                <c:pt idx="55">
                  <c:v>42473.42</c:v>
                </c:pt>
                <c:pt idx="56">
                  <c:v>40128.35</c:v>
                </c:pt>
                <c:pt idx="57">
                  <c:v>36786.6</c:v>
                </c:pt>
                <c:pt idx="58">
                  <c:v>44573.82</c:v>
                </c:pt>
                <c:pt idx="59">
                  <c:v>42162.99</c:v>
                </c:pt>
              </c:numCache>
            </c:numRef>
          </c:val>
          <c:smooth val="0"/>
          <c:extLst>
            <c:ext xmlns:c16="http://schemas.microsoft.com/office/drawing/2014/chart" uri="{C3380CC4-5D6E-409C-BE32-E72D297353CC}">
              <c16:uniqueId val="{00000003-A9E2-4480-96A3-D8ECDCE45E6D}"/>
            </c:ext>
          </c:extLst>
        </c:ser>
        <c:ser>
          <c:idx val="4"/>
          <c:order val="4"/>
          <c:tx>
            <c:strRef>
              <c:f>'benefit graph'!$F$3:$F$4</c:f>
              <c:strCache>
                <c:ptCount val="1"/>
                <c:pt idx="0">
                  <c:v>NAFARELIN</c:v>
                </c:pt>
              </c:strCache>
            </c:strRef>
          </c:tx>
          <c:spPr>
            <a:ln w="28575" cap="rnd">
              <a:solidFill>
                <a:schemeClr val="accent5"/>
              </a:solidFill>
              <a:round/>
            </a:ln>
            <a:effectLst/>
          </c:spPr>
          <c:marker>
            <c:symbol val="none"/>
          </c:marker>
          <c:cat>
            <c:strRef>
              <c:f>'benefit graph'!$A$5:$A$65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'benefit graph'!$F$5:$F$65</c:f>
              <c:numCache>
                <c:formatCode>General</c:formatCode>
                <c:ptCount val="60"/>
                <c:pt idx="0">
                  <c:v>9198.0300000000007</c:v>
                </c:pt>
                <c:pt idx="1">
                  <c:v>9949.8799999999992</c:v>
                </c:pt>
                <c:pt idx="2">
                  <c:v>8564.92</c:v>
                </c:pt>
                <c:pt idx="3">
                  <c:v>10126.219999999999</c:v>
                </c:pt>
                <c:pt idx="4">
                  <c:v>8477.51</c:v>
                </c:pt>
                <c:pt idx="5">
                  <c:v>8086.44</c:v>
                </c:pt>
                <c:pt idx="6">
                  <c:v>12346.62</c:v>
                </c:pt>
                <c:pt idx="7">
                  <c:v>10540.38</c:v>
                </c:pt>
                <c:pt idx="8">
                  <c:v>9744.5300000000007</c:v>
                </c:pt>
                <c:pt idx="9">
                  <c:v>11359.44</c:v>
                </c:pt>
                <c:pt idx="10">
                  <c:v>11801.66</c:v>
                </c:pt>
                <c:pt idx="11">
                  <c:v>8539.35</c:v>
                </c:pt>
                <c:pt idx="12">
                  <c:v>12701.54</c:v>
                </c:pt>
                <c:pt idx="13">
                  <c:v>8324.33</c:v>
                </c:pt>
                <c:pt idx="14">
                  <c:v>11021.47</c:v>
                </c:pt>
                <c:pt idx="15">
                  <c:v>10287.629999999999</c:v>
                </c:pt>
                <c:pt idx="16">
                  <c:v>10738.14</c:v>
                </c:pt>
                <c:pt idx="17">
                  <c:v>8971.15</c:v>
                </c:pt>
                <c:pt idx="18">
                  <c:v>11786.5</c:v>
                </c:pt>
                <c:pt idx="19">
                  <c:v>12714.42</c:v>
                </c:pt>
                <c:pt idx="20">
                  <c:v>10985.26</c:v>
                </c:pt>
                <c:pt idx="21">
                  <c:v>15355.51</c:v>
                </c:pt>
                <c:pt idx="22">
                  <c:v>12948.65</c:v>
                </c:pt>
                <c:pt idx="23">
                  <c:v>14698.47</c:v>
                </c:pt>
                <c:pt idx="24">
                  <c:v>12103.45</c:v>
                </c:pt>
                <c:pt idx="25">
                  <c:v>12869.75</c:v>
                </c:pt>
                <c:pt idx="26">
                  <c:v>11826.93</c:v>
                </c:pt>
                <c:pt idx="27">
                  <c:v>10512.22</c:v>
                </c:pt>
                <c:pt idx="28">
                  <c:v>9222.2800000000007</c:v>
                </c:pt>
                <c:pt idx="29">
                  <c:v>10442.06</c:v>
                </c:pt>
                <c:pt idx="30">
                  <c:v>11953.33</c:v>
                </c:pt>
                <c:pt idx="31">
                  <c:v>12085.72</c:v>
                </c:pt>
                <c:pt idx="32">
                  <c:v>14073.86</c:v>
                </c:pt>
                <c:pt idx="33">
                  <c:v>19193.21</c:v>
                </c:pt>
                <c:pt idx="34">
                  <c:v>19460.080000000002</c:v>
                </c:pt>
                <c:pt idx="35">
                  <c:v>19613.650000000001</c:v>
                </c:pt>
                <c:pt idx="36">
                  <c:v>24743.66</c:v>
                </c:pt>
                <c:pt idx="37">
                  <c:v>24796.080000000002</c:v>
                </c:pt>
                <c:pt idx="38">
                  <c:v>26465.35</c:v>
                </c:pt>
                <c:pt idx="39">
                  <c:v>25201.86</c:v>
                </c:pt>
                <c:pt idx="40">
                  <c:v>27266.37</c:v>
                </c:pt>
                <c:pt idx="41">
                  <c:v>25910.32</c:v>
                </c:pt>
                <c:pt idx="42">
                  <c:v>26141.09</c:v>
                </c:pt>
                <c:pt idx="43">
                  <c:v>29631.07</c:v>
                </c:pt>
                <c:pt idx="44">
                  <c:v>27588.85</c:v>
                </c:pt>
                <c:pt idx="45">
                  <c:v>31980.080000000002</c:v>
                </c:pt>
                <c:pt idx="46">
                  <c:v>29477.65</c:v>
                </c:pt>
                <c:pt idx="47">
                  <c:v>30115.84</c:v>
                </c:pt>
                <c:pt idx="48">
                  <c:v>30161.74</c:v>
                </c:pt>
                <c:pt idx="49">
                  <c:v>26552.7</c:v>
                </c:pt>
                <c:pt idx="50">
                  <c:v>31784.080000000002</c:v>
                </c:pt>
                <c:pt idx="51">
                  <c:v>30047.74</c:v>
                </c:pt>
                <c:pt idx="52">
                  <c:v>33642.769999999997</c:v>
                </c:pt>
                <c:pt idx="53">
                  <c:v>32482.13</c:v>
                </c:pt>
                <c:pt idx="54">
                  <c:v>31301.16</c:v>
                </c:pt>
                <c:pt idx="55">
                  <c:v>36263.46</c:v>
                </c:pt>
                <c:pt idx="56">
                  <c:v>32651.119999999999</c:v>
                </c:pt>
                <c:pt idx="57">
                  <c:v>34678.14</c:v>
                </c:pt>
                <c:pt idx="58">
                  <c:v>35385.699999999997</c:v>
                </c:pt>
                <c:pt idx="59">
                  <c:v>30824.05</c:v>
                </c:pt>
              </c:numCache>
            </c:numRef>
          </c:val>
          <c:smooth val="0"/>
          <c:extLst>
            <c:ext xmlns:c16="http://schemas.microsoft.com/office/drawing/2014/chart" uri="{C3380CC4-5D6E-409C-BE32-E72D297353CC}">
              <c16:uniqueId val="{00000004-A9E2-4480-96A3-D8ECDCE45E6D}"/>
            </c:ext>
          </c:extLst>
        </c:ser>
        <c:ser>
          <c:idx val="5"/>
          <c:order val="5"/>
          <c:tx>
            <c:strRef>
              <c:f>'benefit graph'!$G$3:$G$4</c:f>
              <c:strCache>
                <c:ptCount val="1"/>
                <c:pt idx="0">
                  <c:v>TRIPTORELIN</c:v>
                </c:pt>
              </c:strCache>
            </c:strRef>
          </c:tx>
          <c:spPr>
            <a:ln w="28575" cap="rnd">
              <a:solidFill>
                <a:schemeClr val="accent6"/>
              </a:solidFill>
              <a:round/>
            </a:ln>
            <a:effectLst/>
          </c:spPr>
          <c:marker>
            <c:symbol val="none"/>
          </c:marker>
          <c:cat>
            <c:strRef>
              <c:f>'benefit graph'!$A$5:$A$65</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'benefit graph'!$G$5:$G$65</c:f>
              <c:numCache>
                <c:formatCode>General</c:formatCode>
                <c:ptCount val="60"/>
                <c:pt idx="0">
                  <c:v>178069.26</c:v>
                </c:pt>
                <c:pt idx="1">
                  <c:v>219937.89</c:v>
                </c:pt>
                <c:pt idx="2">
                  <c:v>203077.51</c:v>
                </c:pt>
                <c:pt idx="3">
                  <c:v>193526.75</c:v>
                </c:pt>
                <c:pt idx="4">
                  <c:v>224875.69</c:v>
                </c:pt>
                <c:pt idx="5">
                  <c:v>235110.1</c:v>
                </c:pt>
                <c:pt idx="6">
                  <c:v>214549.78</c:v>
                </c:pt>
                <c:pt idx="7">
                  <c:v>221696.48</c:v>
                </c:pt>
                <c:pt idx="8">
                  <c:v>211391.11</c:v>
                </c:pt>
                <c:pt idx="9">
                  <c:v>245120.44</c:v>
                </c:pt>
                <c:pt idx="10">
                  <c:v>226280.41</c:v>
                </c:pt>
                <c:pt idx="11">
                  <c:v>272623.14</c:v>
                </c:pt>
                <c:pt idx="12">
                  <c:v>237182.83</c:v>
                </c:pt>
                <c:pt idx="13">
                  <c:v>212984.56</c:v>
                </c:pt>
                <c:pt idx="14">
                  <c:v>257856.78</c:v>
                </c:pt>
                <c:pt idx="15">
                  <c:v>238478.47</c:v>
                </c:pt>
                <c:pt idx="16">
                  <c:v>290900.83</c:v>
                </c:pt>
                <c:pt idx="17">
                  <c:v>264669.01</c:v>
                </c:pt>
                <c:pt idx="18">
                  <c:v>286090.21000000002</c:v>
                </c:pt>
                <c:pt idx="19">
                  <c:v>244542.6</c:v>
                </c:pt>
                <c:pt idx="20">
                  <c:v>268602.46000000002</c:v>
                </c:pt>
                <c:pt idx="21">
                  <c:v>298669.86</c:v>
                </c:pt>
                <c:pt idx="22">
                  <c:v>357881.99</c:v>
                </c:pt>
                <c:pt idx="23">
                  <c:v>335243.23</c:v>
                </c:pt>
                <c:pt idx="24">
                  <c:v>249895.72</c:v>
                </c:pt>
                <c:pt idx="25">
                  <c:v>290261.75</c:v>
                </c:pt>
                <c:pt idx="26">
                  <c:v>296397.8</c:v>
                </c:pt>
                <c:pt idx="27">
                  <c:v>297760.7</c:v>
                </c:pt>
                <c:pt idx="28">
                  <c:v>327209.61</c:v>
                </c:pt>
                <c:pt idx="29">
                  <c:v>301256.90999999997</c:v>
                </c:pt>
                <c:pt idx="30">
                  <c:v>301910.82</c:v>
                </c:pt>
                <c:pt idx="31">
                  <c:v>320290.32</c:v>
                </c:pt>
                <c:pt idx="32">
                  <c:v>289786.13</c:v>
                </c:pt>
                <c:pt idx="33">
                  <c:v>313770.96999999997</c:v>
                </c:pt>
                <c:pt idx="34">
                  <c:v>341913.09</c:v>
                </c:pt>
                <c:pt idx="35">
                  <c:v>357704.27</c:v>
                </c:pt>
                <c:pt idx="36">
                  <c:v>268611.05</c:v>
                </c:pt>
                <c:pt idx="37">
                  <c:v>359631.28</c:v>
                </c:pt>
                <c:pt idx="38">
                  <c:v>342154.22</c:v>
                </c:pt>
                <c:pt idx="39">
                  <c:v>294301.07</c:v>
                </c:pt>
                <c:pt idx="40">
                  <c:v>427992.68</c:v>
                </c:pt>
                <c:pt idx="41">
                  <c:v>376229.8</c:v>
                </c:pt>
                <c:pt idx="42">
                  <c:v>363365.27</c:v>
                </c:pt>
                <c:pt idx="43">
                  <c:v>417435.62</c:v>
                </c:pt>
                <c:pt idx="44">
                  <c:v>344720.67</c:v>
                </c:pt>
                <c:pt idx="45">
                  <c:v>384316.33</c:v>
                </c:pt>
                <c:pt idx="46">
                  <c:v>486636.93</c:v>
                </c:pt>
                <c:pt idx="47">
                  <c:v>416975.48</c:v>
                </c:pt>
                <c:pt idx="48">
                  <c:v>382340.69</c:v>
                </c:pt>
                <c:pt idx="49">
                  <c:v>456070.06</c:v>
                </c:pt>
                <c:pt idx="50">
                  <c:v>408236.48</c:v>
                </c:pt>
                <c:pt idx="51">
                  <c:v>378058.66</c:v>
                </c:pt>
                <c:pt idx="52">
                  <c:v>466930.36</c:v>
                </c:pt>
                <c:pt idx="53">
                  <c:v>463481.92</c:v>
                </c:pt>
                <c:pt idx="54">
                  <c:v>394782.33</c:v>
                </c:pt>
                <c:pt idx="55">
                  <c:v>455814.82</c:v>
                </c:pt>
                <c:pt idx="56">
                  <c:v>416855.38</c:v>
                </c:pt>
                <c:pt idx="57">
                  <c:v>400044.93</c:v>
                </c:pt>
                <c:pt idx="58">
                  <c:v>482292.72</c:v>
                </c:pt>
                <c:pt idx="59">
                  <c:v>449827.32</c:v>
                </c:pt>
              </c:numCache>
            </c:numRef>
          </c:val>
          <c:smooth val="0"/>
          <c:extLst>
            <c:ext xmlns:c16="http://schemas.microsoft.com/office/drawing/2014/chart" uri="{C3380CC4-5D6E-409C-BE32-E72D297353CC}">
              <c16:uniqueId val="{00000005-A9E2-4480-96A3-D8ECDCE45E6D}"/>
            </c:ext>
          </c:extLst>
        </c:ser>
        <c:dLbls>
          <c:showLegendKey val="0"/>
          <c:showVal val="0"/>
          <c:showCatName val="0"/>
          <c:showSerName val="0"/>
          <c:showPercent val="0"/>
          <c:showBubbleSize val="0"/>
        </c:dLbls>
        <c:smooth val="0"/>
        <c:axId val="1047822688"/>
        <c:axId val="1047820720"/>
      </c:lineChart>
      <c:catAx>
        <c:axId val="104782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7820720"/>
        <c:crosses val="autoZero"/>
        <c:auto val="1"/>
        <c:lblAlgn val="ctr"/>
        <c:lblOffset val="100"/>
        <c:noMultiLvlLbl val="0"/>
      </c:catAx>
      <c:valAx>
        <c:axId val="1047820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Government</a:t>
                </a:r>
                <a:r>
                  <a:rPr lang="en-AU" baseline="0"/>
                  <a:t> benefits paid</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7822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[D1139 - A - GnRH patients.xlsx]product!PivotTable10</c:name>
    <c:fmtId val="10"/>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none"/>
        </c:marker>
      </c:pivotFmt>
      <c:pivotFmt>
        <c:idx val="33"/>
        <c:spPr>
          <a:solidFill>
            <a:schemeClr val="accent1"/>
          </a:solidFill>
          <a:ln w="28575" cap="rnd">
            <a:solidFill>
              <a:schemeClr val="accent1"/>
            </a:solidFill>
            <a:round/>
          </a:ln>
          <a:effectLst/>
        </c:spPr>
        <c:marker>
          <c:symbol val="none"/>
        </c:marker>
      </c:pivotFmt>
      <c:pivotFmt>
        <c:idx val="34"/>
        <c:spPr>
          <a:solidFill>
            <a:schemeClr val="accent1"/>
          </a:solidFill>
          <a:ln w="28575" cap="rnd">
            <a:solidFill>
              <a:schemeClr val="accent1"/>
            </a:solidFill>
            <a:round/>
          </a:ln>
          <a:effectLst/>
        </c:spPr>
        <c:marker>
          <c:symbol val="none"/>
        </c:marker>
      </c:pivotFmt>
      <c:pivotFmt>
        <c:idx val="35"/>
        <c:spPr>
          <a:solidFill>
            <a:schemeClr val="accent1"/>
          </a:solidFill>
          <a:ln w="28575" cap="rnd">
            <a:solidFill>
              <a:schemeClr val="accent1"/>
            </a:solidFill>
            <a:round/>
          </a:ln>
          <a:effectLst/>
        </c:spPr>
        <c:marker>
          <c:symbol val="none"/>
        </c:marker>
      </c:pivotFmt>
      <c:pivotFmt>
        <c:idx val="36"/>
        <c:spPr>
          <a:solidFill>
            <a:schemeClr val="accent1"/>
          </a:solidFill>
          <a:ln w="28575" cap="rnd">
            <a:solidFill>
              <a:schemeClr val="accent1"/>
            </a:solidFill>
            <a:round/>
          </a:ln>
          <a:effectLst/>
        </c:spPr>
        <c:marker>
          <c:symbol val="none"/>
        </c:marker>
      </c:pivotFmt>
      <c:pivotFmt>
        <c:idx val="37"/>
        <c:spPr>
          <a:solidFill>
            <a:schemeClr val="accent1"/>
          </a:solidFill>
          <a:ln w="28575" cap="rnd">
            <a:solidFill>
              <a:schemeClr val="accent1"/>
            </a:solidFill>
            <a:round/>
          </a:ln>
          <a:effectLst/>
        </c:spPr>
        <c:marker>
          <c:symbol val="none"/>
        </c:marker>
      </c:pivotFmt>
      <c:pivotFmt>
        <c:idx val="38"/>
        <c:spPr>
          <a:solidFill>
            <a:schemeClr val="accent1"/>
          </a:solidFill>
          <a:ln w="28575" cap="rnd">
            <a:solidFill>
              <a:schemeClr val="accent1"/>
            </a:solidFill>
            <a:round/>
          </a:ln>
          <a:effectLst/>
        </c:spPr>
        <c:marker>
          <c:symbol val="none"/>
        </c:marker>
      </c:pivotFmt>
      <c:pivotFmt>
        <c:idx val="39"/>
        <c:spPr>
          <a:solidFill>
            <a:schemeClr val="accent1"/>
          </a:solidFill>
          <a:ln w="28575" cap="rnd">
            <a:solidFill>
              <a:schemeClr val="accent1"/>
            </a:solidFill>
            <a:round/>
          </a:ln>
          <a:effectLst/>
        </c:spPr>
        <c:marker>
          <c:symbol val="none"/>
        </c:marker>
      </c:pivotFmt>
      <c:pivotFmt>
        <c:idx val="40"/>
        <c:spPr>
          <a:solidFill>
            <a:schemeClr val="accent1"/>
          </a:solidFill>
          <a:ln w="28575" cap="rnd">
            <a:solidFill>
              <a:schemeClr val="accent1"/>
            </a:solidFill>
            <a:round/>
          </a:ln>
          <a:effectLst/>
        </c:spPr>
        <c:marker>
          <c:symbol val="none"/>
        </c:marker>
      </c:pivotFmt>
      <c:pivotFmt>
        <c:idx val="41"/>
        <c:spPr>
          <a:solidFill>
            <a:schemeClr val="accent1"/>
          </a:solidFill>
          <a:ln w="28575" cap="rnd">
            <a:solidFill>
              <a:schemeClr val="accent1"/>
            </a:solidFill>
            <a:round/>
          </a:ln>
          <a:effectLst/>
        </c:spPr>
        <c:marker>
          <c:symbol val="none"/>
        </c:marker>
      </c:pivotFmt>
      <c:pivotFmt>
        <c:idx val="42"/>
        <c:spPr>
          <a:solidFill>
            <a:schemeClr val="accent1"/>
          </a:solidFill>
          <a:ln w="28575" cap="rnd">
            <a:solidFill>
              <a:schemeClr val="accent1"/>
            </a:solidFill>
            <a:round/>
          </a:ln>
          <a:effectLst/>
        </c:spPr>
        <c:marker>
          <c:symbol val="none"/>
        </c:marker>
      </c:pivotFmt>
      <c:pivotFmt>
        <c:idx val="43"/>
        <c:spPr>
          <a:solidFill>
            <a:schemeClr val="accent1"/>
          </a:solidFill>
          <a:ln w="28575" cap="rnd">
            <a:solidFill>
              <a:schemeClr val="accent1"/>
            </a:solidFill>
            <a:round/>
          </a:ln>
          <a:effectLst/>
        </c:spPr>
        <c:marker>
          <c:symbol val="none"/>
        </c:marker>
      </c:pivotFmt>
      <c:pivotFmt>
        <c:idx val="44"/>
        <c:spPr>
          <a:solidFill>
            <a:schemeClr val="accent1"/>
          </a:solidFill>
          <a:ln w="28575" cap="rnd">
            <a:solidFill>
              <a:schemeClr val="accent1"/>
            </a:solidFill>
            <a:round/>
          </a:ln>
          <a:effectLst/>
        </c:spPr>
        <c:marker>
          <c:symbol val="none"/>
        </c:marker>
      </c:pivotFmt>
      <c:pivotFmt>
        <c:idx val="45"/>
        <c:spPr>
          <a:solidFill>
            <a:schemeClr val="accent1"/>
          </a:solidFill>
          <a:ln w="28575" cap="rnd">
            <a:solidFill>
              <a:schemeClr val="accent1"/>
            </a:solidFill>
            <a:round/>
          </a:ln>
          <a:effectLst/>
        </c:spPr>
        <c:marker>
          <c:symbol val="none"/>
        </c:marker>
      </c:pivotFmt>
    </c:pivotFmts>
    <c:plotArea>
      <c:layout>
        <c:manualLayout>
          <c:layoutTarget val="inner"/>
          <c:xMode val="edge"/>
          <c:yMode val="edge"/>
          <c:x val="0.10961065950266319"/>
          <c:y val="2.8627195836044242E-2"/>
          <c:w val="0.86582754525339356"/>
          <c:h val="0.57820644572974245"/>
        </c:manualLayout>
      </c:layout>
      <c:lineChart>
        <c:grouping val="standard"/>
        <c:varyColors val="0"/>
        <c:ser>
          <c:idx val="0"/>
          <c:order val="0"/>
          <c:tx>
            <c:strRef>
              <c:f>product!$V$1:$V$2</c:f>
              <c:strCache>
                <c:ptCount val="1"/>
                <c:pt idx="0">
                  <c:v>Goserelin 1 month</c:v>
                </c:pt>
              </c:strCache>
            </c:strRef>
          </c:tx>
          <c:spPr>
            <a:ln w="28575" cap="rnd">
              <a:solidFill>
                <a:schemeClr val="accent1"/>
              </a:solidFill>
              <a:round/>
            </a:ln>
            <a:effectLst/>
          </c:spPr>
          <c:marker>
            <c:symbol val="none"/>
          </c:marker>
          <c:cat>
            <c:strRef>
              <c:f>product!$U$3:$U$63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product!$V$3:$V$63</c:f>
              <c:numCache>
                <c:formatCode>General</c:formatCode>
                <c:ptCount val="60"/>
                <c:pt idx="0">
                  <c:v>1514</c:v>
                </c:pt>
                <c:pt idx="1">
                  <c:v>1506</c:v>
                </c:pt>
                <c:pt idx="2">
                  <c:v>1651</c:v>
                </c:pt>
                <c:pt idx="3">
                  <c:v>1601</c:v>
                </c:pt>
                <c:pt idx="4">
                  <c:v>1705</c:v>
                </c:pt>
                <c:pt idx="5">
                  <c:v>1694</c:v>
                </c:pt>
                <c:pt idx="6">
                  <c:v>1813</c:v>
                </c:pt>
                <c:pt idx="7">
                  <c:v>1676</c:v>
                </c:pt>
                <c:pt idx="8">
                  <c:v>1738</c:v>
                </c:pt>
                <c:pt idx="9">
                  <c:v>1825</c:v>
                </c:pt>
                <c:pt idx="10">
                  <c:v>1708</c:v>
                </c:pt>
                <c:pt idx="11">
                  <c:v>1927</c:v>
                </c:pt>
                <c:pt idx="12">
                  <c:v>1656</c:v>
                </c:pt>
                <c:pt idx="13">
                  <c:v>1666</c:v>
                </c:pt>
                <c:pt idx="14">
                  <c:v>1883</c:v>
                </c:pt>
                <c:pt idx="15">
                  <c:v>1811</c:v>
                </c:pt>
                <c:pt idx="16">
                  <c:v>1851</c:v>
                </c:pt>
                <c:pt idx="17">
                  <c:v>2013</c:v>
                </c:pt>
                <c:pt idx="18">
                  <c:v>2118</c:v>
                </c:pt>
                <c:pt idx="19">
                  <c:v>2043</c:v>
                </c:pt>
                <c:pt idx="20">
                  <c:v>2169</c:v>
                </c:pt>
                <c:pt idx="21">
                  <c:v>2158</c:v>
                </c:pt>
                <c:pt idx="22">
                  <c:v>2219</c:v>
                </c:pt>
                <c:pt idx="23">
                  <c:v>2449</c:v>
                </c:pt>
                <c:pt idx="24">
                  <c:v>2152</c:v>
                </c:pt>
                <c:pt idx="25">
                  <c:v>2340</c:v>
                </c:pt>
                <c:pt idx="26">
                  <c:v>2626</c:v>
                </c:pt>
                <c:pt idx="27">
                  <c:v>2439</c:v>
                </c:pt>
                <c:pt idx="28">
                  <c:v>2611</c:v>
                </c:pt>
                <c:pt idx="29">
                  <c:v>2545</c:v>
                </c:pt>
                <c:pt idx="30">
                  <c:v>2563</c:v>
                </c:pt>
                <c:pt idx="31">
                  <c:v>2862</c:v>
                </c:pt>
                <c:pt idx="32">
                  <c:v>2739</c:v>
                </c:pt>
                <c:pt idx="33">
                  <c:v>2623</c:v>
                </c:pt>
                <c:pt idx="34">
                  <c:v>2795</c:v>
                </c:pt>
                <c:pt idx="35">
                  <c:v>2793</c:v>
                </c:pt>
                <c:pt idx="36">
                  <c:v>2560</c:v>
                </c:pt>
                <c:pt idx="37">
                  <c:v>2535</c:v>
                </c:pt>
                <c:pt idx="38">
                  <c:v>2946</c:v>
                </c:pt>
                <c:pt idx="39">
                  <c:v>2646</c:v>
                </c:pt>
                <c:pt idx="40">
                  <c:v>3137</c:v>
                </c:pt>
                <c:pt idx="41">
                  <c:v>2989</c:v>
                </c:pt>
                <c:pt idx="42">
                  <c:v>2955</c:v>
                </c:pt>
                <c:pt idx="43">
                  <c:v>3203</c:v>
                </c:pt>
                <c:pt idx="44">
                  <c:v>2974</c:v>
                </c:pt>
                <c:pt idx="45">
                  <c:v>3205</c:v>
                </c:pt>
                <c:pt idx="46">
                  <c:v>3088</c:v>
                </c:pt>
                <c:pt idx="47">
                  <c:v>3123</c:v>
                </c:pt>
                <c:pt idx="48">
                  <c:v>3192</c:v>
                </c:pt>
                <c:pt idx="49">
                  <c:v>3046</c:v>
                </c:pt>
                <c:pt idx="50">
                  <c:v>3427</c:v>
                </c:pt>
                <c:pt idx="51">
                  <c:v>3283</c:v>
                </c:pt>
                <c:pt idx="52">
                  <c:v>3938</c:v>
                </c:pt>
                <c:pt idx="53">
                  <c:v>3445</c:v>
                </c:pt>
                <c:pt idx="54">
                  <c:v>3678</c:v>
                </c:pt>
                <c:pt idx="55">
                  <c:v>3841</c:v>
                </c:pt>
                <c:pt idx="56">
                  <c:v>3542</c:v>
                </c:pt>
                <c:pt idx="57">
                  <c:v>3914</c:v>
                </c:pt>
                <c:pt idx="58">
                  <c:v>3951</c:v>
                </c:pt>
                <c:pt idx="59">
                  <c:v>3831</c:v>
                </c:pt>
              </c:numCache>
            </c:numRef>
          </c:val>
          <c:smooth val="0"/>
          <c:extLst>
            <c:ext xmlns:c16="http://schemas.microsoft.com/office/drawing/2014/chart" uri="{C3380CC4-5D6E-409C-BE32-E72D297353CC}">
              <c16:uniqueId val="{00000000-3172-406E-BB40-8E38B43F2087}"/>
            </c:ext>
          </c:extLst>
        </c:ser>
        <c:ser>
          <c:idx val="1"/>
          <c:order val="1"/>
          <c:tx>
            <c:strRef>
              <c:f>product!$W$1:$W$2</c:f>
              <c:strCache>
                <c:ptCount val="1"/>
                <c:pt idx="0">
                  <c:v>Goserelin 3 month</c:v>
                </c:pt>
              </c:strCache>
            </c:strRef>
          </c:tx>
          <c:spPr>
            <a:ln w="28575" cap="rnd">
              <a:solidFill>
                <a:schemeClr val="accent2"/>
              </a:solidFill>
              <a:round/>
            </a:ln>
            <a:effectLst/>
          </c:spPr>
          <c:marker>
            <c:symbol val="none"/>
          </c:marker>
          <c:cat>
            <c:strRef>
              <c:f>product!$U$3:$U$63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product!$W$3:$W$63</c:f>
              <c:numCache>
                <c:formatCode>General</c:formatCode>
                <c:ptCount val="60"/>
                <c:pt idx="0">
                  <c:v>3686</c:v>
                </c:pt>
                <c:pt idx="1">
                  <c:v>3968</c:v>
                </c:pt>
                <c:pt idx="2">
                  <c:v>4002</c:v>
                </c:pt>
                <c:pt idx="3">
                  <c:v>3886</c:v>
                </c:pt>
                <c:pt idx="4">
                  <c:v>4373</c:v>
                </c:pt>
                <c:pt idx="5">
                  <c:v>3932</c:v>
                </c:pt>
                <c:pt idx="6">
                  <c:v>3979</c:v>
                </c:pt>
                <c:pt idx="7">
                  <c:v>4102</c:v>
                </c:pt>
                <c:pt idx="8">
                  <c:v>3990</c:v>
                </c:pt>
                <c:pt idx="9">
                  <c:v>4089</c:v>
                </c:pt>
                <c:pt idx="10">
                  <c:v>4137</c:v>
                </c:pt>
                <c:pt idx="11">
                  <c:v>4547</c:v>
                </c:pt>
                <c:pt idx="12">
                  <c:v>3537</c:v>
                </c:pt>
                <c:pt idx="13">
                  <c:v>3814</c:v>
                </c:pt>
                <c:pt idx="14">
                  <c:v>4023</c:v>
                </c:pt>
                <c:pt idx="15">
                  <c:v>3760</c:v>
                </c:pt>
                <c:pt idx="16">
                  <c:v>4040</c:v>
                </c:pt>
                <c:pt idx="17">
                  <c:v>4006</c:v>
                </c:pt>
                <c:pt idx="18">
                  <c:v>4093</c:v>
                </c:pt>
                <c:pt idx="19">
                  <c:v>4068</c:v>
                </c:pt>
                <c:pt idx="20">
                  <c:v>3969</c:v>
                </c:pt>
                <c:pt idx="21">
                  <c:v>4081</c:v>
                </c:pt>
                <c:pt idx="22">
                  <c:v>4306</c:v>
                </c:pt>
                <c:pt idx="23">
                  <c:v>4522</c:v>
                </c:pt>
                <c:pt idx="24">
                  <c:v>3347</c:v>
                </c:pt>
                <c:pt idx="25">
                  <c:v>4029</c:v>
                </c:pt>
                <c:pt idx="26">
                  <c:v>4170</c:v>
                </c:pt>
                <c:pt idx="27">
                  <c:v>3696</c:v>
                </c:pt>
                <c:pt idx="28">
                  <c:v>4200</c:v>
                </c:pt>
                <c:pt idx="29">
                  <c:v>3971</c:v>
                </c:pt>
                <c:pt idx="30">
                  <c:v>3867</c:v>
                </c:pt>
                <c:pt idx="31">
                  <c:v>4264</c:v>
                </c:pt>
                <c:pt idx="32">
                  <c:v>4006</c:v>
                </c:pt>
                <c:pt idx="33">
                  <c:v>3993</c:v>
                </c:pt>
                <c:pt idx="34">
                  <c:v>4265</c:v>
                </c:pt>
                <c:pt idx="35">
                  <c:v>4500</c:v>
                </c:pt>
                <c:pt idx="36">
                  <c:v>3672</c:v>
                </c:pt>
                <c:pt idx="37">
                  <c:v>3859</c:v>
                </c:pt>
                <c:pt idx="38">
                  <c:v>4213</c:v>
                </c:pt>
                <c:pt idx="39">
                  <c:v>3762</c:v>
                </c:pt>
                <c:pt idx="40">
                  <c:v>4461</c:v>
                </c:pt>
                <c:pt idx="41">
                  <c:v>4204</c:v>
                </c:pt>
                <c:pt idx="42">
                  <c:v>3966</c:v>
                </c:pt>
                <c:pt idx="43">
                  <c:v>4468</c:v>
                </c:pt>
                <c:pt idx="44">
                  <c:v>4103</c:v>
                </c:pt>
                <c:pt idx="45">
                  <c:v>4291</c:v>
                </c:pt>
                <c:pt idx="46">
                  <c:v>4435</c:v>
                </c:pt>
                <c:pt idx="47">
                  <c:v>4443</c:v>
                </c:pt>
                <c:pt idx="48">
                  <c:v>4044</c:v>
                </c:pt>
                <c:pt idx="49">
                  <c:v>4052</c:v>
                </c:pt>
                <c:pt idx="50">
                  <c:v>4251</c:v>
                </c:pt>
                <c:pt idx="51">
                  <c:v>4065</c:v>
                </c:pt>
                <c:pt idx="52">
                  <c:v>5040</c:v>
                </c:pt>
                <c:pt idx="53">
                  <c:v>4070</c:v>
                </c:pt>
                <c:pt idx="54">
                  <c:v>4220</c:v>
                </c:pt>
                <c:pt idx="55">
                  <c:v>4551</c:v>
                </c:pt>
                <c:pt idx="56">
                  <c:v>4088</c:v>
                </c:pt>
                <c:pt idx="57">
                  <c:v>4497</c:v>
                </c:pt>
                <c:pt idx="58">
                  <c:v>4685</c:v>
                </c:pt>
                <c:pt idx="59">
                  <c:v>4487</c:v>
                </c:pt>
              </c:numCache>
            </c:numRef>
          </c:val>
          <c:smooth val="0"/>
          <c:extLst>
            <c:ext xmlns:c16="http://schemas.microsoft.com/office/drawing/2014/chart" uri="{C3380CC4-5D6E-409C-BE32-E72D297353CC}">
              <c16:uniqueId val="{00000001-3172-406E-BB40-8E38B43F2087}"/>
            </c:ext>
          </c:extLst>
        </c:ser>
        <c:ser>
          <c:idx val="2"/>
          <c:order val="2"/>
          <c:tx>
            <c:strRef>
              <c:f>product!$X$1:$X$2</c:f>
              <c:strCache>
                <c:ptCount val="1"/>
                <c:pt idx="0">
                  <c:v>Goserelin Bicalutamide 1 month</c:v>
                </c:pt>
              </c:strCache>
            </c:strRef>
          </c:tx>
          <c:spPr>
            <a:ln w="28575" cap="rnd">
              <a:solidFill>
                <a:schemeClr val="accent3"/>
              </a:solidFill>
              <a:round/>
            </a:ln>
            <a:effectLst/>
          </c:spPr>
          <c:marker>
            <c:symbol val="none"/>
          </c:marker>
          <c:cat>
            <c:strRef>
              <c:f>product!$U$3:$U$63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product!$X$3:$X$63</c:f>
              <c:numCache>
                <c:formatCode>General</c:formatCode>
                <c:ptCount val="60"/>
                <c:pt idx="0">
                  <c:v>31</c:v>
                </c:pt>
                <c:pt idx="1">
                  <c:v>39</c:v>
                </c:pt>
                <c:pt idx="2">
                  <c:v>34</c:v>
                </c:pt>
                <c:pt idx="3">
                  <c:v>24</c:v>
                </c:pt>
                <c:pt idx="4">
                  <c:v>26</c:v>
                </c:pt>
                <c:pt idx="5">
                  <c:v>24</c:v>
                </c:pt>
                <c:pt idx="6">
                  <c:v>27</c:v>
                </c:pt>
                <c:pt idx="7">
                  <c:v>37</c:v>
                </c:pt>
                <c:pt idx="8">
                  <c:v>34</c:v>
                </c:pt>
                <c:pt idx="9">
                  <c:v>36</c:v>
                </c:pt>
                <c:pt idx="10">
                  <c:v>30</c:v>
                </c:pt>
                <c:pt idx="11">
                  <c:v>30</c:v>
                </c:pt>
                <c:pt idx="12">
                  <c:v>23</c:v>
                </c:pt>
                <c:pt idx="13">
                  <c:v>25</c:v>
                </c:pt>
                <c:pt idx="14">
                  <c:v>28</c:v>
                </c:pt>
                <c:pt idx="15">
                  <c:v>29</c:v>
                </c:pt>
                <c:pt idx="16">
                  <c:v>26</c:v>
                </c:pt>
                <c:pt idx="17">
                  <c:v>36</c:v>
                </c:pt>
                <c:pt idx="18">
                  <c:v>30</c:v>
                </c:pt>
                <c:pt idx="19">
                  <c:v>30</c:v>
                </c:pt>
                <c:pt idx="20">
                  <c:v>30</c:v>
                </c:pt>
                <c:pt idx="21">
                  <c:v>24</c:v>
                </c:pt>
                <c:pt idx="22">
                  <c:v>26</c:v>
                </c:pt>
                <c:pt idx="23">
                  <c:v>35</c:v>
                </c:pt>
                <c:pt idx="24">
                  <c:v>27</c:v>
                </c:pt>
                <c:pt idx="25">
                  <c:v>36</c:v>
                </c:pt>
                <c:pt idx="26">
                  <c:v>35</c:v>
                </c:pt>
                <c:pt idx="27">
                  <c:v>31</c:v>
                </c:pt>
                <c:pt idx="28">
                  <c:v>24</c:v>
                </c:pt>
                <c:pt idx="29">
                  <c:v>28</c:v>
                </c:pt>
                <c:pt idx="30">
                  <c:v>28</c:v>
                </c:pt>
                <c:pt idx="31">
                  <c:v>31</c:v>
                </c:pt>
                <c:pt idx="32">
                  <c:v>25</c:v>
                </c:pt>
                <c:pt idx="33">
                  <c:v>28</c:v>
                </c:pt>
                <c:pt idx="34">
                  <c:v>20</c:v>
                </c:pt>
                <c:pt idx="35">
                  <c:v>23</c:v>
                </c:pt>
                <c:pt idx="36">
                  <c:v>22</c:v>
                </c:pt>
                <c:pt idx="37">
                  <c:v>12</c:v>
                </c:pt>
                <c:pt idx="38">
                  <c:v>26</c:v>
                </c:pt>
                <c:pt idx="39">
                  <c:v>22</c:v>
                </c:pt>
                <c:pt idx="40">
                  <c:v>26</c:v>
                </c:pt>
                <c:pt idx="41">
                  <c:v>16</c:v>
                </c:pt>
                <c:pt idx="42">
                  <c:v>39</c:v>
                </c:pt>
                <c:pt idx="43">
                  <c:v>24</c:v>
                </c:pt>
                <c:pt idx="44">
                  <c:v>19</c:v>
                </c:pt>
                <c:pt idx="45">
                  <c:v>13</c:v>
                </c:pt>
                <c:pt idx="46">
                  <c:v>16</c:v>
                </c:pt>
                <c:pt idx="47">
                  <c:v>13</c:v>
                </c:pt>
                <c:pt idx="48">
                  <c:v>14</c:v>
                </c:pt>
                <c:pt idx="49">
                  <c:v>15</c:v>
                </c:pt>
                <c:pt idx="50">
                  <c:v>18</c:v>
                </c:pt>
                <c:pt idx="51">
                  <c:v>21</c:v>
                </c:pt>
                <c:pt idx="52">
                  <c:v>23</c:v>
                </c:pt>
                <c:pt idx="53">
                  <c:v>15</c:v>
                </c:pt>
                <c:pt idx="54">
                  <c:v>17</c:v>
                </c:pt>
                <c:pt idx="55">
                  <c:v>21</c:v>
                </c:pt>
                <c:pt idx="56">
                  <c:v>19</c:v>
                </c:pt>
                <c:pt idx="57">
                  <c:v>19</c:v>
                </c:pt>
                <c:pt idx="58">
                  <c:v>14</c:v>
                </c:pt>
                <c:pt idx="59">
                  <c:v>14</c:v>
                </c:pt>
              </c:numCache>
            </c:numRef>
          </c:val>
          <c:smooth val="0"/>
          <c:extLst>
            <c:ext xmlns:c16="http://schemas.microsoft.com/office/drawing/2014/chart" uri="{C3380CC4-5D6E-409C-BE32-E72D297353CC}">
              <c16:uniqueId val="{00000002-3172-406E-BB40-8E38B43F2087}"/>
            </c:ext>
          </c:extLst>
        </c:ser>
        <c:ser>
          <c:idx val="3"/>
          <c:order val="3"/>
          <c:tx>
            <c:strRef>
              <c:f>product!$Y$1:$Y$2</c:f>
              <c:strCache>
                <c:ptCount val="1"/>
                <c:pt idx="0">
                  <c:v>Goserelin Bicalutamide 3 month</c:v>
                </c:pt>
              </c:strCache>
            </c:strRef>
          </c:tx>
          <c:spPr>
            <a:ln w="28575" cap="rnd">
              <a:solidFill>
                <a:schemeClr val="accent4"/>
              </a:solidFill>
              <a:round/>
            </a:ln>
            <a:effectLst/>
          </c:spPr>
          <c:marker>
            <c:symbol val="none"/>
          </c:marker>
          <c:cat>
            <c:strRef>
              <c:f>product!$U$3:$U$63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product!$Y$3:$Y$63</c:f>
              <c:numCache>
                <c:formatCode>General</c:formatCode>
                <c:ptCount val="60"/>
                <c:pt idx="0">
                  <c:v>365</c:v>
                </c:pt>
                <c:pt idx="1">
                  <c:v>379</c:v>
                </c:pt>
                <c:pt idx="2">
                  <c:v>404</c:v>
                </c:pt>
                <c:pt idx="3">
                  <c:v>397</c:v>
                </c:pt>
                <c:pt idx="4">
                  <c:v>449</c:v>
                </c:pt>
                <c:pt idx="5">
                  <c:v>415</c:v>
                </c:pt>
                <c:pt idx="6">
                  <c:v>417</c:v>
                </c:pt>
                <c:pt idx="7">
                  <c:v>408</c:v>
                </c:pt>
                <c:pt idx="8">
                  <c:v>400</c:v>
                </c:pt>
                <c:pt idx="9">
                  <c:v>400</c:v>
                </c:pt>
                <c:pt idx="10">
                  <c:v>388</c:v>
                </c:pt>
                <c:pt idx="11">
                  <c:v>449</c:v>
                </c:pt>
                <c:pt idx="12">
                  <c:v>322</c:v>
                </c:pt>
                <c:pt idx="13">
                  <c:v>387</c:v>
                </c:pt>
                <c:pt idx="14">
                  <c:v>380</c:v>
                </c:pt>
                <c:pt idx="15">
                  <c:v>343</c:v>
                </c:pt>
                <c:pt idx="16">
                  <c:v>418</c:v>
                </c:pt>
                <c:pt idx="17">
                  <c:v>358</c:v>
                </c:pt>
                <c:pt idx="18">
                  <c:v>379</c:v>
                </c:pt>
                <c:pt idx="19">
                  <c:v>397</c:v>
                </c:pt>
                <c:pt idx="20">
                  <c:v>372</c:v>
                </c:pt>
                <c:pt idx="21">
                  <c:v>358</c:v>
                </c:pt>
                <c:pt idx="22">
                  <c:v>392</c:v>
                </c:pt>
                <c:pt idx="23">
                  <c:v>401</c:v>
                </c:pt>
                <c:pt idx="24">
                  <c:v>307</c:v>
                </c:pt>
                <c:pt idx="25">
                  <c:v>403</c:v>
                </c:pt>
                <c:pt idx="26">
                  <c:v>396</c:v>
                </c:pt>
                <c:pt idx="27">
                  <c:v>394</c:v>
                </c:pt>
                <c:pt idx="28">
                  <c:v>446</c:v>
                </c:pt>
                <c:pt idx="29">
                  <c:v>398</c:v>
                </c:pt>
                <c:pt idx="30">
                  <c:v>382</c:v>
                </c:pt>
                <c:pt idx="31">
                  <c:v>462</c:v>
                </c:pt>
                <c:pt idx="32">
                  <c:v>386</c:v>
                </c:pt>
                <c:pt idx="33">
                  <c:v>368</c:v>
                </c:pt>
                <c:pt idx="34">
                  <c:v>413</c:v>
                </c:pt>
                <c:pt idx="35">
                  <c:v>466</c:v>
                </c:pt>
                <c:pt idx="36">
                  <c:v>331</c:v>
                </c:pt>
                <c:pt idx="37">
                  <c:v>333</c:v>
                </c:pt>
                <c:pt idx="38">
                  <c:v>437</c:v>
                </c:pt>
                <c:pt idx="39">
                  <c:v>326</c:v>
                </c:pt>
                <c:pt idx="40">
                  <c:v>407</c:v>
                </c:pt>
                <c:pt idx="41">
                  <c:v>376</c:v>
                </c:pt>
                <c:pt idx="42">
                  <c:v>381</c:v>
                </c:pt>
                <c:pt idx="43">
                  <c:v>391</c:v>
                </c:pt>
                <c:pt idx="44">
                  <c:v>406</c:v>
                </c:pt>
                <c:pt idx="45">
                  <c:v>376</c:v>
                </c:pt>
                <c:pt idx="46">
                  <c:v>363</c:v>
                </c:pt>
                <c:pt idx="47">
                  <c:v>396</c:v>
                </c:pt>
                <c:pt idx="48">
                  <c:v>316</c:v>
                </c:pt>
                <c:pt idx="49">
                  <c:v>318</c:v>
                </c:pt>
                <c:pt idx="50">
                  <c:v>318</c:v>
                </c:pt>
                <c:pt idx="51">
                  <c:v>279</c:v>
                </c:pt>
                <c:pt idx="52">
                  <c:v>385</c:v>
                </c:pt>
                <c:pt idx="53">
                  <c:v>295</c:v>
                </c:pt>
                <c:pt idx="54">
                  <c:v>304</c:v>
                </c:pt>
                <c:pt idx="55">
                  <c:v>313</c:v>
                </c:pt>
                <c:pt idx="56">
                  <c:v>281</c:v>
                </c:pt>
                <c:pt idx="57">
                  <c:v>299</c:v>
                </c:pt>
                <c:pt idx="58">
                  <c:v>317</c:v>
                </c:pt>
                <c:pt idx="59">
                  <c:v>327</c:v>
                </c:pt>
              </c:numCache>
            </c:numRef>
          </c:val>
          <c:smooth val="0"/>
          <c:extLst>
            <c:ext xmlns:c16="http://schemas.microsoft.com/office/drawing/2014/chart" uri="{C3380CC4-5D6E-409C-BE32-E72D297353CC}">
              <c16:uniqueId val="{00000003-3172-406E-BB40-8E38B43F2087}"/>
            </c:ext>
          </c:extLst>
        </c:ser>
        <c:ser>
          <c:idx val="4"/>
          <c:order val="4"/>
          <c:tx>
            <c:strRef>
              <c:f>product!$Z$1:$Z$2</c:f>
              <c:strCache>
                <c:ptCount val="1"/>
                <c:pt idx="0">
                  <c:v>Leuprorelin 1 month</c:v>
                </c:pt>
              </c:strCache>
            </c:strRef>
          </c:tx>
          <c:spPr>
            <a:ln w="28575" cap="rnd">
              <a:solidFill>
                <a:schemeClr val="accent5"/>
              </a:solidFill>
              <a:round/>
            </a:ln>
            <a:effectLst/>
          </c:spPr>
          <c:marker>
            <c:symbol val="none"/>
          </c:marker>
          <c:cat>
            <c:strRef>
              <c:f>product!$U$3:$U$63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product!$Z$3:$Z$63</c:f>
              <c:numCache>
                <c:formatCode>General</c:formatCode>
                <c:ptCount val="60"/>
                <c:pt idx="0">
                  <c:v>272</c:v>
                </c:pt>
                <c:pt idx="1">
                  <c:v>237</c:v>
                </c:pt>
                <c:pt idx="2">
                  <c:v>277</c:v>
                </c:pt>
                <c:pt idx="3">
                  <c:v>269</c:v>
                </c:pt>
                <c:pt idx="4">
                  <c:v>274</c:v>
                </c:pt>
                <c:pt idx="5">
                  <c:v>264</c:v>
                </c:pt>
                <c:pt idx="6">
                  <c:v>276</c:v>
                </c:pt>
                <c:pt idx="7">
                  <c:v>250</c:v>
                </c:pt>
                <c:pt idx="8">
                  <c:v>269</c:v>
                </c:pt>
                <c:pt idx="9">
                  <c:v>279</c:v>
                </c:pt>
                <c:pt idx="10">
                  <c:v>283</c:v>
                </c:pt>
                <c:pt idx="11">
                  <c:v>313</c:v>
                </c:pt>
                <c:pt idx="12">
                  <c:v>283</c:v>
                </c:pt>
                <c:pt idx="13">
                  <c:v>270</c:v>
                </c:pt>
                <c:pt idx="14">
                  <c:v>320</c:v>
                </c:pt>
                <c:pt idx="15">
                  <c:v>258</c:v>
                </c:pt>
                <c:pt idx="16">
                  <c:v>273</c:v>
                </c:pt>
                <c:pt idx="17">
                  <c:v>266</c:v>
                </c:pt>
                <c:pt idx="18">
                  <c:v>275</c:v>
                </c:pt>
                <c:pt idx="19">
                  <c:v>272</c:v>
                </c:pt>
                <c:pt idx="20">
                  <c:v>258</c:v>
                </c:pt>
                <c:pt idx="21">
                  <c:v>292</c:v>
                </c:pt>
                <c:pt idx="22">
                  <c:v>254</c:v>
                </c:pt>
                <c:pt idx="23">
                  <c:v>295</c:v>
                </c:pt>
                <c:pt idx="24">
                  <c:v>231</c:v>
                </c:pt>
                <c:pt idx="25">
                  <c:v>243</c:v>
                </c:pt>
                <c:pt idx="26">
                  <c:v>271</c:v>
                </c:pt>
                <c:pt idx="27">
                  <c:v>235</c:v>
                </c:pt>
                <c:pt idx="28">
                  <c:v>264</c:v>
                </c:pt>
                <c:pt idx="29">
                  <c:v>273</c:v>
                </c:pt>
                <c:pt idx="30">
                  <c:v>261</c:v>
                </c:pt>
                <c:pt idx="31">
                  <c:v>263</c:v>
                </c:pt>
                <c:pt idx="32">
                  <c:v>271</c:v>
                </c:pt>
                <c:pt idx="33">
                  <c:v>246</c:v>
                </c:pt>
                <c:pt idx="34">
                  <c:v>283</c:v>
                </c:pt>
                <c:pt idx="35">
                  <c:v>257</c:v>
                </c:pt>
                <c:pt idx="36">
                  <c:v>238</c:v>
                </c:pt>
                <c:pt idx="37">
                  <c:v>247</c:v>
                </c:pt>
                <c:pt idx="38">
                  <c:v>283</c:v>
                </c:pt>
                <c:pt idx="39">
                  <c:v>255</c:v>
                </c:pt>
                <c:pt idx="40">
                  <c:v>288</c:v>
                </c:pt>
                <c:pt idx="41">
                  <c:v>265</c:v>
                </c:pt>
                <c:pt idx="42">
                  <c:v>287</c:v>
                </c:pt>
                <c:pt idx="43">
                  <c:v>298</c:v>
                </c:pt>
                <c:pt idx="44">
                  <c:v>248</c:v>
                </c:pt>
                <c:pt idx="45">
                  <c:v>275</c:v>
                </c:pt>
                <c:pt idx="46">
                  <c:v>305</c:v>
                </c:pt>
                <c:pt idx="47">
                  <c:v>290</c:v>
                </c:pt>
                <c:pt idx="48">
                  <c:v>282</c:v>
                </c:pt>
                <c:pt idx="49">
                  <c:v>250</c:v>
                </c:pt>
                <c:pt idx="50">
                  <c:v>287</c:v>
                </c:pt>
                <c:pt idx="51">
                  <c:v>283</c:v>
                </c:pt>
                <c:pt idx="52">
                  <c:v>303</c:v>
                </c:pt>
                <c:pt idx="53">
                  <c:v>276</c:v>
                </c:pt>
                <c:pt idx="54">
                  <c:v>293</c:v>
                </c:pt>
                <c:pt idx="55">
                  <c:v>296</c:v>
                </c:pt>
                <c:pt idx="56">
                  <c:v>265</c:v>
                </c:pt>
                <c:pt idx="57">
                  <c:v>351</c:v>
                </c:pt>
                <c:pt idx="58">
                  <c:v>322</c:v>
                </c:pt>
                <c:pt idx="59">
                  <c:v>316</c:v>
                </c:pt>
              </c:numCache>
            </c:numRef>
          </c:val>
          <c:smooth val="0"/>
          <c:extLst>
            <c:ext xmlns:c16="http://schemas.microsoft.com/office/drawing/2014/chart" uri="{C3380CC4-5D6E-409C-BE32-E72D297353CC}">
              <c16:uniqueId val="{00000004-3172-406E-BB40-8E38B43F2087}"/>
            </c:ext>
          </c:extLst>
        </c:ser>
        <c:ser>
          <c:idx val="5"/>
          <c:order val="5"/>
          <c:tx>
            <c:strRef>
              <c:f>product!$AA$1:$AA$2</c:f>
              <c:strCache>
                <c:ptCount val="1"/>
                <c:pt idx="0">
                  <c:v>Leuprorelin 3 month</c:v>
                </c:pt>
              </c:strCache>
            </c:strRef>
          </c:tx>
          <c:spPr>
            <a:ln w="28575" cap="rnd">
              <a:solidFill>
                <a:schemeClr val="accent6"/>
              </a:solidFill>
              <a:round/>
            </a:ln>
            <a:effectLst/>
          </c:spPr>
          <c:marker>
            <c:symbol val="none"/>
          </c:marker>
          <c:cat>
            <c:strRef>
              <c:f>product!$U$3:$U$63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product!$AA$3:$AA$63</c:f>
              <c:numCache>
                <c:formatCode>General</c:formatCode>
                <c:ptCount val="60"/>
                <c:pt idx="0">
                  <c:v>1309</c:v>
                </c:pt>
                <c:pt idx="1">
                  <c:v>1491</c:v>
                </c:pt>
                <c:pt idx="2">
                  <c:v>1369</c:v>
                </c:pt>
                <c:pt idx="3">
                  <c:v>1316</c:v>
                </c:pt>
                <c:pt idx="4">
                  <c:v>1626</c:v>
                </c:pt>
                <c:pt idx="5">
                  <c:v>1434</c:v>
                </c:pt>
                <c:pt idx="6">
                  <c:v>1371</c:v>
                </c:pt>
                <c:pt idx="7">
                  <c:v>1586</c:v>
                </c:pt>
                <c:pt idx="8">
                  <c:v>1364</c:v>
                </c:pt>
                <c:pt idx="9">
                  <c:v>1467</c:v>
                </c:pt>
                <c:pt idx="10">
                  <c:v>1556</c:v>
                </c:pt>
                <c:pt idx="11">
                  <c:v>1601</c:v>
                </c:pt>
                <c:pt idx="12">
                  <c:v>1253</c:v>
                </c:pt>
                <c:pt idx="13">
                  <c:v>1500</c:v>
                </c:pt>
                <c:pt idx="14">
                  <c:v>1512</c:v>
                </c:pt>
                <c:pt idx="15">
                  <c:v>1403</c:v>
                </c:pt>
                <c:pt idx="16">
                  <c:v>1578</c:v>
                </c:pt>
                <c:pt idx="17">
                  <c:v>1540</c:v>
                </c:pt>
                <c:pt idx="18">
                  <c:v>1482</c:v>
                </c:pt>
                <c:pt idx="19">
                  <c:v>1596</c:v>
                </c:pt>
                <c:pt idx="20">
                  <c:v>1598</c:v>
                </c:pt>
                <c:pt idx="21">
                  <c:v>1464</c:v>
                </c:pt>
                <c:pt idx="22">
                  <c:v>1733</c:v>
                </c:pt>
                <c:pt idx="23">
                  <c:v>1756</c:v>
                </c:pt>
                <c:pt idx="24">
                  <c:v>1347</c:v>
                </c:pt>
                <c:pt idx="25">
                  <c:v>1596</c:v>
                </c:pt>
                <c:pt idx="26">
                  <c:v>1641</c:v>
                </c:pt>
                <c:pt idx="27">
                  <c:v>1499</c:v>
                </c:pt>
                <c:pt idx="28">
                  <c:v>1744</c:v>
                </c:pt>
                <c:pt idx="29">
                  <c:v>1639</c:v>
                </c:pt>
                <c:pt idx="30">
                  <c:v>1569</c:v>
                </c:pt>
                <c:pt idx="31">
                  <c:v>1931</c:v>
                </c:pt>
                <c:pt idx="32">
                  <c:v>1728</c:v>
                </c:pt>
                <c:pt idx="33">
                  <c:v>1707</c:v>
                </c:pt>
                <c:pt idx="34">
                  <c:v>1927</c:v>
                </c:pt>
                <c:pt idx="35">
                  <c:v>1925</c:v>
                </c:pt>
                <c:pt idx="36">
                  <c:v>1638</c:v>
                </c:pt>
                <c:pt idx="37">
                  <c:v>1749</c:v>
                </c:pt>
                <c:pt idx="38">
                  <c:v>1894</c:v>
                </c:pt>
                <c:pt idx="39">
                  <c:v>1630</c:v>
                </c:pt>
                <c:pt idx="40">
                  <c:v>2071</c:v>
                </c:pt>
                <c:pt idx="41">
                  <c:v>1918</c:v>
                </c:pt>
                <c:pt idx="42">
                  <c:v>1837</c:v>
                </c:pt>
                <c:pt idx="43">
                  <c:v>2122</c:v>
                </c:pt>
                <c:pt idx="44">
                  <c:v>1884</c:v>
                </c:pt>
                <c:pt idx="45">
                  <c:v>1925</c:v>
                </c:pt>
                <c:pt idx="46">
                  <c:v>2124</c:v>
                </c:pt>
                <c:pt idx="47">
                  <c:v>2053</c:v>
                </c:pt>
                <c:pt idx="48">
                  <c:v>1877</c:v>
                </c:pt>
                <c:pt idx="49">
                  <c:v>1943</c:v>
                </c:pt>
                <c:pt idx="50">
                  <c:v>2014</c:v>
                </c:pt>
                <c:pt idx="51">
                  <c:v>1911</c:v>
                </c:pt>
                <c:pt idx="52">
                  <c:v>2326</c:v>
                </c:pt>
                <c:pt idx="53">
                  <c:v>1935</c:v>
                </c:pt>
                <c:pt idx="54">
                  <c:v>2097</c:v>
                </c:pt>
                <c:pt idx="55">
                  <c:v>2234</c:v>
                </c:pt>
                <c:pt idx="56">
                  <c:v>2037</c:v>
                </c:pt>
                <c:pt idx="57">
                  <c:v>2227</c:v>
                </c:pt>
                <c:pt idx="58">
                  <c:v>2377</c:v>
                </c:pt>
                <c:pt idx="59">
                  <c:v>2225</c:v>
                </c:pt>
              </c:numCache>
            </c:numRef>
          </c:val>
          <c:smooth val="0"/>
          <c:extLst>
            <c:ext xmlns:c16="http://schemas.microsoft.com/office/drawing/2014/chart" uri="{C3380CC4-5D6E-409C-BE32-E72D297353CC}">
              <c16:uniqueId val="{00000005-3172-406E-BB40-8E38B43F2087}"/>
            </c:ext>
          </c:extLst>
        </c:ser>
        <c:ser>
          <c:idx val="6"/>
          <c:order val="6"/>
          <c:tx>
            <c:strRef>
              <c:f>product!$AB$1:$AB$2</c:f>
              <c:strCache>
                <c:ptCount val="1"/>
                <c:pt idx="0">
                  <c:v>Leuprorelin 4 month</c:v>
                </c:pt>
              </c:strCache>
            </c:strRef>
          </c:tx>
          <c:spPr>
            <a:ln w="28575" cap="rnd">
              <a:solidFill>
                <a:schemeClr val="accent1">
                  <a:lumMod val="60000"/>
                </a:schemeClr>
              </a:solidFill>
              <a:round/>
            </a:ln>
            <a:effectLst/>
          </c:spPr>
          <c:marker>
            <c:symbol val="none"/>
          </c:marker>
          <c:cat>
            <c:strRef>
              <c:f>product!$U$3:$U$63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product!$AB$3:$AB$63</c:f>
              <c:numCache>
                <c:formatCode>General</c:formatCode>
                <c:ptCount val="60"/>
                <c:pt idx="0">
                  <c:v>685</c:v>
                </c:pt>
                <c:pt idx="1">
                  <c:v>872</c:v>
                </c:pt>
                <c:pt idx="2">
                  <c:v>937</c:v>
                </c:pt>
                <c:pt idx="3">
                  <c:v>784</c:v>
                </c:pt>
                <c:pt idx="4">
                  <c:v>839</c:v>
                </c:pt>
                <c:pt idx="5">
                  <c:v>859</c:v>
                </c:pt>
                <c:pt idx="6">
                  <c:v>905</c:v>
                </c:pt>
                <c:pt idx="7">
                  <c:v>808</c:v>
                </c:pt>
                <c:pt idx="8">
                  <c:v>747</c:v>
                </c:pt>
                <c:pt idx="9">
                  <c:v>907</c:v>
                </c:pt>
                <c:pt idx="10">
                  <c:v>894</c:v>
                </c:pt>
                <c:pt idx="11">
                  <c:v>906</c:v>
                </c:pt>
                <c:pt idx="12">
                  <c:v>690</c:v>
                </c:pt>
                <c:pt idx="13">
                  <c:v>832</c:v>
                </c:pt>
                <c:pt idx="14">
                  <c:v>896</c:v>
                </c:pt>
                <c:pt idx="15">
                  <c:v>777</c:v>
                </c:pt>
                <c:pt idx="16">
                  <c:v>730</c:v>
                </c:pt>
                <c:pt idx="17">
                  <c:v>815</c:v>
                </c:pt>
                <c:pt idx="18">
                  <c:v>921</c:v>
                </c:pt>
                <c:pt idx="19">
                  <c:v>832</c:v>
                </c:pt>
                <c:pt idx="20">
                  <c:v>781</c:v>
                </c:pt>
                <c:pt idx="21">
                  <c:v>825</c:v>
                </c:pt>
                <c:pt idx="22">
                  <c:v>907</c:v>
                </c:pt>
                <c:pt idx="23">
                  <c:v>943</c:v>
                </c:pt>
                <c:pt idx="24">
                  <c:v>626</c:v>
                </c:pt>
                <c:pt idx="25">
                  <c:v>829</c:v>
                </c:pt>
                <c:pt idx="26">
                  <c:v>821</c:v>
                </c:pt>
                <c:pt idx="27">
                  <c:v>730</c:v>
                </c:pt>
                <c:pt idx="28">
                  <c:v>743</c:v>
                </c:pt>
                <c:pt idx="29">
                  <c:v>717</c:v>
                </c:pt>
                <c:pt idx="30">
                  <c:v>743</c:v>
                </c:pt>
                <c:pt idx="31">
                  <c:v>768</c:v>
                </c:pt>
                <c:pt idx="32">
                  <c:v>692</c:v>
                </c:pt>
                <c:pt idx="33">
                  <c:v>759</c:v>
                </c:pt>
                <c:pt idx="34">
                  <c:v>746</c:v>
                </c:pt>
                <c:pt idx="35">
                  <c:v>754</c:v>
                </c:pt>
                <c:pt idx="36">
                  <c:v>622</c:v>
                </c:pt>
                <c:pt idx="37">
                  <c:v>677</c:v>
                </c:pt>
                <c:pt idx="38">
                  <c:v>751</c:v>
                </c:pt>
                <c:pt idx="39">
                  <c:v>600</c:v>
                </c:pt>
                <c:pt idx="40">
                  <c:v>685</c:v>
                </c:pt>
                <c:pt idx="41">
                  <c:v>684</c:v>
                </c:pt>
                <c:pt idx="42">
                  <c:v>679</c:v>
                </c:pt>
                <c:pt idx="43">
                  <c:v>643</c:v>
                </c:pt>
                <c:pt idx="44">
                  <c:v>601</c:v>
                </c:pt>
                <c:pt idx="45">
                  <c:v>693</c:v>
                </c:pt>
                <c:pt idx="46">
                  <c:v>707</c:v>
                </c:pt>
                <c:pt idx="47">
                  <c:v>669</c:v>
                </c:pt>
                <c:pt idx="48">
                  <c:v>596</c:v>
                </c:pt>
                <c:pt idx="49">
                  <c:v>601</c:v>
                </c:pt>
                <c:pt idx="50">
                  <c:v>692</c:v>
                </c:pt>
                <c:pt idx="51">
                  <c:v>600</c:v>
                </c:pt>
                <c:pt idx="52">
                  <c:v>640</c:v>
                </c:pt>
                <c:pt idx="53">
                  <c:v>595</c:v>
                </c:pt>
                <c:pt idx="54">
                  <c:v>614</c:v>
                </c:pt>
                <c:pt idx="55">
                  <c:v>618</c:v>
                </c:pt>
                <c:pt idx="56">
                  <c:v>582</c:v>
                </c:pt>
                <c:pt idx="57">
                  <c:v>611</c:v>
                </c:pt>
                <c:pt idx="58">
                  <c:v>640</c:v>
                </c:pt>
                <c:pt idx="59">
                  <c:v>582</c:v>
                </c:pt>
              </c:numCache>
            </c:numRef>
          </c:val>
          <c:smooth val="0"/>
          <c:extLst>
            <c:ext xmlns:c16="http://schemas.microsoft.com/office/drawing/2014/chart" uri="{C3380CC4-5D6E-409C-BE32-E72D297353CC}">
              <c16:uniqueId val="{00000006-3172-406E-BB40-8E38B43F2087}"/>
            </c:ext>
          </c:extLst>
        </c:ser>
        <c:ser>
          <c:idx val="7"/>
          <c:order val="7"/>
          <c:tx>
            <c:strRef>
              <c:f>product!$AC$1:$AC$2</c:f>
              <c:strCache>
                <c:ptCount val="1"/>
                <c:pt idx="0">
                  <c:v>Leuprorelin 6 month</c:v>
                </c:pt>
              </c:strCache>
            </c:strRef>
          </c:tx>
          <c:spPr>
            <a:ln w="28575" cap="rnd">
              <a:solidFill>
                <a:schemeClr val="accent2">
                  <a:lumMod val="60000"/>
                </a:schemeClr>
              </a:solidFill>
              <a:round/>
            </a:ln>
            <a:effectLst/>
          </c:spPr>
          <c:marker>
            <c:symbol val="none"/>
          </c:marker>
          <c:cat>
            <c:strRef>
              <c:f>product!$U$3:$U$63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product!$AC$3:$AC$63</c:f>
              <c:numCache>
                <c:formatCode>General</c:formatCode>
                <c:ptCount val="60"/>
                <c:pt idx="0">
                  <c:v>199</c:v>
                </c:pt>
                <c:pt idx="1">
                  <c:v>253</c:v>
                </c:pt>
                <c:pt idx="2">
                  <c:v>310</c:v>
                </c:pt>
                <c:pt idx="3">
                  <c:v>280</c:v>
                </c:pt>
                <c:pt idx="4">
                  <c:v>336</c:v>
                </c:pt>
                <c:pt idx="5">
                  <c:v>275</c:v>
                </c:pt>
                <c:pt idx="6">
                  <c:v>267</c:v>
                </c:pt>
                <c:pt idx="7">
                  <c:v>274</c:v>
                </c:pt>
                <c:pt idx="8">
                  <c:v>297</c:v>
                </c:pt>
                <c:pt idx="9">
                  <c:v>321</c:v>
                </c:pt>
                <c:pt idx="10">
                  <c:v>300</c:v>
                </c:pt>
                <c:pt idx="11">
                  <c:v>316</c:v>
                </c:pt>
                <c:pt idx="12">
                  <c:v>226</c:v>
                </c:pt>
                <c:pt idx="13">
                  <c:v>288</c:v>
                </c:pt>
                <c:pt idx="14">
                  <c:v>354</c:v>
                </c:pt>
                <c:pt idx="15">
                  <c:v>302</c:v>
                </c:pt>
                <c:pt idx="16">
                  <c:v>321</c:v>
                </c:pt>
                <c:pt idx="17">
                  <c:v>306</c:v>
                </c:pt>
                <c:pt idx="18">
                  <c:v>258</c:v>
                </c:pt>
                <c:pt idx="19">
                  <c:v>294</c:v>
                </c:pt>
                <c:pt idx="20">
                  <c:v>330</c:v>
                </c:pt>
                <c:pt idx="21">
                  <c:v>326</c:v>
                </c:pt>
                <c:pt idx="22">
                  <c:v>367</c:v>
                </c:pt>
                <c:pt idx="23">
                  <c:v>296</c:v>
                </c:pt>
                <c:pt idx="24">
                  <c:v>273</c:v>
                </c:pt>
                <c:pt idx="25">
                  <c:v>333</c:v>
                </c:pt>
                <c:pt idx="26">
                  <c:v>392</c:v>
                </c:pt>
                <c:pt idx="27">
                  <c:v>389</c:v>
                </c:pt>
                <c:pt idx="28">
                  <c:v>441</c:v>
                </c:pt>
                <c:pt idx="29">
                  <c:v>395</c:v>
                </c:pt>
                <c:pt idx="30">
                  <c:v>364</c:v>
                </c:pt>
                <c:pt idx="31">
                  <c:v>437</c:v>
                </c:pt>
                <c:pt idx="32">
                  <c:v>480</c:v>
                </c:pt>
                <c:pt idx="33">
                  <c:v>452</c:v>
                </c:pt>
                <c:pt idx="34">
                  <c:v>563</c:v>
                </c:pt>
                <c:pt idx="35">
                  <c:v>474</c:v>
                </c:pt>
                <c:pt idx="36">
                  <c:v>403</c:v>
                </c:pt>
                <c:pt idx="37">
                  <c:v>487</c:v>
                </c:pt>
                <c:pt idx="38">
                  <c:v>560</c:v>
                </c:pt>
                <c:pt idx="39">
                  <c:v>496</c:v>
                </c:pt>
                <c:pt idx="40">
                  <c:v>575</c:v>
                </c:pt>
                <c:pt idx="41">
                  <c:v>511</c:v>
                </c:pt>
                <c:pt idx="42">
                  <c:v>429</c:v>
                </c:pt>
                <c:pt idx="43">
                  <c:v>537</c:v>
                </c:pt>
                <c:pt idx="44">
                  <c:v>494</c:v>
                </c:pt>
                <c:pt idx="45">
                  <c:v>591</c:v>
                </c:pt>
                <c:pt idx="46">
                  <c:v>684</c:v>
                </c:pt>
                <c:pt idx="47">
                  <c:v>545</c:v>
                </c:pt>
                <c:pt idx="48">
                  <c:v>532</c:v>
                </c:pt>
                <c:pt idx="49">
                  <c:v>558</c:v>
                </c:pt>
                <c:pt idx="50">
                  <c:v>588</c:v>
                </c:pt>
                <c:pt idx="51">
                  <c:v>583</c:v>
                </c:pt>
                <c:pt idx="52">
                  <c:v>727</c:v>
                </c:pt>
                <c:pt idx="53">
                  <c:v>583</c:v>
                </c:pt>
                <c:pt idx="54">
                  <c:v>518</c:v>
                </c:pt>
                <c:pt idx="55">
                  <c:v>607</c:v>
                </c:pt>
                <c:pt idx="56">
                  <c:v>605</c:v>
                </c:pt>
                <c:pt idx="57">
                  <c:v>610</c:v>
                </c:pt>
                <c:pt idx="58">
                  <c:v>735</c:v>
                </c:pt>
                <c:pt idx="59">
                  <c:v>621</c:v>
                </c:pt>
              </c:numCache>
            </c:numRef>
          </c:val>
          <c:smooth val="0"/>
          <c:extLst>
            <c:ext xmlns:c16="http://schemas.microsoft.com/office/drawing/2014/chart" uri="{C3380CC4-5D6E-409C-BE32-E72D297353CC}">
              <c16:uniqueId val="{00000007-3172-406E-BB40-8E38B43F2087}"/>
            </c:ext>
          </c:extLst>
        </c:ser>
        <c:ser>
          <c:idx val="8"/>
          <c:order val="8"/>
          <c:tx>
            <c:strRef>
              <c:f>product!$AD$1:$AD$2</c:f>
              <c:strCache>
                <c:ptCount val="1"/>
                <c:pt idx="0">
                  <c:v>Leuprorelin Bicalutamide 1 month</c:v>
                </c:pt>
              </c:strCache>
            </c:strRef>
          </c:tx>
          <c:spPr>
            <a:ln w="28575" cap="rnd">
              <a:solidFill>
                <a:schemeClr val="accent3">
                  <a:lumMod val="60000"/>
                </a:schemeClr>
              </a:solidFill>
              <a:round/>
            </a:ln>
            <a:effectLst/>
          </c:spPr>
          <c:marker>
            <c:symbol val="none"/>
          </c:marker>
          <c:cat>
            <c:strRef>
              <c:f>product!$U$3:$U$63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product!$AD$3:$AD$63</c:f>
              <c:numCache>
                <c:formatCode>General</c:formatCode>
                <c:ptCount val="60"/>
                <c:pt idx="37">
                  <c:v>1</c:v>
                </c:pt>
                <c:pt idx="39">
                  <c:v>1</c:v>
                </c:pt>
                <c:pt idx="40">
                  <c:v>2</c:v>
                </c:pt>
                <c:pt idx="41">
                  <c:v>1</c:v>
                </c:pt>
                <c:pt idx="42">
                  <c:v>1</c:v>
                </c:pt>
                <c:pt idx="43">
                  <c:v>5</c:v>
                </c:pt>
                <c:pt idx="44">
                  <c:v>2</c:v>
                </c:pt>
                <c:pt idx="45">
                  <c:v>2</c:v>
                </c:pt>
                <c:pt idx="46">
                  <c:v>3</c:v>
                </c:pt>
                <c:pt idx="47">
                  <c:v>3</c:v>
                </c:pt>
                <c:pt idx="48">
                  <c:v>1</c:v>
                </c:pt>
                <c:pt idx="49">
                  <c:v>2</c:v>
                </c:pt>
                <c:pt idx="50">
                  <c:v>1</c:v>
                </c:pt>
                <c:pt idx="51">
                  <c:v>2</c:v>
                </c:pt>
                <c:pt idx="52">
                  <c:v>2</c:v>
                </c:pt>
                <c:pt idx="53">
                  <c:v>5</c:v>
                </c:pt>
                <c:pt idx="54">
                  <c:v>3</c:v>
                </c:pt>
                <c:pt idx="55">
                  <c:v>2</c:v>
                </c:pt>
                <c:pt idx="56">
                  <c:v>1</c:v>
                </c:pt>
                <c:pt idx="57">
                  <c:v>2</c:v>
                </c:pt>
                <c:pt idx="58">
                  <c:v>2</c:v>
                </c:pt>
                <c:pt idx="59">
                  <c:v>1</c:v>
                </c:pt>
              </c:numCache>
            </c:numRef>
          </c:val>
          <c:smooth val="0"/>
          <c:extLst>
            <c:ext xmlns:c16="http://schemas.microsoft.com/office/drawing/2014/chart" uri="{C3380CC4-5D6E-409C-BE32-E72D297353CC}">
              <c16:uniqueId val="{00000008-3172-406E-BB40-8E38B43F2087}"/>
            </c:ext>
          </c:extLst>
        </c:ser>
        <c:ser>
          <c:idx val="9"/>
          <c:order val="9"/>
          <c:tx>
            <c:strRef>
              <c:f>product!$AE$1:$AE$2</c:f>
              <c:strCache>
                <c:ptCount val="1"/>
                <c:pt idx="0">
                  <c:v>Leuprorelin Bicalutamide 3 month</c:v>
                </c:pt>
              </c:strCache>
            </c:strRef>
          </c:tx>
          <c:spPr>
            <a:ln w="28575" cap="rnd">
              <a:solidFill>
                <a:schemeClr val="accent4">
                  <a:lumMod val="60000"/>
                </a:schemeClr>
              </a:solidFill>
              <a:round/>
            </a:ln>
            <a:effectLst/>
          </c:spPr>
          <c:marker>
            <c:symbol val="none"/>
          </c:marker>
          <c:cat>
            <c:strRef>
              <c:f>product!$U$3:$U$63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product!$AE$3:$AE$63</c:f>
              <c:numCache>
                <c:formatCode>General</c:formatCode>
                <c:ptCount val="60"/>
                <c:pt idx="35">
                  <c:v>1</c:v>
                </c:pt>
                <c:pt idx="36">
                  <c:v>4</c:v>
                </c:pt>
                <c:pt idx="37">
                  <c:v>22</c:v>
                </c:pt>
                <c:pt idx="38">
                  <c:v>11</c:v>
                </c:pt>
                <c:pt idx="39">
                  <c:v>21</c:v>
                </c:pt>
                <c:pt idx="40">
                  <c:v>42</c:v>
                </c:pt>
                <c:pt idx="41">
                  <c:v>26</c:v>
                </c:pt>
                <c:pt idx="42">
                  <c:v>28</c:v>
                </c:pt>
                <c:pt idx="43">
                  <c:v>39</c:v>
                </c:pt>
                <c:pt idx="44">
                  <c:v>46</c:v>
                </c:pt>
                <c:pt idx="45">
                  <c:v>38</c:v>
                </c:pt>
                <c:pt idx="46">
                  <c:v>33</c:v>
                </c:pt>
                <c:pt idx="47">
                  <c:v>45</c:v>
                </c:pt>
                <c:pt idx="48">
                  <c:v>33</c:v>
                </c:pt>
                <c:pt idx="49">
                  <c:v>47</c:v>
                </c:pt>
                <c:pt idx="50">
                  <c:v>46</c:v>
                </c:pt>
                <c:pt idx="51">
                  <c:v>49</c:v>
                </c:pt>
                <c:pt idx="52">
                  <c:v>46</c:v>
                </c:pt>
                <c:pt idx="53">
                  <c:v>40</c:v>
                </c:pt>
                <c:pt idx="54">
                  <c:v>36</c:v>
                </c:pt>
                <c:pt idx="55">
                  <c:v>40</c:v>
                </c:pt>
                <c:pt idx="56">
                  <c:v>37</c:v>
                </c:pt>
                <c:pt idx="57">
                  <c:v>33</c:v>
                </c:pt>
                <c:pt idx="58">
                  <c:v>42</c:v>
                </c:pt>
                <c:pt idx="59">
                  <c:v>39</c:v>
                </c:pt>
              </c:numCache>
            </c:numRef>
          </c:val>
          <c:smooth val="0"/>
          <c:extLst>
            <c:ext xmlns:c16="http://schemas.microsoft.com/office/drawing/2014/chart" uri="{C3380CC4-5D6E-409C-BE32-E72D297353CC}">
              <c16:uniqueId val="{00000009-3172-406E-BB40-8E38B43F2087}"/>
            </c:ext>
          </c:extLst>
        </c:ser>
        <c:ser>
          <c:idx val="10"/>
          <c:order val="10"/>
          <c:tx>
            <c:strRef>
              <c:f>product!$AF$1:$AF$2</c:f>
              <c:strCache>
                <c:ptCount val="1"/>
                <c:pt idx="0">
                  <c:v>Leuprorelin Paediatric</c:v>
                </c:pt>
              </c:strCache>
            </c:strRef>
          </c:tx>
          <c:spPr>
            <a:ln w="28575" cap="rnd">
              <a:solidFill>
                <a:schemeClr val="accent5">
                  <a:lumMod val="60000"/>
                </a:schemeClr>
              </a:solidFill>
              <a:round/>
            </a:ln>
            <a:effectLst/>
          </c:spPr>
          <c:marker>
            <c:symbol val="none"/>
          </c:marker>
          <c:cat>
            <c:strRef>
              <c:f>product!$U$3:$U$63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product!$AF$3:$AF$63</c:f>
              <c:numCache>
                <c:formatCode>General</c:formatCode>
                <c:ptCount val="60"/>
                <c:pt idx="16">
                  <c:v>28</c:v>
                </c:pt>
                <c:pt idx="17">
                  <c:v>65</c:v>
                </c:pt>
                <c:pt idx="18">
                  <c:v>73</c:v>
                </c:pt>
                <c:pt idx="19">
                  <c:v>100</c:v>
                </c:pt>
                <c:pt idx="20">
                  <c:v>94</c:v>
                </c:pt>
                <c:pt idx="21">
                  <c:v>92</c:v>
                </c:pt>
                <c:pt idx="22">
                  <c:v>95</c:v>
                </c:pt>
                <c:pt idx="23">
                  <c:v>129</c:v>
                </c:pt>
                <c:pt idx="24">
                  <c:v>94</c:v>
                </c:pt>
                <c:pt idx="25">
                  <c:v>128</c:v>
                </c:pt>
                <c:pt idx="26">
                  <c:v>105</c:v>
                </c:pt>
                <c:pt idx="27">
                  <c:v>122</c:v>
                </c:pt>
                <c:pt idx="28">
                  <c:v>118</c:v>
                </c:pt>
                <c:pt idx="29">
                  <c:v>114</c:v>
                </c:pt>
                <c:pt idx="30">
                  <c:v>136</c:v>
                </c:pt>
                <c:pt idx="31">
                  <c:v>122</c:v>
                </c:pt>
                <c:pt idx="32">
                  <c:v>128</c:v>
                </c:pt>
                <c:pt idx="33">
                  <c:v>137</c:v>
                </c:pt>
                <c:pt idx="34">
                  <c:v>127</c:v>
                </c:pt>
                <c:pt idx="35">
                  <c:v>127</c:v>
                </c:pt>
                <c:pt idx="36">
                  <c:v>141</c:v>
                </c:pt>
                <c:pt idx="37">
                  <c:v>124</c:v>
                </c:pt>
                <c:pt idx="38">
                  <c:v>149</c:v>
                </c:pt>
                <c:pt idx="39">
                  <c:v>137</c:v>
                </c:pt>
                <c:pt idx="40">
                  <c:v>163</c:v>
                </c:pt>
                <c:pt idx="41">
                  <c:v>149</c:v>
                </c:pt>
                <c:pt idx="42">
                  <c:v>138</c:v>
                </c:pt>
                <c:pt idx="43">
                  <c:v>166</c:v>
                </c:pt>
                <c:pt idx="44">
                  <c:v>161</c:v>
                </c:pt>
                <c:pt idx="45">
                  <c:v>152</c:v>
                </c:pt>
                <c:pt idx="46">
                  <c:v>161</c:v>
                </c:pt>
                <c:pt idx="47">
                  <c:v>169</c:v>
                </c:pt>
                <c:pt idx="48">
                  <c:v>157</c:v>
                </c:pt>
                <c:pt idx="49">
                  <c:v>161</c:v>
                </c:pt>
                <c:pt idx="50">
                  <c:v>159</c:v>
                </c:pt>
                <c:pt idx="51">
                  <c:v>158</c:v>
                </c:pt>
                <c:pt idx="52">
                  <c:v>186</c:v>
                </c:pt>
                <c:pt idx="53">
                  <c:v>142</c:v>
                </c:pt>
                <c:pt idx="54">
                  <c:v>164</c:v>
                </c:pt>
                <c:pt idx="55">
                  <c:v>187</c:v>
                </c:pt>
                <c:pt idx="56">
                  <c:v>146</c:v>
                </c:pt>
                <c:pt idx="57">
                  <c:v>182</c:v>
                </c:pt>
                <c:pt idx="58">
                  <c:v>191</c:v>
                </c:pt>
                <c:pt idx="59">
                  <c:v>175</c:v>
                </c:pt>
              </c:numCache>
            </c:numRef>
          </c:val>
          <c:smooth val="0"/>
          <c:extLst>
            <c:ext xmlns:c16="http://schemas.microsoft.com/office/drawing/2014/chart" uri="{C3380CC4-5D6E-409C-BE32-E72D297353CC}">
              <c16:uniqueId val="{0000000A-3172-406E-BB40-8E38B43F2087}"/>
            </c:ext>
          </c:extLst>
        </c:ser>
        <c:ser>
          <c:idx val="11"/>
          <c:order val="11"/>
          <c:tx>
            <c:strRef>
              <c:f>product!$AG$1:$AG$2</c:f>
              <c:strCache>
                <c:ptCount val="1"/>
                <c:pt idx="0">
                  <c:v>Nafarelin</c:v>
                </c:pt>
              </c:strCache>
            </c:strRef>
          </c:tx>
          <c:spPr>
            <a:ln w="28575" cap="rnd">
              <a:solidFill>
                <a:schemeClr val="accent6">
                  <a:lumMod val="60000"/>
                </a:schemeClr>
              </a:solidFill>
              <a:round/>
            </a:ln>
            <a:effectLst/>
          </c:spPr>
          <c:marker>
            <c:symbol val="none"/>
          </c:marker>
          <c:cat>
            <c:strRef>
              <c:f>product!$U$3:$U$63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product!$AG$3:$AG$63</c:f>
              <c:numCache>
                <c:formatCode>General</c:formatCode>
                <c:ptCount val="60"/>
                <c:pt idx="0">
                  <c:v>91</c:v>
                </c:pt>
                <c:pt idx="1">
                  <c:v>101</c:v>
                </c:pt>
                <c:pt idx="2">
                  <c:v>88</c:v>
                </c:pt>
                <c:pt idx="3">
                  <c:v>101</c:v>
                </c:pt>
                <c:pt idx="4">
                  <c:v>85</c:v>
                </c:pt>
                <c:pt idx="5">
                  <c:v>81</c:v>
                </c:pt>
                <c:pt idx="6">
                  <c:v>120</c:v>
                </c:pt>
                <c:pt idx="7">
                  <c:v>104</c:v>
                </c:pt>
                <c:pt idx="8">
                  <c:v>97</c:v>
                </c:pt>
                <c:pt idx="9">
                  <c:v>111</c:v>
                </c:pt>
                <c:pt idx="10">
                  <c:v>108</c:v>
                </c:pt>
                <c:pt idx="11">
                  <c:v>79</c:v>
                </c:pt>
                <c:pt idx="12">
                  <c:v>117</c:v>
                </c:pt>
                <c:pt idx="13">
                  <c:v>76</c:v>
                </c:pt>
                <c:pt idx="14">
                  <c:v>103</c:v>
                </c:pt>
                <c:pt idx="15">
                  <c:v>101</c:v>
                </c:pt>
                <c:pt idx="16">
                  <c:v>105</c:v>
                </c:pt>
                <c:pt idx="17">
                  <c:v>85</c:v>
                </c:pt>
                <c:pt idx="18">
                  <c:v>126</c:v>
                </c:pt>
                <c:pt idx="19">
                  <c:v>136</c:v>
                </c:pt>
                <c:pt idx="20">
                  <c:v>116</c:v>
                </c:pt>
                <c:pt idx="21">
                  <c:v>144</c:v>
                </c:pt>
                <c:pt idx="22">
                  <c:v>135</c:v>
                </c:pt>
                <c:pt idx="23">
                  <c:v>147</c:v>
                </c:pt>
                <c:pt idx="24">
                  <c:v>123</c:v>
                </c:pt>
                <c:pt idx="25">
                  <c:v>131</c:v>
                </c:pt>
                <c:pt idx="26">
                  <c:v>125</c:v>
                </c:pt>
                <c:pt idx="27">
                  <c:v>116</c:v>
                </c:pt>
                <c:pt idx="28">
                  <c:v>95</c:v>
                </c:pt>
                <c:pt idx="29">
                  <c:v>117</c:v>
                </c:pt>
                <c:pt idx="30">
                  <c:v>128</c:v>
                </c:pt>
                <c:pt idx="31">
                  <c:v>130</c:v>
                </c:pt>
                <c:pt idx="32">
                  <c:v>159</c:v>
                </c:pt>
                <c:pt idx="33">
                  <c:v>200</c:v>
                </c:pt>
                <c:pt idx="34">
                  <c:v>206</c:v>
                </c:pt>
                <c:pt idx="35">
                  <c:v>213</c:v>
                </c:pt>
                <c:pt idx="36">
                  <c:v>261</c:v>
                </c:pt>
                <c:pt idx="37">
                  <c:v>270</c:v>
                </c:pt>
                <c:pt idx="38">
                  <c:v>284</c:v>
                </c:pt>
                <c:pt idx="39">
                  <c:v>268</c:v>
                </c:pt>
                <c:pt idx="40">
                  <c:v>299</c:v>
                </c:pt>
                <c:pt idx="41">
                  <c:v>287</c:v>
                </c:pt>
                <c:pt idx="42">
                  <c:v>287</c:v>
                </c:pt>
                <c:pt idx="43">
                  <c:v>316</c:v>
                </c:pt>
                <c:pt idx="44">
                  <c:v>304</c:v>
                </c:pt>
                <c:pt idx="45">
                  <c:v>350</c:v>
                </c:pt>
                <c:pt idx="46">
                  <c:v>322</c:v>
                </c:pt>
                <c:pt idx="47">
                  <c:v>328</c:v>
                </c:pt>
                <c:pt idx="48">
                  <c:v>334</c:v>
                </c:pt>
                <c:pt idx="49">
                  <c:v>298</c:v>
                </c:pt>
                <c:pt idx="50">
                  <c:v>350</c:v>
                </c:pt>
                <c:pt idx="51">
                  <c:v>332</c:v>
                </c:pt>
                <c:pt idx="52">
                  <c:v>372</c:v>
                </c:pt>
                <c:pt idx="53">
                  <c:v>373</c:v>
                </c:pt>
                <c:pt idx="54">
                  <c:v>355</c:v>
                </c:pt>
                <c:pt idx="55">
                  <c:v>418</c:v>
                </c:pt>
                <c:pt idx="56">
                  <c:v>371</c:v>
                </c:pt>
                <c:pt idx="57">
                  <c:v>398</c:v>
                </c:pt>
                <c:pt idx="58">
                  <c:v>402</c:v>
                </c:pt>
                <c:pt idx="59">
                  <c:v>346</c:v>
                </c:pt>
              </c:numCache>
            </c:numRef>
          </c:val>
          <c:smooth val="0"/>
          <c:extLst>
            <c:ext xmlns:c16="http://schemas.microsoft.com/office/drawing/2014/chart" uri="{C3380CC4-5D6E-409C-BE32-E72D297353CC}">
              <c16:uniqueId val="{0000000B-3172-406E-BB40-8E38B43F2087}"/>
            </c:ext>
          </c:extLst>
        </c:ser>
        <c:ser>
          <c:idx val="12"/>
          <c:order val="12"/>
          <c:tx>
            <c:strRef>
              <c:f>product!$AH$1:$AH$2</c:f>
              <c:strCache>
                <c:ptCount val="1"/>
                <c:pt idx="0">
                  <c:v>Triptorelin 1 month</c:v>
                </c:pt>
              </c:strCache>
            </c:strRef>
          </c:tx>
          <c:spPr>
            <a:ln w="28575" cap="rnd">
              <a:solidFill>
                <a:schemeClr val="accent1">
                  <a:lumMod val="80000"/>
                  <a:lumOff val="20000"/>
                </a:schemeClr>
              </a:solidFill>
              <a:round/>
            </a:ln>
            <a:effectLst/>
          </c:spPr>
          <c:marker>
            <c:symbol val="none"/>
          </c:marker>
          <c:cat>
            <c:strRef>
              <c:f>product!$U$3:$U$63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product!$AH$3:$AH$63</c:f>
              <c:numCache>
                <c:formatCode>General</c:formatCode>
                <c:ptCount val="60"/>
                <c:pt idx="0">
                  <c:v>5</c:v>
                </c:pt>
                <c:pt idx="1">
                  <c:v>8</c:v>
                </c:pt>
                <c:pt idx="2">
                  <c:v>9</c:v>
                </c:pt>
                <c:pt idx="3">
                  <c:v>10</c:v>
                </c:pt>
                <c:pt idx="4">
                  <c:v>12</c:v>
                </c:pt>
                <c:pt idx="5">
                  <c:v>4</c:v>
                </c:pt>
                <c:pt idx="6">
                  <c:v>6</c:v>
                </c:pt>
                <c:pt idx="7">
                  <c:v>5</c:v>
                </c:pt>
                <c:pt idx="8">
                  <c:v>5</c:v>
                </c:pt>
                <c:pt idx="9">
                  <c:v>6</c:v>
                </c:pt>
                <c:pt idx="10">
                  <c:v>7</c:v>
                </c:pt>
                <c:pt idx="11">
                  <c:v>10</c:v>
                </c:pt>
                <c:pt idx="12">
                  <c:v>7</c:v>
                </c:pt>
                <c:pt idx="13">
                  <c:v>9</c:v>
                </c:pt>
                <c:pt idx="14">
                  <c:v>10</c:v>
                </c:pt>
                <c:pt idx="15">
                  <c:v>13</c:v>
                </c:pt>
                <c:pt idx="16">
                  <c:v>10</c:v>
                </c:pt>
                <c:pt idx="17">
                  <c:v>12</c:v>
                </c:pt>
                <c:pt idx="18">
                  <c:v>15</c:v>
                </c:pt>
                <c:pt idx="19">
                  <c:v>14</c:v>
                </c:pt>
                <c:pt idx="20">
                  <c:v>12</c:v>
                </c:pt>
                <c:pt idx="21">
                  <c:v>19</c:v>
                </c:pt>
                <c:pt idx="22">
                  <c:v>16</c:v>
                </c:pt>
                <c:pt idx="23">
                  <c:v>17</c:v>
                </c:pt>
                <c:pt idx="24">
                  <c:v>10</c:v>
                </c:pt>
                <c:pt idx="25">
                  <c:v>14</c:v>
                </c:pt>
                <c:pt idx="26">
                  <c:v>21</c:v>
                </c:pt>
                <c:pt idx="27">
                  <c:v>17</c:v>
                </c:pt>
                <c:pt idx="28">
                  <c:v>20</c:v>
                </c:pt>
                <c:pt idx="29">
                  <c:v>16</c:v>
                </c:pt>
                <c:pt idx="30">
                  <c:v>18</c:v>
                </c:pt>
                <c:pt idx="31">
                  <c:v>18</c:v>
                </c:pt>
                <c:pt idx="32">
                  <c:v>14</c:v>
                </c:pt>
                <c:pt idx="33">
                  <c:v>16</c:v>
                </c:pt>
                <c:pt idx="34">
                  <c:v>15</c:v>
                </c:pt>
                <c:pt idx="35">
                  <c:v>16</c:v>
                </c:pt>
                <c:pt idx="36">
                  <c:v>10</c:v>
                </c:pt>
                <c:pt idx="37">
                  <c:v>13</c:v>
                </c:pt>
                <c:pt idx="38">
                  <c:v>16</c:v>
                </c:pt>
                <c:pt idx="39">
                  <c:v>17</c:v>
                </c:pt>
                <c:pt idx="40">
                  <c:v>15</c:v>
                </c:pt>
                <c:pt idx="41">
                  <c:v>16</c:v>
                </c:pt>
                <c:pt idx="42">
                  <c:v>10</c:v>
                </c:pt>
                <c:pt idx="43">
                  <c:v>22</c:v>
                </c:pt>
                <c:pt idx="44">
                  <c:v>13</c:v>
                </c:pt>
                <c:pt idx="45">
                  <c:v>22</c:v>
                </c:pt>
                <c:pt idx="46">
                  <c:v>19</c:v>
                </c:pt>
                <c:pt idx="47">
                  <c:v>26</c:v>
                </c:pt>
                <c:pt idx="48">
                  <c:v>18</c:v>
                </c:pt>
                <c:pt idx="49">
                  <c:v>25</c:v>
                </c:pt>
                <c:pt idx="50">
                  <c:v>21</c:v>
                </c:pt>
                <c:pt idx="51">
                  <c:v>21</c:v>
                </c:pt>
                <c:pt idx="52">
                  <c:v>24</c:v>
                </c:pt>
                <c:pt idx="53">
                  <c:v>18</c:v>
                </c:pt>
                <c:pt idx="54">
                  <c:v>18</c:v>
                </c:pt>
                <c:pt idx="55">
                  <c:v>21</c:v>
                </c:pt>
                <c:pt idx="56">
                  <c:v>23</c:v>
                </c:pt>
                <c:pt idx="57">
                  <c:v>16</c:v>
                </c:pt>
                <c:pt idx="58">
                  <c:v>30</c:v>
                </c:pt>
                <c:pt idx="59">
                  <c:v>18</c:v>
                </c:pt>
              </c:numCache>
            </c:numRef>
          </c:val>
          <c:smooth val="0"/>
          <c:extLst>
            <c:ext xmlns:c16="http://schemas.microsoft.com/office/drawing/2014/chart" uri="{C3380CC4-5D6E-409C-BE32-E72D297353CC}">
              <c16:uniqueId val="{0000000C-3172-406E-BB40-8E38B43F2087}"/>
            </c:ext>
          </c:extLst>
        </c:ser>
        <c:ser>
          <c:idx val="13"/>
          <c:order val="13"/>
          <c:tx>
            <c:strRef>
              <c:f>product!$AI$1:$AI$2</c:f>
              <c:strCache>
                <c:ptCount val="1"/>
                <c:pt idx="0">
                  <c:v>Triptorelin 3 month</c:v>
                </c:pt>
              </c:strCache>
            </c:strRef>
          </c:tx>
          <c:spPr>
            <a:ln w="28575" cap="rnd">
              <a:solidFill>
                <a:schemeClr val="accent2">
                  <a:lumMod val="80000"/>
                  <a:lumOff val="20000"/>
                </a:schemeClr>
              </a:solidFill>
              <a:round/>
            </a:ln>
            <a:effectLst/>
          </c:spPr>
          <c:marker>
            <c:symbol val="none"/>
          </c:marker>
          <c:cat>
            <c:strRef>
              <c:f>product!$U$3:$U$63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product!$AI$3:$AI$63</c:f>
              <c:numCache>
                <c:formatCode>General</c:formatCode>
                <c:ptCount val="60"/>
                <c:pt idx="0">
                  <c:v>95</c:v>
                </c:pt>
                <c:pt idx="1">
                  <c:v>109</c:v>
                </c:pt>
                <c:pt idx="2">
                  <c:v>120</c:v>
                </c:pt>
                <c:pt idx="3">
                  <c:v>111</c:v>
                </c:pt>
                <c:pt idx="4">
                  <c:v>116</c:v>
                </c:pt>
                <c:pt idx="5">
                  <c:v>128</c:v>
                </c:pt>
                <c:pt idx="6">
                  <c:v>116</c:v>
                </c:pt>
                <c:pt idx="7">
                  <c:v>123</c:v>
                </c:pt>
                <c:pt idx="8">
                  <c:v>125</c:v>
                </c:pt>
                <c:pt idx="9">
                  <c:v>130</c:v>
                </c:pt>
                <c:pt idx="10">
                  <c:v>114</c:v>
                </c:pt>
                <c:pt idx="11">
                  <c:v>144</c:v>
                </c:pt>
                <c:pt idx="12">
                  <c:v>121</c:v>
                </c:pt>
                <c:pt idx="13">
                  <c:v>131</c:v>
                </c:pt>
                <c:pt idx="14">
                  <c:v>127</c:v>
                </c:pt>
                <c:pt idx="15">
                  <c:v>118</c:v>
                </c:pt>
                <c:pt idx="16">
                  <c:v>134</c:v>
                </c:pt>
                <c:pt idx="17">
                  <c:v>125</c:v>
                </c:pt>
                <c:pt idx="18">
                  <c:v>146</c:v>
                </c:pt>
                <c:pt idx="19">
                  <c:v>152</c:v>
                </c:pt>
                <c:pt idx="20">
                  <c:v>135</c:v>
                </c:pt>
                <c:pt idx="21">
                  <c:v>131</c:v>
                </c:pt>
                <c:pt idx="22">
                  <c:v>165</c:v>
                </c:pt>
                <c:pt idx="23">
                  <c:v>158</c:v>
                </c:pt>
                <c:pt idx="24">
                  <c:v>119</c:v>
                </c:pt>
                <c:pt idx="25">
                  <c:v>133</c:v>
                </c:pt>
                <c:pt idx="26">
                  <c:v>146</c:v>
                </c:pt>
                <c:pt idx="27">
                  <c:v>145</c:v>
                </c:pt>
                <c:pt idx="28">
                  <c:v>141</c:v>
                </c:pt>
                <c:pt idx="29">
                  <c:v>143</c:v>
                </c:pt>
                <c:pt idx="30">
                  <c:v>135</c:v>
                </c:pt>
                <c:pt idx="31">
                  <c:v>156</c:v>
                </c:pt>
                <c:pt idx="32">
                  <c:v>150</c:v>
                </c:pt>
                <c:pt idx="33">
                  <c:v>145</c:v>
                </c:pt>
                <c:pt idx="34">
                  <c:v>172</c:v>
                </c:pt>
                <c:pt idx="35">
                  <c:v>173</c:v>
                </c:pt>
                <c:pt idx="36">
                  <c:v>137</c:v>
                </c:pt>
                <c:pt idx="37">
                  <c:v>179</c:v>
                </c:pt>
                <c:pt idx="38">
                  <c:v>192</c:v>
                </c:pt>
                <c:pt idx="39">
                  <c:v>144</c:v>
                </c:pt>
                <c:pt idx="40">
                  <c:v>221</c:v>
                </c:pt>
                <c:pt idx="41">
                  <c:v>174</c:v>
                </c:pt>
                <c:pt idx="42">
                  <c:v>166</c:v>
                </c:pt>
                <c:pt idx="43">
                  <c:v>208</c:v>
                </c:pt>
                <c:pt idx="44">
                  <c:v>170</c:v>
                </c:pt>
                <c:pt idx="45">
                  <c:v>201</c:v>
                </c:pt>
                <c:pt idx="46">
                  <c:v>244</c:v>
                </c:pt>
                <c:pt idx="47">
                  <c:v>198</c:v>
                </c:pt>
                <c:pt idx="48">
                  <c:v>170</c:v>
                </c:pt>
                <c:pt idx="49">
                  <c:v>215</c:v>
                </c:pt>
                <c:pt idx="50">
                  <c:v>194</c:v>
                </c:pt>
                <c:pt idx="51">
                  <c:v>169</c:v>
                </c:pt>
                <c:pt idx="52">
                  <c:v>220</c:v>
                </c:pt>
                <c:pt idx="53">
                  <c:v>198</c:v>
                </c:pt>
                <c:pt idx="54">
                  <c:v>168</c:v>
                </c:pt>
                <c:pt idx="55">
                  <c:v>210</c:v>
                </c:pt>
                <c:pt idx="56">
                  <c:v>201</c:v>
                </c:pt>
                <c:pt idx="57">
                  <c:v>176</c:v>
                </c:pt>
                <c:pt idx="58">
                  <c:v>203</c:v>
                </c:pt>
                <c:pt idx="59">
                  <c:v>191</c:v>
                </c:pt>
              </c:numCache>
            </c:numRef>
          </c:val>
          <c:smooth val="0"/>
          <c:extLst>
            <c:ext xmlns:c16="http://schemas.microsoft.com/office/drawing/2014/chart" uri="{C3380CC4-5D6E-409C-BE32-E72D297353CC}">
              <c16:uniqueId val="{0000000D-3172-406E-BB40-8E38B43F2087}"/>
            </c:ext>
          </c:extLst>
        </c:ser>
        <c:ser>
          <c:idx val="14"/>
          <c:order val="14"/>
          <c:tx>
            <c:strRef>
              <c:f>product!$AJ$1:$AJ$2</c:f>
              <c:strCache>
                <c:ptCount val="1"/>
                <c:pt idx="0">
                  <c:v>Triptorelin 6 month</c:v>
                </c:pt>
              </c:strCache>
            </c:strRef>
          </c:tx>
          <c:spPr>
            <a:ln w="28575" cap="rnd">
              <a:solidFill>
                <a:schemeClr val="accent3">
                  <a:lumMod val="80000"/>
                  <a:lumOff val="20000"/>
                </a:schemeClr>
              </a:solidFill>
              <a:round/>
            </a:ln>
            <a:effectLst/>
          </c:spPr>
          <c:marker>
            <c:symbol val="none"/>
          </c:marker>
          <c:cat>
            <c:strRef>
              <c:f>product!$U$3:$U$63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product!$AJ$3:$AJ$63</c:f>
              <c:numCache>
                <c:formatCode>General</c:formatCode>
                <c:ptCount val="60"/>
                <c:pt idx="0">
                  <c:v>34</c:v>
                </c:pt>
                <c:pt idx="1">
                  <c:v>46</c:v>
                </c:pt>
                <c:pt idx="2">
                  <c:v>32</c:v>
                </c:pt>
                <c:pt idx="3">
                  <c:v>32</c:v>
                </c:pt>
                <c:pt idx="4">
                  <c:v>44</c:v>
                </c:pt>
                <c:pt idx="5">
                  <c:v>44</c:v>
                </c:pt>
                <c:pt idx="6">
                  <c:v>40</c:v>
                </c:pt>
                <c:pt idx="7">
                  <c:v>40</c:v>
                </c:pt>
                <c:pt idx="8">
                  <c:v>34</c:v>
                </c:pt>
                <c:pt idx="9">
                  <c:v>47</c:v>
                </c:pt>
                <c:pt idx="10">
                  <c:v>46</c:v>
                </c:pt>
                <c:pt idx="11">
                  <c:v>52</c:v>
                </c:pt>
                <c:pt idx="12">
                  <c:v>48</c:v>
                </c:pt>
                <c:pt idx="13">
                  <c:v>31</c:v>
                </c:pt>
                <c:pt idx="14">
                  <c:v>54</c:v>
                </c:pt>
                <c:pt idx="15">
                  <c:v>49</c:v>
                </c:pt>
                <c:pt idx="16">
                  <c:v>66</c:v>
                </c:pt>
                <c:pt idx="17">
                  <c:v>58</c:v>
                </c:pt>
                <c:pt idx="18">
                  <c:v>61</c:v>
                </c:pt>
                <c:pt idx="19">
                  <c:v>38</c:v>
                </c:pt>
                <c:pt idx="20">
                  <c:v>55</c:v>
                </c:pt>
                <c:pt idx="21">
                  <c:v>70</c:v>
                </c:pt>
                <c:pt idx="22">
                  <c:v>81</c:v>
                </c:pt>
                <c:pt idx="23">
                  <c:v>73</c:v>
                </c:pt>
                <c:pt idx="24">
                  <c:v>55</c:v>
                </c:pt>
                <c:pt idx="25">
                  <c:v>66</c:v>
                </c:pt>
                <c:pt idx="26">
                  <c:v>61</c:v>
                </c:pt>
                <c:pt idx="27">
                  <c:v>70</c:v>
                </c:pt>
                <c:pt idx="28">
                  <c:v>86</c:v>
                </c:pt>
                <c:pt idx="29">
                  <c:v>73</c:v>
                </c:pt>
                <c:pt idx="30">
                  <c:v>77</c:v>
                </c:pt>
                <c:pt idx="31">
                  <c:v>75</c:v>
                </c:pt>
                <c:pt idx="32">
                  <c:v>64</c:v>
                </c:pt>
                <c:pt idx="33">
                  <c:v>78</c:v>
                </c:pt>
                <c:pt idx="34">
                  <c:v>78</c:v>
                </c:pt>
                <c:pt idx="35">
                  <c:v>85</c:v>
                </c:pt>
                <c:pt idx="36">
                  <c:v>61</c:v>
                </c:pt>
                <c:pt idx="37">
                  <c:v>84</c:v>
                </c:pt>
                <c:pt idx="38">
                  <c:v>68</c:v>
                </c:pt>
                <c:pt idx="39">
                  <c:v>69</c:v>
                </c:pt>
                <c:pt idx="40">
                  <c:v>96</c:v>
                </c:pt>
                <c:pt idx="41">
                  <c:v>94</c:v>
                </c:pt>
                <c:pt idx="42">
                  <c:v>93</c:v>
                </c:pt>
                <c:pt idx="43">
                  <c:v>96</c:v>
                </c:pt>
                <c:pt idx="44">
                  <c:v>81</c:v>
                </c:pt>
                <c:pt idx="45">
                  <c:v>83</c:v>
                </c:pt>
                <c:pt idx="46">
                  <c:v>112</c:v>
                </c:pt>
                <c:pt idx="47">
                  <c:v>100</c:v>
                </c:pt>
                <c:pt idx="48">
                  <c:v>99</c:v>
                </c:pt>
                <c:pt idx="49">
                  <c:v>110</c:v>
                </c:pt>
                <c:pt idx="50">
                  <c:v>99</c:v>
                </c:pt>
                <c:pt idx="51">
                  <c:v>97</c:v>
                </c:pt>
                <c:pt idx="52">
                  <c:v>114</c:v>
                </c:pt>
                <c:pt idx="53">
                  <c:v>125</c:v>
                </c:pt>
                <c:pt idx="54">
                  <c:v>106</c:v>
                </c:pt>
                <c:pt idx="55">
                  <c:v>114</c:v>
                </c:pt>
                <c:pt idx="56">
                  <c:v>99</c:v>
                </c:pt>
                <c:pt idx="57">
                  <c:v>105</c:v>
                </c:pt>
                <c:pt idx="58">
                  <c:v>129</c:v>
                </c:pt>
                <c:pt idx="59">
                  <c:v>121</c:v>
                </c:pt>
              </c:numCache>
            </c:numRef>
          </c:val>
          <c:smooth val="0"/>
          <c:extLst>
            <c:ext xmlns:c16="http://schemas.microsoft.com/office/drawing/2014/chart" uri="{C3380CC4-5D6E-409C-BE32-E72D297353CC}">
              <c16:uniqueId val="{0000000E-3172-406E-BB40-8E38B43F2087}"/>
            </c:ext>
          </c:extLst>
        </c:ser>
        <c:dLbls>
          <c:showLegendKey val="0"/>
          <c:showVal val="0"/>
          <c:showCatName val="0"/>
          <c:showSerName val="0"/>
          <c:showPercent val="0"/>
          <c:showBubbleSize val="0"/>
        </c:dLbls>
        <c:smooth val="0"/>
        <c:axId val="993117744"/>
        <c:axId val="993112496"/>
      </c:lineChart>
      <c:catAx>
        <c:axId val="99311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3112496"/>
        <c:crosses val="autoZero"/>
        <c:auto val="1"/>
        <c:lblAlgn val="ctr"/>
        <c:lblOffset val="100"/>
        <c:noMultiLvlLbl val="0"/>
      </c:catAx>
      <c:valAx>
        <c:axId val="993112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prescriptions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3117744"/>
        <c:crosses val="autoZero"/>
        <c:crossBetween val="between"/>
      </c:valAx>
      <c:spPr>
        <a:noFill/>
        <a:ln>
          <a:noFill/>
        </a:ln>
        <a:effectLst/>
      </c:spPr>
    </c:plotArea>
    <c:legend>
      <c:legendPos val="b"/>
      <c:layout>
        <c:manualLayout>
          <c:xMode val="edge"/>
          <c:yMode val="edge"/>
          <c:x val="2.9249458699877526E-2"/>
          <c:y val="0.71242434643620101"/>
          <c:w val="0.95713114011915201"/>
          <c:h val="0.271960819471411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[D1139 - A - GnRH patients.xlsx]Patients!PivotTable2</c:name>
    <c:fmtId val="5"/>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Patients!$W$1</c:f>
              <c:strCache>
                <c:ptCount val="1"/>
                <c:pt idx="0">
                  <c:v>Initiating patients</c:v>
                </c:pt>
              </c:strCache>
            </c:strRef>
          </c:tx>
          <c:spPr>
            <a:ln w="28575" cap="rnd">
              <a:solidFill>
                <a:schemeClr val="accent1"/>
              </a:solidFill>
              <a:round/>
            </a:ln>
            <a:effectLst/>
          </c:spPr>
          <c:marker>
            <c:symbol val="none"/>
          </c:marker>
          <c:cat>
            <c:strRef>
              <c:f>Patients!$V$2:$V$62</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Patients!$W$2:$W$62</c:f>
              <c:numCache>
                <c:formatCode>General</c:formatCode>
                <c:ptCount val="60"/>
                <c:pt idx="12">
                  <c:v>883</c:v>
                </c:pt>
                <c:pt idx="13">
                  <c:v>1009</c:v>
                </c:pt>
                <c:pt idx="14">
                  <c:v>1091</c:v>
                </c:pt>
                <c:pt idx="15">
                  <c:v>921</c:v>
                </c:pt>
                <c:pt idx="16">
                  <c:v>1140</c:v>
                </c:pt>
                <c:pt idx="17">
                  <c:v>1195</c:v>
                </c:pt>
                <c:pt idx="18">
                  <c:v>1179</c:v>
                </c:pt>
                <c:pt idx="19">
                  <c:v>1169</c:v>
                </c:pt>
                <c:pt idx="20">
                  <c:v>1166</c:v>
                </c:pt>
                <c:pt idx="21">
                  <c:v>1061</c:v>
                </c:pt>
                <c:pt idx="22">
                  <c:v>1170</c:v>
                </c:pt>
                <c:pt idx="23">
                  <c:v>1125</c:v>
                </c:pt>
                <c:pt idx="24">
                  <c:v>854</c:v>
                </c:pt>
                <c:pt idx="25">
                  <c:v>1006</c:v>
                </c:pt>
                <c:pt idx="26">
                  <c:v>1159</c:v>
                </c:pt>
                <c:pt idx="27">
                  <c:v>1038</c:v>
                </c:pt>
                <c:pt idx="28">
                  <c:v>1187</c:v>
                </c:pt>
                <c:pt idx="29">
                  <c:v>1117</c:v>
                </c:pt>
                <c:pt idx="30">
                  <c:v>1076</c:v>
                </c:pt>
                <c:pt idx="31">
                  <c:v>1237</c:v>
                </c:pt>
                <c:pt idx="32">
                  <c:v>1133</c:v>
                </c:pt>
                <c:pt idx="33">
                  <c:v>1117</c:v>
                </c:pt>
                <c:pt idx="34">
                  <c:v>1229</c:v>
                </c:pt>
                <c:pt idx="35">
                  <c:v>1247</c:v>
                </c:pt>
                <c:pt idx="36">
                  <c:v>993</c:v>
                </c:pt>
                <c:pt idx="37">
                  <c:v>1142</c:v>
                </c:pt>
                <c:pt idx="38">
                  <c:v>1314</c:v>
                </c:pt>
                <c:pt idx="39">
                  <c:v>1060</c:v>
                </c:pt>
                <c:pt idx="40">
                  <c:v>1376</c:v>
                </c:pt>
                <c:pt idx="41">
                  <c:v>1275</c:v>
                </c:pt>
                <c:pt idx="42">
                  <c:v>1230</c:v>
                </c:pt>
                <c:pt idx="43">
                  <c:v>1407</c:v>
                </c:pt>
                <c:pt idx="44">
                  <c:v>1208</c:v>
                </c:pt>
                <c:pt idx="45">
                  <c:v>1295</c:v>
                </c:pt>
                <c:pt idx="46">
                  <c:v>1239</c:v>
                </c:pt>
                <c:pt idx="47">
                  <c:v>1191</c:v>
                </c:pt>
                <c:pt idx="48">
                  <c:v>1113</c:v>
                </c:pt>
                <c:pt idx="49">
                  <c:v>1249</c:v>
                </c:pt>
                <c:pt idx="50">
                  <c:v>1302</c:v>
                </c:pt>
                <c:pt idx="51">
                  <c:v>1224</c:v>
                </c:pt>
                <c:pt idx="52">
                  <c:v>1476</c:v>
                </c:pt>
                <c:pt idx="53">
                  <c:v>1389</c:v>
                </c:pt>
                <c:pt idx="54">
                  <c:v>1406</c:v>
                </c:pt>
                <c:pt idx="55">
                  <c:v>1468</c:v>
                </c:pt>
                <c:pt idx="56">
                  <c:v>1271</c:v>
                </c:pt>
                <c:pt idx="57">
                  <c:v>1343</c:v>
                </c:pt>
                <c:pt idx="58">
                  <c:v>1425</c:v>
                </c:pt>
                <c:pt idx="59">
                  <c:v>1193</c:v>
                </c:pt>
              </c:numCache>
            </c:numRef>
          </c:val>
          <c:smooth val="0"/>
          <c:extLst>
            <c:ext xmlns:c16="http://schemas.microsoft.com/office/drawing/2014/chart" uri="{C3380CC4-5D6E-409C-BE32-E72D297353CC}">
              <c16:uniqueId val="{00000000-C2AC-49AA-A71B-1DD03F6F8EF0}"/>
            </c:ext>
          </c:extLst>
        </c:ser>
        <c:ser>
          <c:idx val="1"/>
          <c:order val="1"/>
          <c:tx>
            <c:strRef>
              <c:f>Patients!$X$1</c:f>
              <c:strCache>
                <c:ptCount val="1"/>
                <c:pt idx="0">
                  <c:v>Treated patients</c:v>
                </c:pt>
              </c:strCache>
            </c:strRef>
          </c:tx>
          <c:spPr>
            <a:ln w="28575" cap="rnd">
              <a:solidFill>
                <a:schemeClr val="accent2"/>
              </a:solidFill>
              <a:round/>
            </a:ln>
            <a:effectLst/>
          </c:spPr>
          <c:marker>
            <c:symbol val="none"/>
          </c:marker>
          <c:cat>
            <c:strRef>
              <c:f>Patients!$V$2:$V$62</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Patients!$X$2:$X$62</c:f>
              <c:numCache>
                <c:formatCode>General</c:formatCode>
                <c:ptCount val="60"/>
                <c:pt idx="0">
                  <c:v>7963</c:v>
                </c:pt>
                <c:pt idx="1">
                  <c:v>8737</c:v>
                </c:pt>
                <c:pt idx="2">
                  <c:v>8857</c:v>
                </c:pt>
                <c:pt idx="3">
                  <c:v>8421</c:v>
                </c:pt>
                <c:pt idx="4">
                  <c:v>9446</c:v>
                </c:pt>
                <c:pt idx="5">
                  <c:v>8807</c:v>
                </c:pt>
                <c:pt idx="6">
                  <c:v>8854</c:v>
                </c:pt>
                <c:pt idx="7">
                  <c:v>9049</c:v>
                </c:pt>
                <c:pt idx="8">
                  <c:v>8717</c:v>
                </c:pt>
                <c:pt idx="9">
                  <c:v>9173</c:v>
                </c:pt>
                <c:pt idx="10">
                  <c:v>9180</c:v>
                </c:pt>
                <c:pt idx="11">
                  <c:v>9628</c:v>
                </c:pt>
                <c:pt idx="12">
                  <c:v>7959</c:v>
                </c:pt>
                <c:pt idx="13">
                  <c:v>8738</c:v>
                </c:pt>
                <c:pt idx="14">
                  <c:v>9211</c:v>
                </c:pt>
                <c:pt idx="15">
                  <c:v>8568</c:v>
                </c:pt>
                <c:pt idx="16">
                  <c:v>9192</c:v>
                </c:pt>
                <c:pt idx="17">
                  <c:v>9249</c:v>
                </c:pt>
                <c:pt idx="18">
                  <c:v>9424</c:v>
                </c:pt>
                <c:pt idx="19">
                  <c:v>9552</c:v>
                </c:pt>
                <c:pt idx="20">
                  <c:v>9435</c:v>
                </c:pt>
                <c:pt idx="21">
                  <c:v>9474</c:v>
                </c:pt>
                <c:pt idx="22">
                  <c:v>10175</c:v>
                </c:pt>
                <c:pt idx="23">
                  <c:v>10353</c:v>
                </c:pt>
                <c:pt idx="24">
                  <c:v>8375</c:v>
                </c:pt>
                <c:pt idx="25">
                  <c:v>9845</c:v>
                </c:pt>
                <c:pt idx="26">
                  <c:v>10099</c:v>
                </c:pt>
                <c:pt idx="27">
                  <c:v>9433</c:v>
                </c:pt>
                <c:pt idx="28">
                  <c:v>10355</c:v>
                </c:pt>
                <c:pt idx="29">
                  <c:v>9942</c:v>
                </c:pt>
                <c:pt idx="30">
                  <c:v>9808</c:v>
                </c:pt>
                <c:pt idx="31">
                  <c:v>10846</c:v>
                </c:pt>
                <c:pt idx="32">
                  <c:v>10262</c:v>
                </c:pt>
                <c:pt idx="33">
                  <c:v>10290</c:v>
                </c:pt>
                <c:pt idx="34">
                  <c:v>10946</c:v>
                </c:pt>
                <c:pt idx="35">
                  <c:v>10999</c:v>
                </c:pt>
                <c:pt idx="36">
                  <c:v>9615</c:v>
                </c:pt>
                <c:pt idx="37">
                  <c:v>10196</c:v>
                </c:pt>
                <c:pt idx="38">
                  <c:v>11171</c:v>
                </c:pt>
                <c:pt idx="39">
                  <c:v>9967</c:v>
                </c:pt>
                <c:pt idx="40">
                  <c:v>11734</c:v>
                </c:pt>
                <c:pt idx="41">
                  <c:v>11065</c:v>
                </c:pt>
                <c:pt idx="42">
                  <c:v>10734</c:v>
                </c:pt>
                <c:pt idx="43">
                  <c:v>11844</c:v>
                </c:pt>
                <c:pt idx="44">
                  <c:v>10954</c:v>
                </c:pt>
                <c:pt idx="45">
                  <c:v>11525</c:v>
                </c:pt>
                <c:pt idx="46">
                  <c:v>11968</c:v>
                </c:pt>
                <c:pt idx="47">
                  <c:v>11584</c:v>
                </c:pt>
                <c:pt idx="48">
                  <c:v>10968</c:v>
                </c:pt>
                <c:pt idx="49">
                  <c:v>11157</c:v>
                </c:pt>
                <c:pt idx="50">
                  <c:v>11757</c:v>
                </c:pt>
                <c:pt idx="51">
                  <c:v>11267</c:v>
                </c:pt>
                <c:pt idx="52">
                  <c:v>13147</c:v>
                </c:pt>
                <c:pt idx="53">
                  <c:v>11459</c:v>
                </c:pt>
                <c:pt idx="54">
                  <c:v>11863</c:v>
                </c:pt>
                <c:pt idx="55">
                  <c:v>12715</c:v>
                </c:pt>
                <c:pt idx="56">
                  <c:v>11756</c:v>
                </c:pt>
                <c:pt idx="57">
                  <c:v>12627</c:v>
                </c:pt>
                <c:pt idx="58">
                  <c:v>13212</c:v>
                </c:pt>
                <c:pt idx="59">
                  <c:v>12408</c:v>
                </c:pt>
              </c:numCache>
            </c:numRef>
          </c:val>
          <c:smooth val="0"/>
          <c:extLst>
            <c:ext xmlns:c16="http://schemas.microsoft.com/office/drawing/2014/chart" uri="{C3380CC4-5D6E-409C-BE32-E72D297353CC}">
              <c16:uniqueId val="{00000001-C2AC-49AA-A71B-1DD03F6F8EF0}"/>
            </c:ext>
          </c:extLst>
        </c:ser>
        <c:dLbls>
          <c:showLegendKey val="0"/>
          <c:showVal val="0"/>
          <c:showCatName val="0"/>
          <c:showSerName val="0"/>
          <c:showPercent val="0"/>
          <c:showBubbleSize val="0"/>
        </c:dLbls>
        <c:smooth val="0"/>
        <c:axId val="700639176"/>
        <c:axId val="700641144"/>
      </c:lineChart>
      <c:catAx>
        <c:axId val="700639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641144"/>
        <c:crosses val="autoZero"/>
        <c:auto val="1"/>
        <c:lblAlgn val="ctr"/>
        <c:lblOffset val="100"/>
        <c:noMultiLvlLbl val="0"/>
      </c:catAx>
      <c:valAx>
        <c:axId val="700641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patients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639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[D1139 - A - GnRH patients.xlsx]pats month sex!PivotTable6</c:name>
    <c:fmtId val="5"/>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'pats month sex'!$U$1:$U$3</c:f>
              <c:strCache>
                <c:ptCount val="1"/>
                <c:pt idx="0">
                  <c:v>Initiating patients - F</c:v>
                </c:pt>
              </c:strCache>
            </c:strRef>
          </c:tx>
          <c:spPr>
            <a:ln w="28575" cap="rnd">
              <a:solidFill>
                <a:schemeClr val="accent1"/>
              </a:solidFill>
              <a:round/>
            </a:ln>
            <a:effectLst/>
          </c:spPr>
          <c:marker>
            <c:symbol val="none"/>
          </c:marker>
          <c:cat>
            <c:strRef>
              <c:f>'pats month sex'!$T$4:$T$64</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'pats month sex'!$U$4:$U$64</c:f>
              <c:numCache>
                <c:formatCode>General</c:formatCode>
                <c:ptCount val="60"/>
                <c:pt idx="12">
                  <c:v>174</c:v>
                </c:pt>
                <c:pt idx="13">
                  <c:v>168</c:v>
                </c:pt>
                <c:pt idx="14">
                  <c:v>206</c:v>
                </c:pt>
                <c:pt idx="15">
                  <c:v>182</c:v>
                </c:pt>
                <c:pt idx="16">
                  <c:v>277</c:v>
                </c:pt>
                <c:pt idx="17">
                  <c:v>307</c:v>
                </c:pt>
                <c:pt idx="18">
                  <c:v>311</c:v>
                </c:pt>
                <c:pt idx="19">
                  <c:v>322</c:v>
                </c:pt>
                <c:pt idx="20">
                  <c:v>327</c:v>
                </c:pt>
                <c:pt idx="21">
                  <c:v>311</c:v>
                </c:pt>
                <c:pt idx="22">
                  <c:v>354</c:v>
                </c:pt>
                <c:pt idx="23">
                  <c:v>346</c:v>
                </c:pt>
                <c:pt idx="24">
                  <c:v>286</c:v>
                </c:pt>
                <c:pt idx="25">
                  <c:v>310</c:v>
                </c:pt>
                <c:pt idx="26">
                  <c:v>369</c:v>
                </c:pt>
                <c:pt idx="27">
                  <c:v>313</c:v>
                </c:pt>
                <c:pt idx="28">
                  <c:v>328</c:v>
                </c:pt>
                <c:pt idx="29">
                  <c:v>329</c:v>
                </c:pt>
                <c:pt idx="30">
                  <c:v>303</c:v>
                </c:pt>
                <c:pt idx="31">
                  <c:v>339</c:v>
                </c:pt>
                <c:pt idx="32">
                  <c:v>328</c:v>
                </c:pt>
                <c:pt idx="33">
                  <c:v>346</c:v>
                </c:pt>
                <c:pt idx="34">
                  <c:v>383</c:v>
                </c:pt>
                <c:pt idx="35">
                  <c:v>357</c:v>
                </c:pt>
                <c:pt idx="36">
                  <c:v>315</c:v>
                </c:pt>
                <c:pt idx="37">
                  <c:v>378</c:v>
                </c:pt>
                <c:pt idx="38">
                  <c:v>436</c:v>
                </c:pt>
                <c:pt idx="39">
                  <c:v>349</c:v>
                </c:pt>
                <c:pt idx="40">
                  <c:v>466</c:v>
                </c:pt>
                <c:pt idx="41">
                  <c:v>405</c:v>
                </c:pt>
                <c:pt idx="42">
                  <c:v>399</c:v>
                </c:pt>
                <c:pt idx="43">
                  <c:v>460</c:v>
                </c:pt>
                <c:pt idx="44">
                  <c:v>396</c:v>
                </c:pt>
                <c:pt idx="45">
                  <c:v>425</c:v>
                </c:pt>
                <c:pt idx="46">
                  <c:v>384</c:v>
                </c:pt>
                <c:pt idx="47">
                  <c:v>415</c:v>
                </c:pt>
                <c:pt idx="48">
                  <c:v>426</c:v>
                </c:pt>
                <c:pt idx="49">
                  <c:v>427</c:v>
                </c:pt>
                <c:pt idx="50">
                  <c:v>458</c:v>
                </c:pt>
                <c:pt idx="51">
                  <c:v>449</c:v>
                </c:pt>
                <c:pt idx="52">
                  <c:v>556</c:v>
                </c:pt>
                <c:pt idx="53">
                  <c:v>482</c:v>
                </c:pt>
                <c:pt idx="54">
                  <c:v>494</c:v>
                </c:pt>
                <c:pt idx="55">
                  <c:v>535</c:v>
                </c:pt>
                <c:pt idx="56">
                  <c:v>462</c:v>
                </c:pt>
                <c:pt idx="57">
                  <c:v>516</c:v>
                </c:pt>
                <c:pt idx="58">
                  <c:v>500</c:v>
                </c:pt>
                <c:pt idx="59">
                  <c:v>436</c:v>
                </c:pt>
              </c:numCache>
            </c:numRef>
          </c:val>
          <c:smooth val="0"/>
          <c:extLst>
            <c:ext xmlns:c16="http://schemas.microsoft.com/office/drawing/2014/chart" uri="{C3380CC4-5D6E-409C-BE32-E72D297353CC}">
              <c16:uniqueId val="{00000000-70FA-44A7-9C79-9C43D0D984C3}"/>
            </c:ext>
          </c:extLst>
        </c:ser>
        <c:ser>
          <c:idx val="1"/>
          <c:order val="1"/>
          <c:tx>
            <c:strRef>
              <c:f>'pats month sex'!$V$1:$V$3</c:f>
              <c:strCache>
                <c:ptCount val="1"/>
                <c:pt idx="0">
                  <c:v>Initiating patients - M</c:v>
                </c:pt>
              </c:strCache>
            </c:strRef>
          </c:tx>
          <c:spPr>
            <a:ln w="28575" cap="rnd">
              <a:solidFill>
                <a:schemeClr val="accent2"/>
              </a:solidFill>
              <a:round/>
            </a:ln>
            <a:effectLst/>
          </c:spPr>
          <c:marker>
            <c:symbol val="none"/>
          </c:marker>
          <c:cat>
            <c:strRef>
              <c:f>'pats month sex'!$T$4:$T$64</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'pats month sex'!$V$4:$V$64</c:f>
              <c:numCache>
                <c:formatCode>General</c:formatCode>
                <c:ptCount val="60"/>
                <c:pt idx="12">
                  <c:v>709</c:v>
                </c:pt>
                <c:pt idx="13">
                  <c:v>841</c:v>
                </c:pt>
                <c:pt idx="14">
                  <c:v>885</c:v>
                </c:pt>
                <c:pt idx="15">
                  <c:v>739</c:v>
                </c:pt>
                <c:pt idx="16">
                  <c:v>863</c:v>
                </c:pt>
                <c:pt idx="17">
                  <c:v>888</c:v>
                </c:pt>
                <c:pt idx="18">
                  <c:v>868</c:v>
                </c:pt>
                <c:pt idx="19">
                  <c:v>847</c:v>
                </c:pt>
                <c:pt idx="20">
                  <c:v>839</c:v>
                </c:pt>
                <c:pt idx="21">
                  <c:v>750</c:v>
                </c:pt>
                <c:pt idx="22">
                  <c:v>816</c:v>
                </c:pt>
                <c:pt idx="23">
                  <c:v>779</c:v>
                </c:pt>
                <c:pt idx="24">
                  <c:v>568</c:v>
                </c:pt>
                <c:pt idx="25">
                  <c:v>696</c:v>
                </c:pt>
                <c:pt idx="26">
                  <c:v>790</c:v>
                </c:pt>
                <c:pt idx="27">
                  <c:v>725</c:v>
                </c:pt>
                <c:pt idx="28">
                  <c:v>859</c:v>
                </c:pt>
                <c:pt idx="29">
                  <c:v>788</c:v>
                </c:pt>
                <c:pt idx="30">
                  <c:v>773</c:v>
                </c:pt>
                <c:pt idx="31">
                  <c:v>898</c:v>
                </c:pt>
                <c:pt idx="32">
                  <c:v>804</c:v>
                </c:pt>
                <c:pt idx="33">
                  <c:v>771</c:v>
                </c:pt>
                <c:pt idx="34">
                  <c:v>846</c:v>
                </c:pt>
                <c:pt idx="35">
                  <c:v>890</c:v>
                </c:pt>
                <c:pt idx="36">
                  <c:v>678</c:v>
                </c:pt>
                <c:pt idx="37">
                  <c:v>764</c:v>
                </c:pt>
                <c:pt idx="38">
                  <c:v>878</c:v>
                </c:pt>
                <c:pt idx="39">
                  <c:v>711</c:v>
                </c:pt>
                <c:pt idx="40">
                  <c:v>910</c:v>
                </c:pt>
                <c:pt idx="41">
                  <c:v>870</c:v>
                </c:pt>
                <c:pt idx="42">
                  <c:v>831</c:v>
                </c:pt>
                <c:pt idx="43">
                  <c:v>947</c:v>
                </c:pt>
                <c:pt idx="44">
                  <c:v>812</c:v>
                </c:pt>
                <c:pt idx="45">
                  <c:v>869</c:v>
                </c:pt>
                <c:pt idx="46">
                  <c:v>855</c:v>
                </c:pt>
                <c:pt idx="47">
                  <c:v>776</c:v>
                </c:pt>
                <c:pt idx="48">
                  <c:v>687</c:v>
                </c:pt>
                <c:pt idx="49">
                  <c:v>822</c:v>
                </c:pt>
                <c:pt idx="50">
                  <c:v>844</c:v>
                </c:pt>
                <c:pt idx="51">
                  <c:v>775</c:v>
                </c:pt>
                <c:pt idx="52">
                  <c:v>919</c:v>
                </c:pt>
                <c:pt idx="53">
                  <c:v>907</c:v>
                </c:pt>
                <c:pt idx="54">
                  <c:v>911</c:v>
                </c:pt>
                <c:pt idx="55">
                  <c:v>933</c:v>
                </c:pt>
                <c:pt idx="56">
                  <c:v>808</c:v>
                </c:pt>
                <c:pt idx="57">
                  <c:v>827</c:v>
                </c:pt>
                <c:pt idx="58">
                  <c:v>925</c:v>
                </c:pt>
                <c:pt idx="59">
                  <c:v>756</c:v>
                </c:pt>
              </c:numCache>
            </c:numRef>
          </c:val>
          <c:smooth val="0"/>
          <c:extLst>
            <c:ext xmlns:c16="http://schemas.microsoft.com/office/drawing/2014/chart" uri="{C3380CC4-5D6E-409C-BE32-E72D297353CC}">
              <c16:uniqueId val="{00000001-70FA-44A7-9C79-9C43D0D984C3}"/>
            </c:ext>
          </c:extLst>
        </c:ser>
        <c:ser>
          <c:idx val="2"/>
          <c:order val="2"/>
          <c:tx>
            <c:strRef>
              <c:f>'pats month sex'!$W$1:$W$3</c:f>
              <c:strCache>
                <c:ptCount val="1"/>
                <c:pt idx="0">
                  <c:v>Treated patients - F</c:v>
                </c:pt>
              </c:strCache>
            </c:strRef>
          </c:tx>
          <c:spPr>
            <a:ln w="28575" cap="rnd">
              <a:solidFill>
                <a:schemeClr val="accent3"/>
              </a:solidFill>
              <a:round/>
            </a:ln>
            <a:effectLst/>
          </c:spPr>
          <c:marker>
            <c:symbol val="none"/>
          </c:marker>
          <c:cat>
            <c:strRef>
              <c:f>'pats month sex'!$T$4:$T$64</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'pats month sex'!$W$4:$W$64</c:f>
              <c:numCache>
                <c:formatCode>General</c:formatCode>
                <c:ptCount val="60"/>
                <c:pt idx="0">
                  <c:v>1093</c:v>
                </c:pt>
                <c:pt idx="1">
                  <c:v>1120</c:v>
                </c:pt>
                <c:pt idx="2">
                  <c:v>1164</c:v>
                </c:pt>
                <c:pt idx="3">
                  <c:v>1142</c:v>
                </c:pt>
                <c:pt idx="4">
                  <c:v>1178</c:v>
                </c:pt>
                <c:pt idx="5">
                  <c:v>1237</c:v>
                </c:pt>
                <c:pt idx="6">
                  <c:v>1299</c:v>
                </c:pt>
                <c:pt idx="7">
                  <c:v>1265</c:v>
                </c:pt>
                <c:pt idx="8">
                  <c:v>1298</c:v>
                </c:pt>
                <c:pt idx="9">
                  <c:v>1348</c:v>
                </c:pt>
                <c:pt idx="10">
                  <c:v>1284</c:v>
                </c:pt>
                <c:pt idx="11">
                  <c:v>1298</c:v>
                </c:pt>
                <c:pt idx="12">
                  <c:v>1287</c:v>
                </c:pt>
                <c:pt idx="13">
                  <c:v>1258</c:v>
                </c:pt>
                <c:pt idx="14">
                  <c:v>1354</c:v>
                </c:pt>
                <c:pt idx="15">
                  <c:v>1345</c:v>
                </c:pt>
                <c:pt idx="16">
                  <c:v>1443</c:v>
                </c:pt>
                <c:pt idx="17">
                  <c:v>1556</c:v>
                </c:pt>
                <c:pt idx="18">
                  <c:v>1616</c:v>
                </c:pt>
                <c:pt idx="19">
                  <c:v>1691</c:v>
                </c:pt>
                <c:pt idx="20">
                  <c:v>1741</c:v>
                </c:pt>
                <c:pt idx="21">
                  <c:v>1776</c:v>
                </c:pt>
                <c:pt idx="22">
                  <c:v>1828</c:v>
                </c:pt>
                <c:pt idx="23">
                  <c:v>1942</c:v>
                </c:pt>
                <c:pt idx="24">
                  <c:v>1851</c:v>
                </c:pt>
                <c:pt idx="25">
                  <c:v>1982</c:v>
                </c:pt>
                <c:pt idx="26">
                  <c:v>2104</c:v>
                </c:pt>
                <c:pt idx="27">
                  <c:v>2051</c:v>
                </c:pt>
                <c:pt idx="28">
                  <c:v>2109</c:v>
                </c:pt>
                <c:pt idx="29">
                  <c:v>2139</c:v>
                </c:pt>
                <c:pt idx="30">
                  <c:v>2174</c:v>
                </c:pt>
                <c:pt idx="31">
                  <c:v>2305</c:v>
                </c:pt>
                <c:pt idx="32">
                  <c:v>2277</c:v>
                </c:pt>
                <c:pt idx="33">
                  <c:v>2333</c:v>
                </c:pt>
                <c:pt idx="34">
                  <c:v>2360</c:v>
                </c:pt>
                <c:pt idx="35">
                  <c:v>2345</c:v>
                </c:pt>
                <c:pt idx="36">
                  <c:v>2310</c:v>
                </c:pt>
                <c:pt idx="37">
                  <c:v>2375</c:v>
                </c:pt>
                <c:pt idx="38">
                  <c:v>2617</c:v>
                </c:pt>
                <c:pt idx="39">
                  <c:v>2452</c:v>
                </c:pt>
                <c:pt idx="40">
                  <c:v>2715</c:v>
                </c:pt>
                <c:pt idx="41">
                  <c:v>2675</c:v>
                </c:pt>
                <c:pt idx="42">
                  <c:v>2709</c:v>
                </c:pt>
                <c:pt idx="43">
                  <c:v>2842</c:v>
                </c:pt>
                <c:pt idx="44">
                  <c:v>2768</c:v>
                </c:pt>
                <c:pt idx="45">
                  <c:v>2889</c:v>
                </c:pt>
                <c:pt idx="46">
                  <c:v>2815</c:v>
                </c:pt>
                <c:pt idx="47">
                  <c:v>2844</c:v>
                </c:pt>
                <c:pt idx="48">
                  <c:v>2903</c:v>
                </c:pt>
                <c:pt idx="49">
                  <c:v>2915</c:v>
                </c:pt>
                <c:pt idx="50">
                  <c:v>3091</c:v>
                </c:pt>
                <c:pt idx="51">
                  <c:v>3051</c:v>
                </c:pt>
                <c:pt idx="52">
                  <c:v>3338</c:v>
                </c:pt>
                <c:pt idx="53">
                  <c:v>3181</c:v>
                </c:pt>
                <c:pt idx="54">
                  <c:v>3377</c:v>
                </c:pt>
                <c:pt idx="55">
                  <c:v>3559</c:v>
                </c:pt>
                <c:pt idx="56">
                  <c:v>3393</c:v>
                </c:pt>
                <c:pt idx="57">
                  <c:v>3603</c:v>
                </c:pt>
                <c:pt idx="58">
                  <c:v>3614</c:v>
                </c:pt>
                <c:pt idx="59">
                  <c:v>3510</c:v>
                </c:pt>
              </c:numCache>
            </c:numRef>
          </c:val>
          <c:smooth val="0"/>
          <c:extLst>
            <c:ext xmlns:c16="http://schemas.microsoft.com/office/drawing/2014/chart" uri="{C3380CC4-5D6E-409C-BE32-E72D297353CC}">
              <c16:uniqueId val="{00000002-70FA-44A7-9C79-9C43D0D984C3}"/>
            </c:ext>
          </c:extLst>
        </c:ser>
        <c:ser>
          <c:idx val="3"/>
          <c:order val="3"/>
          <c:tx>
            <c:strRef>
              <c:f>'pats month sex'!$X$1:$X$3</c:f>
              <c:strCache>
                <c:ptCount val="1"/>
                <c:pt idx="0">
                  <c:v>Treated patients - M</c:v>
                </c:pt>
              </c:strCache>
            </c:strRef>
          </c:tx>
          <c:spPr>
            <a:ln w="28575" cap="rnd">
              <a:solidFill>
                <a:schemeClr val="accent4"/>
              </a:solidFill>
              <a:round/>
            </a:ln>
            <a:effectLst/>
          </c:spPr>
          <c:marker>
            <c:symbol val="none"/>
          </c:marker>
          <c:cat>
            <c:strRef>
              <c:f>'pats month sex'!$T$4:$T$64</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'pats month sex'!$X$4:$X$64</c:f>
              <c:numCache>
                <c:formatCode>General</c:formatCode>
                <c:ptCount val="60"/>
                <c:pt idx="0">
                  <c:v>6868</c:v>
                </c:pt>
                <c:pt idx="1">
                  <c:v>7616</c:v>
                </c:pt>
                <c:pt idx="2">
                  <c:v>7693</c:v>
                </c:pt>
                <c:pt idx="3">
                  <c:v>7278</c:v>
                </c:pt>
                <c:pt idx="4">
                  <c:v>8266</c:v>
                </c:pt>
                <c:pt idx="5">
                  <c:v>7569</c:v>
                </c:pt>
                <c:pt idx="6">
                  <c:v>7553</c:v>
                </c:pt>
                <c:pt idx="7">
                  <c:v>7783</c:v>
                </c:pt>
                <c:pt idx="8">
                  <c:v>7419</c:v>
                </c:pt>
                <c:pt idx="9">
                  <c:v>7824</c:v>
                </c:pt>
                <c:pt idx="10">
                  <c:v>7895</c:v>
                </c:pt>
                <c:pt idx="11">
                  <c:v>8329</c:v>
                </c:pt>
                <c:pt idx="12">
                  <c:v>6671</c:v>
                </c:pt>
                <c:pt idx="13">
                  <c:v>7478</c:v>
                </c:pt>
                <c:pt idx="14">
                  <c:v>7856</c:v>
                </c:pt>
                <c:pt idx="15">
                  <c:v>7223</c:v>
                </c:pt>
                <c:pt idx="16">
                  <c:v>7749</c:v>
                </c:pt>
                <c:pt idx="17">
                  <c:v>7693</c:v>
                </c:pt>
                <c:pt idx="18">
                  <c:v>7808</c:v>
                </c:pt>
                <c:pt idx="19">
                  <c:v>7861</c:v>
                </c:pt>
                <c:pt idx="20">
                  <c:v>7694</c:v>
                </c:pt>
                <c:pt idx="21">
                  <c:v>7698</c:v>
                </c:pt>
                <c:pt idx="22">
                  <c:v>8347</c:v>
                </c:pt>
                <c:pt idx="23">
                  <c:v>8411</c:v>
                </c:pt>
                <c:pt idx="24">
                  <c:v>6524</c:v>
                </c:pt>
                <c:pt idx="25">
                  <c:v>7863</c:v>
                </c:pt>
                <c:pt idx="26">
                  <c:v>7995</c:v>
                </c:pt>
                <c:pt idx="27">
                  <c:v>7382</c:v>
                </c:pt>
                <c:pt idx="28">
                  <c:v>8246</c:v>
                </c:pt>
                <c:pt idx="29">
                  <c:v>7801</c:v>
                </c:pt>
                <c:pt idx="30">
                  <c:v>7631</c:v>
                </c:pt>
                <c:pt idx="31">
                  <c:v>8540</c:v>
                </c:pt>
                <c:pt idx="32">
                  <c:v>7981</c:v>
                </c:pt>
                <c:pt idx="33">
                  <c:v>7953</c:v>
                </c:pt>
                <c:pt idx="34">
                  <c:v>8585</c:v>
                </c:pt>
                <c:pt idx="35">
                  <c:v>8651</c:v>
                </c:pt>
                <c:pt idx="36">
                  <c:v>7303</c:v>
                </c:pt>
                <c:pt idx="37">
                  <c:v>7818</c:v>
                </c:pt>
                <c:pt idx="38">
                  <c:v>8552</c:v>
                </c:pt>
                <c:pt idx="39">
                  <c:v>7512</c:v>
                </c:pt>
                <c:pt idx="40">
                  <c:v>9018</c:v>
                </c:pt>
                <c:pt idx="41">
                  <c:v>8389</c:v>
                </c:pt>
                <c:pt idx="42">
                  <c:v>8020</c:v>
                </c:pt>
                <c:pt idx="43">
                  <c:v>8998</c:v>
                </c:pt>
                <c:pt idx="44">
                  <c:v>8184</c:v>
                </c:pt>
                <c:pt idx="45">
                  <c:v>8629</c:v>
                </c:pt>
                <c:pt idx="46">
                  <c:v>9145</c:v>
                </c:pt>
                <c:pt idx="47">
                  <c:v>8737</c:v>
                </c:pt>
                <c:pt idx="48">
                  <c:v>8060</c:v>
                </c:pt>
                <c:pt idx="49">
                  <c:v>8235</c:v>
                </c:pt>
                <c:pt idx="50">
                  <c:v>8664</c:v>
                </c:pt>
                <c:pt idx="51">
                  <c:v>8215</c:v>
                </c:pt>
                <c:pt idx="52">
                  <c:v>9808</c:v>
                </c:pt>
                <c:pt idx="53">
                  <c:v>8277</c:v>
                </c:pt>
                <c:pt idx="54">
                  <c:v>8485</c:v>
                </c:pt>
                <c:pt idx="55">
                  <c:v>9151</c:v>
                </c:pt>
                <c:pt idx="56">
                  <c:v>8359</c:v>
                </c:pt>
                <c:pt idx="57">
                  <c:v>9017</c:v>
                </c:pt>
                <c:pt idx="58">
                  <c:v>9592</c:v>
                </c:pt>
                <c:pt idx="59">
                  <c:v>8887</c:v>
                </c:pt>
              </c:numCache>
            </c:numRef>
          </c:val>
          <c:smooth val="0"/>
          <c:extLst>
            <c:ext xmlns:c16="http://schemas.microsoft.com/office/drawing/2014/chart" uri="{C3380CC4-5D6E-409C-BE32-E72D297353CC}">
              <c16:uniqueId val="{00000003-70FA-44A7-9C79-9C43D0D984C3}"/>
            </c:ext>
          </c:extLst>
        </c:ser>
        <c:dLbls>
          <c:showLegendKey val="0"/>
          <c:showVal val="0"/>
          <c:showCatName val="0"/>
          <c:showSerName val="0"/>
          <c:showPercent val="0"/>
          <c:showBubbleSize val="0"/>
        </c:dLbls>
        <c:smooth val="0"/>
        <c:axId val="1310053904"/>
        <c:axId val="1310053248"/>
      </c:lineChart>
      <c:catAx>
        <c:axId val="131005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0053248"/>
        <c:crosses val="autoZero"/>
        <c:auto val="1"/>
        <c:lblAlgn val="ctr"/>
        <c:lblOffset val="100"/>
        <c:noMultiLvlLbl val="0"/>
      </c:catAx>
      <c:valAx>
        <c:axId val="1310053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patients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00539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[D1139 - A - GnRH patients.xlsx]init age range!PivotTable5</c:name>
    <c:fmtId val="6"/>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s>
    <c:plotArea>
      <c:layout/>
      <c:barChart>
        <c:barDir val="col"/>
        <c:grouping val="clustered"/>
        <c:varyColors val="0"/>
        <c:ser>
          <c:idx val="0"/>
          <c:order val="0"/>
          <c:tx>
            <c:strRef>
              <c:f>'init age range'!$V$1:$V$2</c:f>
              <c:strCache>
                <c:ptCount val="1"/>
                <c:pt idx="0">
                  <c:v>Female patients</c:v>
                </c:pt>
              </c:strCache>
            </c:strRef>
          </c:tx>
          <c:spPr>
            <a:solidFill>
              <a:schemeClr val="accent1"/>
            </a:solidFill>
            <a:ln>
              <a:noFill/>
            </a:ln>
            <a:effectLst/>
          </c:spPr>
          <c:invertIfNegative val="0"/>
          <c:cat>
            <c:strRef>
              <c:f>'init age range'!$U$3:$U$24</c:f>
              <c:strCache>
                <c:ptCount val="21"/>
                <c:pt idx="0">
                  <c:v> 0-4  yrs</c:v>
                </c:pt>
                <c:pt idx="1">
                  <c:v> 5-9  yrs</c:v>
                </c:pt>
                <c:pt idx="2">
                  <c:v>10-14 yrs</c:v>
                </c:pt>
                <c:pt idx="3">
                  <c:v>15-19 yrs</c:v>
                </c:pt>
                <c:pt idx="4">
                  <c:v>20-24 yrs</c:v>
                </c:pt>
                <c:pt idx="5">
                  <c:v>25-29 yrs</c:v>
                </c:pt>
                <c:pt idx="6">
                  <c:v>30-34 yrs</c:v>
                </c:pt>
                <c:pt idx="7">
                  <c:v>35-39 yrs</c:v>
                </c:pt>
                <c:pt idx="8">
                  <c:v>40-44 yrs</c:v>
                </c:pt>
                <c:pt idx="9">
                  <c:v>45-49 yrs</c:v>
                </c:pt>
                <c:pt idx="10">
                  <c:v>50-54 yrs</c:v>
                </c:pt>
                <c:pt idx="11">
                  <c:v>55-59 yrs</c:v>
                </c:pt>
                <c:pt idx="12">
                  <c:v>60-64 yrs</c:v>
                </c:pt>
                <c:pt idx="13">
                  <c:v>65-69 yrs</c:v>
                </c:pt>
                <c:pt idx="14">
                  <c:v>70-74 yrs</c:v>
                </c:pt>
                <c:pt idx="15">
                  <c:v>75-79 yrs</c:v>
                </c:pt>
                <c:pt idx="16">
                  <c:v>80-84 yrs</c:v>
                </c:pt>
                <c:pt idx="17">
                  <c:v>85-89 yrs</c:v>
                </c:pt>
                <c:pt idx="18">
                  <c:v>90-94 yrs</c:v>
                </c:pt>
                <c:pt idx="19">
                  <c:v>95-99 yrs</c:v>
                </c:pt>
                <c:pt idx="20">
                  <c:v>100+  yrs</c:v>
                </c:pt>
              </c:strCache>
            </c:strRef>
          </c:cat>
          <c:val>
            <c:numRef>
              <c:f>'init age range'!$V$3:$V$24</c:f>
              <c:numCache>
                <c:formatCode>General</c:formatCode>
                <c:ptCount val="21"/>
                <c:pt idx="0">
                  <c:v>46</c:v>
                </c:pt>
                <c:pt idx="1">
                  <c:v>563</c:v>
                </c:pt>
                <c:pt idx="2">
                  <c:v>149</c:v>
                </c:pt>
                <c:pt idx="3">
                  <c:v>394</c:v>
                </c:pt>
                <c:pt idx="4">
                  <c:v>1060</c:v>
                </c:pt>
                <c:pt idx="5">
                  <c:v>1735</c:v>
                </c:pt>
                <c:pt idx="6">
                  <c:v>3522</c:v>
                </c:pt>
                <c:pt idx="7">
                  <c:v>4369</c:v>
                </c:pt>
                <c:pt idx="8">
                  <c:v>4453</c:v>
                </c:pt>
                <c:pt idx="9">
                  <c:v>3163</c:v>
                </c:pt>
                <c:pt idx="10">
                  <c:v>1168</c:v>
                </c:pt>
                <c:pt idx="11">
                  <c:v>128</c:v>
                </c:pt>
                <c:pt idx="12">
                  <c:v>53</c:v>
                </c:pt>
                <c:pt idx="13">
                  <c:v>82</c:v>
                </c:pt>
                <c:pt idx="14">
                  <c:v>99</c:v>
                </c:pt>
                <c:pt idx="15">
                  <c:v>75</c:v>
                </c:pt>
                <c:pt idx="16">
                  <c:v>84</c:v>
                </c:pt>
                <c:pt idx="17">
                  <c:v>53</c:v>
                </c:pt>
                <c:pt idx="18">
                  <c:v>9</c:v>
                </c:pt>
                <c:pt idx="19">
                  <c:v>2</c:v>
                </c:pt>
              </c:numCache>
            </c:numRef>
          </c:val>
          <c:extLst>
            <c:ext xmlns:c16="http://schemas.microsoft.com/office/drawing/2014/chart" uri="{C3380CC4-5D6E-409C-BE32-E72D297353CC}">
              <c16:uniqueId val="{00000000-6BD2-48F1-A5EF-27CA8C308373}"/>
            </c:ext>
          </c:extLst>
        </c:ser>
        <c:ser>
          <c:idx val="1"/>
          <c:order val="1"/>
          <c:tx>
            <c:strRef>
              <c:f>'init age range'!$W$1:$W$2</c:f>
              <c:strCache>
                <c:ptCount val="1"/>
                <c:pt idx="0">
                  <c:v>Male patients</c:v>
                </c:pt>
              </c:strCache>
            </c:strRef>
          </c:tx>
          <c:spPr>
            <a:solidFill>
              <a:schemeClr val="accent2"/>
            </a:solidFill>
            <a:ln>
              <a:noFill/>
            </a:ln>
            <a:effectLst/>
          </c:spPr>
          <c:invertIfNegative val="0"/>
          <c:cat>
            <c:strRef>
              <c:f>'init age range'!$U$3:$U$24</c:f>
              <c:strCache>
                <c:ptCount val="21"/>
                <c:pt idx="0">
                  <c:v> 0-4  yrs</c:v>
                </c:pt>
                <c:pt idx="1">
                  <c:v> 5-9  yrs</c:v>
                </c:pt>
                <c:pt idx="2">
                  <c:v>10-14 yrs</c:v>
                </c:pt>
                <c:pt idx="3">
                  <c:v>15-19 yrs</c:v>
                </c:pt>
                <c:pt idx="4">
                  <c:v>20-24 yrs</c:v>
                </c:pt>
                <c:pt idx="5">
                  <c:v>25-29 yrs</c:v>
                </c:pt>
                <c:pt idx="6">
                  <c:v>30-34 yrs</c:v>
                </c:pt>
                <c:pt idx="7">
                  <c:v>35-39 yrs</c:v>
                </c:pt>
                <c:pt idx="8">
                  <c:v>40-44 yrs</c:v>
                </c:pt>
                <c:pt idx="9">
                  <c:v>45-49 yrs</c:v>
                </c:pt>
                <c:pt idx="10">
                  <c:v>50-54 yrs</c:v>
                </c:pt>
                <c:pt idx="11">
                  <c:v>55-59 yrs</c:v>
                </c:pt>
                <c:pt idx="12">
                  <c:v>60-64 yrs</c:v>
                </c:pt>
                <c:pt idx="13">
                  <c:v>65-69 yrs</c:v>
                </c:pt>
                <c:pt idx="14">
                  <c:v>70-74 yrs</c:v>
                </c:pt>
                <c:pt idx="15">
                  <c:v>75-79 yrs</c:v>
                </c:pt>
                <c:pt idx="16">
                  <c:v>80-84 yrs</c:v>
                </c:pt>
                <c:pt idx="17">
                  <c:v>85-89 yrs</c:v>
                </c:pt>
                <c:pt idx="18">
                  <c:v>90-94 yrs</c:v>
                </c:pt>
                <c:pt idx="19">
                  <c:v>95-99 yrs</c:v>
                </c:pt>
                <c:pt idx="20">
                  <c:v>100+  yrs</c:v>
                </c:pt>
              </c:strCache>
            </c:strRef>
          </c:cat>
          <c:val>
            <c:numRef>
              <c:f>'init age range'!$W$3:$W$24</c:f>
              <c:numCache>
                <c:formatCode>General</c:formatCode>
                <c:ptCount val="21"/>
                <c:pt idx="0">
                  <c:v>15</c:v>
                </c:pt>
                <c:pt idx="1">
                  <c:v>87</c:v>
                </c:pt>
                <c:pt idx="2">
                  <c:v>100</c:v>
                </c:pt>
                <c:pt idx="3">
                  <c:v>67</c:v>
                </c:pt>
                <c:pt idx="4">
                  <c:v>24</c:v>
                </c:pt>
                <c:pt idx="5">
                  <c:v>26</c:v>
                </c:pt>
                <c:pt idx="6">
                  <c:v>38</c:v>
                </c:pt>
                <c:pt idx="7">
                  <c:v>48</c:v>
                </c:pt>
                <c:pt idx="8">
                  <c:v>86</c:v>
                </c:pt>
                <c:pt idx="9">
                  <c:v>198</c:v>
                </c:pt>
                <c:pt idx="10">
                  <c:v>738</c:v>
                </c:pt>
                <c:pt idx="11">
                  <c:v>2142</c:v>
                </c:pt>
                <c:pt idx="12">
                  <c:v>5063</c:v>
                </c:pt>
                <c:pt idx="13">
                  <c:v>9838</c:v>
                </c:pt>
                <c:pt idx="14">
                  <c:v>12902</c:v>
                </c:pt>
                <c:pt idx="15">
                  <c:v>14185</c:v>
                </c:pt>
                <c:pt idx="16">
                  <c:v>12714</c:v>
                </c:pt>
                <c:pt idx="17">
                  <c:v>9612</c:v>
                </c:pt>
                <c:pt idx="18">
                  <c:v>3490</c:v>
                </c:pt>
                <c:pt idx="19">
                  <c:v>481</c:v>
                </c:pt>
                <c:pt idx="20">
                  <c:v>30</c:v>
                </c:pt>
              </c:numCache>
            </c:numRef>
          </c:val>
          <c:extLst>
            <c:ext xmlns:c16="http://schemas.microsoft.com/office/drawing/2014/chart" uri="{C3380CC4-5D6E-409C-BE32-E72D297353CC}">
              <c16:uniqueId val="{00000001-6BD2-48F1-A5EF-27CA8C308373}"/>
            </c:ext>
          </c:extLst>
        </c:ser>
        <c:dLbls>
          <c:showLegendKey val="0"/>
          <c:showVal val="0"/>
          <c:showCatName val="0"/>
          <c:showSerName val="0"/>
          <c:showPercent val="0"/>
          <c:showBubbleSize val="0"/>
        </c:dLbls>
        <c:gapWidth val="219"/>
        <c:overlap val="-27"/>
        <c:axId val="1081740944"/>
        <c:axId val="1081738320"/>
      </c:barChart>
      <c:catAx>
        <c:axId val="108174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1738320"/>
        <c:crosses val="autoZero"/>
        <c:auto val="1"/>
        <c:lblAlgn val="ctr"/>
        <c:lblOffset val="100"/>
        <c:noMultiLvlLbl val="0"/>
      </c:catAx>
      <c:valAx>
        <c:axId val="1081738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patients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17409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[D1139 - F - GnRH female patient analysis-1.xlsx]scripts drug!PivotTable9</c:name>
    <c:fmtId val="11"/>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'scripts drug'!$V$1:$V$2</c:f>
              <c:strCache>
                <c:ptCount val="1"/>
                <c:pt idx="0">
                  <c:v>GOSERELIN</c:v>
                </c:pt>
              </c:strCache>
            </c:strRef>
          </c:tx>
          <c:spPr>
            <a:ln w="28575" cap="rnd">
              <a:solidFill>
                <a:schemeClr val="accent1"/>
              </a:solidFill>
              <a:round/>
            </a:ln>
            <a:effectLst/>
          </c:spPr>
          <c:marker>
            <c:symbol val="none"/>
          </c:marker>
          <c:cat>
            <c:strRef>
              <c:f>'scripts drug'!$U$3:$U$63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'scripts drug'!$V$3:$V$63</c:f>
              <c:numCache>
                <c:formatCode>General</c:formatCode>
                <c:ptCount val="60"/>
                <c:pt idx="0">
                  <c:v>1156</c:v>
                </c:pt>
                <c:pt idx="1">
                  <c:v>1131</c:v>
                </c:pt>
                <c:pt idx="2">
                  <c:v>1252</c:v>
                </c:pt>
                <c:pt idx="3">
                  <c:v>1217</c:v>
                </c:pt>
                <c:pt idx="4">
                  <c:v>1318</c:v>
                </c:pt>
                <c:pt idx="5">
                  <c:v>1322</c:v>
                </c:pt>
                <c:pt idx="6">
                  <c:v>1431</c:v>
                </c:pt>
                <c:pt idx="7">
                  <c:v>1330</c:v>
                </c:pt>
                <c:pt idx="8">
                  <c:v>1374</c:v>
                </c:pt>
                <c:pt idx="9">
                  <c:v>1468</c:v>
                </c:pt>
                <c:pt idx="10">
                  <c:v>1351</c:v>
                </c:pt>
                <c:pt idx="11">
                  <c:v>1500</c:v>
                </c:pt>
                <c:pt idx="12">
                  <c:v>1341</c:v>
                </c:pt>
                <c:pt idx="13">
                  <c:v>1323</c:v>
                </c:pt>
                <c:pt idx="14">
                  <c:v>1509</c:v>
                </c:pt>
                <c:pt idx="15">
                  <c:v>1469</c:v>
                </c:pt>
                <c:pt idx="16">
                  <c:v>1488</c:v>
                </c:pt>
                <c:pt idx="17">
                  <c:v>1660</c:v>
                </c:pt>
                <c:pt idx="18">
                  <c:v>1736</c:v>
                </c:pt>
                <c:pt idx="19">
                  <c:v>1679</c:v>
                </c:pt>
                <c:pt idx="20">
                  <c:v>1798</c:v>
                </c:pt>
                <c:pt idx="21">
                  <c:v>1810</c:v>
                </c:pt>
                <c:pt idx="22">
                  <c:v>1857</c:v>
                </c:pt>
                <c:pt idx="23">
                  <c:v>2053</c:v>
                </c:pt>
                <c:pt idx="24">
                  <c:v>1826</c:v>
                </c:pt>
                <c:pt idx="25">
                  <c:v>1969</c:v>
                </c:pt>
                <c:pt idx="26">
                  <c:v>2287</c:v>
                </c:pt>
                <c:pt idx="27">
                  <c:v>2069</c:v>
                </c:pt>
                <c:pt idx="28">
                  <c:v>2221</c:v>
                </c:pt>
                <c:pt idx="29">
                  <c:v>2184</c:v>
                </c:pt>
                <c:pt idx="30">
                  <c:v>2183</c:v>
                </c:pt>
                <c:pt idx="31">
                  <c:v>2469</c:v>
                </c:pt>
                <c:pt idx="32">
                  <c:v>2331</c:v>
                </c:pt>
                <c:pt idx="33">
                  <c:v>2281</c:v>
                </c:pt>
                <c:pt idx="34">
                  <c:v>2404</c:v>
                </c:pt>
                <c:pt idx="35">
                  <c:v>2429</c:v>
                </c:pt>
                <c:pt idx="36">
                  <c:v>2209</c:v>
                </c:pt>
                <c:pt idx="37">
                  <c:v>2215</c:v>
                </c:pt>
                <c:pt idx="38">
                  <c:v>2598</c:v>
                </c:pt>
                <c:pt idx="39">
                  <c:v>2301</c:v>
                </c:pt>
                <c:pt idx="40">
                  <c:v>2785</c:v>
                </c:pt>
                <c:pt idx="41">
                  <c:v>2637</c:v>
                </c:pt>
                <c:pt idx="42">
                  <c:v>2623</c:v>
                </c:pt>
                <c:pt idx="43">
                  <c:v>2835</c:v>
                </c:pt>
                <c:pt idx="44">
                  <c:v>2645</c:v>
                </c:pt>
                <c:pt idx="45">
                  <c:v>2845</c:v>
                </c:pt>
                <c:pt idx="46">
                  <c:v>2736</c:v>
                </c:pt>
                <c:pt idx="47">
                  <c:v>2781</c:v>
                </c:pt>
                <c:pt idx="48">
                  <c:v>2874</c:v>
                </c:pt>
                <c:pt idx="49">
                  <c:v>2728</c:v>
                </c:pt>
                <c:pt idx="50">
                  <c:v>3076</c:v>
                </c:pt>
                <c:pt idx="51">
                  <c:v>2964</c:v>
                </c:pt>
                <c:pt idx="52">
                  <c:v>3576</c:v>
                </c:pt>
                <c:pt idx="53">
                  <c:v>3163</c:v>
                </c:pt>
                <c:pt idx="54">
                  <c:v>3376</c:v>
                </c:pt>
                <c:pt idx="55">
                  <c:v>3512</c:v>
                </c:pt>
                <c:pt idx="56">
                  <c:v>3238</c:v>
                </c:pt>
                <c:pt idx="57">
                  <c:v>3599</c:v>
                </c:pt>
                <c:pt idx="58">
                  <c:v>3641</c:v>
                </c:pt>
                <c:pt idx="59">
                  <c:v>3532</c:v>
                </c:pt>
              </c:numCache>
            </c:numRef>
          </c:val>
          <c:smooth val="0"/>
          <c:extLst>
            <c:ext xmlns:c16="http://schemas.microsoft.com/office/drawing/2014/chart" uri="{C3380CC4-5D6E-409C-BE32-E72D297353CC}">
              <c16:uniqueId val="{00000000-B4F4-4A61-8560-1810F69B9107}"/>
            </c:ext>
          </c:extLst>
        </c:ser>
        <c:ser>
          <c:idx val="1"/>
          <c:order val="1"/>
          <c:tx>
            <c:strRef>
              <c:f>'scripts drug'!$W$1:$W$2</c:f>
              <c:strCache>
                <c:ptCount val="1"/>
                <c:pt idx="0">
                  <c:v>LEUPRORELIN</c:v>
                </c:pt>
              </c:strCache>
            </c:strRef>
          </c:tx>
          <c:spPr>
            <a:ln w="28575" cap="rnd">
              <a:solidFill>
                <a:schemeClr val="accent2"/>
              </a:solidFill>
              <a:round/>
            </a:ln>
            <a:effectLst/>
          </c:spPr>
          <c:marker>
            <c:symbol val="none"/>
          </c:marker>
          <c:cat>
            <c:strRef>
              <c:f>'scripts drug'!$U$3:$U$63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'scripts drug'!$W$3:$W$63</c:f>
              <c:numCache>
                <c:formatCode>General</c:formatCode>
                <c:ptCount val="60"/>
                <c:pt idx="0">
                  <c:v>1</c:v>
                </c:pt>
                <c:pt idx="1">
                  <c:v>5</c:v>
                </c:pt>
                <c:pt idx="2">
                  <c:v>4</c:v>
                </c:pt>
                <c:pt idx="3">
                  <c:v>2</c:v>
                </c:pt>
                <c:pt idx="4">
                  <c:v>3</c:v>
                </c:pt>
                <c:pt idx="5">
                  <c:v>2</c:v>
                </c:pt>
                <c:pt idx="6">
                  <c:v>5</c:v>
                </c:pt>
                <c:pt idx="7">
                  <c:v>2</c:v>
                </c:pt>
                <c:pt idx="8">
                  <c:v>2</c:v>
                </c:pt>
                <c:pt idx="9">
                  <c:v>4</c:v>
                </c:pt>
                <c:pt idx="10">
                  <c:v>4</c:v>
                </c:pt>
                <c:pt idx="11">
                  <c:v>5</c:v>
                </c:pt>
                <c:pt idx="12">
                  <c:v>6</c:v>
                </c:pt>
                <c:pt idx="14">
                  <c:v>2</c:v>
                </c:pt>
                <c:pt idx="15">
                  <c:v>3</c:v>
                </c:pt>
                <c:pt idx="16">
                  <c:v>26</c:v>
                </c:pt>
                <c:pt idx="17">
                  <c:v>63</c:v>
                </c:pt>
                <c:pt idx="18">
                  <c:v>67</c:v>
                </c:pt>
                <c:pt idx="19">
                  <c:v>89</c:v>
                </c:pt>
                <c:pt idx="20">
                  <c:v>90</c:v>
                </c:pt>
                <c:pt idx="21">
                  <c:v>81</c:v>
                </c:pt>
                <c:pt idx="22">
                  <c:v>84</c:v>
                </c:pt>
                <c:pt idx="23">
                  <c:v>117</c:v>
                </c:pt>
                <c:pt idx="24">
                  <c:v>80</c:v>
                </c:pt>
                <c:pt idx="25">
                  <c:v>111</c:v>
                </c:pt>
                <c:pt idx="26">
                  <c:v>95</c:v>
                </c:pt>
                <c:pt idx="27">
                  <c:v>105</c:v>
                </c:pt>
                <c:pt idx="28">
                  <c:v>104</c:v>
                </c:pt>
                <c:pt idx="29">
                  <c:v>103</c:v>
                </c:pt>
                <c:pt idx="30">
                  <c:v>112</c:v>
                </c:pt>
                <c:pt idx="31">
                  <c:v>117</c:v>
                </c:pt>
                <c:pt idx="32">
                  <c:v>109</c:v>
                </c:pt>
                <c:pt idx="33">
                  <c:v>131</c:v>
                </c:pt>
                <c:pt idx="34">
                  <c:v>119</c:v>
                </c:pt>
                <c:pt idx="35">
                  <c:v>121</c:v>
                </c:pt>
                <c:pt idx="36">
                  <c:v>125</c:v>
                </c:pt>
                <c:pt idx="37">
                  <c:v>108</c:v>
                </c:pt>
                <c:pt idx="38">
                  <c:v>141</c:v>
                </c:pt>
                <c:pt idx="39">
                  <c:v>125</c:v>
                </c:pt>
                <c:pt idx="40">
                  <c:v>128</c:v>
                </c:pt>
                <c:pt idx="41">
                  <c:v>133</c:v>
                </c:pt>
                <c:pt idx="42">
                  <c:v>125</c:v>
                </c:pt>
                <c:pt idx="43">
                  <c:v>129</c:v>
                </c:pt>
                <c:pt idx="44">
                  <c:v>140</c:v>
                </c:pt>
                <c:pt idx="45">
                  <c:v>135</c:v>
                </c:pt>
                <c:pt idx="46">
                  <c:v>141</c:v>
                </c:pt>
                <c:pt idx="47">
                  <c:v>155</c:v>
                </c:pt>
                <c:pt idx="48">
                  <c:v>135</c:v>
                </c:pt>
                <c:pt idx="49">
                  <c:v>157</c:v>
                </c:pt>
                <c:pt idx="50">
                  <c:v>143</c:v>
                </c:pt>
                <c:pt idx="51">
                  <c:v>141</c:v>
                </c:pt>
                <c:pt idx="52">
                  <c:v>175</c:v>
                </c:pt>
                <c:pt idx="53">
                  <c:v>129</c:v>
                </c:pt>
                <c:pt idx="54">
                  <c:v>149</c:v>
                </c:pt>
                <c:pt idx="55">
                  <c:v>163</c:v>
                </c:pt>
                <c:pt idx="56">
                  <c:v>143</c:v>
                </c:pt>
                <c:pt idx="57">
                  <c:v>163</c:v>
                </c:pt>
                <c:pt idx="58">
                  <c:v>163</c:v>
                </c:pt>
                <c:pt idx="59">
                  <c:v>164</c:v>
                </c:pt>
              </c:numCache>
            </c:numRef>
          </c:val>
          <c:smooth val="0"/>
          <c:extLst>
            <c:ext xmlns:c16="http://schemas.microsoft.com/office/drawing/2014/chart" uri="{C3380CC4-5D6E-409C-BE32-E72D297353CC}">
              <c16:uniqueId val="{00000001-B4F4-4A61-8560-1810F69B9107}"/>
            </c:ext>
          </c:extLst>
        </c:ser>
        <c:ser>
          <c:idx val="2"/>
          <c:order val="2"/>
          <c:tx>
            <c:strRef>
              <c:f>'scripts drug'!$X$1:$X$2</c:f>
              <c:strCache>
                <c:ptCount val="1"/>
                <c:pt idx="0">
                  <c:v>NAFARELIN</c:v>
                </c:pt>
              </c:strCache>
            </c:strRef>
          </c:tx>
          <c:spPr>
            <a:ln w="28575" cap="rnd">
              <a:solidFill>
                <a:schemeClr val="accent3"/>
              </a:solidFill>
              <a:round/>
            </a:ln>
            <a:effectLst/>
          </c:spPr>
          <c:marker>
            <c:symbol val="none"/>
          </c:marker>
          <c:cat>
            <c:strRef>
              <c:f>'scripts drug'!$U$3:$U$63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'scripts drug'!$X$3:$X$63</c:f>
              <c:numCache>
                <c:formatCode>General</c:formatCode>
                <c:ptCount val="60"/>
                <c:pt idx="0">
                  <c:v>91</c:v>
                </c:pt>
                <c:pt idx="1">
                  <c:v>101</c:v>
                </c:pt>
                <c:pt idx="2">
                  <c:v>88</c:v>
                </c:pt>
                <c:pt idx="3">
                  <c:v>101</c:v>
                </c:pt>
                <c:pt idx="4">
                  <c:v>85</c:v>
                </c:pt>
                <c:pt idx="5">
                  <c:v>81</c:v>
                </c:pt>
                <c:pt idx="6">
                  <c:v>120</c:v>
                </c:pt>
                <c:pt idx="7">
                  <c:v>104</c:v>
                </c:pt>
                <c:pt idx="8">
                  <c:v>97</c:v>
                </c:pt>
                <c:pt idx="9">
                  <c:v>111</c:v>
                </c:pt>
                <c:pt idx="10">
                  <c:v>108</c:v>
                </c:pt>
                <c:pt idx="11">
                  <c:v>79</c:v>
                </c:pt>
                <c:pt idx="12">
                  <c:v>117</c:v>
                </c:pt>
                <c:pt idx="13">
                  <c:v>76</c:v>
                </c:pt>
                <c:pt idx="14">
                  <c:v>103</c:v>
                </c:pt>
                <c:pt idx="15">
                  <c:v>101</c:v>
                </c:pt>
                <c:pt idx="16">
                  <c:v>105</c:v>
                </c:pt>
                <c:pt idx="17">
                  <c:v>85</c:v>
                </c:pt>
                <c:pt idx="18">
                  <c:v>126</c:v>
                </c:pt>
                <c:pt idx="19">
                  <c:v>136</c:v>
                </c:pt>
                <c:pt idx="20">
                  <c:v>115</c:v>
                </c:pt>
                <c:pt idx="21">
                  <c:v>144</c:v>
                </c:pt>
                <c:pt idx="22">
                  <c:v>135</c:v>
                </c:pt>
                <c:pt idx="23">
                  <c:v>147</c:v>
                </c:pt>
                <c:pt idx="24">
                  <c:v>123</c:v>
                </c:pt>
                <c:pt idx="25">
                  <c:v>131</c:v>
                </c:pt>
                <c:pt idx="26">
                  <c:v>125</c:v>
                </c:pt>
                <c:pt idx="27">
                  <c:v>116</c:v>
                </c:pt>
                <c:pt idx="28">
                  <c:v>95</c:v>
                </c:pt>
                <c:pt idx="29">
                  <c:v>117</c:v>
                </c:pt>
                <c:pt idx="30">
                  <c:v>128</c:v>
                </c:pt>
                <c:pt idx="31">
                  <c:v>129</c:v>
                </c:pt>
                <c:pt idx="32">
                  <c:v>159</c:v>
                </c:pt>
                <c:pt idx="33">
                  <c:v>200</c:v>
                </c:pt>
                <c:pt idx="34">
                  <c:v>206</c:v>
                </c:pt>
                <c:pt idx="35">
                  <c:v>213</c:v>
                </c:pt>
                <c:pt idx="36">
                  <c:v>261</c:v>
                </c:pt>
                <c:pt idx="37">
                  <c:v>270</c:v>
                </c:pt>
                <c:pt idx="38">
                  <c:v>278</c:v>
                </c:pt>
                <c:pt idx="39">
                  <c:v>268</c:v>
                </c:pt>
                <c:pt idx="40">
                  <c:v>298</c:v>
                </c:pt>
                <c:pt idx="41">
                  <c:v>286</c:v>
                </c:pt>
                <c:pt idx="42">
                  <c:v>284</c:v>
                </c:pt>
                <c:pt idx="43">
                  <c:v>314</c:v>
                </c:pt>
                <c:pt idx="44">
                  <c:v>304</c:v>
                </c:pt>
                <c:pt idx="45">
                  <c:v>349</c:v>
                </c:pt>
                <c:pt idx="46">
                  <c:v>322</c:v>
                </c:pt>
                <c:pt idx="47">
                  <c:v>328</c:v>
                </c:pt>
                <c:pt idx="48">
                  <c:v>334</c:v>
                </c:pt>
                <c:pt idx="49">
                  <c:v>298</c:v>
                </c:pt>
                <c:pt idx="50">
                  <c:v>350</c:v>
                </c:pt>
                <c:pt idx="51">
                  <c:v>332</c:v>
                </c:pt>
                <c:pt idx="52">
                  <c:v>372</c:v>
                </c:pt>
                <c:pt idx="53">
                  <c:v>372</c:v>
                </c:pt>
                <c:pt idx="54">
                  <c:v>354</c:v>
                </c:pt>
                <c:pt idx="55">
                  <c:v>416</c:v>
                </c:pt>
                <c:pt idx="56">
                  <c:v>371</c:v>
                </c:pt>
                <c:pt idx="57">
                  <c:v>398</c:v>
                </c:pt>
                <c:pt idx="58">
                  <c:v>402</c:v>
                </c:pt>
                <c:pt idx="59">
                  <c:v>346</c:v>
                </c:pt>
              </c:numCache>
            </c:numRef>
          </c:val>
          <c:smooth val="0"/>
          <c:extLst>
            <c:ext xmlns:c16="http://schemas.microsoft.com/office/drawing/2014/chart" uri="{C3380CC4-5D6E-409C-BE32-E72D297353CC}">
              <c16:uniqueId val="{00000002-B4F4-4A61-8560-1810F69B9107}"/>
            </c:ext>
          </c:extLst>
        </c:ser>
        <c:dLbls>
          <c:showLegendKey val="0"/>
          <c:showVal val="0"/>
          <c:showCatName val="0"/>
          <c:showSerName val="0"/>
          <c:showPercent val="0"/>
          <c:showBubbleSize val="0"/>
        </c:dLbls>
        <c:smooth val="0"/>
        <c:axId val="1081740616"/>
        <c:axId val="1081740944"/>
      </c:lineChart>
      <c:catAx>
        <c:axId val="1081740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1740944"/>
        <c:crosses val="autoZero"/>
        <c:auto val="1"/>
        <c:lblAlgn val="ctr"/>
        <c:lblOffset val="100"/>
        <c:noMultiLvlLbl val="0"/>
      </c:catAx>
      <c:valAx>
        <c:axId val="1081740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baseline="0">
                    <a:effectLst/>
                  </a:rPr>
                  <a:t>Number of Prescriptions</a:t>
                </a:r>
                <a:endParaRPr lang="en-AU" sz="1000">
                  <a:effectLst/>
                </a:endParaRP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17406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[D1139 - F - GnRH female patient analysis-1.xlsx]product!PivotTable3</c:name>
    <c:fmtId val="17"/>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product!$U$1:$U$2</c:f>
              <c:strCache>
                <c:ptCount val="1"/>
                <c:pt idx="0">
                  <c:v>Nafarelin</c:v>
                </c:pt>
              </c:strCache>
            </c:strRef>
          </c:tx>
          <c:spPr>
            <a:ln w="28575" cap="rnd">
              <a:solidFill>
                <a:schemeClr val="accent1"/>
              </a:solidFill>
              <a:round/>
            </a:ln>
            <a:effectLst/>
          </c:spPr>
          <c:marker>
            <c:symbol val="none"/>
          </c:marker>
          <c:cat>
            <c:strRef>
              <c:f>product!$T$3:$T$63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product!$U$3:$U$63</c:f>
              <c:numCache>
                <c:formatCode>General</c:formatCode>
                <c:ptCount val="60"/>
                <c:pt idx="0">
                  <c:v>91</c:v>
                </c:pt>
                <c:pt idx="1">
                  <c:v>101</c:v>
                </c:pt>
                <c:pt idx="2">
                  <c:v>88</c:v>
                </c:pt>
                <c:pt idx="3">
                  <c:v>101</c:v>
                </c:pt>
                <c:pt idx="4">
                  <c:v>85</c:v>
                </c:pt>
                <c:pt idx="5">
                  <c:v>81</c:v>
                </c:pt>
                <c:pt idx="6">
                  <c:v>120</c:v>
                </c:pt>
                <c:pt idx="7">
                  <c:v>104</c:v>
                </c:pt>
                <c:pt idx="8">
                  <c:v>97</c:v>
                </c:pt>
                <c:pt idx="9">
                  <c:v>111</c:v>
                </c:pt>
                <c:pt idx="10">
                  <c:v>108</c:v>
                </c:pt>
                <c:pt idx="11">
                  <c:v>79</c:v>
                </c:pt>
                <c:pt idx="12">
                  <c:v>117</c:v>
                </c:pt>
                <c:pt idx="13">
                  <c:v>76</c:v>
                </c:pt>
                <c:pt idx="14">
                  <c:v>103</c:v>
                </c:pt>
                <c:pt idx="15">
                  <c:v>101</c:v>
                </c:pt>
                <c:pt idx="16">
                  <c:v>105</c:v>
                </c:pt>
                <c:pt idx="17">
                  <c:v>85</c:v>
                </c:pt>
                <c:pt idx="18">
                  <c:v>126</c:v>
                </c:pt>
                <c:pt idx="19">
                  <c:v>136</c:v>
                </c:pt>
                <c:pt idx="20">
                  <c:v>115</c:v>
                </c:pt>
                <c:pt idx="21">
                  <c:v>144</c:v>
                </c:pt>
                <c:pt idx="22">
                  <c:v>135</c:v>
                </c:pt>
                <c:pt idx="23">
                  <c:v>147</c:v>
                </c:pt>
                <c:pt idx="24">
                  <c:v>123</c:v>
                </c:pt>
                <c:pt idx="25">
                  <c:v>131</c:v>
                </c:pt>
                <c:pt idx="26">
                  <c:v>125</c:v>
                </c:pt>
                <c:pt idx="27">
                  <c:v>116</c:v>
                </c:pt>
                <c:pt idx="28">
                  <c:v>95</c:v>
                </c:pt>
                <c:pt idx="29">
                  <c:v>117</c:v>
                </c:pt>
                <c:pt idx="30">
                  <c:v>128</c:v>
                </c:pt>
                <c:pt idx="31">
                  <c:v>129</c:v>
                </c:pt>
                <c:pt idx="32">
                  <c:v>159</c:v>
                </c:pt>
                <c:pt idx="33">
                  <c:v>200</c:v>
                </c:pt>
                <c:pt idx="34">
                  <c:v>206</c:v>
                </c:pt>
                <c:pt idx="35">
                  <c:v>213</c:v>
                </c:pt>
                <c:pt idx="36">
                  <c:v>261</c:v>
                </c:pt>
                <c:pt idx="37">
                  <c:v>270</c:v>
                </c:pt>
                <c:pt idx="38">
                  <c:v>278</c:v>
                </c:pt>
                <c:pt idx="39">
                  <c:v>268</c:v>
                </c:pt>
                <c:pt idx="40">
                  <c:v>298</c:v>
                </c:pt>
                <c:pt idx="41">
                  <c:v>286</c:v>
                </c:pt>
                <c:pt idx="42">
                  <c:v>284</c:v>
                </c:pt>
                <c:pt idx="43">
                  <c:v>314</c:v>
                </c:pt>
                <c:pt idx="44">
                  <c:v>304</c:v>
                </c:pt>
                <c:pt idx="45">
                  <c:v>349</c:v>
                </c:pt>
                <c:pt idx="46">
                  <c:v>322</c:v>
                </c:pt>
                <c:pt idx="47">
                  <c:v>328</c:v>
                </c:pt>
                <c:pt idx="48">
                  <c:v>334</c:v>
                </c:pt>
                <c:pt idx="49">
                  <c:v>298</c:v>
                </c:pt>
                <c:pt idx="50">
                  <c:v>350</c:v>
                </c:pt>
                <c:pt idx="51">
                  <c:v>332</c:v>
                </c:pt>
                <c:pt idx="52">
                  <c:v>372</c:v>
                </c:pt>
                <c:pt idx="53">
                  <c:v>372</c:v>
                </c:pt>
                <c:pt idx="54">
                  <c:v>354</c:v>
                </c:pt>
                <c:pt idx="55">
                  <c:v>416</c:v>
                </c:pt>
                <c:pt idx="56">
                  <c:v>371</c:v>
                </c:pt>
                <c:pt idx="57">
                  <c:v>398</c:v>
                </c:pt>
                <c:pt idx="58">
                  <c:v>402</c:v>
                </c:pt>
                <c:pt idx="59">
                  <c:v>346</c:v>
                </c:pt>
              </c:numCache>
            </c:numRef>
          </c:val>
          <c:smooth val="0"/>
          <c:extLst>
            <c:ext xmlns:c16="http://schemas.microsoft.com/office/drawing/2014/chart" uri="{C3380CC4-5D6E-409C-BE32-E72D297353CC}">
              <c16:uniqueId val="{00000000-9F0C-4B41-854A-E67D64BF3205}"/>
            </c:ext>
          </c:extLst>
        </c:ser>
        <c:ser>
          <c:idx val="1"/>
          <c:order val="1"/>
          <c:tx>
            <c:strRef>
              <c:f>product!$V$1:$V$2</c:f>
              <c:strCache>
                <c:ptCount val="1"/>
                <c:pt idx="0">
                  <c:v>Goserelin 1 month</c:v>
                </c:pt>
              </c:strCache>
            </c:strRef>
          </c:tx>
          <c:spPr>
            <a:ln w="28575" cap="rnd">
              <a:solidFill>
                <a:schemeClr val="accent2"/>
              </a:solidFill>
              <a:round/>
            </a:ln>
            <a:effectLst/>
          </c:spPr>
          <c:marker>
            <c:symbol val="none"/>
          </c:marker>
          <c:cat>
            <c:strRef>
              <c:f>product!$T$3:$T$63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product!$V$3:$V$63</c:f>
              <c:numCache>
                <c:formatCode>General</c:formatCode>
                <c:ptCount val="60"/>
                <c:pt idx="0">
                  <c:v>1152</c:v>
                </c:pt>
                <c:pt idx="1">
                  <c:v>1127</c:v>
                </c:pt>
                <c:pt idx="2">
                  <c:v>1247</c:v>
                </c:pt>
                <c:pt idx="3">
                  <c:v>1213</c:v>
                </c:pt>
                <c:pt idx="4">
                  <c:v>1314</c:v>
                </c:pt>
                <c:pt idx="5">
                  <c:v>1320</c:v>
                </c:pt>
                <c:pt idx="6">
                  <c:v>1423</c:v>
                </c:pt>
                <c:pt idx="7">
                  <c:v>1326</c:v>
                </c:pt>
                <c:pt idx="8">
                  <c:v>1370</c:v>
                </c:pt>
                <c:pt idx="9">
                  <c:v>1465</c:v>
                </c:pt>
                <c:pt idx="10">
                  <c:v>1345</c:v>
                </c:pt>
                <c:pt idx="11">
                  <c:v>1496</c:v>
                </c:pt>
                <c:pt idx="12">
                  <c:v>1336</c:v>
                </c:pt>
                <c:pt idx="13">
                  <c:v>1320</c:v>
                </c:pt>
                <c:pt idx="14">
                  <c:v>1508</c:v>
                </c:pt>
                <c:pt idx="15">
                  <c:v>1463</c:v>
                </c:pt>
                <c:pt idx="16">
                  <c:v>1481</c:v>
                </c:pt>
                <c:pt idx="17">
                  <c:v>1647</c:v>
                </c:pt>
                <c:pt idx="18">
                  <c:v>1725</c:v>
                </c:pt>
                <c:pt idx="19">
                  <c:v>1669</c:v>
                </c:pt>
                <c:pt idx="20">
                  <c:v>1773</c:v>
                </c:pt>
                <c:pt idx="21">
                  <c:v>1756</c:v>
                </c:pt>
                <c:pt idx="22">
                  <c:v>1820</c:v>
                </c:pt>
                <c:pt idx="23">
                  <c:v>2036</c:v>
                </c:pt>
                <c:pt idx="24">
                  <c:v>1809</c:v>
                </c:pt>
                <c:pt idx="25">
                  <c:v>1948</c:v>
                </c:pt>
                <c:pt idx="26">
                  <c:v>2229</c:v>
                </c:pt>
                <c:pt idx="27">
                  <c:v>2035</c:v>
                </c:pt>
                <c:pt idx="28">
                  <c:v>2208</c:v>
                </c:pt>
                <c:pt idx="29">
                  <c:v>2159</c:v>
                </c:pt>
                <c:pt idx="30">
                  <c:v>2163</c:v>
                </c:pt>
                <c:pt idx="31">
                  <c:v>2443</c:v>
                </c:pt>
                <c:pt idx="32">
                  <c:v>2313</c:v>
                </c:pt>
                <c:pt idx="33">
                  <c:v>2253</c:v>
                </c:pt>
                <c:pt idx="34">
                  <c:v>2380</c:v>
                </c:pt>
                <c:pt idx="35">
                  <c:v>2388</c:v>
                </c:pt>
                <c:pt idx="36">
                  <c:v>2195</c:v>
                </c:pt>
                <c:pt idx="37">
                  <c:v>2196</c:v>
                </c:pt>
                <c:pt idx="38">
                  <c:v>2570</c:v>
                </c:pt>
                <c:pt idx="39">
                  <c:v>2291</c:v>
                </c:pt>
                <c:pt idx="40">
                  <c:v>2760</c:v>
                </c:pt>
                <c:pt idx="41">
                  <c:v>2611</c:v>
                </c:pt>
                <c:pt idx="42">
                  <c:v>2582</c:v>
                </c:pt>
                <c:pt idx="43">
                  <c:v>2814</c:v>
                </c:pt>
                <c:pt idx="44">
                  <c:v>2627</c:v>
                </c:pt>
                <c:pt idx="45">
                  <c:v>2814</c:v>
                </c:pt>
                <c:pt idx="46">
                  <c:v>2716</c:v>
                </c:pt>
                <c:pt idx="47">
                  <c:v>2749</c:v>
                </c:pt>
                <c:pt idx="48">
                  <c:v>2847</c:v>
                </c:pt>
                <c:pt idx="49">
                  <c:v>2700</c:v>
                </c:pt>
                <c:pt idx="50">
                  <c:v>3042</c:v>
                </c:pt>
                <c:pt idx="51">
                  <c:v>2940</c:v>
                </c:pt>
                <c:pt idx="52">
                  <c:v>3533</c:v>
                </c:pt>
                <c:pt idx="53">
                  <c:v>3123</c:v>
                </c:pt>
                <c:pt idx="54">
                  <c:v>3321</c:v>
                </c:pt>
                <c:pt idx="55">
                  <c:v>3485</c:v>
                </c:pt>
                <c:pt idx="56">
                  <c:v>3204</c:v>
                </c:pt>
                <c:pt idx="57">
                  <c:v>3557</c:v>
                </c:pt>
                <c:pt idx="58">
                  <c:v>3609</c:v>
                </c:pt>
                <c:pt idx="59">
                  <c:v>3494</c:v>
                </c:pt>
              </c:numCache>
            </c:numRef>
          </c:val>
          <c:smooth val="0"/>
          <c:extLst>
            <c:ext xmlns:c16="http://schemas.microsoft.com/office/drawing/2014/chart" uri="{C3380CC4-5D6E-409C-BE32-E72D297353CC}">
              <c16:uniqueId val="{00000001-9F0C-4B41-854A-E67D64BF3205}"/>
            </c:ext>
          </c:extLst>
        </c:ser>
        <c:ser>
          <c:idx val="2"/>
          <c:order val="2"/>
          <c:tx>
            <c:strRef>
              <c:f>product!$W$1:$W$2</c:f>
              <c:strCache>
                <c:ptCount val="1"/>
                <c:pt idx="0">
                  <c:v>Goserelin 3 month</c:v>
                </c:pt>
              </c:strCache>
            </c:strRef>
          </c:tx>
          <c:spPr>
            <a:ln w="28575" cap="rnd">
              <a:solidFill>
                <a:schemeClr val="accent3"/>
              </a:solidFill>
              <a:round/>
            </a:ln>
            <a:effectLst/>
          </c:spPr>
          <c:marker>
            <c:symbol val="none"/>
          </c:marker>
          <c:cat>
            <c:strRef>
              <c:f>product!$T$3:$T$63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product!$W$3:$W$63</c:f>
              <c:numCache>
                <c:formatCode>General</c:formatCode>
                <c:ptCount val="60"/>
                <c:pt idx="0">
                  <c:v>4</c:v>
                </c:pt>
                <c:pt idx="1">
                  <c:v>4</c:v>
                </c:pt>
                <c:pt idx="2">
                  <c:v>5</c:v>
                </c:pt>
                <c:pt idx="3">
                  <c:v>4</c:v>
                </c:pt>
                <c:pt idx="4">
                  <c:v>4</c:v>
                </c:pt>
                <c:pt idx="5">
                  <c:v>2</c:v>
                </c:pt>
                <c:pt idx="6">
                  <c:v>8</c:v>
                </c:pt>
                <c:pt idx="7">
                  <c:v>4</c:v>
                </c:pt>
                <c:pt idx="8">
                  <c:v>4</c:v>
                </c:pt>
                <c:pt idx="9">
                  <c:v>3</c:v>
                </c:pt>
                <c:pt idx="10">
                  <c:v>6</c:v>
                </c:pt>
                <c:pt idx="11">
                  <c:v>4</c:v>
                </c:pt>
                <c:pt idx="12">
                  <c:v>5</c:v>
                </c:pt>
                <c:pt idx="13">
                  <c:v>3</c:v>
                </c:pt>
                <c:pt idx="14">
                  <c:v>1</c:v>
                </c:pt>
                <c:pt idx="15">
                  <c:v>6</c:v>
                </c:pt>
                <c:pt idx="16">
                  <c:v>7</c:v>
                </c:pt>
                <c:pt idx="17">
                  <c:v>13</c:v>
                </c:pt>
                <c:pt idx="18">
                  <c:v>11</c:v>
                </c:pt>
                <c:pt idx="19">
                  <c:v>10</c:v>
                </c:pt>
                <c:pt idx="20">
                  <c:v>25</c:v>
                </c:pt>
                <c:pt idx="21">
                  <c:v>54</c:v>
                </c:pt>
                <c:pt idx="22">
                  <c:v>37</c:v>
                </c:pt>
                <c:pt idx="23">
                  <c:v>17</c:v>
                </c:pt>
                <c:pt idx="24">
                  <c:v>17</c:v>
                </c:pt>
                <c:pt idx="25">
                  <c:v>21</c:v>
                </c:pt>
                <c:pt idx="26">
                  <c:v>58</c:v>
                </c:pt>
                <c:pt idx="27">
                  <c:v>34</c:v>
                </c:pt>
                <c:pt idx="28">
                  <c:v>13</c:v>
                </c:pt>
                <c:pt idx="29">
                  <c:v>25</c:v>
                </c:pt>
                <c:pt idx="30">
                  <c:v>20</c:v>
                </c:pt>
                <c:pt idx="31">
                  <c:v>26</c:v>
                </c:pt>
                <c:pt idx="32">
                  <c:v>18</c:v>
                </c:pt>
                <c:pt idx="33">
                  <c:v>28</c:v>
                </c:pt>
                <c:pt idx="34">
                  <c:v>24</c:v>
                </c:pt>
                <c:pt idx="35">
                  <c:v>41</c:v>
                </c:pt>
                <c:pt idx="36">
                  <c:v>14</c:v>
                </c:pt>
                <c:pt idx="37">
                  <c:v>19</c:v>
                </c:pt>
                <c:pt idx="38">
                  <c:v>28</c:v>
                </c:pt>
                <c:pt idx="39">
                  <c:v>10</c:v>
                </c:pt>
                <c:pt idx="40">
                  <c:v>25</c:v>
                </c:pt>
                <c:pt idx="41">
                  <c:v>26</c:v>
                </c:pt>
                <c:pt idx="42">
                  <c:v>41</c:v>
                </c:pt>
                <c:pt idx="43">
                  <c:v>21</c:v>
                </c:pt>
                <c:pt idx="44">
                  <c:v>18</c:v>
                </c:pt>
                <c:pt idx="45">
                  <c:v>31</c:v>
                </c:pt>
                <c:pt idx="46">
                  <c:v>20</c:v>
                </c:pt>
                <c:pt idx="47">
                  <c:v>32</c:v>
                </c:pt>
                <c:pt idx="48">
                  <c:v>27</c:v>
                </c:pt>
                <c:pt idx="49">
                  <c:v>28</c:v>
                </c:pt>
                <c:pt idx="50">
                  <c:v>34</c:v>
                </c:pt>
                <c:pt idx="51">
                  <c:v>24</c:v>
                </c:pt>
                <c:pt idx="52">
                  <c:v>43</c:v>
                </c:pt>
                <c:pt idx="53">
                  <c:v>40</c:v>
                </c:pt>
                <c:pt idx="54">
                  <c:v>55</c:v>
                </c:pt>
                <c:pt idx="55">
                  <c:v>27</c:v>
                </c:pt>
                <c:pt idx="56">
                  <c:v>34</c:v>
                </c:pt>
                <c:pt idx="57">
                  <c:v>42</c:v>
                </c:pt>
                <c:pt idx="58">
                  <c:v>32</c:v>
                </c:pt>
                <c:pt idx="59">
                  <c:v>38</c:v>
                </c:pt>
              </c:numCache>
            </c:numRef>
          </c:val>
          <c:smooth val="0"/>
          <c:extLst>
            <c:ext xmlns:c16="http://schemas.microsoft.com/office/drawing/2014/chart" uri="{C3380CC4-5D6E-409C-BE32-E72D297353CC}">
              <c16:uniqueId val="{00000002-9F0C-4B41-854A-E67D64BF3205}"/>
            </c:ext>
          </c:extLst>
        </c:ser>
        <c:dLbls>
          <c:showLegendKey val="0"/>
          <c:showVal val="0"/>
          <c:showCatName val="0"/>
          <c:showSerName val="0"/>
          <c:showPercent val="0"/>
          <c:showBubbleSize val="0"/>
        </c:dLbls>
        <c:smooth val="0"/>
        <c:axId val="473288560"/>
        <c:axId val="473283312"/>
      </c:lineChart>
      <c:catAx>
        <c:axId val="47328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283312"/>
        <c:crosses val="autoZero"/>
        <c:auto val="1"/>
        <c:lblAlgn val="ctr"/>
        <c:lblOffset val="100"/>
        <c:noMultiLvlLbl val="0"/>
      </c:catAx>
      <c:valAx>
        <c:axId val="473283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2885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[D1139 - F - GnRH female patient analysis-1.xlsx]age year!PivotTable4</c:name>
    <c:fmtId val="15"/>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'age year'!$S$3:$S$4</c:f>
              <c:strCache>
                <c:ptCount val="1"/>
                <c:pt idx="0">
                  <c:v>Leuprorelin Paediatric</c:v>
                </c:pt>
              </c:strCache>
            </c:strRef>
          </c:tx>
          <c:spPr>
            <a:ln w="28575" cap="rnd">
              <a:solidFill>
                <a:schemeClr val="accent1"/>
              </a:solidFill>
              <a:round/>
            </a:ln>
            <a:effectLst/>
          </c:spPr>
          <c:marker>
            <c:symbol val="none"/>
          </c:marker>
          <c:cat>
            <c:strRef>
              <c:f>'age year'!$R$5:$R$25</c:f>
              <c:strCache>
                <c:ptCount val="20"/>
                <c:pt idx="0">
                  <c:v> 0-4  yrs</c:v>
                </c:pt>
                <c:pt idx="1">
                  <c:v> 5-9  yrs</c:v>
                </c:pt>
                <c:pt idx="2">
                  <c:v>10-14 yrs</c:v>
                </c:pt>
                <c:pt idx="3">
                  <c:v>15-19 yrs</c:v>
                </c:pt>
                <c:pt idx="4">
                  <c:v>20-24 yrs</c:v>
                </c:pt>
                <c:pt idx="5">
                  <c:v>25-29 yrs</c:v>
                </c:pt>
                <c:pt idx="6">
                  <c:v>30-34 yrs</c:v>
                </c:pt>
                <c:pt idx="7">
                  <c:v>35-39 yrs</c:v>
                </c:pt>
                <c:pt idx="8">
                  <c:v>40-44 yrs</c:v>
                </c:pt>
                <c:pt idx="9">
                  <c:v>45-49 yrs</c:v>
                </c:pt>
                <c:pt idx="10">
                  <c:v>50-54 yrs</c:v>
                </c:pt>
                <c:pt idx="11">
                  <c:v>55-59 yrs</c:v>
                </c:pt>
                <c:pt idx="12">
                  <c:v>60-64 yrs</c:v>
                </c:pt>
                <c:pt idx="13">
                  <c:v>65-69 yrs</c:v>
                </c:pt>
                <c:pt idx="14">
                  <c:v>70-74 yrs</c:v>
                </c:pt>
                <c:pt idx="15">
                  <c:v>75-79 yrs</c:v>
                </c:pt>
                <c:pt idx="16">
                  <c:v>80-84 yrs</c:v>
                </c:pt>
                <c:pt idx="17">
                  <c:v>85-89 yrs</c:v>
                </c:pt>
                <c:pt idx="18">
                  <c:v>90-94 yrs</c:v>
                </c:pt>
                <c:pt idx="19">
                  <c:v>95-99 yrs</c:v>
                </c:pt>
              </c:strCache>
            </c:strRef>
          </c:cat>
          <c:val>
            <c:numRef>
              <c:f>'age year'!$S$5:$S$25</c:f>
              <c:numCache>
                <c:formatCode>General</c:formatCode>
                <c:ptCount val="20"/>
                <c:pt idx="0">
                  <c:v>178</c:v>
                </c:pt>
                <c:pt idx="1">
                  <c:v>2934</c:v>
                </c:pt>
                <c:pt idx="2">
                  <c:v>1646</c:v>
                </c:pt>
                <c:pt idx="3">
                  <c:v>39</c:v>
                </c:pt>
                <c:pt idx="8">
                  <c:v>1</c:v>
                </c:pt>
                <c:pt idx="10">
                  <c:v>12</c:v>
                </c:pt>
                <c:pt idx="13">
                  <c:v>2</c:v>
                </c:pt>
              </c:numCache>
            </c:numRef>
          </c:val>
          <c:smooth val="0"/>
          <c:extLst>
            <c:ext xmlns:c16="http://schemas.microsoft.com/office/drawing/2014/chart" uri="{C3380CC4-5D6E-409C-BE32-E72D297353CC}">
              <c16:uniqueId val="{00000000-B900-4CF6-922C-3CFD511EC43C}"/>
            </c:ext>
          </c:extLst>
        </c:ser>
        <c:ser>
          <c:idx val="1"/>
          <c:order val="1"/>
          <c:tx>
            <c:strRef>
              <c:f>'age year'!$T$3:$T$4</c:f>
              <c:strCache>
                <c:ptCount val="1"/>
                <c:pt idx="0">
                  <c:v>Nafarelin</c:v>
                </c:pt>
              </c:strCache>
            </c:strRef>
          </c:tx>
          <c:spPr>
            <a:ln w="28575" cap="rnd">
              <a:solidFill>
                <a:schemeClr val="accent2"/>
              </a:solidFill>
              <a:round/>
            </a:ln>
            <a:effectLst/>
          </c:spPr>
          <c:marker>
            <c:symbol val="none"/>
          </c:marker>
          <c:cat>
            <c:strRef>
              <c:f>'age year'!$R$5:$R$25</c:f>
              <c:strCache>
                <c:ptCount val="20"/>
                <c:pt idx="0">
                  <c:v> 0-4  yrs</c:v>
                </c:pt>
                <c:pt idx="1">
                  <c:v> 5-9  yrs</c:v>
                </c:pt>
                <c:pt idx="2">
                  <c:v>10-14 yrs</c:v>
                </c:pt>
                <c:pt idx="3">
                  <c:v>15-19 yrs</c:v>
                </c:pt>
                <c:pt idx="4">
                  <c:v>20-24 yrs</c:v>
                </c:pt>
                <c:pt idx="5">
                  <c:v>25-29 yrs</c:v>
                </c:pt>
                <c:pt idx="6">
                  <c:v>30-34 yrs</c:v>
                </c:pt>
                <c:pt idx="7">
                  <c:v>35-39 yrs</c:v>
                </c:pt>
                <c:pt idx="8">
                  <c:v>40-44 yrs</c:v>
                </c:pt>
                <c:pt idx="9">
                  <c:v>45-49 yrs</c:v>
                </c:pt>
                <c:pt idx="10">
                  <c:v>50-54 yrs</c:v>
                </c:pt>
                <c:pt idx="11">
                  <c:v>55-59 yrs</c:v>
                </c:pt>
                <c:pt idx="12">
                  <c:v>60-64 yrs</c:v>
                </c:pt>
                <c:pt idx="13">
                  <c:v>65-69 yrs</c:v>
                </c:pt>
                <c:pt idx="14">
                  <c:v>70-74 yrs</c:v>
                </c:pt>
                <c:pt idx="15">
                  <c:v>75-79 yrs</c:v>
                </c:pt>
                <c:pt idx="16">
                  <c:v>80-84 yrs</c:v>
                </c:pt>
                <c:pt idx="17">
                  <c:v>85-89 yrs</c:v>
                </c:pt>
                <c:pt idx="18">
                  <c:v>90-94 yrs</c:v>
                </c:pt>
                <c:pt idx="19">
                  <c:v>95-99 yrs</c:v>
                </c:pt>
              </c:strCache>
            </c:strRef>
          </c:cat>
          <c:val>
            <c:numRef>
              <c:f>'age year'!$T$5:$T$25</c:f>
              <c:numCache>
                <c:formatCode>General</c:formatCode>
                <c:ptCount val="20"/>
                <c:pt idx="2">
                  <c:v>12</c:v>
                </c:pt>
                <c:pt idx="3">
                  <c:v>310</c:v>
                </c:pt>
                <c:pt idx="4">
                  <c:v>772</c:v>
                </c:pt>
                <c:pt idx="5">
                  <c:v>1124</c:v>
                </c:pt>
                <c:pt idx="6">
                  <c:v>2406</c:v>
                </c:pt>
                <c:pt idx="7">
                  <c:v>3061</c:v>
                </c:pt>
                <c:pt idx="8">
                  <c:v>2786</c:v>
                </c:pt>
                <c:pt idx="9">
                  <c:v>1368</c:v>
                </c:pt>
                <c:pt idx="10">
                  <c:v>335</c:v>
                </c:pt>
                <c:pt idx="11">
                  <c:v>26</c:v>
                </c:pt>
                <c:pt idx="12">
                  <c:v>2</c:v>
                </c:pt>
                <c:pt idx="13">
                  <c:v>3</c:v>
                </c:pt>
              </c:numCache>
            </c:numRef>
          </c:val>
          <c:smooth val="0"/>
          <c:extLst>
            <c:ext xmlns:c16="http://schemas.microsoft.com/office/drawing/2014/chart" uri="{C3380CC4-5D6E-409C-BE32-E72D297353CC}">
              <c16:uniqueId val="{00000001-B900-4CF6-922C-3CFD511EC43C}"/>
            </c:ext>
          </c:extLst>
        </c:ser>
        <c:ser>
          <c:idx val="2"/>
          <c:order val="2"/>
          <c:tx>
            <c:strRef>
              <c:f>'age year'!$U$3:$U$4</c:f>
              <c:strCache>
                <c:ptCount val="1"/>
                <c:pt idx="0">
                  <c:v>Goserelin 3 month</c:v>
                </c:pt>
              </c:strCache>
            </c:strRef>
          </c:tx>
          <c:spPr>
            <a:ln w="28575" cap="rnd">
              <a:solidFill>
                <a:schemeClr val="accent3"/>
              </a:solidFill>
              <a:round/>
            </a:ln>
            <a:effectLst/>
          </c:spPr>
          <c:marker>
            <c:symbol val="none"/>
          </c:marker>
          <c:cat>
            <c:strRef>
              <c:f>'age year'!$R$5:$R$25</c:f>
              <c:strCache>
                <c:ptCount val="20"/>
                <c:pt idx="0">
                  <c:v> 0-4  yrs</c:v>
                </c:pt>
                <c:pt idx="1">
                  <c:v> 5-9  yrs</c:v>
                </c:pt>
                <c:pt idx="2">
                  <c:v>10-14 yrs</c:v>
                </c:pt>
                <c:pt idx="3">
                  <c:v>15-19 yrs</c:v>
                </c:pt>
                <c:pt idx="4">
                  <c:v>20-24 yrs</c:v>
                </c:pt>
                <c:pt idx="5">
                  <c:v>25-29 yrs</c:v>
                </c:pt>
                <c:pt idx="6">
                  <c:v>30-34 yrs</c:v>
                </c:pt>
                <c:pt idx="7">
                  <c:v>35-39 yrs</c:v>
                </c:pt>
                <c:pt idx="8">
                  <c:v>40-44 yrs</c:v>
                </c:pt>
                <c:pt idx="9">
                  <c:v>45-49 yrs</c:v>
                </c:pt>
                <c:pt idx="10">
                  <c:v>50-54 yrs</c:v>
                </c:pt>
                <c:pt idx="11">
                  <c:v>55-59 yrs</c:v>
                </c:pt>
                <c:pt idx="12">
                  <c:v>60-64 yrs</c:v>
                </c:pt>
                <c:pt idx="13">
                  <c:v>65-69 yrs</c:v>
                </c:pt>
                <c:pt idx="14">
                  <c:v>70-74 yrs</c:v>
                </c:pt>
                <c:pt idx="15">
                  <c:v>75-79 yrs</c:v>
                </c:pt>
                <c:pt idx="16">
                  <c:v>80-84 yrs</c:v>
                </c:pt>
                <c:pt idx="17">
                  <c:v>85-89 yrs</c:v>
                </c:pt>
                <c:pt idx="18">
                  <c:v>90-94 yrs</c:v>
                </c:pt>
                <c:pt idx="19">
                  <c:v>95-99 yrs</c:v>
                </c:pt>
              </c:strCache>
            </c:strRef>
          </c:cat>
          <c:val>
            <c:numRef>
              <c:f>'age year'!$U$5:$U$25</c:f>
              <c:numCache>
                <c:formatCode>General</c:formatCode>
                <c:ptCount val="20"/>
                <c:pt idx="1">
                  <c:v>25</c:v>
                </c:pt>
                <c:pt idx="2">
                  <c:v>27</c:v>
                </c:pt>
                <c:pt idx="3">
                  <c:v>35</c:v>
                </c:pt>
                <c:pt idx="4">
                  <c:v>39</c:v>
                </c:pt>
                <c:pt idx="5">
                  <c:v>76</c:v>
                </c:pt>
                <c:pt idx="6">
                  <c:v>125</c:v>
                </c:pt>
                <c:pt idx="7">
                  <c:v>158</c:v>
                </c:pt>
                <c:pt idx="8">
                  <c:v>188</c:v>
                </c:pt>
                <c:pt idx="9">
                  <c:v>159</c:v>
                </c:pt>
                <c:pt idx="10">
                  <c:v>66</c:v>
                </c:pt>
                <c:pt idx="11">
                  <c:v>15</c:v>
                </c:pt>
                <c:pt idx="12">
                  <c:v>29</c:v>
                </c:pt>
                <c:pt idx="13">
                  <c:v>63</c:v>
                </c:pt>
                <c:pt idx="14">
                  <c:v>76</c:v>
                </c:pt>
                <c:pt idx="15">
                  <c:v>69</c:v>
                </c:pt>
                <c:pt idx="16">
                  <c:v>76</c:v>
                </c:pt>
                <c:pt idx="17">
                  <c:v>34</c:v>
                </c:pt>
                <c:pt idx="18">
                  <c:v>13</c:v>
                </c:pt>
                <c:pt idx="19">
                  <c:v>2</c:v>
                </c:pt>
              </c:numCache>
            </c:numRef>
          </c:val>
          <c:smooth val="0"/>
          <c:extLst>
            <c:ext xmlns:c16="http://schemas.microsoft.com/office/drawing/2014/chart" uri="{C3380CC4-5D6E-409C-BE32-E72D297353CC}">
              <c16:uniqueId val="{00000002-B900-4CF6-922C-3CFD511EC43C}"/>
            </c:ext>
          </c:extLst>
        </c:ser>
        <c:ser>
          <c:idx val="3"/>
          <c:order val="3"/>
          <c:tx>
            <c:strRef>
              <c:f>'age year'!$V$3:$V$4</c:f>
              <c:strCache>
                <c:ptCount val="1"/>
                <c:pt idx="0">
                  <c:v>Goserelin 1 month</c:v>
                </c:pt>
              </c:strCache>
            </c:strRef>
          </c:tx>
          <c:spPr>
            <a:ln w="28575" cap="rnd">
              <a:solidFill>
                <a:schemeClr val="accent4"/>
              </a:solidFill>
              <a:round/>
            </a:ln>
            <a:effectLst/>
          </c:spPr>
          <c:marker>
            <c:symbol val="none"/>
          </c:marker>
          <c:cat>
            <c:strRef>
              <c:f>'age year'!$R$5:$R$25</c:f>
              <c:strCache>
                <c:ptCount val="20"/>
                <c:pt idx="0">
                  <c:v> 0-4  yrs</c:v>
                </c:pt>
                <c:pt idx="1">
                  <c:v> 5-9  yrs</c:v>
                </c:pt>
                <c:pt idx="2">
                  <c:v>10-14 yrs</c:v>
                </c:pt>
                <c:pt idx="3">
                  <c:v>15-19 yrs</c:v>
                </c:pt>
                <c:pt idx="4">
                  <c:v>20-24 yrs</c:v>
                </c:pt>
                <c:pt idx="5">
                  <c:v>25-29 yrs</c:v>
                </c:pt>
                <c:pt idx="6">
                  <c:v>30-34 yrs</c:v>
                </c:pt>
                <c:pt idx="7">
                  <c:v>35-39 yrs</c:v>
                </c:pt>
                <c:pt idx="8">
                  <c:v>40-44 yrs</c:v>
                </c:pt>
                <c:pt idx="9">
                  <c:v>45-49 yrs</c:v>
                </c:pt>
                <c:pt idx="10">
                  <c:v>50-54 yrs</c:v>
                </c:pt>
                <c:pt idx="11">
                  <c:v>55-59 yrs</c:v>
                </c:pt>
                <c:pt idx="12">
                  <c:v>60-64 yrs</c:v>
                </c:pt>
                <c:pt idx="13">
                  <c:v>65-69 yrs</c:v>
                </c:pt>
                <c:pt idx="14">
                  <c:v>70-74 yrs</c:v>
                </c:pt>
                <c:pt idx="15">
                  <c:v>75-79 yrs</c:v>
                </c:pt>
                <c:pt idx="16">
                  <c:v>80-84 yrs</c:v>
                </c:pt>
                <c:pt idx="17">
                  <c:v>85-89 yrs</c:v>
                </c:pt>
                <c:pt idx="18">
                  <c:v>90-94 yrs</c:v>
                </c:pt>
                <c:pt idx="19">
                  <c:v>95-99 yrs</c:v>
                </c:pt>
              </c:strCache>
            </c:strRef>
          </c:cat>
          <c:val>
            <c:numRef>
              <c:f>'age year'!$V$5:$V$25</c:f>
              <c:numCache>
                <c:formatCode>General</c:formatCode>
                <c:ptCount val="20"/>
                <c:pt idx="0">
                  <c:v>3</c:v>
                </c:pt>
                <c:pt idx="1">
                  <c:v>15</c:v>
                </c:pt>
                <c:pt idx="2">
                  <c:v>31</c:v>
                </c:pt>
                <c:pt idx="3">
                  <c:v>1175</c:v>
                </c:pt>
                <c:pt idx="4">
                  <c:v>4162</c:v>
                </c:pt>
                <c:pt idx="5">
                  <c:v>7310</c:v>
                </c:pt>
                <c:pt idx="6">
                  <c:v>16651</c:v>
                </c:pt>
                <c:pt idx="7">
                  <c:v>24264</c:v>
                </c:pt>
                <c:pt idx="8">
                  <c:v>30800</c:v>
                </c:pt>
                <c:pt idx="9">
                  <c:v>29164</c:v>
                </c:pt>
                <c:pt idx="10">
                  <c:v>15726</c:v>
                </c:pt>
                <c:pt idx="11">
                  <c:v>1991</c:v>
                </c:pt>
                <c:pt idx="12">
                  <c:v>90</c:v>
                </c:pt>
                <c:pt idx="13">
                  <c:v>26</c:v>
                </c:pt>
                <c:pt idx="14">
                  <c:v>8</c:v>
                </c:pt>
                <c:pt idx="15">
                  <c:v>2</c:v>
                </c:pt>
                <c:pt idx="16">
                  <c:v>14</c:v>
                </c:pt>
                <c:pt idx="17">
                  <c:v>6</c:v>
                </c:pt>
                <c:pt idx="18">
                  <c:v>2</c:v>
                </c:pt>
              </c:numCache>
            </c:numRef>
          </c:val>
          <c:smooth val="0"/>
          <c:extLst>
            <c:ext xmlns:c16="http://schemas.microsoft.com/office/drawing/2014/chart" uri="{C3380CC4-5D6E-409C-BE32-E72D297353CC}">
              <c16:uniqueId val="{00000003-B900-4CF6-922C-3CFD511EC43C}"/>
            </c:ext>
          </c:extLst>
        </c:ser>
        <c:dLbls>
          <c:showLegendKey val="0"/>
          <c:showVal val="0"/>
          <c:showCatName val="0"/>
          <c:showSerName val="0"/>
          <c:showPercent val="0"/>
          <c:showBubbleSize val="0"/>
        </c:dLbls>
        <c:smooth val="0"/>
        <c:axId val="605891248"/>
        <c:axId val="605898464"/>
      </c:lineChart>
      <c:catAx>
        <c:axId val="60589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898464"/>
        <c:crosses val="autoZero"/>
        <c:auto val="1"/>
        <c:lblAlgn val="ctr"/>
        <c:lblOffset val="100"/>
        <c:noMultiLvlLbl val="0"/>
      </c:catAx>
      <c:valAx>
        <c:axId val="605898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patients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8912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[D1139 - E - GnRH male patient analysis-3.xlsx]scripts by drug!PivotTable1</c:name>
    <c:fmtId val="14"/>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'scripts by drug'!$V$1:$V$2</c:f>
              <c:strCache>
                <c:ptCount val="1"/>
                <c:pt idx="0">
                  <c:v>GOSERELIN</c:v>
                </c:pt>
              </c:strCache>
            </c:strRef>
          </c:tx>
          <c:spPr>
            <a:ln w="28575" cap="rnd">
              <a:solidFill>
                <a:schemeClr val="accent1"/>
              </a:solidFill>
              <a:round/>
            </a:ln>
            <a:effectLst/>
          </c:spPr>
          <c:marker>
            <c:symbol val="none"/>
          </c:marker>
          <c:cat>
            <c:strRef>
              <c:f>'scripts by drug'!$U$3:$U$63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'scripts by drug'!$V$3:$V$63</c:f>
              <c:numCache>
                <c:formatCode>General</c:formatCode>
                <c:ptCount val="60"/>
                <c:pt idx="0">
                  <c:v>4044</c:v>
                </c:pt>
                <c:pt idx="1">
                  <c:v>4341</c:v>
                </c:pt>
                <c:pt idx="2">
                  <c:v>4401</c:v>
                </c:pt>
                <c:pt idx="3">
                  <c:v>4270</c:v>
                </c:pt>
                <c:pt idx="4">
                  <c:v>4759</c:v>
                </c:pt>
                <c:pt idx="5">
                  <c:v>4304</c:v>
                </c:pt>
                <c:pt idx="6">
                  <c:v>4360</c:v>
                </c:pt>
                <c:pt idx="7">
                  <c:v>4447</c:v>
                </c:pt>
                <c:pt idx="8">
                  <c:v>4354</c:v>
                </c:pt>
                <c:pt idx="9">
                  <c:v>4446</c:v>
                </c:pt>
                <c:pt idx="10">
                  <c:v>4493</c:v>
                </c:pt>
                <c:pt idx="11">
                  <c:v>4974</c:v>
                </c:pt>
                <c:pt idx="12">
                  <c:v>3852</c:v>
                </c:pt>
                <c:pt idx="13">
                  <c:v>4156</c:v>
                </c:pt>
                <c:pt idx="14">
                  <c:v>4397</c:v>
                </c:pt>
                <c:pt idx="15">
                  <c:v>4102</c:v>
                </c:pt>
                <c:pt idx="16">
                  <c:v>4402</c:v>
                </c:pt>
                <c:pt idx="17">
                  <c:v>4357</c:v>
                </c:pt>
                <c:pt idx="18">
                  <c:v>4475</c:v>
                </c:pt>
                <c:pt idx="19">
                  <c:v>4432</c:v>
                </c:pt>
                <c:pt idx="20">
                  <c:v>4340</c:v>
                </c:pt>
                <c:pt idx="21">
                  <c:v>4429</c:v>
                </c:pt>
                <c:pt idx="22">
                  <c:v>4668</c:v>
                </c:pt>
                <c:pt idx="23">
                  <c:v>4918</c:v>
                </c:pt>
                <c:pt idx="24">
                  <c:v>3673</c:v>
                </c:pt>
                <c:pt idx="25">
                  <c:v>4400</c:v>
                </c:pt>
                <c:pt idx="26">
                  <c:v>4508</c:v>
                </c:pt>
                <c:pt idx="27">
                  <c:v>4066</c:v>
                </c:pt>
                <c:pt idx="28">
                  <c:v>4589</c:v>
                </c:pt>
                <c:pt idx="29">
                  <c:v>4332</c:v>
                </c:pt>
                <c:pt idx="30">
                  <c:v>4247</c:v>
                </c:pt>
                <c:pt idx="31">
                  <c:v>4656</c:v>
                </c:pt>
                <c:pt idx="32">
                  <c:v>4414</c:v>
                </c:pt>
                <c:pt idx="33">
                  <c:v>4335</c:v>
                </c:pt>
                <c:pt idx="34">
                  <c:v>4655</c:v>
                </c:pt>
                <c:pt idx="35">
                  <c:v>4864</c:v>
                </c:pt>
                <c:pt idx="36">
                  <c:v>4023</c:v>
                </c:pt>
                <c:pt idx="37">
                  <c:v>4178</c:v>
                </c:pt>
                <c:pt idx="38">
                  <c:v>4560</c:v>
                </c:pt>
                <c:pt idx="39">
                  <c:v>4107</c:v>
                </c:pt>
                <c:pt idx="40">
                  <c:v>4813</c:v>
                </c:pt>
                <c:pt idx="41">
                  <c:v>4556</c:v>
                </c:pt>
                <c:pt idx="42">
                  <c:v>4298</c:v>
                </c:pt>
                <c:pt idx="43">
                  <c:v>4835</c:v>
                </c:pt>
                <c:pt idx="44">
                  <c:v>4432</c:v>
                </c:pt>
                <c:pt idx="45">
                  <c:v>4650</c:v>
                </c:pt>
                <c:pt idx="46">
                  <c:v>4786</c:v>
                </c:pt>
                <c:pt idx="47">
                  <c:v>4785</c:v>
                </c:pt>
                <c:pt idx="48">
                  <c:v>4362</c:v>
                </c:pt>
                <c:pt idx="49">
                  <c:v>4368</c:v>
                </c:pt>
                <c:pt idx="50">
                  <c:v>4601</c:v>
                </c:pt>
                <c:pt idx="51">
                  <c:v>4383</c:v>
                </c:pt>
                <c:pt idx="52">
                  <c:v>5400</c:v>
                </c:pt>
                <c:pt idx="53">
                  <c:v>4352</c:v>
                </c:pt>
                <c:pt idx="54">
                  <c:v>4522</c:v>
                </c:pt>
                <c:pt idx="55">
                  <c:v>4878</c:v>
                </c:pt>
                <c:pt idx="56">
                  <c:v>4391</c:v>
                </c:pt>
                <c:pt idx="57">
                  <c:v>4811</c:v>
                </c:pt>
                <c:pt idx="58">
                  <c:v>4993</c:v>
                </c:pt>
                <c:pt idx="59">
                  <c:v>4785</c:v>
                </c:pt>
              </c:numCache>
            </c:numRef>
          </c:val>
          <c:smooth val="0"/>
          <c:extLst>
            <c:ext xmlns:c16="http://schemas.microsoft.com/office/drawing/2014/chart" uri="{C3380CC4-5D6E-409C-BE32-E72D297353CC}">
              <c16:uniqueId val="{00000000-9E15-4C90-A1D6-467D1D396B23}"/>
            </c:ext>
          </c:extLst>
        </c:ser>
        <c:ser>
          <c:idx val="1"/>
          <c:order val="1"/>
          <c:tx>
            <c:strRef>
              <c:f>'scripts by drug'!$W$1:$W$2</c:f>
              <c:strCache>
                <c:ptCount val="1"/>
                <c:pt idx="0">
                  <c:v>LEUPRORELIN</c:v>
                </c:pt>
              </c:strCache>
            </c:strRef>
          </c:tx>
          <c:spPr>
            <a:ln w="28575" cap="rnd">
              <a:solidFill>
                <a:schemeClr val="accent2"/>
              </a:solidFill>
              <a:round/>
            </a:ln>
            <a:effectLst/>
          </c:spPr>
          <c:marker>
            <c:symbol val="none"/>
          </c:marker>
          <c:cat>
            <c:strRef>
              <c:f>'scripts by drug'!$U$3:$U$63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'scripts by drug'!$W$3:$W$63</c:f>
              <c:numCache>
                <c:formatCode>General</c:formatCode>
                <c:ptCount val="60"/>
                <c:pt idx="0">
                  <c:v>2464</c:v>
                </c:pt>
                <c:pt idx="1">
                  <c:v>2847</c:v>
                </c:pt>
                <c:pt idx="2">
                  <c:v>2889</c:v>
                </c:pt>
                <c:pt idx="3">
                  <c:v>2647</c:v>
                </c:pt>
                <c:pt idx="4">
                  <c:v>3072</c:v>
                </c:pt>
                <c:pt idx="5">
                  <c:v>2829</c:v>
                </c:pt>
                <c:pt idx="6">
                  <c:v>2814</c:v>
                </c:pt>
                <c:pt idx="7">
                  <c:v>2915</c:v>
                </c:pt>
                <c:pt idx="8">
                  <c:v>2675</c:v>
                </c:pt>
                <c:pt idx="9">
                  <c:v>2970</c:v>
                </c:pt>
                <c:pt idx="10">
                  <c:v>3027</c:v>
                </c:pt>
                <c:pt idx="11">
                  <c:v>3131</c:v>
                </c:pt>
                <c:pt idx="12">
                  <c:v>2446</c:v>
                </c:pt>
                <c:pt idx="13">
                  <c:v>2889</c:v>
                </c:pt>
                <c:pt idx="14">
                  <c:v>3079</c:v>
                </c:pt>
                <c:pt idx="15">
                  <c:v>2737</c:v>
                </c:pt>
                <c:pt idx="16">
                  <c:v>2903</c:v>
                </c:pt>
                <c:pt idx="17">
                  <c:v>2929</c:v>
                </c:pt>
                <c:pt idx="18">
                  <c:v>2941</c:v>
                </c:pt>
                <c:pt idx="19">
                  <c:v>3005</c:v>
                </c:pt>
                <c:pt idx="20">
                  <c:v>2970</c:v>
                </c:pt>
                <c:pt idx="21">
                  <c:v>2917</c:v>
                </c:pt>
                <c:pt idx="22">
                  <c:v>3270</c:v>
                </c:pt>
                <c:pt idx="23">
                  <c:v>3301</c:v>
                </c:pt>
                <c:pt idx="24">
                  <c:v>2490</c:v>
                </c:pt>
                <c:pt idx="25">
                  <c:v>3017</c:v>
                </c:pt>
                <c:pt idx="26">
                  <c:v>3134</c:v>
                </c:pt>
                <c:pt idx="27">
                  <c:v>2870</c:v>
                </c:pt>
                <c:pt idx="28">
                  <c:v>3204</c:v>
                </c:pt>
                <c:pt idx="29">
                  <c:v>3035</c:v>
                </c:pt>
                <c:pt idx="30">
                  <c:v>2959</c:v>
                </c:pt>
                <c:pt idx="31">
                  <c:v>3403</c:v>
                </c:pt>
                <c:pt idx="32">
                  <c:v>3188</c:v>
                </c:pt>
                <c:pt idx="33">
                  <c:v>3170</c:v>
                </c:pt>
                <c:pt idx="34">
                  <c:v>3524</c:v>
                </c:pt>
                <c:pt idx="35">
                  <c:v>3416</c:v>
                </c:pt>
                <c:pt idx="36">
                  <c:v>2915</c:v>
                </c:pt>
                <c:pt idx="37">
                  <c:v>3176</c:v>
                </c:pt>
                <c:pt idx="38">
                  <c:v>3494</c:v>
                </c:pt>
                <c:pt idx="39">
                  <c:v>2991</c:v>
                </c:pt>
                <c:pt idx="40">
                  <c:v>3651</c:v>
                </c:pt>
                <c:pt idx="41">
                  <c:v>3392</c:v>
                </c:pt>
                <c:pt idx="42">
                  <c:v>3244</c:v>
                </c:pt>
                <c:pt idx="43">
                  <c:v>3635</c:v>
                </c:pt>
                <c:pt idx="44">
                  <c:v>3247</c:v>
                </c:pt>
                <c:pt idx="45">
                  <c:v>3501</c:v>
                </c:pt>
                <c:pt idx="46">
                  <c:v>3838</c:v>
                </c:pt>
                <c:pt idx="47">
                  <c:v>3570</c:v>
                </c:pt>
                <c:pt idx="48">
                  <c:v>3307</c:v>
                </c:pt>
                <c:pt idx="49">
                  <c:v>3355</c:v>
                </c:pt>
                <c:pt idx="50">
                  <c:v>3596</c:v>
                </c:pt>
                <c:pt idx="51">
                  <c:v>3392</c:v>
                </c:pt>
                <c:pt idx="52">
                  <c:v>4005</c:v>
                </c:pt>
                <c:pt idx="53">
                  <c:v>3401</c:v>
                </c:pt>
                <c:pt idx="54">
                  <c:v>3536</c:v>
                </c:pt>
                <c:pt idx="55">
                  <c:v>3779</c:v>
                </c:pt>
                <c:pt idx="56">
                  <c:v>3492</c:v>
                </c:pt>
                <c:pt idx="57">
                  <c:v>3817</c:v>
                </c:pt>
                <c:pt idx="58">
                  <c:v>4101</c:v>
                </c:pt>
                <c:pt idx="59">
                  <c:v>3754</c:v>
                </c:pt>
              </c:numCache>
            </c:numRef>
          </c:val>
          <c:smooth val="0"/>
          <c:extLst>
            <c:ext xmlns:c16="http://schemas.microsoft.com/office/drawing/2014/chart" uri="{C3380CC4-5D6E-409C-BE32-E72D297353CC}">
              <c16:uniqueId val="{00000001-9E15-4C90-A1D6-467D1D396B23}"/>
            </c:ext>
          </c:extLst>
        </c:ser>
        <c:ser>
          <c:idx val="2"/>
          <c:order val="2"/>
          <c:tx>
            <c:strRef>
              <c:f>'scripts by drug'!$X$1:$X$2</c:f>
              <c:strCache>
                <c:ptCount val="1"/>
                <c:pt idx="0">
                  <c:v>LEUPRORELIN&amp;BICALUTAMIDE</c:v>
                </c:pt>
              </c:strCache>
            </c:strRef>
          </c:tx>
          <c:spPr>
            <a:ln w="28575" cap="rnd">
              <a:solidFill>
                <a:schemeClr val="accent3"/>
              </a:solidFill>
              <a:round/>
            </a:ln>
            <a:effectLst/>
          </c:spPr>
          <c:marker>
            <c:symbol val="none"/>
          </c:marker>
          <c:cat>
            <c:strRef>
              <c:f>'scripts by drug'!$U$3:$U$63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'scripts by drug'!$X$3:$X$63</c:f>
              <c:numCache>
                <c:formatCode>General</c:formatCode>
                <c:ptCount val="60"/>
                <c:pt idx="35">
                  <c:v>1</c:v>
                </c:pt>
                <c:pt idx="36">
                  <c:v>4</c:v>
                </c:pt>
                <c:pt idx="37">
                  <c:v>23</c:v>
                </c:pt>
                <c:pt idx="38">
                  <c:v>11</c:v>
                </c:pt>
                <c:pt idx="39">
                  <c:v>22</c:v>
                </c:pt>
                <c:pt idx="40">
                  <c:v>44</c:v>
                </c:pt>
                <c:pt idx="41">
                  <c:v>27</c:v>
                </c:pt>
                <c:pt idx="42">
                  <c:v>29</c:v>
                </c:pt>
                <c:pt idx="43">
                  <c:v>44</c:v>
                </c:pt>
                <c:pt idx="44">
                  <c:v>48</c:v>
                </c:pt>
                <c:pt idx="45">
                  <c:v>40</c:v>
                </c:pt>
                <c:pt idx="46">
                  <c:v>36</c:v>
                </c:pt>
                <c:pt idx="47">
                  <c:v>48</c:v>
                </c:pt>
                <c:pt idx="48">
                  <c:v>34</c:v>
                </c:pt>
                <c:pt idx="49">
                  <c:v>49</c:v>
                </c:pt>
                <c:pt idx="50">
                  <c:v>47</c:v>
                </c:pt>
                <c:pt idx="51">
                  <c:v>51</c:v>
                </c:pt>
                <c:pt idx="52">
                  <c:v>48</c:v>
                </c:pt>
                <c:pt idx="53">
                  <c:v>45</c:v>
                </c:pt>
                <c:pt idx="54">
                  <c:v>39</c:v>
                </c:pt>
                <c:pt idx="55">
                  <c:v>42</c:v>
                </c:pt>
                <c:pt idx="56">
                  <c:v>38</c:v>
                </c:pt>
                <c:pt idx="57">
                  <c:v>35</c:v>
                </c:pt>
                <c:pt idx="58">
                  <c:v>44</c:v>
                </c:pt>
                <c:pt idx="59">
                  <c:v>40</c:v>
                </c:pt>
              </c:numCache>
            </c:numRef>
          </c:val>
          <c:smooth val="0"/>
          <c:extLst>
            <c:ext xmlns:c16="http://schemas.microsoft.com/office/drawing/2014/chart" uri="{C3380CC4-5D6E-409C-BE32-E72D297353CC}">
              <c16:uniqueId val="{00000002-9E15-4C90-A1D6-467D1D396B23}"/>
            </c:ext>
          </c:extLst>
        </c:ser>
        <c:ser>
          <c:idx val="3"/>
          <c:order val="3"/>
          <c:tx>
            <c:strRef>
              <c:f>'scripts by drug'!$Y$1:$Y$2</c:f>
              <c:strCache>
                <c:ptCount val="1"/>
                <c:pt idx="0">
                  <c:v>GOSERELIN&amp;BICALUTAMIDE</c:v>
                </c:pt>
              </c:strCache>
            </c:strRef>
          </c:tx>
          <c:spPr>
            <a:ln w="28575" cap="rnd">
              <a:solidFill>
                <a:schemeClr val="accent4"/>
              </a:solidFill>
              <a:round/>
            </a:ln>
            <a:effectLst/>
          </c:spPr>
          <c:marker>
            <c:symbol val="none"/>
          </c:marker>
          <c:cat>
            <c:strRef>
              <c:f>'scripts by drug'!$U$3:$U$63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'scripts by drug'!$Y$3:$Y$63</c:f>
              <c:numCache>
                <c:formatCode>General</c:formatCode>
                <c:ptCount val="60"/>
                <c:pt idx="0">
                  <c:v>396</c:v>
                </c:pt>
                <c:pt idx="1">
                  <c:v>418</c:v>
                </c:pt>
                <c:pt idx="2">
                  <c:v>437</c:v>
                </c:pt>
                <c:pt idx="3">
                  <c:v>421</c:v>
                </c:pt>
                <c:pt idx="4">
                  <c:v>475</c:v>
                </c:pt>
                <c:pt idx="5">
                  <c:v>439</c:v>
                </c:pt>
                <c:pt idx="6">
                  <c:v>444</c:v>
                </c:pt>
                <c:pt idx="7">
                  <c:v>445</c:v>
                </c:pt>
                <c:pt idx="8">
                  <c:v>434</c:v>
                </c:pt>
                <c:pt idx="9">
                  <c:v>436</c:v>
                </c:pt>
                <c:pt idx="10">
                  <c:v>418</c:v>
                </c:pt>
                <c:pt idx="11">
                  <c:v>479</c:v>
                </c:pt>
                <c:pt idx="12">
                  <c:v>343</c:v>
                </c:pt>
                <c:pt idx="13">
                  <c:v>412</c:v>
                </c:pt>
                <c:pt idx="14">
                  <c:v>406</c:v>
                </c:pt>
                <c:pt idx="15">
                  <c:v>371</c:v>
                </c:pt>
                <c:pt idx="16">
                  <c:v>442</c:v>
                </c:pt>
                <c:pt idx="17">
                  <c:v>393</c:v>
                </c:pt>
                <c:pt idx="18">
                  <c:v>407</c:v>
                </c:pt>
                <c:pt idx="19">
                  <c:v>424</c:v>
                </c:pt>
                <c:pt idx="20">
                  <c:v>398</c:v>
                </c:pt>
                <c:pt idx="21">
                  <c:v>381</c:v>
                </c:pt>
                <c:pt idx="22">
                  <c:v>417</c:v>
                </c:pt>
                <c:pt idx="23">
                  <c:v>427</c:v>
                </c:pt>
                <c:pt idx="24">
                  <c:v>330</c:v>
                </c:pt>
                <c:pt idx="25">
                  <c:v>435</c:v>
                </c:pt>
                <c:pt idx="26">
                  <c:v>406</c:v>
                </c:pt>
                <c:pt idx="27">
                  <c:v>410</c:v>
                </c:pt>
                <c:pt idx="28">
                  <c:v>453</c:v>
                </c:pt>
                <c:pt idx="29">
                  <c:v>419</c:v>
                </c:pt>
                <c:pt idx="30">
                  <c:v>404</c:v>
                </c:pt>
                <c:pt idx="31">
                  <c:v>462</c:v>
                </c:pt>
                <c:pt idx="32">
                  <c:v>404</c:v>
                </c:pt>
                <c:pt idx="33">
                  <c:v>384</c:v>
                </c:pt>
                <c:pt idx="34">
                  <c:v>428</c:v>
                </c:pt>
                <c:pt idx="35">
                  <c:v>475</c:v>
                </c:pt>
                <c:pt idx="36">
                  <c:v>352</c:v>
                </c:pt>
                <c:pt idx="37">
                  <c:v>342</c:v>
                </c:pt>
                <c:pt idx="38">
                  <c:v>453</c:v>
                </c:pt>
                <c:pt idx="39">
                  <c:v>336</c:v>
                </c:pt>
                <c:pt idx="40">
                  <c:v>427</c:v>
                </c:pt>
                <c:pt idx="41">
                  <c:v>386</c:v>
                </c:pt>
                <c:pt idx="42">
                  <c:v>399</c:v>
                </c:pt>
                <c:pt idx="43">
                  <c:v>410</c:v>
                </c:pt>
                <c:pt idx="44">
                  <c:v>422</c:v>
                </c:pt>
                <c:pt idx="45">
                  <c:v>387</c:v>
                </c:pt>
                <c:pt idx="46">
                  <c:v>377</c:v>
                </c:pt>
                <c:pt idx="47">
                  <c:v>407</c:v>
                </c:pt>
                <c:pt idx="48">
                  <c:v>327</c:v>
                </c:pt>
                <c:pt idx="49">
                  <c:v>332</c:v>
                </c:pt>
                <c:pt idx="50">
                  <c:v>335</c:v>
                </c:pt>
                <c:pt idx="51">
                  <c:v>299</c:v>
                </c:pt>
                <c:pt idx="52">
                  <c:v>405</c:v>
                </c:pt>
                <c:pt idx="53">
                  <c:v>309</c:v>
                </c:pt>
                <c:pt idx="54">
                  <c:v>316</c:v>
                </c:pt>
                <c:pt idx="55">
                  <c:v>329</c:v>
                </c:pt>
                <c:pt idx="56">
                  <c:v>296</c:v>
                </c:pt>
                <c:pt idx="57">
                  <c:v>315</c:v>
                </c:pt>
                <c:pt idx="58">
                  <c:v>327</c:v>
                </c:pt>
                <c:pt idx="59">
                  <c:v>338</c:v>
                </c:pt>
              </c:numCache>
            </c:numRef>
          </c:val>
          <c:smooth val="0"/>
          <c:extLst>
            <c:ext xmlns:c16="http://schemas.microsoft.com/office/drawing/2014/chart" uri="{C3380CC4-5D6E-409C-BE32-E72D297353CC}">
              <c16:uniqueId val="{00000003-9E15-4C90-A1D6-467D1D396B23}"/>
            </c:ext>
          </c:extLst>
        </c:ser>
        <c:ser>
          <c:idx val="4"/>
          <c:order val="4"/>
          <c:tx>
            <c:strRef>
              <c:f>'scripts by drug'!$Z$1:$Z$2</c:f>
              <c:strCache>
                <c:ptCount val="1"/>
                <c:pt idx="0">
                  <c:v>TRIPTORELIN</c:v>
                </c:pt>
              </c:strCache>
            </c:strRef>
          </c:tx>
          <c:spPr>
            <a:ln w="28575" cap="rnd">
              <a:solidFill>
                <a:schemeClr val="accent5"/>
              </a:solidFill>
              <a:round/>
            </a:ln>
            <a:effectLst/>
          </c:spPr>
          <c:marker>
            <c:symbol val="none"/>
          </c:marker>
          <c:cat>
            <c:strRef>
              <c:f>'scripts by drug'!$U$3:$U$63</c:f>
              <c:strCache>
                <c:ptCount val="60"/>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strCache>
            </c:strRef>
          </c:cat>
          <c:val>
            <c:numRef>
              <c:f>'scripts by drug'!$Z$3:$Z$63</c:f>
              <c:numCache>
                <c:formatCode>General</c:formatCode>
                <c:ptCount val="60"/>
                <c:pt idx="0">
                  <c:v>134</c:v>
                </c:pt>
                <c:pt idx="1">
                  <c:v>163</c:v>
                </c:pt>
                <c:pt idx="2">
                  <c:v>161</c:v>
                </c:pt>
                <c:pt idx="3">
                  <c:v>153</c:v>
                </c:pt>
                <c:pt idx="4">
                  <c:v>172</c:v>
                </c:pt>
                <c:pt idx="5">
                  <c:v>176</c:v>
                </c:pt>
                <c:pt idx="6">
                  <c:v>162</c:v>
                </c:pt>
                <c:pt idx="7">
                  <c:v>167</c:v>
                </c:pt>
                <c:pt idx="8">
                  <c:v>164</c:v>
                </c:pt>
                <c:pt idx="9">
                  <c:v>183</c:v>
                </c:pt>
                <c:pt idx="10">
                  <c:v>167</c:v>
                </c:pt>
                <c:pt idx="11">
                  <c:v>206</c:v>
                </c:pt>
                <c:pt idx="12">
                  <c:v>176</c:v>
                </c:pt>
                <c:pt idx="13">
                  <c:v>170</c:v>
                </c:pt>
                <c:pt idx="14">
                  <c:v>190</c:v>
                </c:pt>
                <c:pt idx="15">
                  <c:v>180</c:v>
                </c:pt>
                <c:pt idx="16">
                  <c:v>210</c:v>
                </c:pt>
                <c:pt idx="17">
                  <c:v>195</c:v>
                </c:pt>
                <c:pt idx="18">
                  <c:v>222</c:v>
                </c:pt>
                <c:pt idx="19">
                  <c:v>204</c:v>
                </c:pt>
                <c:pt idx="20">
                  <c:v>201</c:v>
                </c:pt>
                <c:pt idx="21">
                  <c:v>219</c:v>
                </c:pt>
                <c:pt idx="22">
                  <c:v>261</c:v>
                </c:pt>
                <c:pt idx="23">
                  <c:v>248</c:v>
                </c:pt>
                <c:pt idx="24">
                  <c:v>183</c:v>
                </c:pt>
                <c:pt idx="25">
                  <c:v>213</c:v>
                </c:pt>
                <c:pt idx="26">
                  <c:v>228</c:v>
                </c:pt>
                <c:pt idx="27">
                  <c:v>232</c:v>
                </c:pt>
                <c:pt idx="28">
                  <c:v>247</c:v>
                </c:pt>
                <c:pt idx="29">
                  <c:v>232</c:v>
                </c:pt>
                <c:pt idx="30">
                  <c:v>230</c:v>
                </c:pt>
                <c:pt idx="31">
                  <c:v>249</c:v>
                </c:pt>
                <c:pt idx="32">
                  <c:v>228</c:v>
                </c:pt>
                <c:pt idx="33">
                  <c:v>235</c:v>
                </c:pt>
                <c:pt idx="34">
                  <c:v>260</c:v>
                </c:pt>
                <c:pt idx="35">
                  <c:v>271</c:v>
                </c:pt>
                <c:pt idx="36">
                  <c:v>205</c:v>
                </c:pt>
                <c:pt idx="37">
                  <c:v>275</c:v>
                </c:pt>
                <c:pt idx="38">
                  <c:v>272</c:v>
                </c:pt>
                <c:pt idx="39">
                  <c:v>226</c:v>
                </c:pt>
                <c:pt idx="40">
                  <c:v>330</c:v>
                </c:pt>
                <c:pt idx="41">
                  <c:v>274</c:v>
                </c:pt>
                <c:pt idx="42">
                  <c:v>267</c:v>
                </c:pt>
                <c:pt idx="43">
                  <c:v>320</c:v>
                </c:pt>
                <c:pt idx="44">
                  <c:v>261</c:v>
                </c:pt>
                <c:pt idx="45">
                  <c:v>300</c:v>
                </c:pt>
                <c:pt idx="46">
                  <c:v>367</c:v>
                </c:pt>
                <c:pt idx="47">
                  <c:v>317</c:v>
                </c:pt>
                <c:pt idx="48">
                  <c:v>280</c:v>
                </c:pt>
                <c:pt idx="49">
                  <c:v>346</c:v>
                </c:pt>
                <c:pt idx="50">
                  <c:v>306</c:v>
                </c:pt>
                <c:pt idx="51">
                  <c:v>282</c:v>
                </c:pt>
                <c:pt idx="52">
                  <c:v>349</c:v>
                </c:pt>
                <c:pt idx="53">
                  <c:v>340</c:v>
                </c:pt>
                <c:pt idx="54">
                  <c:v>289</c:v>
                </c:pt>
                <c:pt idx="55">
                  <c:v>340</c:v>
                </c:pt>
                <c:pt idx="56">
                  <c:v>316</c:v>
                </c:pt>
                <c:pt idx="57">
                  <c:v>293</c:v>
                </c:pt>
                <c:pt idx="58">
                  <c:v>355</c:v>
                </c:pt>
                <c:pt idx="59">
                  <c:v>323</c:v>
                </c:pt>
              </c:numCache>
            </c:numRef>
          </c:val>
          <c:smooth val="0"/>
          <c:extLst>
            <c:ext xmlns:c16="http://schemas.microsoft.com/office/drawing/2014/chart" uri="{C3380CC4-5D6E-409C-BE32-E72D297353CC}">
              <c16:uniqueId val="{00000004-9E15-4C90-A1D6-467D1D396B23}"/>
            </c:ext>
          </c:extLst>
        </c:ser>
        <c:dLbls>
          <c:showLegendKey val="0"/>
          <c:showVal val="0"/>
          <c:showCatName val="0"/>
          <c:showSerName val="0"/>
          <c:showPercent val="0"/>
          <c:showBubbleSize val="0"/>
        </c:dLbls>
        <c:smooth val="0"/>
        <c:axId val="759969136"/>
        <c:axId val="751871400"/>
      </c:lineChart>
      <c:catAx>
        <c:axId val="75996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1871400"/>
        <c:crosses val="autoZero"/>
        <c:auto val="1"/>
        <c:lblAlgn val="ctr"/>
        <c:lblOffset val="100"/>
        <c:noMultiLvlLbl val="0"/>
      </c:catAx>
      <c:valAx>
        <c:axId val="751871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9691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E0711-738A-4363-B00B-EB4D3DE35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7844</TotalTime>
  <Pages>39</Pages>
  <Words>8170</Words>
  <Characters>46574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Medicines Australia</Company>
  <LinksUpToDate>false</LinksUpToDate>
  <CharactersWithSpaces>54635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andykesh</dc:creator>
  <cp:lastModifiedBy>MORRISON, Olivia</cp:lastModifiedBy>
  <cp:revision>381</cp:revision>
  <cp:lastPrinted>2019-05-08T01:25:00Z</cp:lastPrinted>
  <dcterms:created xsi:type="dcterms:W3CDTF">2019-04-01T06:33:00Z</dcterms:created>
  <dcterms:modified xsi:type="dcterms:W3CDTF">2019-10-25T01:33:00Z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