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75E2FF" w14:textId="77777777" w:rsidR="00832324" w:rsidRDefault="001E07CE" w:rsidP="00F73113">
      <w:pPr>
        <w:pStyle w:val="Title"/>
      </w:pPr>
      <w:proofErr w:type="spellStart"/>
      <w:r w:rsidRPr="0032021A">
        <w:t>Evolocumab</w:t>
      </w:r>
      <w:proofErr w:type="spellEnd"/>
      <w:r w:rsidRPr="0032021A">
        <w:t xml:space="preserve"> </w:t>
      </w:r>
      <w:r>
        <w:t xml:space="preserve">for homozygous familial </w:t>
      </w:r>
      <w:proofErr w:type="spellStart"/>
      <w:r>
        <w:t>hypercholesterolaemia</w:t>
      </w:r>
      <w:proofErr w:type="spellEnd"/>
      <w:r w:rsidR="00D8115B">
        <w:t>: predicted</w:t>
      </w:r>
      <w:r w:rsidR="00074F7F">
        <w:t xml:space="preserve"> versus actual analysis</w:t>
      </w:r>
      <w:r w:rsidR="00D8115B">
        <w:t xml:space="preserve"> </w:t>
      </w:r>
    </w:p>
    <w:p w14:paraId="23923A10" w14:textId="77777777" w:rsidR="00736041" w:rsidRDefault="009053D3" w:rsidP="00F73113">
      <w:pPr>
        <w:pStyle w:val="Title2"/>
      </w:pPr>
      <w:r>
        <w:t>D</w:t>
      </w:r>
      <w:r w:rsidR="00832324" w:rsidRPr="0063631C">
        <w:t xml:space="preserve">rug utilisation sub-committee </w:t>
      </w:r>
      <w:r w:rsidR="00832324">
        <w:t>(DUSC)</w:t>
      </w:r>
    </w:p>
    <w:p w14:paraId="3BCA412B" w14:textId="77777777" w:rsidR="009707ED" w:rsidRPr="009707ED" w:rsidRDefault="00074F7F" w:rsidP="009707ED">
      <w:pPr>
        <w:pStyle w:val="Meetingdate"/>
      </w:pPr>
      <w:r>
        <w:t>October 2019</w:t>
      </w:r>
    </w:p>
    <w:p w14:paraId="5932E1CA" w14:textId="77777777" w:rsidR="005C6661" w:rsidRPr="00CF5E22" w:rsidRDefault="005C6661" w:rsidP="00CF5E22">
      <w:pPr>
        <w:pStyle w:val="Heading2"/>
      </w:pPr>
      <w:r w:rsidRPr="00CF5E22">
        <w:t>Abstract</w:t>
      </w:r>
    </w:p>
    <w:p w14:paraId="100CF40D" w14:textId="77777777" w:rsidR="005C6661" w:rsidRPr="00CF5E22" w:rsidRDefault="005C6661" w:rsidP="00CF5E22">
      <w:pPr>
        <w:pStyle w:val="Heading3"/>
      </w:pPr>
      <w:r w:rsidRPr="00CF5E22">
        <w:t>Purpose</w:t>
      </w:r>
    </w:p>
    <w:p w14:paraId="5BFB5F40" w14:textId="77777777" w:rsidR="009707ED" w:rsidRDefault="009707ED" w:rsidP="00500EA5">
      <w:pPr>
        <w:rPr>
          <w:b/>
          <w:i/>
        </w:rPr>
      </w:pPr>
      <w:r w:rsidRPr="009707ED">
        <w:t xml:space="preserve">To compare the predicted and actual utilisation of </w:t>
      </w:r>
      <w:proofErr w:type="spellStart"/>
      <w:r w:rsidRPr="009707ED">
        <w:t>evolocumab</w:t>
      </w:r>
      <w:proofErr w:type="spellEnd"/>
      <w:r w:rsidRPr="009707ED">
        <w:t xml:space="preserve"> for homozygous familial </w:t>
      </w:r>
      <w:proofErr w:type="spellStart"/>
      <w:r w:rsidRPr="009707ED">
        <w:t>hypercholesterolaemia</w:t>
      </w:r>
      <w:proofErr w:type="spellEnd"/>
      <w:r w:rsidR="00006ACD">
        <w:t xml:space="preserve"> (</w:t>
      </w:r>
      <w:proofErr w:type="spellStart"/>
      <w:r w:rsidR="00006ACD">
        <w:t>HoFH</w:t>
      </w:r>
      <w:proofErr w:type="spellEnd"/>
      <w:r w:rsidR="00006ACD">
        <w:t>)</w:t>
      </w:r>
      <w:r w:rsidRPr="009707ED">
        <w:t xml:space="preserve"> in the first 24 months of PBS listing. </w:t>
      </w:r>
      <w:proofErr w:type="spellStart"/>
      <w:r w:rsidRPr="009707ED">
        <w:t>Evolocumab</w:t>
      </w:r>
      <w:proofErr w:type="spellEnd"/>
      <w:r w:rsidRPr="009707ED">
        <w:t xml:space="preserve"> was PBS listed for this indication on 1 December 2016.</w:t>
      </w:r>
    </w:p>
    <w:p w14:paraId="558213DC" w14:textId="77777777" w:rsidR="002D144A" w:rsidRDefault="002D144A" w:rsidP="00CF5E22">
      <w:pPr>
        <w:pStyle w:val="Heading3"/>
      </w:pPr>
      <w:r>
        <w:t>Date of listing on the P</w:t>
      </w:r>
      <w:r w:rsidR="00A95FA5">
        <w:t xml:space="preserve">harmaceutical </w:t>
      </w:r>
      <w:r>
        <w:t>B</w:t>
      </w:r>
      <w:r w:rsidR="00A95FA5">
        <w:t xml:space="preserve">enefits </w:t>
      </w:r>
      <w:r>
        <w:t>S</w:t>
      </w:r>
      <w:r w:rsidR="00A95FA5">
        <w:t>cheme (PBS)</w:t>
      </w:r>
    </w:p>
    <w:p w14:paraId="7A40B131" w14:textId="77777777" w:rsidR="009707ED" w:rsidRDefault="009707ED" w:rsidP="00500EA5">
      <w:pPr>
        <w:rPr>
          <w:b/>
          <w:i/>
        </w:rPr>
      </w:pPr>
      <w:proofErr w:type="spellStart"/>
      <w:r w:rsidRPr="009707ED">
        <w:t>Evolocumab</w:t>
      </w:r>
      <w:proofErr w:type="spellEnd"/>
      <w:r w:rsidRPr="009707ED">
        <w:t xml:space="preserve"> was first PBS listed for the treatment of homozygous familial </w:t>
      </w:r>
      <w:proofErr w:type="spellStart"/>
      <w:r w:rsidRPr="009707ED">
        <w:t>hypercholesterolaemia</w:t>
      </w:r>
      <w:proofErr w:type="spellEnd"/>
      <w:r w:rsidRPr="009707ED">
        <w:t xml:space="preserve"> on 1 December 2016. </w:t>
      </w:r>
    </w:p>
    <w:p w14:paraId="1EDA8F93" w14:textId="77777777" w:rsidR="005C6661" w:rsidRDefault="005C6661" w:rsidP="00CF5E22">
      <w:pPr>
        <w:pStyle w:val="Heading3"/>
      </w:pPr>
      <w:r>
        <w:t>Data Source / methodology</w:t>
      </w:r>
    </w:p>
    <w:p w14:paraId="41C2CE19" w14:textId="1DAB9243" w:rsidR="009707ED" w:rsidRDefault="009707ED" w:rsidP="00500EA5">
      <w:pPr>
        <w:rPr>
          <w:b/>
          <w:i/>
        </w:rPr>
      </w:pPr>
      <w:r w:rsidRPr="009707ED">
        <w:t xml:space="preserve">The analyses used data from the </w:t>
      </w:r>
      <w:r w:rsidR="00331483">
        <w:t>PBS</w:t>
      </w:r>
      <w:r w:rsidR="00996D4C">
        <w:t xml:space="preserve"> supplied prescriptions</w:t>
      </w:r>
      <w:r w:rsidR="00B1372B">
        <w:t xml:space="preserve"> and</w:t>
      </w:r>
      <w:r w:rsidR="00331483">
        <w:t xml:space="preserve"> a</w:t>
      </w:r>
      <w:r w:rsidR="00996D4C" w:rsidRPr="00996D4C">
        <w:t>uth</w:t>
      </w:r>
      <w:r w:rsidR="00996D4C">
        <w:t xml:space="preserve">ority </w:t>
      </w:r>
      <w:r w:rsidR="00331483">
        <w:t>a</w:t>
      </w:r>
      <w:r w:rsidR="00996D4C">
        <w:t>pproval</w:t>
      </w:r>
      <w:r w:rsidR="00331483">
        <w:t>s</w:t>
      </w:r>
      <w:r w:rsidR="00996D4C">
        <w:t xml:space="preserve"> </w:t>
      </w:r>
      <w:r w:rsidR="00996D4C" w:rsidRPr="00996D4C">
        <w:t>database</w:t>
      </w:r>
      <w:r w:rsidR="00996D4C">
        <w:t>s</w:t>
      </w:r>
      <w:r w:rsidR="00996D4C" w:rsidRPr="00996D4C">
        <w:t>.</w:t>
      </w:r>
    </w:p>
    <w:p w14:paraId="69696ACC" w14:textId="77777777" w:rsidR="005C6661" w:rsidRDefault="005C6661" w:rsidP="00CF5E22">
      <w:pPr>
        <w:pStyle w:val="Heading3"/>
      </w:pPr>
      <w:r>
        <w:t>Key Findings</w:t>
      </w:r>
    </w:p>
    <w:p w14:paraId="0C330C86" w14:textId="77777777" w:rsidR="00996D4C" w:rsidRPr="00996D4C" w:rsidRDefault="00996D4C" w:rsidP="003E2430">
      <w:pPr>
        <w:pStyle w:val="ListParagraph"/>
        <w:numPr>
          <w:ilvl w:val="0"/>
          <w:numId w:val="35"/>
        </w:numPr>
        <w:ind w:left="714" w:hanging="357"/>
        <w:rPr>
          <w:rFonts w:eastAsiaTheme="majorEastAsia" w:cstheme="majorBidi"/>
          <w:b/>
          <w:bCs/>
          <w:sz w:val="32"/>
          <w:szCs w:val="26"/>
        </w:rPr>
      </w:pPr>
      <w:r w:rsidRPr="00996D4C">
        <w:t>The</w:t>
      </w:r>
      <w:r w:rsidR="008367F7">
        <w:t xml:space="preserve"> actual</w:t>
      </w:r>
      <w:r w:rsidRPr="00996D4C">
        <w:t xml:space="preserve"> number of</w:t>
      </w:r>
      <w:r w:rsidR="00B104A6">
        <w:t xml:space="preserve"> </w:t>
      </w:r>
      <w:r w:rsidRPr="00996D4C">
        <w:t xml:space="preserve">patients treated with </w:t>
      </w:r>
      <w:proofErr w:type="spellStart"/>
      <w:r w:rsidRPr="00996D4C">
        <w:t>evolocumab</w:t>
      </w:r>
      <w:proofErr w:type="spellEnd"/>
      <w:r w:rsidR="00006ACD">
        <w:t xml:space="preserve"> for </w:t>
      </w:r>
      <w:proofErr w:type="spellStart"/>
      <w:r w:rsidR="00006ACD">
        <w:t>HoFH</w:t>
      </w:r>
      <w:proofErr w:type="spellEnd"/>
      <w:r w:rsidRPr="00996D4C">
        <w:t xml:space="preserve"> in the first two years of li</w:t>
      </w:r>
      <w:r>
        <w:t>sting was higher than expected.</w:t>
      </w:r>
    </w:p>
    <w:p w14:paraId="1D742030" w14:textId="77777777" w:rsidR="00996D4C" w:rsidRPr="00996D4C" w:rsidRDefault="00CB5CD7" w:rsidP="003E2430">
      <w:pPr>
        <w:pStyle w:val="ListParagraph"/>
        <w:numPr>
          <w:ilvl w:val="0"/>
          <w:numId w:val="35"/>
        </w:numPr>
        <w:ind w:left="714" w:hanging="357"/>
        <w:rPr>
          <w:rFonts w:eastAsiaTheme="majorEastAsia" w:cstheme="majorBidi"/>
          <w:b/>
          <w:bCs/>
          <w:sz w:val="32"/>
          <w:szCs w:val="26"/>
        </w:rPr>
      </w:pPr>
      <w:r>
        <w:rPr>
          <w:rFonts w:eastAsia="Times New Roman" w:cstheme="minorHAnsi" w:hint="eastAsia"/>
        </w:rPr>
        <w:t xml:space="preserve">In 2018, </w:t>
      </w:r>
      <w:r w:rsidR="00996D4C" w:rsidRPr="00093FD7">
        <w:rPr>
          <w:rFonts w:eastAsia="Times New Roman" w:cstheme="minorHAnsi" w:hint="eastAsia"/>
        </w:rPr>
        <w:t>1</w:t>
      </w:r>
      <w:r w:rsidR="008367F7">
        <w:rPr>
          <w:rFonts w:eastAsia="Times New Roman" w:cstheme="minorHAnsi"/>
        </w:rPr>
        <w:t>,</w:t>
      </w:r>
      <w:r w:rsidR="00996D4C" w:rsidRPr="00093FD7">
        <w:rPr>
          <w:rFonts w:eastAsia="Times New Roman" w:cstheme="minorHAnsi" w:hint="eastAsia"/>
        </w:rPr>
        <w:t>098 patients</w:t>
      </w:r>
      <w:r>
        <w:rPr>
          <w:rFonts w:eastAsia="Times New Roman" w:cstheme="minorHAnsi"/>
        </w:rPr>
        <w:t xml:space="preserve"> were</w:t>
      </w:r>
      <w:r w:rsidR="00996D4C" w:rsidRPr="00093FD7">
        <w:rPr>
          <w:rFonts w:eastAsia="Times New Roman" w:cstheme="minorHAnsi" w:hint="eastAsia"/>
        </w:rPr>
        <w:t xml:space="preserve"> supplied a</w:t>
      </w:r>
      <w:r w:rsidR="008367F7">
        <w:rPr>
          <w:rFonts w:eastAsia="Times New Roman" w:cstheme="minorHAnsi"/>
        </w:rPr>
        <w:t>t least one</w:t>
      </w:r>
      <w:r w:rsidR="00996D4C" w:rsidRPr="00093FD7">
        <w:rPr>
          <w:rFonts w:eastAsia="Times New Roman" w:cstheme="minorHAnsi" w:hint="eastAsia"/>
        </w:rPr>
        <w:t xml:space="preserve"> prescription for </w:t>
      </w:r>
      <w:proofErr w:type="spellStart"/>
      <w:r w:rsidR="00996D4C" w:rsidRPr="00093FD7">
        <w:rPr>
          <w:rFonts w:eastAsia="Times New Roman" w:cstheme="minorHAnsi" w:hint="eastAsia"/>
        </w:rPr>
        <w:t>HoFH</w:t>
      </w:r>
      <w:proofErr w:type="spellEnd"/>
      <w:r w:rsidR="00996D4C" w:rsidRPr="00093FD7">
        <w:rPr>
          <w:rFonts w:eastAsia="Times New Roman" w:cstheme="minorHAnsi" w:hint="eastAsia"/>
        </w:rPr>
        <w:t xml:space="preserve"> and, of these, 574 patients were supplied their first PBS‐subsidised </w:t>
      </w:r>
      <w:proofErr w:type="spellStart"/>
      <w:r w:rsidR="00996D4C" w:rsidRPr="00093FD7">
        <w:rPr>
          <w:rFonts w:eastAsia="Times New Roman" w:cstheme="minorHAnsi" w:hint="eastAsia"/>
        </w:rPr>
        <w:t>evolocumab</w:t>
      </w:r>
      <w:proofErr w:type="spellEnd"/>
      <w:r w:rsidR="00996D4C" w:rsidRPr="00093FD7">
        <w:rPr>
          <w:rFonts w:eastAsia="Times New Roman" w:cstheme="minorHAnsi" w:hint="eastAsia"/>
        </w:rPr>
        <w:t xml:space="preserve"> </w:t>
      </w:r>
      <w:bookmarkStart w:id="0" w:name="_GoBack"/>
      <w:bookmarkEnd w:id="0"/>
      <w:r w:rsidR="00996D4C" w:rsidRPr="00093FD7">
        <w:rPr>
          <w:rFonts w:eastAsia="Times New Roman" w:cstheme="minorHAnsi" w:hint="eastAsia"/>
        </w:rPr>
        <w:t>prescription.</w:t>
      </w:r>
    </w:p>
    <w:p w14:paraId="0B038B10" w14:textId="77777777" w:rsidR="00996D4C" w:rsidRPr="00996D4C" w:rsidRDefault="00996D4C" w:rsidP="003E2430">
      <w:pPr>
        <w:pStyle w:val="ListParagraph"/>
        <w:numPr>
          <w:ilvl w:val="0"/>
          <w:numId w:val="35"/>
        </w:numPr>
        <w:ind w:left="714" w:hanging="357"/>
        <w:rPr>
          <w:rFonts w:eastAsiaTheme="majorEastAsia" w:cstheme="majorBidi"/>
          <w:b/>
          <w:bCs/>
          <w:sz w:val="32"/>
          <w:szCs w:val="26"/>
        </w:rPr>
      </w:pPr>
      <w:r w:rsidRPr="002671BA">
        <w:rPr>
          <w:rFonts w:eastAsia="Times New Roman" w:cstheme="minorHAnsi"/>
        </w:rPr>
        <w:t>The total number</w:t>
      </w:r>
      <w:r w:rsidR="00A57953">
        <w:rPr>
          <w:rFonts w:eastAsia="Times New Roman" w:cstheme="minorHAnsi"/>
        </w:rPr>
        <w:t xml:space="preserve"> of </w:t>
      </w:r>
      <w:r w:rsidRPr="002671BA">
        <w:rPr>
          <w:rFonts w:eastAsia="Times New Roman" w:cstheme="minorHAnsi"/>
        </w:rPr>
        <w:t>prescriptions</w:t>
      </w:r>
      <w:r w:rsidR="00B104A6">
        <w:rPr>
          <w:rFonts w:eastAsia="Times New Roman" w:cstheme="minorHAnsi"/>
        </w:rPr>
        <w:t xml:space="preserve"> supplied for </w:t>
      </w:r>
      <w:proofErr w:type="spellStart"/>
      <w:r w:rsidR="00B104A6">
        <w:rPr>
          <w:rFonts w:eastAsia="Times New Roman" w:cstheme="minorHAnsi"/>
        </w:rPr>
        <w:t>evolocumab</w:t>
      </w:r>
      <w:proofErr w:type="spellEnd"/>
      <w:r w:rsidR="00B104A6">
        <w:rPr>
          <w:rFonts w:eastAsia="Times New Roman" w:cstheme="minorHAnsi"/>
        </w:rPr>
        <w:t xml:space="preserve"> for </w:t>
      </w:r>
      <w:proofErr w:type="spellStart"/>
      <w:r w:rsidR="00B104A6">
        <w:rPr>
          <w:rFonts w:eastAsia="Times New Roman" w:cstheme="minorHAnsi"/>
        </w:rPr>
        <w:t>HoFH</w:t>
      </w:r>
      <w:proofErr w:type="spellEnd"/>
      <w:r w:rsidR="00B104A6">
        <w:rPr>
          <w:rFonts w:eastAsia="Times New Roman" w:cstheme="minorHAnsi"/>
        </w:rPr>
        <w:t xml:space="preserve"> was similar to pr</w:t>
      </w:r>
      <w:r w:rsidR="00A57953">
        <w:rPr>
          <w:rFonts w:eastAsia="Times New Roman" w:cstheme="minorHAnsi"/>
        </w:rPr>
        <w:t>edicted in year one of listing</w:t>
      </w:r>
      <w:r w:rsidR="00B104A6">
        <w:rPr>
          <w:rFonts w:eastAsia="Times New Roman" w:cstheme="minorHAnsi"/>
        </w:rPr>
        <w:t xml:space="preserve"> but was </w:t>
      </w:r>
      <w:r w:rsidR="00A57953">
        <w:rPr>
          <w:rFonts w:eastAsia="Times New Roman" w:cstheme="minorHAnsi"/>
        </w:rPr>
        <w:t>greater than predicted in year two</w:t>
      </w:r>
      <w:r w:rsidR="00B104A6">
        <w:rPr>
          <w:rFonts w:eastAsia="Times New Roman" w:cstheme="minorHAnsi"/>
        </w:rPr>
        <w:t xml:space="preserve">. </w:t>
      </w:r>
    </w:p>
    <w:p w14:paraId="21FA8C14" w14:textId="77777777" w:rsidR="00996D4C" w:rsidRPr="00996D4C" w:rsidRDefault="00996D4C" w:rsidP="003E2430">
      <w:pPr>
        <w:pStyle w:val="ListParagraph"/>
        <w:numPr>
          <w:ilvl w:val="0"/>
          <w:numId w:val="35"/>
        </w:numPr>
        <w:ind w:left="714" w:hanging="357"/>
        <w:jc w:val="both"/>
        <w:rPr>
          <w:rFonts w:eastAsia="Times New Roman" w:cstheme="minorHAnsi"/>
        </w:rPr>
      </w:pPr>
      <w:r w:rsidRPr="00996D4C">
        <w:rPr>
          <w:rFonts w:eastAsia="Times New Roman" w:cstheme="minorHAnsi"/>
        </w:rPr>
        <w:t xml:space="preserve">In 2018, </w:t>
      </w:r>
      <w:r w:rsidR="008367F7">
        <w:rPr>
          <w:rFonts w:eastAsia="Times New Roman" w:cstheme="minorHAnsi"/>
        </w:rPr>
        <w:t xml:space="preserve">the majority of </w:t>
      </w:r>
      <w:proofErr w:type="spellStart"/>
      <w:r w:rsidR="008367F7">
        <w:rPr>
          <w:rFonts w:eastAsia="Times New Roman" w:cstheme="minorHAnsi"/>
        </w:rPr>
        <w:t>evolocumab</w:t>
      </w:r>
      <w:proofErr w:type="spellEnd"/>
      <w:r w:rsidR="008367F7">
        <w:rPr>
          <w:rFonts w:eastAsia="Times New Roman" w:cstheme="minorHAnsi"/>
        </w:rPr>
        <w:t xml:space="preserve"> prescriptions supplied for </w:t>
      </w:r>
      <w:proofErr w:type="spellStart"/>
      <w:r w:rsidR="008367F7">
        <w:rPr>
          <w:rFonts w:eastAsia="Times New Roman" w:cstheme="minorHAnsi"/>
        </w:rPr>
        <w:t>HoFH</w:t>
      </w:r>
      <w:proofErr w:type="spellEnd"/>
      <w:r w:rsidR="008367F7">
        <w:rPr>
          <w:rFonts w:eastAsia="Times New Roman" w:cstheme="minorHAnsi"/>
        </w:rPr>
        <w:t xml:space="preserve"> were for </w:t>
      </w:r>
      <w:r w:rsidRPr="00996D4C">
        <w:rPr>
          <w:rFonts w:eastAsia="Times New Roman" w:cstheme="minorHAnsi"/>
        </w:rPr>
        <w:t>the 140</w:t>
      </w:r>
      <w:r w:rsidR="008367F7">
        <w:rPr>
          <w:rFonts w:eastAsia="Times New Roman" w:cstheme="minorHAnsi"/>
        </w:rPr>
        <w:t> </w:t>
      </w:r>
      <w:r w:rsidRPr="00996D4C">
        <w:rPr>
          <w:rFonts w:eastAsia="Times New Roman" w:cstheme="minorHAnsi"/>
        </w:rPr>
        <w:t xml:space="preserve">mg/mL pen device </w:t>
      </w:r>
      <w:r w:rsidR="008367F7">
        <w:rPr>
          <w:rFonts w:eastAsia="Times New Roman" w:cstheme="minorHAnsi"/>
        </w:rPr>
        <w:t>(</w:t>
      </w:r>
      <w:r w:rsidR="008367F7" w:rsidRPr="00996D4C">
        <w:rPr>
          <w:rFonts w:eastAsia="Times New Roman" w:cstheme="minorHAnsi"/>
        </w:rPr>
        <w:t>6</w:t>
      </w:r>
      <w:r w:rsidR="008367F7">
        <w:rPr>
          <w:rFonts w:eastAsia="Times New Roman" w:cstheme="minorHAnsi"/>
        </w:rPr>
        <w:t>,</w:t>
      </w:r>
      <w:r w:rsidR="008367F7" w:rsidRPr="00996D4C">
        <w:rPr>
          <w:rFonts w:eastAsia="Times New Roman" w:cstheme="minorHAnsi"/>
        </w:rPr>
        <w:t>996 prescriptions</w:t>
      </w:r>
      <w:r w:rsidR="008367F7">
        <w:rPr>
          <w:rFonts w:eastAsia="Times New Roman" w:cstheme="minorHAnsi"/>
        </w:rPr>
        <w:t>; 96%).</w:t>
      </w:r>
    </w:p>
    <w:p w14:paraId="23DC95A3" w14:textId="77777777" w:rsidR="00BB0D1A" w:rsidRPr="00996D4C" w:rsidRDefault="00BB0D1A" w:rsidP="00C94DD8">
      <w:pPr>
        <w:pStyle w:val="ListParagraph"/>
        <w:numPr>
          <w:ilvl w:val="0"/>
          <w:numId w:val="35"/>
        </w:numPr>
        <w:rPr>
          <w:rFonts w:eastAsiaTheme="majorEastAsia" w:cstheme="majorBidi"/>
          <w:b/>
          <w:bCs/>
          <w:sz w:val="32"/>
          <w:szCs w:val="26"/>
        </w:rPr>
      </w:pPr>
      <w:r>
        <w:br w:type="page"/>
      </w:r>
    </w:p>
    <w:p w14:paraId="606554CC" w14:textId="77777777" w:rsidR="00E677DD" w:rsidRDefault="00E677DD" w:rsidP="00CF5E22">
      <w:pPr>
        <w:pStyle w:val="Heading1"/>
      </w:pPr>
      <w:r w:rsidRPr="00CF5E22">
        <w:lastRenderedPageBreak/>
        <w:t xml:space="preserve">Purpose of </w:t>
      </w:r>
      <w:r w:rsidR="00D151EB" w:rsidRPr="00CF5E22">
        <w:t>analysis</w:t>
      </w:r>
    </w:p>
    <w:p w14:paraId="2A72F3FF" w14:textId="77777777" w:rsidR="008768B9" w:rsidRPr="008768B9" w:rsidRDefault="008768B9" w:rsidP="00E46F7C">
      <w:pPr>
        <w:jc w:val="both"/>
      </w:pPr>
      <w:r w:rsidRPr="008768B9">
        <w:t>To compare the predicted and</w:t>
      </w:r>
      <w:r>
        <w:t xml:space="preserve"> actual utilisation of </w:t>
      </w:r>
      <w:proofErr w:type="spellStart"/>
      <w:r>
        <w:t>evolocumab</w:t>
      </w:r>
      <w:proofErr w:type="spellEnd"/>
      <w:r>
        <w:t xml:space="preserve"> for</w:t>
      </w:r>
      <w:r w:rsidRPr="008768B9">
        <w:t xml:space="preserve"> </w:t>
      </w:r>
      <w:r>
        <w:t xml:space="preserve">homozygous familial </w:t>
      </w:r>
      <w:proofErr w:type="spellStart"/>
      <w:r>
        <w:t>h</w:t>
      </w:r>
      <w:r w:rsidRPr="008768B9">
        <w:t>ypercholesterolaemia</w:t>
      </w:r>
      <w:proofErr w:type="spellEnd"/>
      <w:r w:rsidR="003C59FC">
        <w:t xml:space="preserve"> in the first 24 months of PBS listing. </w:t>
      </w:r>
      <w:proofErr w:type="spellStart"/>
      <w:r w:rsidR="003C59FC">
        <w:t>Evolocumab</w:t>
      </w:r>
      <w:proofErr w:type="spellEnd"/>
      <w:r w:rsidR="003C59FC">
        <w:t xml:space="preserve"> was PBS listed for this indication </w:t>
      </w:r>
      <w:r>
        <w:t xml:space="preserve">on </w:t>
      </w:r>
      <w:r w:rsidR="00E46F7C" w:rsidRPr="00E46F7C">
        <w:t>1 December 2016</w:t>
      </w:r>
      <w:r w:rsidRPr="00E46F7C">
        <w:t>.</w:t>
      </w:r>
    </w:p>
    <w:p w14:paraId="170747F8" w14:textId="77777777" w:rsidR="006537D9" w:rsidRPr="005E22C2" w:rsidRDefault="00736041" w:rsidP="00CF5E22">
      <w:pPr>
        <w:pStyle w:val="Heading1"/>
      </w:pPr>
      <w:r w:rsidRPr="005E22C2">
        <w:t>Background</w:t>
      </w:r>
    </w:p>
    <w:p w14:paraId="0D60AFC4" w14:textId="77777777" w:rsidR="00EE2BBB" w:rsidRDefault="00EE2BBB" w:rsidP="00EE2BBB">
      <w:pPr>
        <w:pStyle w:val="Heading2"/>
      </w:pPr>
      <w:r w:rsidRPr="007247B9">
        <w:t>Clinical situation</w:t>
      </w:r>
    </w:p>
    <w:p w14:paraId="5143AE4B" w14:textId="77777777" w:rsidR="00E46F7C" w:rsidRPr="00E6006F" w:rsidRDefault="002C3007" w:rsidP="00BA0B66">
      <w:pPr>
        <w:jc w:val="both"/>
      </w:pPr>
      <w:r w:rsidRPr="002C3007">
        <w:t xml:space="preserve">Familial </w:t>
      </w:r>
      <w:proofErr w:type="spellStart"/>
      <w:r w:rsidRPr="002C3007">
        <w:t>hypercholesterolaemia</w:t>
      </w:r>
      <w:proofErr w:type="spellEnd"/>
      <w:r w:rsidRPr="002C3007">
        <w:t xml:space="preserve"> (FH)</w:t>
      </w:r>
      <w:r w:rsidR="00004982">
        <w:t xml:space="preserve"> </w:t>
      </w:r>
      <w:r w:rsidR="00004982" w:rsidRPr="00004982">
        <w:t>is a dominantly inherited disorder present from birth that markedly elevates plasma low-density lipoprotein (LDL) cholesterol and causes premature coronary heart disease</w:t>
      </w:r>
      <w:r w:rsidR="00004982">
        <w:t xml:space="preserve">. </w:t>
      </w:r>
      <w:r w:rsidR="00E6006F">
        <w:t xml:space="preserve">Detailed information on FH is available online from the </w:t>
      </w:r>
      <w:r w:rsidR="00E6006F" w:rsidRPr="004449A7">
        <w:t xml:space="preserve">Familial </w:t>
      </w:r>
      <w:proofErr w:type="spellStart"/>
      <w:r w:rsidR="00E6006F" w:rsidRPr="004449A7">
        <w:t>Hypercholesterolaemia</w:t>
      </w:r>
      <w:proofErr w:type="spellEnd"/>
      <w:r w:rsidR="00E6006F" w:rsidRPr="004449A7">
        <w:t xml:space="preserve"> Australasia Network</w:t>
      </w:r>
      <w:r w:rsidR="00E6006F">
        <w:t>.</w:t>
      </w:r>
      <w:r w:rsidR="00E6006F">
        <w:rPr>
          <w:rStyle w:val="FootnoteReference"/>
        </w:rPr>
        <w:footnoteReference w:id="1"/>
      </w:r>
    </w:p>
    <w:p w14:paraId="2C826703" w14:textId="77777777" w:rsidR="007247B9" w:rsidRDefault="007247B9" w:rsidP="00BA0B66">
      <w:pPr>
        <w:pStyle w:val="Heading2"/>
        <w:jc w:val="both"/>
      </w:pPr>
      <w:r>
        <w:t>Pharmacology</w:t>
      </w:r>
    </w:p>
    <w:p w14:paraId="21B6A9EB" w14:textId="77777777" w:rsidR="00A455C2" w:rsidRPr="00793820" w:rsidRDefault="00793820" w:rsidP="00BA0B66">
      <w:pPr>
        <w:jc w:val="both"/>
      </w:pPr>
      <w:proofErr w:type="spellStart"/>
      <w:r>
        <w:t>Evolocumab</w:t>
      </w:r>
      <w:proofErr w:type="spellEnd"/>
      <w:r w:rsidR="0030672D">
        <w:t xml:space="preserve"> is a human monoclonal antibody that binds to </w:t>
      </w:r>
      <w:proofErr w:type="spellStart"/>
      <w:r w:rsidR="0030672D" w:rsidRPr="0030672D">
        <w:t>proprotein</w:t>
      </w:r>
      <w:proofErr w:type="spellEnd"/>
      <w:r w:rsidR="0030672D" w:rsidRPr="0030672D">
        <w:t xml:space="preserve"> convertase </w:t>
      </w:r>
      <w:proofErr w:type="spellStart"/>
      <w:r w:rsidR="0030672D" w:rsidRPr="0030672D">
        <w:t>subtilisin</w:t>
      </w:r>
      <w:proofErr w:type="spellEnd"/>
      <w:r w:rsidR="0030672D" w:rsidRPr="0030672D">
        <w:t>/</w:t>
      </w:r>
      <w:proofErr w:type="spellStart"/>
      <w:r w:rsidR="0030672D" w:rsidRPr="0030672D">
        <w:t>kexin</w:t>
      </w:r>
      <w:proofErr w:type="spellEnd"/>
      <w:r w:rsidR="0030672D" w:rsidRPr="0030672D">
        <w:t xml:space="preserve"> type 9</w:t>
      </w:r>
      <w:r w:rsidR="0030672D">
        <w:t xml:space="preserve"> (</w:t>
      </w:r>
      <w:r w:rsidR="00A455C2">
        <w:t xml:space="preserve">PCSK9) and inhibits circulating PCSK9 from binding to the </w:t>
      </w:r>
      <w:r w:rsidR="00A062BA">
        <w:t>LDL</w:t>
      </w:r>
      <w:r w:rsidR="00A455C2">
        <w:t xml:space="preserve"> receptor on the liver cell surface, thus preventing PCSK9-mediated LDL</w:t>
      </w:r>
      <w:r w:rsidR="00A062BA">
        <w:t xml:space="preserve"> receptor</w:t>
      </w:r>
      <w:r w:rsidR="00A455C2">
        <w:t xml:space="preserve"> degradation. Increasing liver LDL</w:t>
      </w:r>
      <w:r w:rsidR="00A062BA">
        <w:t xml:space="preserve"> receptor</w:t>
      </w:r>
      <w:r w:rsidR="00A455C2">
        <w:t xml:space="preserve"> levels results in associated reductions in serum </w:t>
      </w:r>
      <w:r w:rsidR="00BB4F53">
        <w:t>LDL cholesterol</w:t>
      </w:r>
      <w:r w:rsidR="00E91528">
        <w:t>.</w:t>
      </w:r>
      <w:bookmarkStart w:id="1" w:name="_Ref16680023"/>
      <w:r w:rsidR="00E91528">
        <w:rPr>
          <w:rStyle w:val="FootnoteReference"/>
        </w:rPr>
        <w:footnoteReference w:id="2"/>
      </w:r>
      <w:bookmarkEnd w:id="1"/>
    </w:p>
    <w:p w14:paraId="77A16F50" w14:textId="77777777" w:rsidR="001420B3" w:rsidRDefault="00A52918" w:rsidP="00BA0B66">
      <w:pPr>
        <w:pStyle w:val="Heading2"/>
        <w:jc w:val="both"/>
      </w:pPr>
      <w:r w:rsidRPr="00A52918">
        <w:t xml:space="preserve">Therapeutic Goods Administration </w:t>
      </w:r>
      <w:r>
        <w:t>(</w:t>
      </w:r>
      <w:r w:rsidR="001420B3" w:rsidRPr="005E22C2">
        <w:t>TGA</w:t>
      </w:r>
      <w:r>
        <w:t>)</w:t>
      </w:r>
      <w:r w:rsidR="001420B3" w:rsidRPr="005E22C2">
        <w:t xml:space="preserve"> approved </w:t>
      </w:r>
      <w:r w:rsidR="001420B3">
        <w:t>i</w:t>
      </w:r>
      <w:r w:rsidR="001420B3" w:rsidRPr="005E22C2">
        <w:t>ndications</w:t>
      </w:r>
    </w:p>
    <w:p w14:paraId="07385331" w14:textId="77777777" w:rsidR="004858C3" w:rsidRDefault="004858C3" w:rsidP="00BA0B66">
      <w:pPr>
        <w:jc w:val="both"/>
      </w:pPr>
      <w:proofErr w:type="spellStart"/>
      <w:r>
        <w:t>Evolocumab</w:t>
      </w:r>
      <w:proofErr w:type="spellEnd"/>
      <w:r>
        <w:t xml:space="preserve"> </w:t>
      </w:r>
      <w:proofErr w:type="gramStart"/>
      <w:r>
        <w:t>is indicated</w:t>
      </w:r>
      <w:proofErr w:type="gramEnd"/>
      <w:r>
        <w:t xml:space="preserve"> as an adjunct to diet and exercise in:</w:t>
      </w:r>
    </w:p>
    <w:p w14:paraId="16DC2D7C" w14:textId="77777777" w:rsidR="004858C3" w:rsidRPr="004858C3" w:rsidRDefault="004858C3" w:rsidP="00BA0B66">
      <w:pPr>
        <w:jc w:val="both"/>
        <w:rPr>
          <w:b/>
        </w:rPr>
      </w:pPr>
      <w:r w:rsidRPr="004858C3">
        <w:rPr>
          <w:b/>
        </w:rPr>
        <w:t>Prevention of Cardiovascular Events</w:t>
      </w:r>
    </w:p>
    <w:p w14:paraId="17C9A7BF" w14:textId="77777777" w:rsidR="00A455C2" w:rsidRPr="00BA0B66" w:rsidRDefault="004858C3" w:rsidP="00BA0B66">
      <w:pPr>
        <w:jc w:val="both"/>
      </w:pPr>
      <w:proofErr w:type="spellStart"/>
      <w:r>
        <w:t>Evolocumab</w:t>
      </w:r>
      <w:proofErr w:type="spellEnd"/>
      <w:r>
        <w:t xml:space="preserve"> </w:t>
      </w:r>
      <w:proofErr w:type="gramStart"/>
      <w:r>
        <w:t>is indicated</w:t>
      </w:r>
      <w:proofErr w:type="gramEnd"/>
      <w:r>
        <w:t xml:space="preserve"> to reduce the risk of cardiovascular events (myocardial infarction, stroke and coronary revascularisation) in adults with established cardiovascular disease in combination with an optimally dosed statin and/or other lipid-lowering therapies.</w:t>
      </w:r>
    </w:p>
    <w:p w14:paraId="2E34F89E" w14:textId="77777777" w:rsidR="00BA0B66" w:rsidRDefault="00BA0B66">
      <w:pPr>
        <w:spacing w:line="276" w:lineRule="auto"/>
        <w:rPr>
          <w:b/>
        </w:rPr>
      </w:pPr>
      <w:r>
        <w:rPr>
          <w:b/>
        </w:rPr>
        <w:br w:type="page"/>
      </w:r>
    </w:p>
    <w:p w14:paraId="4132A203" w14:textId="77777777" w:rsidR="004858C3" w:rsidRPr="004858C3" w:rsidRDefault="004858C3" w:rsidP="004858C3">
      <w:pPr>
        <w:rPr>
          <w:b/>
        </w:rPr>
      </w:pPr>
      <w:r w:rsidRPr="004858C3">
        <w:rPr>
          <w:b/>
        </w:rPr>
        <w:lastRenderedPageBreak/>
        <w:t xml:space="preserve">Primary </w:t>
      </w:r>
      <w:proofErr w:type="spellStart"/>
      <w:r w:rsidRPr="004858C3">
        <w:rPr>
          <w:b/>
        </w:rPr>
        <w:t>Hypercholesterolaemia</w:t>
      </w:r>
      <w:proofErr w:type="spellEnd"/>
    </w:p>
    <w:p w14:paraId="4E7E140C" w14:textId="77777777" w:rsidR="004858C3" w:rsidRDefault="004858C3" w:rsidP="00BA0B66">
      <w:pPr>
        <w:jc w:val="both"/>
      </w:pPr>
      <w:proofErr w:type="spellStart"/>
      <w:r>
        <w:t>Evolocumab</w:t>
      </w:r>
      <w:proofErr w:type="spellEnd"/>
      <w:r>
        <w:t xml:space="preserve"> </w:t>
      </w:r>
      <w:proofErr w:type="gramStart"/>
      <w:r>
        <w:t>is indicated</w:t>
      </w:r>
      <w:proofErr w:type="gramEnd"/>
      <w:r>
        <w:t xml:space="preserve"> in adults with primary </w:t>
      </w:r>
      <w:proofErr w:type="spellStart"/>
      <w:r>
        <w:t>hypercholesterolaemia</w:t>
      </w:r>
      <w:proofErr w:type="spellEnd"/>
      <w:r>
        <w:t xml:space="preserve"> (including heterozygous familial </w:t>
      </w:r>
      <w:proofErr w:type="spellStart"/>
      <w:r>
        <w:t>hypercholesterolaemia</w:t>
      </w:r>
      <w:proofErr w:type="spellEnd"/>
      <w:r>
        <w:t xml:space="preserve"> </w:t>
      </w:r>
      <w:r w:rsidR="00753118">
        <w:t>(</w:t>
      </w:r>
      <w:proofErr w:type="spellStart"/>
      <w:r w:rsidR="00753118">
        <w:t>HeFH</w:t>
      </w:r>
      <w:proofErr w:type="spellEnd"/>
      <w:r w:rsidR="00753118">
        <w:t xml:space="preserve">) </w:t>
      </w:r>
      <w:r>
        <w:t xml:space="preserve">and non-familial </w:t>
      </w:r>
      <w:proofErr w:type="spellStart"/>
      <w:r>
        <w:t>hypercholesterolaemia</w:t>
      </w:r>
      <w:proofErr w:type="spellEnd"/>
      <w:r>
        <w:t>) to reduce low-density lipoprotein cholesterol (LDL-C):</w:t>
      </w:r>
    </w:p>
    <w:p w14:paraId="55D3EAB9" w14:textId="77777777" w:rsidR="004858C3" w:rsidRDefault="004858C3" w:rsidP="00BA0B66">
      <w:pPr>
        <w:pStyle w:val="ListParagraph"/>
        <w:numPr>
          <w:ilvl w:val="0"/>
          <w:numId w:val="4"/>
        </w:numPr>
        <w:jc w:val="both"/>
      </w:pPr>
      <w:r>
        <w:t xml:space="preserve">in combination with a statin or statin with other lipid lowering therapies, or </w:t>
      </w:r>
    </w:p>
    <w:p w14:paraId="3DE0974B" w14:textId="77777777" w:rsidR="004858C3" w:rsidRDefault="004858C3" w:rsidP="00BA0B66">
      <w:pPr>
        <w:pStyle w:val="ListParagraph"/>
        <w:numPr>
          <w:ilvl w:val="0"/>
          <w:numId w:val="4"/>
        </w:numPr>
        <w:jc w:val="both"/>
      </w:pPr>
      <w:proofErr w:type="gramStart"/>
      <w:r>
        <w:t>alone</w:t>
      </w:r>
      <w:proofErr w:type="gramEnd"/>
      <w:r>
        <w:t xml:space="preserve"> or in combination with other lipid-lowering therapies in patients who are statin-intolerant.</w:t>
      </w:r>
    </w:p>
    <w:p w14:paraId="6C18FB26" w14:textId="77777777" w:rsidR="004858C3" w:rsidRPr="004858C3" w:rsidRDefault="004858C3" w:rsidP="004858C3">
      <w:pPr>
        <w:rPr>
          <w:b/>
        </w:rPr>
      </w:pPr>
      <w:r w:rsidRPr="004858C3">
        <w:rPr>
          <w:b/>
        </w:rPr>
        <w:t xml:space="preserve">Homozygous Familial </w:t>
      </w:r>
      <w:proofErr w:type="spellStart"/>
      <w:r w:rsidRPr="004858C3">
        <w:rPr>
          <w:b/>
        </w:rPr>
        <w:t>Hypercholesterolaemia</w:t>
      </w:r>
      <w:proofErr w:type="spellEnd"/>
    </w:p>
    <w:p w14:paraId="1567D805" w14:textId="77777777" w:rsidR="00BA0B66" w:rsidRPr="004858C3" w:rsidRDefault="004858C3" w:rsidP="00BA0B66">
      <w:pPr>
        <w:jc w:val="both"/>
      </w:pPr>
      <w:proofErr w:type="spellStart"/>
      <w:r>
        <w:t>Evolocumab</w:t>
      </w:r>
      <w:proofErr w:type="spellEnd"/>
      <w:r>
        <w:t xml:space="preserve"> is indicated in adults and adolescents aged 12 years and over with homozygous familial </w:t>
      </w:r>
      <w:proofErr w:type="spellStart"/>
      <w:r>
        <w:t>hypercholesterolaemia</w:t>
      </w:r>
      <w:proofErr w:type="spellEnd"/>
      <w:r>
        <w:t xml:space="preserve"> in combination with other lipid lowering therapies</w:t>
      </w:r>
      <w:r w:rsidR="00B64B35">
        <w:t>.</w:t>
      </w:r>
      <w:r w:rsidR="00B17251" w:rsidRPr="00B17251">
        <w:rPr>
          <w:rStyle w:val="FootnoteReference"/>
        </w:rPr>
        <w:t>2</w:t>
      </w:r>
    </w:p>
    <w:p w14:paraId="4BD6EAFE" w14:textId="77777777" w:rsidR="006B709B" w:rsidRDefault="006B709B" w:rsidP="00CF5E22">
      <w:pPr>
        <w:pStyle w:val="Heading2"/>
      </w:pPr>
      <w:r>
        <w:t>Dosage and administration</w:t>
      </w:r>
    </w:p>
    <w:p w14:paraId="0F01EE70" w14:textId="77777777" w:rsidR="00987B95" w:rsidRPr="00987B95" w:rsidRDefault="00BA0B66" w:rsidP="00987B95">
      <w:pPr>
        <w:rPr>
          <w:b/>
        </w:rPr>
      </w:pPr>
      <w:r>
        <w:rPr>
          <w:b/>
        </w:rPr>
        <w:t xml:space="preserve">Primary </w:t>
      </w:r>
      <w:proofErr w:type="spellStart"/>
      <w:r>
        <w:rPr>
          <w:b/>
        </w:rPr>
        <w:t>hypercholesterolaemia</w:t>
      </w:r>
      <w:proofErr w:type="spellEnd"/>
      <w:r>
        <w:rPr>
          <w:b/>
        </w:rPr>
        <w:t xml:space="preserve"> and prevention of cardiovascular e</w:t>
      </w:r>
      <w:r w:rsidR="00987B95" w:rsidRPr="00987B95">
        <w:rPr>
          <w:b/>
        </w:rPr>
        <w:t>vents</w:t>
      </w:r>
    </w:p>
    <w:p w14:paraId="58250232" w14:textId="77777777" w:rsidR="00987B95" w:rsidRDefault="00987B95" w:rsidP="00BA0B66">
      <w:pPr>
        <w:jc w:val="both"/>
      </w:pPr>
      <w:r>
        <w:t xml:space="preserve">The recommended dose for </w:t>
      </w:r>
      <w:proofErr w:type="spellStart"/>
      <w:r>
        <w:t>evolocumab</w:t>
      </w:r>
      <w:proofErr w:type="spellEnd"/>
      <w:r>
        <w:t xml:space="preserve"> is either 140 mg every 2 weeks or 420 mg once monthly</w:t>
      </w:r>
      <w:r w:rsidR="00F87FA2">
        <w:t>. The</w:t>
      </w:r>
      <w:r>
        <w:t xml:space="preserve"> doses are clinically equivalent.</w:t>
      </w:r>
    </w:p>
    <w:p w14:paraId="1ED22B42" w14:textId="77777777" w:rsidR="00987B95" w:rsidRPr="00987B95" w:rsidRDefault="00987B95" w:rsidP="00987B95">
      <w:pPr>
        <w:rPr>
          <w:b/>
        </w:rPr>
      </w:pPr>
      <w:r w:rsidRPr="00987B95">
        <w:rPr>
          <w:b/>
        </w:rPr>
        <w:t xml:space="preserve">Homozygous Familial </w:t>
      </w:r>
      <w:proofErr w:type="spellStart"/>
      <w:r w:rsidRPr="00987B95">
        <w:rPr>
          <w:b/>
        </w:rPr>
        <w:t>Hypercholesterolaemia</w:t>
      </w:r>
      <w:proofErr w:type="spellEnd"/>
    </w:p>
    <w:p w14:paraId="7FD23673" w14:textId="77777777" w:rsidR="00987B95" w:rsidRPr="00987B95" w:rsidRDefault="00987B95" w:rsidP="00BA0B66">
      <w:pPr>
        <w:jc w:val="both"/>
      </w:pPr>
      <w:r>
        <w:t>The init</w:t>
      </w:r>
      <w:r w:rsidR="00780195">
        <w:t xml:space="preserve">ial recommended dose for </w:t>
      </w:r>
      <w:proofErr w:type="spellStart"/>
      <w:r w:rsidR="00780195">
        <w:t>evolocumab</w:t>
      </w:r>
      <w:proofErr w:type="spellEnd"/>
      <w:r>
        <w:t xml:space="preserve"> is 420 mg once monthly. The dose </w:t>
      </w:r>
      <w:proofErr w:type="gramStart"/>
      <w:r>
        <w:t>can be increased</w:t>
      </w:r>
      <w:proofErr w:type="gramEnd"/>
      <w:r>
        <w:t xml:space="preserve"> to 420 mg every 2 weeks if a clinically meaningful response is not achieved in 12</w:t>
      </w:r>
      <w:r w:rsidR="00BE563B">
        <w:t> </w:t>
      </w:r>
      <w:r>
        <w:t>weeks. Patients on apheresis may initiate treatment with 420 mg every 2 weeks to correspond with their apheresis schedule.</w:t>
      </w:r>
      <w:r w:rsidR="00B17251" w:rsidRPr="00B17251">
        <w:rPr>
          <w:rStyle w:val="FootnoteReference"/>
        </w:rPr>
        <w:t>2</w:t>
      </w:r>
      <w:r w:rsidR="00B64B35" w:rsidRPr="00987B95">
        <w:t xml:space="preserve"> </w:t>
      </w:r>
    </w:p>
    <w:p w14:paraId="3E7FD1D0" w14:textId="77777777" w:rsidR="00DF0B13" w:rsidRDefault="00DF0B13" w:rsidP="00CF5E22">
      <w:pPr>
        <w:pStyle w:val="Heading2"/>
      </w:pPr>
      <w:r w:rsidRPr="007247B9" w:rsidDel="00EE2BBB">
        <w:t>PBS listing details</w:t>
      </w:r>
      <w:r w:rsidR="007A6C76">
        <w:t xml:space="preserve"> (current as at </w:t>
      </w:r>
      <w:r w:rsidR="006D2CC9">
        <w:t>August</w:t>
      </w:r>
      <w:r w:rsidR="007A6C76">
        <w:t xml:space="preserve"> 2019)</w:t>
      </w:r>
    </w:p>
    <w:p w14:paraId="48A0F21A" w14:textId="77777777" w:rsidR="001420B3" w:rsidRPr="001420B3" w:rsidDel="00EE2BBB" w:rsidRDefault="00BA0B66" w:rsidP="00A81117">
      <w:pPr>
        <w:pStyle w:val="Tabletitle"/>
        <w:spacing w:before="200"/>
      </w:pPr>
      <w:r>
        <w:t>Table 1</w:t>
      </w:r>
      <w:r w:rsidR="001420B3" w:rsidRPr="001420B3" w:rsidDel="00EE2BBB">
        <w:t xml:space="preserve">: </w:t>
      </w:r>
      <w:r w:rsidR="009663B6" w:rsidDel="00EE2BBB">
        <w:t>PB</w:t>
      </w:r>
      <w:r w:rsidR="007A6C76">
        <w:t xml:space="preserve">S listing of </w:t>
      </w:r>
      <w:proofErr w:type="spellStart"/>
      <w:r w:rsidR="007A6C76">
        <w:t>evolocumab</w:t>
      </w:r>
      <w:proofErr w:type="spellEnd"/>
      <w:r w:rsidR="007A6C76">
        <w:t xml:space="preserve"> for homozygous familial </w:t>
      </w:r>
      <w:proofErr w:type="spellStart"/>
      <w:r w:rsidR="007A6C76">
        <w:t>hypercholesterolaemia</w:t>
      </w:r>
      <w:proofErr w:type="spellEnd"/>
      <w:r w:rsidR="007A6C76">
        <w:t xml:space="preserve"> </w:t>
      </w:r>
    </w:p>
    <w:tbl>
      <w:tblPr>
        <w:tblStyle w:val="TableGrid"/>
        <w:tblW w:w="8590" w:type="dxa"/>
        <w:tblLayout w:type="fixed"/>
        <w:tblLook w:val="04A0" w:firstRow="1" w:lastRow="0" w:firstColumn="1" w:lastColumn="0" w:noHBand="0" w:noVBand="1"/>
        <w:tblDescription w:val="PBS listing of evolocumab for homozygous familial hypercholesterolaemia "/>
      </w:tblPr>
      <w:tblGrid>
        <w:gridCol w:w="988"/>
        <w:gridCol w:w="1932"/>
        <w:gridCol w:w="1186"/>
        <w:gridCol w:w="1276"/>
        <w:gridCol w:w="709"/>
        <w:gridCol w:w="992"/>
        <w:gridCol w:w="1507"/>
      </w:tblGrid>
      <w:tr w:rsidR="00AE349D" w:rsidRPr="00A35800" w:rsidDel="00EE2BBB" w14:paraId="45258803" w14:textId="77777777" w:rsidTr="00CD0F64">
        <w:trPr>
          <w:trHeight w:val="702"/>
          <w:tblHeader/>
        </w:trPr>
        <w:tc>
          <w:tcPr>
            <w:tcW w:w="988" w:type="dxa"/>
            <w:shd w:val="clear" w:color="auto" w:fill="BFBFBF" w:themeFill="background1" w:themeFillShade="BF"/>
          </w:tcPr>
          <w:p w14:paraId="6174AB9B" w14:textId="77777777" w:rsidR="00AE349D" w:rsidRPr="00A35800" w:rsidDel="00EE2BBB" w:rsidRDefault="00AE349D" w:rsidP="00A35800">
            <w:pPr>
              <w:pStyle w:val="Tableheading"/>
              <w:rPr>
                <w:sz w:val="20"/>
                <w:szCs w:val="20"/>
              </w:rPr>
            </w:pPr>
            <w:r w:rsidRPr="00A35800" w:rsidDel="00EE2BBB">
              <w:rPr>
                <w:sz w:val="20"/>
                <w:szCs w:val="20"/>
              </w:rPr>
              <w:t>Item</w:t>
            </w:r>
          </w:p>
        </w:tc>
        <w:tc>
          <w:tcPr>
            <w:tcW w:w="1932" w:type="dxa"/>
            <w:shd w:val="clear" w:color="auto" w:fill="BFBFBF" w:themeFill="background1" w:themeFillShade="BF"/>
          </w:tcPr>
          <w:p w14:paraId="53E8432E" w14:textId="77777777" w:rsidR="00AE349D" w:rsidRPr="00A35800" w:rsidDel="00EE2BBB" w:rsidRDefault="00AE349D" w:rsidP="00A35800">
            <w:pPr>
              <w:pStyle w:val="Tableheading"/>
              <w:rPr>
                <w:sz w:val="20"/>
                <w:szCs w:val="20"/>
              </w:rPr>
            </w:pPr>
            <w:r w:rsidRPr="00A35800" w:rsidDel="00EE2BBB">
              <w:rPr>
                <w:sz w:val="20"/>
                <w:szCs w:val="20"/>
              </w:rPr>
              <w:t>Name, form &amp; strength, pack size</w:t>
            </w:r>
          </w:p>
        </w:tc>
        <w:tc>
          <w:tcPr>
            <w:tcW w:w="1186" w:type="dxa"/>
            <w:shd w:val="clear" w:color="auto" w:fill="BFBFBF" w:themeFill="background1" w:themeFillShade="BF"/>
          </w:tcPr>
          <w:p w14:paraId="10662ECE" w14:textId="77777777" w:rsidR="00AE349D" w:rsidRPr="00A35800" w:rsidDel="00EE2BBB" w:rsidRDefault="00AE349D" w:rsidP="00A35800">
            <w:pPr>
              <w:pStyle w:val="Tableheading"/>
              <w:rPr>
                <w:sz w:val="20"/>
                <w:szCs w:val="20"/>
              </w:rPr>
            </w:pPr>
            <w:r w:rsidRPr="00A35800" w:rsidDel="00EE2BBB">
              <w:rPr>
                <w:sz w:val="20"/>
                <w:szCs w:val="20"/>
              </w:rPr>
              <w:t>Max. quant</w:t>
            </w:r>
            <w:r>
              <w:rPr>
                <w:sz w:val="20"/>
                <w:szCs w:val="20"/>
              </w:rPr>
              <w:t xml:space="preserve"> (packs)</w:t>
            </w:r>
            <w:r w:rsidRPr="00A35800" w:rsidDel="00EE2BBB">
              <w:rPr>
                <w:sz w:val="20"/>
                <w:szCs w:val="20"/>
              </w:rPr>
              <w:t xml:space="preserve"> </w:t>
            </w:r>
          </w:p>
        </w:tc>
        <w:tc>
          <w:tcPr>
            <w:tcW w:w="1276" w:type="dxa"/>
            <w:shd w:val="clear" w:color="auto" w:fill="BFBFBF" w:themeFill="background1" w:themeFillShade="BF"/>
          </w:tcPr>
          <w:p w14:paraId="3B1E4850" w14:textId="77777777" w:rsidR="00AE349D" w:rsidRPr="00A35800" w:rsidDel="00EE2BBB" w:rsidRDefault="00CD0F64" w:rsidP="00A35800">
            <w:pPr>
              <w:pStyle w:val="Tableheading"/>
              <w:rPr>
                <w:sz w:val="20"/>
                <w:szCs w:val="20"/>
              </w:rPr>
            </w:pPr>
            <w:r>
              <w:rPr>
                <w:sz w:val="20"/>
                <w:szCs w:val="20"/>
              </w:rPr>
              <w:t>Max. quant (</w:t>
            </w:r>
            <w:r w:rsidR="00AE349D">
              <w:rPr>
                <w:sz w:val="20"/>
                <w:szCs w:val="20"/>
              </w:rPr>
              <w:t>units</w:t>
            </w:r>
            <w:r>
              <w:rPr>
                <w:sz w:val="20"/>
                <w:szCs w:val="20"/>
              </w:rPr>
              <w:t>)</w:t>
            </w:r>
          </w:p>
        </w:tc>
        <w:tc>
          <w:tcPr>
            <w:tcW w:w="709" w:type="dxa"/>
            <w:shd w:val="clear" w:color="auto" w:fill="BFBFBF" w:themeFill="background1" w:themeFillShade="BF"/>
          </w:tcPr>
          <w:p w14:paraId="13C8F6BD" w14:textId="77777777" w:rsidR="00AE349D" w:rsidRPr="00A35800" w:rsidDel="00EE2BBB" w:rsidRDefault="00AE349D" w:rsidP="00A35800">
            <w:pPr>
              <w:pStyle w:val="Tableheading"/>
              <w:rPr>
                <w:sz w:val="20"/>
                <w:szCs w:val="20"/>
              </w:rPr>
            </w:pPr>
            <w:proofErr w:type="spellStart"/>
            <w:r w:rsidRPr="00A35800" w:rsidDel="00EE2BBB">
              <w:rPr>
                <w:sz w:val="20"/>
                <w:szCs w:val="20"/>
              </w:rPr>
              <w:t>Rpts</w:t>
            </w:r>
            <w:proofErr w:type="spellEnd"/>
            <w:r w:rsidRPr="00A35800" w:rsidDel="00EE2BBB">
              <w:rPr>
                <w:sz w:val="20"/>
                <w:szCs w:val="20"/>
              </w:rPr>
              <w:t xml:space="preserve"> </w:t>
            </w:r>
          </w:p>
        </w:tc>
        <w:tc>
          <w:tcPr>
            <w:tcW w:w="992" w:type="dxa"/>
            <w:shd w:val="clear" w:color="auto" w:fill="BFBFBF" w:themeFill="background1" w:themeFillShade="BF"/>
          </w:tcPr>
          <w:p w14:paraId="1FAE63B0" w14:textId="77777777" w:rsidR="00AE349D" w:rsidRPr="00A35800" w:rsidDel="00EE2BBB" w:rsidRDefault="00AE349D" w:rsidP="00A35800">
            <w:pPr>
              <w:pStyle w:val="Tableheading"/>
              <w:rPr>
                <w:sz w:val="20"/>
                <w:szCs w:val="20"/>
              </w:rPr>
            </w:pPr>
            <w:r w:rsidRPr="00A35800" w:rsidDel="00EE2BBB">
              <w:rPr>
                <w:sz w:val="20"/>
                <w:szCs w:val="20"/>
              </w:rPr>
              <w:t>DPMQ</w:t>
            </w:r>
          </w:p>
        </w:tc>
        <w:tc>
          <w:tcPr>
            <w:tcW w:w="1507" w:type="dxa"/>
            <w:shd w:val="clear" w:color="auto" w:fill="BFBFBF" w:themeFill="background1" w:themeFillShade="BF"/>
          </w:tcPr>
          <w:p w14:paraId="0033252B" w14:textId="77777777" w:rsidR="00AE349D" w:rsidRPr="00A35800" w:rsidDel="00EE2BBB" w:rsidRDefault="00AE349D" w:rsidP="00A35800">
            <w:pPr>
              <w:pStyle w:val="Tableheading"/>
              <w:rPr>
                <w:sz w:val="20"/>
                <w:szCs w:val="20"/>
              </w:rPr>
            </w:pPr>
            <w:r w:rsidRPr="00A35800" w:rsidDel="00EE2BBB">
              <w:rPr>
                <w:sz w:val="20"/>
                <w:szCs w:val="20"/>
              </w:rPr>
              <w:t>Brand name and manufacturer</w:t>
            </w:r>
          </w:p>
        </w:tc>
      </w:tr>
      <w:tr w:rsidR="00AE349D" w:rsidRPr="00A35800" w:rsidDel="00EE2BBB" w14:paraId="4FC1FEBE" w14:textId="77777777" w:rsidTr="00CD0F64">
        <w:trPr>
          <w:trHeight w:val="558"/>
          <w:tblHeader/>
        </w:trPr>
        <w:tc>
          <w:tcPr>
            <w:tcW w:w="988" w:type="dxa"/>
            <w:shd w:val="clear" w:color="auto" w:fill="auto"/>
          </w:tcPr>
          <w:p w14:paraId="4BDFA711" w14:textId="77777777" w:rsidR="00AE349D" w:rsidRPr="00A35800" w:rsidDel="00EE2BBB" w:rsidRDefault="00AE349D" w:rsidP="00A35800">
            <w:pPr>
              <w:pStyle w:val="Tablewriting"/>
            </w:pPr>
            <w:r>
              <w:t>10958R</w:t>
            </w:r>
          </w:p>
        </w:tc>
        <w:tc>
          <w:tcPr>
            <w:tcW w:w="1932" w:type="dxa"/>
            <w:shd w:val="clear" w:color="auto" w:fill="auto"/>
          </w:tcPr>
          <w:p w14:paraId="5E192671" w14:textId="77777777" w:rsidR="00AE349D" w:rsidRPr="00A35800" w:rsidDel="00EE2BBB" w:rsidRDefault="00AE349D" w:rsidP="00A35800">
            <w:pPr>
              <w:pStyle w:val="Tablewriting"/>
            </w:pPr>
            <w:proofErr w:type="spellStart"/>
            <w:r w:rsidRPr="007A6C76">
              <w:t>evolocumab</w:t>
            </w:r>
            <w:proofErr w:type="spellEnd"/>
            <w:r w:rsidRPr="007A6C76">
              <w:t xml:space="preserve"> 140</w:t>
            </w:r>
            <w:r w:rsidR="00BE563B">
              <w:t> </w:t>
            </w:r>
            <w:r w:rsidRPr="007A6C76">
              <w:t>mg/mL injection, 1 mL pen device</w:t>
            </w:r>
          </w:p>
        </w:tc>
        <w:tc>
          <w:tcPr>
            <w:tcW w:w="1186" w:type="dxa"/>
            <w:shd w:val="clear" w:color="auto" w:fill="auto"/>
          </w:tcPr>
          <w:p w14:paraId="05E4B324" w14:textId="77777777" w:rsidR="00AE349D" w:rsidRPr="00A35800" w:rsidDel="00EE2BBB" w:rsidRDefault="00AE349D" w:rsidP="007A6C76">
            <w:pPr>
              <w:pStyle w:val="Tablewriting"/>
              <w:jc w:val="center"/>
            </w:pPr>
            <w:r w:rsidRPr="007A6C76">
              <w:t>3</w:t>
            </w:r>
          </w:p>
        </w:tc>
        <w:tc>
          <w:tcPr>
            <w:tcW w:w="1276" w:type="dxa"/>
          </w:tcPr>
          <w:p w14:paraId="31B929BF" w14:textId="77777777" w:rsidR="00AE349D" w:rsidRPr="007A6C76" w:rsidRDefault="00CD0F64" w:rsidP="007A6C76">
            <w:pPr>
              <w:pStyle w:val="Tablewriting"/>
              <w:jc w:val="center"/>
            </w:pPr>
            <w:r>
              <w:t>3</w:t>
            </w:r>
          </w:p>
        </w:tc>
        <w:tc>
          <w:tcPr>
            <w:tcW w:w="709" w:type="dxa"/>
            <w:shd w:val="clear" w:color="auto" w:fill="auto"/>
          </w:tcPr>
          <w:p w14:paraId="27834AAC" w14:textId="77777777" w:rsidR="00AE349D" w:rsidRPr="00A35800" w:rsidDel="00EE2BBB" w:rsidRDefault="00AE349D" w:rsidP="007A6C76">
            <w:pPr>
              <w:pStyle w:val="Tablewriting"/>
              <w:jc w:val="center"/>
            </w:pPr>
            <w:r w:rsidRPr="007A6C76">
              <w:t>5</w:t>
            </w:r>
          </w:p>
        </w:tc>
        <w:tc>
          <w:tcPr>
            <w:tcW w:w="992" w:type="dxa"/>
            <w:shd w:val="clear" w:color="auto" w:fill="auto"/>
          </w:tcPr>
          <w:p w14:paraId="72D46A7E" w14:textId="77777777" w:rsidR="00AE349D" w:rsidRPr="00A35800" w:rsidDel="00EE2BBB" w:rsidRDefault="00AE349D" w:rsidP="007A6C76">
            <w:pPr>
              <w:pStyle w:val="Tablewriting"/>
              <w:jc w:val="center"/>
            </w:pPr>
            <w:r w:rsidRPr="007A6C76">
              <w:t>$943.54</w:t>
            </w:r>
          </w:p>
        </w:tc>
        <w:tc>
          <w:tcPr>
            <w:tcW w:w="1507" w:type="dxa"/>
            <w:shd w:val="clear" w:color="auto" w:fill="auto"/>
          </w:tcPr>
          <w:p w14:paraId="5A0664F3" w14:textId="77777777" w:rsidR="00AE349D" w:rsidRDefault="00AE349D" w:rsidP="00A35800">
            <w:pPr>
              <w:pStyle w:val="Tablewriting"/>
            </w:pPr>
            <w:proofErr w:type="spellStart"/>
            <w:r w:rsidRPr="007A6C76">
              <w:t>Repatha</w:t>
            </w:r>
            <w:proofErr w:type="spellEnd"/>
            <w:r w:rsidRPr="007A6C76">
              <w:t>®</w:t>
            </w:r>
            <w:r>
              <w:t xml:space="preserve"> </w:t>
            </w:r>
          </w:p>
          <w:p w14:paraId="425B9DD0" w14:textId="77777777" w:rsidR="00AE349D" w:rsidRPr="00A35800" w:rsidDel="00EE2BBB" w:rsidRDefault="00AE349D" w:rsidP="00A35800">
            <w:pPr>
              <w:pStyle w:val="Tablewriting"/>
            </w:pPr>
            <w:r w:rsidRPr="007A6C76">
              <w:t>Amgen Australia Pty Limited</w:t>
            </w:r>
          </w:p>
        </w:tc>
      </w:tr>
      <w:tr w:rsidR="00AE349D" w:rsidRPr="00A35800" w:rsidDel="00EE2BBB" w14:paraId="299206C4" w14:textId="77777777" w:rsidTr="00CD0F64">
        <w:trPr>
          <w:trHeight w:val="552"/>
          <w:tblHeader/>
        </w:trPr>
        <w:tc>
          <w:tcPr>
            <w:tcW w:w="988" w:type="dxa"/>
            <w:shd w:val="clear" w:color="auto" w:fill="auto"/>
          </w:tcPr>
          <w:p w14:paraId="6056921E" w14:textId="77777777" w:rsidR="00AE349D" w:rsidRPr="00A35800" w:rsidDel="00EE2BBB" w:rsidRDefault="00AE349D" w:rsidP="00A35800">
            <w:pPr>
              <w:pStyle w:val="Tablewriting"/>
            </w:pPr>
            <w:r w:rsidRPr="004738EA">
              <w:t>11193D</w:t>
            </w:r>
          </w:p>
        </w:tc>
        <w:tc>
          <w:tcPr>
            <w:tcW w:w="1932" w:type="dxa"/>
            <w:shd w:val="clear" w:color="auto" w:fill="auto"/>
          </w:tcPr>
          <w:p w14:paraId="74307398" w14:textId="77777777" w:rsidR="00AE349D" w:rsidRPr="00A35800" w:rsidDel="00EE2BBB" w:rsidRDefault="00AE349D" w:rsidP="00A35800">
            <w:pPr>
              <w:pStyle w:val="Tablewriting"/>
            </w:pPr>
            <w:proofErr w:type="spellStart"/>
            <w:r w:rsidRPr="004738EA">
              <w:t>evolocumab</w:t>
            </w:r>
            <w:proofErr w:type="spellEnd"/>
            <w:r w:rsidRPr="004738EA">
              <w:t xml:space="preserve"> 420</w:t>
            </w:r>
            <w:r w:rsidR="00BE563B">
              <w:t> </w:t>
            </w:r>
            <w:r w:rsidRPr="004738EA">
              <w:t>mg/3.5 mL injection, 3.5 mL cartridge</w:t>
            </w:r>
          </w:p>
        </w:tc>
        <w:tc>
          <w:tcPr>
            <w:tcW w:w="1186" w:type="dxa"/>
            <w:shd w:val="clear" w:color="auto" w:fill="auto"/>
          </w:tcPr>
          <w:p w14:paraId="01CF813D" w14:textId="77777777" w:rsidR="00AE349D" w:rsidRPr="00A35800" w:rsidDel="00EE2BBB" w:rsidRDefault="00AE349D" w:rsidP="004738EA">
            <w:pPr>
              <w:pStyle w:val="Tablewriting"/>
              <w:jc w:val="center"/>
            </w:pPr>
            <w:r w:rsidRPr="004738EA">
              <w:t>1</w:t>
            </w:r>
          </w:p>
        </w:tc>
        <w:tc>
          <w:tcPr>
            <w:tcW w:w="1276" w:type="dxa"/>
          </w:tcPr>
          <w:p w14:paraId="109DADBF" w14:textId="77777777" w:rsidR="00AE349D" w:rsidRPr="004738EA" w:rsidRDefault="00CD0F64" w:rsidP="004738EA">
            <w:pPr>
              <w:pStyle w:val="Tablewriting"/>
              <w:jc w:val="center"/>
            </w:pPr>
            <w:r>
              <w:t>1</w:t>
            </w:r>
          </w:p>
        </w:tc>
        <w:tc>
          <w:tcPr>
            <w:tcW w:w="709" w:type="dxa"/>
            <w:shd w:val="clear" w:color="auto" w:fill="auto"/>
          </w:tcPr>
          <w:p w14:paraId="0C1F2ECA" w14:textId="77777777" w:rsidR="00AE349D" w:rsidRPr="00A35800" w:rsidDel="00EE2BBB" w:rsidRDefault="00AE349D" w:rsidP="004738EA">
            <w:pPr>
              <w:pStyle w:val="Tablewriting"/>
              <w:jc w:val="center"/>
            </w:pPr>
            <w:r w:rsidRPr="004738EA">
              <w:t>5</w:t>
            </w:r>
          </w:p>
        </w:tc>
        <w:tc>
          <w:tcPr>
            <w:tcW w:w="992" w:type="dxa"/>
            <w:shd w:val="clear" w:color="auto" w:fill="auto"/>
          </w:tcPr>
          <w:p w14:paraId="2352C0EB" w14:textId="77777777" w:rsidR="00AE349D" w:rsidRPr="00A35800" w:rsidDel="00EE2BBB" w:rsidRDefault="00AE349D" w:rsidP="00A35800">
            <w:pPr>
              <w:pStyle w:val="Tablewriting"/>
            </w:pPr>
            <w:r w:rsidRPr="004738EA">
              <w:t>$683.24</w:t>
            </w:r>
          </w:p>
        </w:tc>
        <w:tc>
          <w:tcPr>
            <w:tcW w:w="1507" w:type="dxa"/>
            <w:shd w:val="clear" w:color="auto" w:fill="auto"/>
          </w:tcPr>
          <w:p w14:paraId="38BFC06D" w14:textId="77777777" w:rsidR="00AE349D" w:rsidRDefault="00AE349D" w:rsidP="004738EA">
            <w:pPr>
              <w:pStyle w:val="Tablewriting"/>
            </w:pPr>
            <w:proofErr w:type="spellStart"/>
            <w:r>
              <w:t>Repatha</w:t>
            </w:r>
            <w:proofErr w:type="spellEnd"/>
            <w:r>
              <w:t xml:space="preserve">® </w:t>
            </w:r>
          </w:p>
          <w:p w14:paraId="2F45F342" w14:textId="77777777" w:rsidR="00AE349D" w:rsidRPr="00A35800" w:rsidDel="00EE2BBB" w:rsidRDefault="00AE349D" w:rsidP="004738EA">
            <w:pPr>
              <w:pStyle w:val="Tablewriting"/>
            </w:pPr>
            <w:r>
              <w:t>Amgen Australia Pty Limited</w:t>
            </w:r>
          </w:p>
        </w:tc>
      </w:tr>
    </w:tbl>
    <w:p w14:paraId="621A543C" w14:textId="77777777" w:rsidR="00BA0B66" w:rsidRDefault="007408C7" w:rsidP="00A81117">
      <w:pPr>
        <w:pStyle w:val="Notes"/>
      </w:pPr>
      <w:r w:rsidRPr="00A35800" w:rsidDel="00EE2BBB">
        <w:t xml:space="preserve">Source: </w:t>
      </w:r>
      <w:r w:rsidR="001624D7" w:rsidDel="00EE2BBB">
        <w:t xml:space="preserve">the </w:t>
      </w:r>
      <w:r w:rsidR="001624D7" w:rsidRPr="004449A7" w:rsidDel="00EE2BBB">
        <w:t>PBS website</w:t>
      </w:r>
      <w:r w:rsidR="001624D7" w:rsidDel="00EE2BBB">
        <w:t>.</w:t>
      </w:r>
      <w:r w:rsidR="000F6910">
        <w:t xml:space="preserve"> </w:t>
      </w:r>
      <w:r w:rsidR="00B4148B" w:rsidRPr="00B4148B">
        <w:t>Special Pricing Arrangements apply</w:t>
      </w:r>
    </w:p>
    <w:p w14:paraId="271E6321" w14:textId="77777777" w:rsidR="007A6C76" w:rsidRPr="00BA0B66" w:rsidDel="00EE2BBB" w:rsidRDefault="00BA0B66" w:rsidP="00BA0B66">
      <w:pPr>
        <w:spacing w:line="276" w:lineRule="auto"/>
        <w:rPr>
          <w:rFonts w:cs="Baskerville"/>
          <w:sz w:val="20"/>
          <w:szCs w:val="20"/>
        </w:rPr>
      </w:pPr>
      <w:r>
        <w:br w:type="page"/>
      </w:r>
    </w:p>
    <w:p w14:paraId="53CDC0F4" w14:textId="77777777" w:rsidR="004C3186" w:rsidRPr="00B4148B" w:rsidDel="00EE2BBB" w:rsidRDefault="004C3186" w:rsidP="001B29FB">
      <w:pPr>
        <w:pStyle w:val="Heading3"/>
        <w:spacing w:before="0"/>
        <w:jc w:val="both"/>
        <w:rPr>
          <w:rFonts w:cstheme="minorHAnsi"/>
          <w:szCs w:val="24"/>
        </w:rPr>
      </w:pPr>
      <w:r w:rsidRPr="00B4148B" w:rsidDel="00EE2BBB">
        <w:rPr>
          <w:rFonts w:cstheme="minorHAnsi"/>
          <w:szCs w:val="24"/>
        </w:rPr>
        <w:lastRenderedPageBreak/>
        <w:t>Restriction</w:t>
      </w:r>
    </w:p>
    <w:p w14:paraId="177033EC" w14:textId="77777777" w:rsidR="007A6C76" w:rsidRPr="00B4148B" w:rsidRDefault="00D3096C" w:rsidP="001B29FB">
      <w:pPr>
        <w:contextualSpacing/>
        <w:jc w:val="both"/>
        <w:rPr>
          <w:rFonts w:cstheme="minorHAnsi"/>
        </w:rPr>
      </w:pPr>
      <w:r>
        <w:rPr>
          <w:rFonts w:cstheme="minorHAnsi"/>
        </w:rPr>
        <w:t>Authority Required General Schedule listing for f</w:t>
      </w:r>
      <w:r w:rsidR="007A6C76" w:rsidRPr="00B4148B">
        <w:rPr>
          <w:rFonts w:cstheme="minorHAnsi"/>
        </w:rPr>
        <w:t xml:space="preserve">amilial homozygous </w:t>
      </w:r>
      <w:proofErr w:type="spellStart"/>
      <w:r w:rsidR="007A6C76" w:rsidRPr="00B4148B">
        <w:rPr>
          <w:rFonts w:cstheme="minorHAnsi"/>
        </w:rPr>
        <w:t>hypercholesterolaemia</w:t>
      </w:r>
      <w:proofErr w:type="spellEnd"/>
    </w:p>
    <w:p w14:paraId="4684B20F" w14:textId="77777777" w:rsidR="00ED5684" w:rsidRPr="00B4148B" w:rsidRDefault="00ED5684" w:rsidP="001B29FB">
      <w:pPr>
        <w:contextualSpacing/>
        <w:jc w:val="both"/>
        <w:rPr>
          <w:rFonts w:cstheme="minorHAnsi"/>
        </w:rPr>
      </w:pPr>
    </w:p>
    <w:p w14:paraId="6BAFD4AB" w14:textId="77777777" w:rsidR="007A6C76" w:rsidRPr="00B4148B" w:rsidRDefault="007A6C76" w:rsidP="001B29FB">
      <w:pPr>
        <w:contextualSpacing/>
        <w:jc w:val="both"/>
        <w:rPr>
          <w:rFonts w:cstheme="minorHAnsi"/>
          <w:b/>
        </w:rPr>
      </w:pPr>
      <w:r w:rsidRPr="00B4148B">
        <w:rPr>
          <w:rFonts w:cstheme="minorHAnsi"/>
          <w:b/>
        </w:rPr>
        <w:t>Treatment Phase: Initial treatment</w:t>
      </w:r>
    </w:p>
    <w:p w14:paraId="537EA18D" w14:textId="77777777" w:rsidR="007A6C76" w:rsidRPr="00B4148B" w:rsidRDefault="007A6C76" w:rsidP="001B29FB">
      <w:pPr>
        <w:contextualSpacing/>
        <w:jc w:val="both"/>
        <w:rPr>
          <w:rFonts w:cstheme="minorHAnsi"/>
        </w:rPr>
      </w:pPr>
    </w:p>
    <w:p w14:paraId="3C087AC2" w14:textId="77777777" w:rsidR="007A6C76" w:rsidRPr="00B4148B" w:rsidRDefault="00ED5684" w:rsidP="001B29FB">
      <w:pPr>
        <w:contextualSpacing/>
        <w:jc w:val="both"/>
        <w:rPr>
          <w:rFonts w:cstheme="minorHAnsi"/>
          <w:b/>
        </w:rPr>
      </w:pPr>
      <w:r w:rsidRPr="00B4148B">
        <w:rPr>
          <w:rFonts w:cstheme="minorHAnsi"/>
          <w:b/>
        </w:rPr>
        <w:t>Clinical criteria:</w:t>
      </w:r>
    </w:p>
    <w:p w14:paraId="2C5A4AD5" w14:textId="77777777" w:rsidR="00ED5684" w:rsidRPr="00B4148B" w:rsidRDefault="007A6C76" w:rsidP="001B29FB">
      <w:pPr>
        <w:pStyle w:val="ListParagraph"/>
        <w:numPr>
          <w:ilvl w:val="0"/>
          <w:numId w:val="29"/>
        </w:numPr>
        <w:jc w:val="both"/>
        <w:rPr>
          <w:rFonts w:cstheme="minorHAnsi"/>
        </w:rPr>
      </w:pPr>
      <w:r w:rsidRPr="00B4148B">
        <w:rPr>
          <w:rFonts w:cstheme="minorHAnsi"/>
        </w:rPr>
        <w:t>The treatment must be in conjunction wi</w:t>
      </w:r>
      <w:r w:rsidR="00ED5684" w:rsidRPr="00B4148B">
        <w:rPr>
          <w:rFonts w:cstheme="minorHAnsi"/>
        </w:rPr>
        <w:t>th dietary therapy and exercise,</w:t>
      </w:r>
    </w:p>
    <w:p w14:paraId="1EF58581" w14:textId="77777777" w:rsidR="00ED5684" w:rsidRPr="00B4148B" w:rsidRDefault="00ED5684" w:rsidP="001B29FB">
      <w:pPr>
        <w:ind w:firstLine="360"/>
        <w:jc w:val="both"/>
        <w:rPr>
          <w:rFonts w:cstheme="minorHAnsi"/>
        </w:rPr>
      </w:pPr>
      <w:r w:rsidRPr="00B4148B">
        <w:rPr>
          <w:rFonts w:cstheme="minorHAnsi"/>
        </w:rPr>
        <w:t>AND</w:t>
      </w:r>
    </w:p>
    <w:p w14:paraId="4C0F5B36" w14:textId="77777777" w:rsidR="00ED5684" w:rsidRPr="00B4148B" w:rsidRDefault="007A6C76" w:rsidP="001B29FB">
      <w:pPr>
        <w:pStyle w:val="ListParagraph"/>
        <w:numPr>
          <w:ilvl w:val="0"/>
          <w:numId w:val="29"/>
        </w:numPr>
        <w:jc w:val="both"/>
        <w:rPr>
          <w:rFonts w:cstheme="minorHAnsi"/>
        </w:rPr>
      </w:pPr>
      <w:r w:rsidRPr="00B4148B">
        <w:rPr>
          <w:rFonts w:cstheme="minorHAnsi"/>
        </w:rPr>
        <w:t>The condition must have been confirmed by genetic testing; OR</w:t>
      </w:r>
    </w:p>
    <w:p w14:paraId="042B0D0C" w14:textId="77777777" w:rsidR="00ED5684" w:rsidRPr="00B4148B" w:rsidRDefault="007A6C76" w:rsidP="001B29FB">
      <w:pPr>
        <w:pStyle w:val="ListParagraph"/>
        <w:numPr>
          <w:ilvl w:val="0"/>
          <w:numId w:val="29"/>
        </w:numPr>
        <w:jc w:val="both"/>
        <w:rPr>
          <w:rFonts w:cstheme="minorHAnsi"/>
        </w:rPr>
      </w:pPr>
      <w:r w:rsidRPr="00B4148B">
        <w:rPr>
          <w:rFonts w:cstheme="minorHAnsi"/>
        </w:rPr>
        <w:t>The condition must have been confirmed by a Dutch Lipid Clinic Network Score of at least 7,</w:t>
      </w:r>
    </w:p>
    <w:p w14:paraId="02A04474" w14:textId="77777777" w:rsidR="00ED5684" w:rsidRPr="00B4148B" w:rsidRDefault="007A6C76" w:rsidP="001B29FB">
      <w:pPr>
        <w:ind w:left="360"/>
        <w:jc w:val="both"/>
        <w:rPr>
          <w:rFonts w:cstheme="minorHAnsi"/>
        </w:rPr>
      </w:pPr>
      <w:r w:rsidRPr="00B4148B">
        <w:rPr>
          <w:rFonts w:cstheme="minorHAnsi"/>
        </w:rPr>
        <w:t>AND</w:t>
      </w:r>
    </w:p>
    <w:p w14:paraId="596EC75E" w14:textId="77777777" w:rsidR="007A6C76" w:rsidRPr="00B4148B" w:rsidRDefault="007A6C76" w:rsidP="001B29FB">
      <w:pPr>
        <w:pStyle w:val="ListParagraph"/>
        <w:numPr>
          <w:ilvl w:val="0"/>
          <w:numId w:val="29"/>
        </w:numPr>
        <w:jc w:val="both"/>
        <w:rPr>
          <w:rFonts w:cstheme="minorHAnsi"/>
        </w:rPr>
      </w:pPr>
      <w:r w:rsidRPr="00B4148B">
        <w:rPr>
          <w:rFonts w:cstheme="minorHAnsi"/>
        </w:rPr>
        <w:t xml:space="preserve">Patient must have an LDL cholesterol level in excess of 3.3 </w:t>
      </w:r>
      <w:proofErr w:type="spellStart"/>
      <w:r w:rsidRPr="00B4148B">
        <w:rPr>
          <w:rFonts w:cstheme="minorHAnsi"/>
        </w:rPr>
        <w:t>millimoles</w:t>
      </w:r>
      <w:proofErr w:type="spellEnd"/>
      <w:r w:rsidRPr="00B4148B">
        <w:rPr>
          <w:rFonts w:cstheme="minorHAnsi"/>
        </w:rPr>
        <w:t xml:space="preserve"> per litre,</w:t>
      </w:r>
    </w:p>
    <w:p w14:paraId="09E347F5" w14:textId="77777777" w:rsidR="007A6C76" w:rsidRPr="00B4148B" w:rsidRDefault="007A6C76" w:rsidP="001B29FB">
      <w:pPr>
        <w:ind w:firstLine="360"/>
        <w:contextualSpacing/>
        <w:jc w:val="both"/>
        <w:rPr>
          <w:rFonts w:cstheme="minorHAnsi"/>
        </w:rPr>
      </w:pPr>
      <w:r w:rsidRPr="00B4148B">
        <w:rPr>
          <w:rFonts w:cstheme="minorHAnsi"/>
        </w:rPr>
        <w:t>AND</w:t>
      </w:r>
    </w:p>
    <w:p w14:paraId="6F4C2E36" w14:textId="77777777" w:rsidR="007A6C76" w:rsidRPr="00B4148B" w:rsidRDefault="007A6C76" w:rsidP="001B29FB">
      <w:pPr>
        <w:pStyle w:val="ListParagraph"/>
        <w:numPr>
          <w:ilvl w:val="0"/>
          <w:numId w:val="29"/>
        </w:numPr>
        <w:jc w:val="both"/>
        <w:rPr>
          <w:rFonts w:cstheme="minorHAnsi"/>
        </w:rPr>
      </w:pPr>
      <w:r w:rsidRPr="00B4148B">
        <w:rPr>
          <w:rFonts w:cstheme="minorHAnsi"/>
        </w:rPr>
        <w:t xml:space="preserve">Patient must have been treated with the maximum recommended dose of atorvastatin or </w:t>
      </w:r>
      <w:proofErr w:type="spellStart"/>
      <w:r w:rsidRPr="00B4148B">
        <w:rPr>
          <w:rFonts w:cstheme="minorHAnsi"/>
        </w:rPr>
        <w:t>rosuvastatin</w:t>
      </w:r>
      <w:proofErr w:type="spellEnd"/>
      <w:r w:rsidRPr="00B4148B">
        <w:rPr>
          <w:rFonts w:cstheme="minorHAnsi"/>
        </w:rPr>
        <w:t xml:space="preserve"> according to the TGA-approved Product Information for at least 3 months in conjunction with dietary therapy and exercise; OR</w:t>
      </w:r>
    </w:p>
    <w:p w14:paraId="5895ADE6" w14:textId="77777777" w:rsidR="00ED5684" w:rsidRPr="00B4148B" w:rsidRDefault="007A6C76" w:rsidP="001B29FB">
      <w:pPr>
        <w:pStyle w:val="ListParagraph"/>
        <w:numPr>
          <w:ilvl w:val="0"/>
          <w:numId w:val="29"/>
        </w:numPr>
        <w:jc w:val="both"/>
        <w:rPr>
          <w:rFonts w:cstheme="minorHAnsi"/>
        </w:rPr>
      </w:pPr>
      <w:r w:rsidRPr="00B4148B">
        <w:rPr>
          <w:rFonts w:cstheme="minorHAnsi"/>
        </w:rPr>
        <w:t>Patient must have developed a clinically important product-related adverse event necessitating withdrawal of statin treatment; OR</w:t>
      </w:r>
    </w:p>
    <w:p w14:paraId="013D3A22" w14:textId="77777777" w:rsidR="007A6C76" w:rsidRPr="00B4148B" w:rsidRDefault="007A6C76" w:rsidP="001B29FB">
      <w:pPr>
        <w:pStyle w:val="ListParagraph"/>
        <w:numPr>
          <w:ilvl w:val="0"/>
          <w:numId w:val="29"/>
        </w:numPr>
        <w:jc w:val="both"/>
        <w:rPr>
          <w:rFonts w:cstheme="minorHAnsi"/>
        </w:rPr>
      </w:pPr>
      <w:r w:rsidRPr="00B4148B">
        <w:rPr>
          <w:rFonts w:cstheme="minorHAnsi"/>
        </w:rPr>
        <w:t xml:space="preserve">Patient </w:t>
      </w:r>
      <w:proofErr w:type="gramStart"/>
      <w:r w:rsidRPr="00B4148B">
        <w:rPr>
          <w:rFonts w:cstheme="minorHAnsi"/>
        </w:rPr>
        <w:t>must be contraindicated</w:t>
      </w:r>
      <w:proofErr w:type="gramEnd"/>
      <w:r w:rsidRPr="00B4148B">
        <w:rPr>
          <w:rFonts w:cstheme="minorHAnsi"/>
        </w:rPr>
        <w:t xml:space="preserve"> to treatment with a HMG CoA reductase inhibitor (statin) as defined in the TGA-approved Product Information.</w:t>
      </w:r>
    </w:p>
    <w:p w14:paraId="24EBDB35" w14:textId="77777777" w:rsidR="007A6C76" w:rsidRPr="00B4148B" w:rsidRDefault="00ED5684" w:rsidP="001B29FB">
      <w:pPr>
        <w:contextualSpacing/>
        <w:jc w:val="both"/>
        <w:rPr>
          <w:rFonts w:cstheme="minorHAnsi"/>
          <w:b/>
        </w:rPr>
      </w:pPr>
      <w:r w:rsidRPr="00B4148B">
        <w:rPr>
          <w:rFonts w:cstheme="minorHAnsi"/>
          <w:b/>
        </w:rPr>
        <w:t>Treatment criteria:</w:t>
      </w:r>
    </w:p>
    <w:p w14:paraId="07454438" w14:textId="77777777" w:rsidR="007A6C76" w:rsidRPr="00B4148B" w:rsidRDefault="007A6C76" w:rsidP="001B29FB">
      <w:pPr>
        <w:pStyle w:val="ListParagraph"/>
        <w:numPr>
          <w:ilvl w:val="0"/>
          <w:numId w:val="30"/>
        </w:numPr>
        <w:jc w:val="both"/>
        <w:rPr>
          <w:rFonts w:cstheme="minorHAnsi"/>
        </w:rPr>
      </w:pPr>
      <w:proofErr w:type="gramStart"/>
      <w:r w:rsidRPr="00B4148B">
        <w:rPr>
          <w:rFonts w:cstheme="minorHAnsi"/>
        </w:rPr>
        <w:t>Must be treated</w:t>
      </w:r>
      <w:proofErr w:type="gramEnd"/>
      <w:r w:rsidRPr="00B4148B">
        <w:rPr>
          <w:rFonts w:cstheme="minorHAnsi"/>
        </w:rPr>
        <w:t xml:space="preserve"> by a specialist physician.</w:t>
      </w:r>
    </w:p>
    <w:p w14:paraId="0756CDA9" w14:textId="77777777" w:rsidR="007A6C76" w:rsidRPr="00B4148B" w:rsidRDefault="007A6C76" w:rsidP="001B29FB">
      <w:pPr>
        <w:contextualSpacing/>
        <w:jc w:val="both"/>
        <w:rPr>
          <w:rFonts w:cstheme="minorHAnsi"/>
        </w:rPr>
      </w:pPr>
      <w:r w:rsidRPr="00B4148B">
        <w:rPr>
          <w:rFonts w:cstheme="minorHAnsi"/>
        </w:rPr>
        <w:t xml:space="preserve">A clinically important product-related adverse event </w:t>
      </w:r>
      <w:proofErr w:type="gramStart"/>
      <w:r w:rsidRPr="00B4148B">
        <w:rPr>
          <w:rFonts w:cstheme="minorHAnsi"/>
        </w:rPr>
        <w:t>is defined</w:t>
      </w:r>
      <w:proofErr w:type="gramEnd"/>
      <w:r w:rsidRPr="00B4148B">
        <w:rPr>
          <w:rFonts w:cstheme="minorHAnsi"/>
        </w:rPr>
        <w:t xml:space="preserve"> as follows:</w:t>
      </w:r>
    </w:p>
    <w:p w14:paraId="281C75CB" w14:textId="77777777" w:rsidR="007A6C76" w:rsidRPr="00B4148B" w:rsidRDefault="007A6C76" w:rsidP="001B29FB">
      <w:pPr>
        <w:contextualSpacing/>
        <w:jc w:val="both"/>
        <w:rPr>
          <w:rFonts w:cstheme="minorHAnsi"/>
        </w:rPr>
      </w:pPr>
    </w:p>
    <w:p w14:paraId="66DFC113" w14:textId="77777777" w:rsidR="007A6C76" w:rsidRPr="00B4148B" w:rsidRDefault="007A6C76" w:rsidP="001B29FB">
      <w:pPr>
        <w:contextualSpacing/>
        <w:jc w:val="both"/>
        <w:rPr>
          <w:rFonts w:cstheme="minorHAnsi"/>
        </w:rPr>
      </w:pPr>
      <w:r w:rsidRPr="00B4148B">
        <w:rPr>
          <w:rFonts w:cstheme="minorHAnsi"/>
        </w:rPr>
        <w:t>(</w:t>
      </w:r>
      <w:proofErr w:type="spellStart"/>
      <w:r w:rsidRPr="00B4148B">
        <w:rPr>
          <w:rFonts w:cstheme="minorHAnsi"/>
        </w:rPr>
        <w:t>i</w:t>
      </w:r>
      <w:proofErr w:type="spellEnd"/>
      <w:r w:rsidRPr="00B4148B">
        <w:rPr>
          <w:rFonts w:cstheme="minorHAnsi"/>
        </w:rPr>
        <w:t xml:space="preserve">) Severe myalgia (muscle symptoms without </w:t>
      </w:r>
      <w:proofErr w:type="spellStart"/>
      <w:r w:rsidRPr="00B4148B">
        <w:rPr>
          <w:rFonts w:cstheme="minorHAnsi"/>
        </w:rPr>
        <w:t>creatine</w:t>
      </w:r>
      <w:proofErr w:type="spellEnd"/>
      <w:r w:rsidRPr="00B4148B">
        <w:rPr>
          <w:rFonts w:cstheme="minorHAnsi"/>
        </w:rPr>
        <w:t xml:space="preserve"> kinase elevation) which is proven to be temporally associated with statin treatment; or</w:t>
      </w:r>
    </w:p>
    <w:p w14:paraId="30FEF3AC" w14:textId="77777777" w:rsidR="007A6C76" w:rsidRPr="00B4148B" w:rsidRDefault="007A6C76" w:rsidP="001B29FB">
      <w:pPr>
        <w:contextualSpacing/>
        <w:jc w:val="both"/>
        <w:rPr>
          <w:rFonts w:cstheme="minorHAnsi"/>
        </w:rPr>
      </w:pPr>
      <w:r w:rsidRPr="00B4148B">
        <w:rPr>
          <w:rFonts w:cstheme="minorHAnsi"/>
        </w:rPr>
        <w:t xml:space="preserve">(ii) Myositis (clinically important </w:t>
      </w:r>
      <w:proofErr w:type="spellStart"/>
      <w:r w:rsidRPr="00B4148B">
        <w:rPr>
          <w:rFonts w:cstheme="minorHAnsi"/>
        </w:rPr>
        <w:t>creatine</w:t>
      </w:r>
      <w:proofErr w:type="spellEnd"/>
      <w:r w:rsidRPr="00B4148B">
        <w:rPr>
          <w:rFonts w:cstheme="minorHAnsi"/>
        </w:rPr>
        <w:t xml:space="preserve"> kinase elevation, with or without muscle symptoms) demonstrated by results twice the upper limit of normal on a single reading or a rising pattern on consecutive measurements and which is </w:t>
      </w:r>
      <w:r w:rsidR="00ED5684" w:rsidRPr="00B4148B">
        <w:rPr>
          <w:rFonts w:cstheme="minorHAnsi"/>
        </w:rPr>
        <w:t>unexplained by other causes; or</w:t>
      </w:r>
    </w:p>
    <w:p w14:paraId="3FD6CFB9" w14:textId="77777777" w:rsidR="007A6C76" w:rsidRPr="00B4148B" w:rsidRDefault="007A6C76" w:rsidP="001B29FB">
      <w:pPr>
        <w:contextualSpacing/>
        <w:jc w:val="both"/>
        <w:rPr>
          <w:rFonts w:cstheme="minorHAnsi"/>
        </w:rPr>
      </w:pPr>
      <w:r w:rsidRPr="00B4148B">
        <w:rPr>
          <w:rFonts w:cstheme="minorHAnsi"/>
        </w:rPr>
        <w:t>(iii) Unexplained, persistent elevations of serum transaminases (greater than 3 times the upper limit of normal) during treatment with a statin.</w:t>
      </w:r>
    </w:p>
    <w:p w14:paraId="2EEBB590" w14:textId="77777777" w:rsidR="007A6C76" w:rsidRPr="00B4148B" w:rsidRDefault="007A6C76" w:rsidP="001B29FB">
      <w:pPr>
        <w:contextualSpacing/>
        <w:jc w:val="both"/>
        <w:rPr>
          <w:rFonts w:cstheme="minorHAnsi"/>
        </w:rPr>
      </w:pPr>
    </w:p>
    <w:p w14:paraId="23A1287C" w14:textId="77777777" w:rsidR="007A6C76" w:rsidRPr="00B4148B" w:rsidRDefault="007A6C76" w:rsidP="001B29FB">
      <w:pPr>
        <w:contextualSpacing/>
        <w:jc w:val="both"/>
        <w:rPr>
          <w:rFonts w:cstheme="minorHAnsi"/>
        </w:rPr>
      </w:pPr>
      <w:r w:rsidRPr="00B4148B">
        <w:rPr>
          <w:rFonts w:cstheme="minorHAnsi"/>
        </w:rPr>
        <w:t xml:space="preserve">The date of the consultation with a specialist physician must be no more than 6 months prior to the application date. The full name of the specialist physician consulted and the date of consultation are to </w:t>
      </w:r>
      <w:proofErr w:type="gramStart"/>
      <w:r w:rsidRPr="00B4148B">
        <w:rPr>
          <w:rFonts w:cstheme="minorHAnsi"/>
        </w:rPr>
        <w:t>be provided</w:t>
      </w:r>
      <w:proofErr w:type="gramEnd"/>
      <w:r w:rsidRPr="00B4148B">
        <w:rPr>
          <w:rFonts w:cstheme="minorHAnsi"/>
        </w:rPr>
        <w:t xml:space="preserve"> at the time of application.</w:t>
      </w:r>
    </w:p>
    <w:p w14:paraId="789AE859" w14:textId="77777777" w:rsidR="007A6C76" w:rsidRPr="00B4148B" w:rsidRDefault="007A6C76" w:rsidP="00B4148B">
      <w:pPr>
        <w:contextualSpacing/>
        <w:jc w:val="both"/>
        <w:rPr>
          <w:rFonts w:cstheme="minorHAnsi"/>
        </w:rPr>
      </w:pPr>
    </w:p>
    <w:p w14:paraId="69D08D39" w14:textId="77777777" w:rsidR="007A6C76" w:rsidRPr="00B4148B" w:rsidRDefault="007A6C76" w:rsidP="00B4148B">
      <w:pPr>
        <w:contextualSpacing/>
        <w:jc w:val="both"/>
        <w:rPr>
          <w:rFonts w:cstheme="minorHAnsi"/>
        </w:rPr>
      </w:pPr>
      <w:r w:rsidRPr="00B4148B">
        <w:rPr>
          <w:rFonts w:cstheme="minorHAnsi"/>
        </w:rPr>
        <w:lastRenderedPageBreak/>
        <w:t xml:space="preserve">The qualifying LDL cholesterol level </w:t>
      </w:r>
      <w:proofErr w:type="gramStart"/>
      <w:r w:rsidRPr="00B4148B">
        <w:rPr>
          <w:rFonts w:cstheme="minorHAnsi"/>
        </w:rPr>
        <w:t>must be provided</w:t>
      </w:r>
      <w:proofErr w:type="gramEnd"/>
      <w:r w:rsidRPr="00B4148B">
        <w:rPr>
          <w:rFonts w:cstheme="minorHAnsi"/>
        </w:rPr>
        <w:t xml:space="preserve"> at the time of application and must be no more than 2 months old.</w:t>
      </w:r>
    </w:p>
    <w:p w14:paraId="00C6BD52" w14:textId="77777777" w:rsidR="007A6C76" w:rsidRPr="00B4148B" w:rsidRDefault="007A6C76" w:rsidP="00B4148B">
      <w:pPr>
        <w:contextualSpacing/>
        <w:jc w:val="both"/>
        <w:rPr>
          <w:rFonts w:cstheme="minorHAnsi"/>
        </w:rPr>
      </w:pPr>
    </w:p>
    <w:p w14:paraId="63599EB2" w14:textId="77777777" w:rsidR="007A6C76" w:rsidRPr="00B4148B" w:rsidRDefault="007A6C76" w:rsidP="00B4148B">
      <w:pPr>
        <w:contextualSpacing/>
        <w:jc w:val="both"/>
        <w:rPr>
          <w:rFonts w:cstheme="minorHAnsi"/>
        </w:rPr>
      </w:pPr>
      <w:r w:rsidRPr="00B4148B">
        <w:rPr>
          <w:rFonts w:cstheme="minorHAnsi"/>
        </w:rPr>
        <w:t xml:space="preserve">The physician must attempt to treat the patient with the maximum recommended dose of atorvastatin (80 mg daily) or </w:t>
      </w:r>
      <w:proofErr w:type="spellStart"/>
      <w:r w:rsidRPr="00B4148B">
        <w:rPr>
          <w:rFonts w:cstheme="minorHAnsi"/>
        </w:rPr>
        <w:t>rosuvastatin</w:t>
      </w:r>
      <w:proofErr w:type="spellEnd"/>
      <w:r w:rsidRPr="00B4148B">
        <w:rPr>
          <w:rFonts w:cstheme="minorHAnsi"/>
        </w:rPr>
        <w:t xml:space="preserve"> (40 mg daily).</w:t>
      </w:r>
    </w:p>
    <w:p w14:paraId="0029FD71" w14:textId="77777777" w:rsidR="007A6C76" w:rsidRPr="00B4148B" w:rsidRDefault="007A6C76" w:rsidP="00B4148B">
      <w:pPr>
        <w:contextualSpacing/>
        <w:jc w:val="both"/>
        <w:rPr>
          <w:rFonts w:cstheme="minorHAnsi"/>
        </w:rPr>
      </w:pPr>
    </w:p>
    <w:p w14:paraId="65EC90C5" w14:textId="77777777" w:rsidR="007A6C76" w:rsidRPr="00B4148B" w:rsidRDefault="007A6C76" w:rsidP="00B4148B">
      <w:pPr>
        <w:contextualSpacing/>
        <w:jc w:val="both"/>
        <w:rPr>
          <w:rFonts w:cstheme="minorHAnsi"/>
        </w:rPr>
      </w:pPr>
      <w:r w:rsidRPr="00B4148B">
        <w:rPr>
          <w:rFonts w:cstheme="minorHAnsi"/>
        </w:rPr>
        <w:t xml:space="preserve">With the exception of the situation where the patient </w:t>
      </w:r>
      <w:proofErr w:type="gramStart"/>
      <w:r w:rsidRPr="00B4148B">
        <w:rPr>
          <w:rFonts w:cstheme="minorHAnsi"/>
        </w:rPr>
        <w:t>is contraindicated</w:t>
      </w:r>
      <w:proofErr w:type="gramEnd"/>
      <w:r w:rsidRPr="00B4148B">
        <w:rPr>
          <w:rFonts w:cstheme="minorHAnsi"/>
        </w:rPr>
        <w:t xml:space="preserve"> to treatment with a statin, the agent, dose and duration of statin treatment must be provided at the time of application.</w:t>
      </w:r>
    </w:p>
    <w:p w14:paraId="3F7AC2AA" w14:textId="77777777" w:rsidR="007A6C76" w:rsidRPr="00B4148B" w:rsidRDefault="007A6C76" w:rsidP="00B4148B">
      <w:pPr>
        <w:contextualSpacing/>
        <w:jc w:val="both"/>
        <w:rPr>
          <w:rFonts w:cstheme="minorHAnsi"/>
        </w:rPr>
      </w:pPr>
    </w:p>
    <w:p w14:paraId="638AC79A" w14:textId="77777777" w:rsidR="007A6C76" w:rsidRPr="00B4148B" w:rsidRDefault="007A6C76" w:rsidP="00B4148B">
      <w:pPr>
        <w:contextualSpacing/>
        <w:jc w:val="both"/>
        <w:rPr>
          <w:rFonts w:cstheme="minorHAnsi"/>
        </w:rPr>
      </w:pPr>
      <w:r w:rsidRPr="00B4148B">
        <w:rPr>
          <w:rFonts w:cstheme="minorHAnsi"/>
        </w:rPr>
        <w:t>Contraindication to treatment with a statin is as defined in the TGA-approved Product Information.</w:t>
      </w:r>
    </w:p>
    <w:p w14:paraId="5E184299" w14:textId="77777777" w:rsidR="00ED5684" w:rsidRPr="00B4148B" w:rsidRDefault="00ED5684" w:rsidP="00B4148B">
      <w:pPr>
        <w:contextualSpacing/>
        <w:jc w:val="both"/>
        <w:rPr>
          <w:rFonts w:cstheme="minorHAnsi"/>
        </w:rPr>
      </w:pPr>
    </w:p>
    <w:p w14:paraId="63BFD7BF" w14:textId="77777777" w:rsidR="007A6C76" w:rsidRPr="00B4148B" w:rsidRDefault="007A6C76" w:rsidP="00B4148B">
      <w:pPr>
        <w:contextualSpacing/>
        <w:jc w:val="both"/>
        <w:rPr>
          <w:rFonts w:cstheme="minorHAnsi"/>
        </w:rPr>
      </w:pPr>
      <w:r w:rsidRPr="00B4148B">
        <w:rPr>
          <w:rFonts w:cstheme="minorHAnsi"/>
        </w:rPr>
        <w:t xml:space="preserve">The authority application </w:t>
      </w:r>
      <w:proofErr w:type="gramStart"/>
      <w:r w:rsidRPr="00B4148B">
        <w:rPr>
          <w:rFonts w:cstheme="minorHAnsi"/>
        </w:rPr>
        <w:t>must be made</w:t>
      </w:r>
      <w:proofErr w:type="gramEnd"/>
      <w:r w:rsidRPr="00B4148B">
        <w:rPr>
          <w:rFonts w:cstheme="minorHAnsi"/>
        </w:rPr>
        <w:t xml:space="preserve"> in writing and must include:</w:t>
      </w:r>
    </w:p>
    <w:p w14:paraId="51C4B75E" w14:textId="77777777" w:rsidR="007A6C76" w:rsidRPr="00B4148B" w:rsidRDefault="007A6C76" w:rsidP="00B4148B">
      <w:pPr>
        <w:contextualSpacing/>
        <w:jc w:val="both"/>
        <w:rPr>
          <w:rFonts w:cstheme="minorHAnsi"/>
        </w:rPr>
      </w:pPr>
    </w:p>
    <w:p w14:paraId="02BB6A18" w14:textId="77777777" w:rsidR="007A6C76" w:rsidRPr="00B4148B" w:rsidRDefault="007A6C76" w:rsidP="00B4148B">
      <w:pPr>
        <w:contextualSpacing/>
        <w:jc w:val="both"/>
        <w:rPr>
          <w:rFonts w:cstheme="minorHAnsi"/>
        </w:rPr>
      </w:pPr>
      <w:r w:rsidRPr="00B4148B">
        <w:rPr>
          <w:rFonts w:cstheme="minorHAnsi"/>
        </w:rPr>
        <w:t>a) A completed authority prescription form; and</w:t>
      </w:r>
    </w:p>
    <w:p w14:paraId="6AE1BF22" w14:textId="77777777" w:rsidR="007A6C76" w:rsidRPr="00B4148B" w:rsidRDefault="007A6C76" w:rsidP="00B4148B">
      <w:pPr>
        <w:contextualSpacing/>
        <w:jc w:val="both"/>
        <w:rPr>
          <w:rFonts w:cstheme="minorHAnsi"/>
        </w:rPr>
      </w:pPr>
      <w:r w:rsidRPr="00B4148B">
        <w:rPr>
          <w:rFonts w:cstheme="minorHAnsi"/>
        </w:rPr>
        <w:t xml:space="preserve">b) A completed </w:t>
      </w:r>
      <w:r w:rsidR="00753118">
        <w:rPr>
          <w:rFonts w:cstheme="minorHAnsi"/>
        </w:rPr>
        <w:t>f</w:t>
      </w:r>
      <w:r w:rsidRPr="00B4148B">
        <w:rPr>
          <w:rFonts w:cstheme="minorHAnsi"/>
        </w:rPr>
        <w:t xml:space="preserve">amilial homozygous </w:t>
      </w:r>
      <w:proofErr w:type="spellStart"/>
      <w:r w:rsidRPr="00B4148B">
        <w:rPr>
          <w:rFonts w:cstheme="minorHAnsi"/>
        </w:rPr>
        <w:t>hypercholesterolaemia</w:t>
      </w:r>
      <w:proofErr w:type="spellEnd"/>
      <w:r w:rsidRPr="00B4148B">
        <w:rPr>
          <w:rFonts w:cstheme="minorHAnsi"/>
        </w:rPr>
        <w:t xml:space="preserve"> Initial PBS Authority Application - Supporting Information Form; and</w:t>
      </w:r>
    </w:p>
    <w:p w14:paraId="716E5FD4" w14:textId="77777777" w:rsidR="007A6C76" w:rsidRPr="00B4148B" w:rsidRDefault="007A6C76" w:rsidP="00B4148B">
      <w:pPr>
        <w:contextualSpacing/>
        <w:jc w:val="both"/>
        <w:rPr>
          <w:rFonts w:cstheme="minorHAnsi"/>
        </w:rPr>
      </w:pPr>
      <w:r w:rsidRPr="00B4148B">
        <w:rPr>
          <w:rFonts w:cstheme="minorHAnsi"/>
        </w:rPr>
        <w:t>c) The date of consultation and the full name of the specialist physician; and</w:t>
      </w:r>
    </w:p>
    <w:p w14:paraId="325F4F1D" w14:textId="77777777" w:rsidR="007A6C76" w:rsidRPr="00B4148B" w:rsidRDefault="007A6C76" w:rsidP="00B4148B">
      <w:pPr>
        <w:contextualSpacing/>
        <w:jc w:val="both"/>
        <w:rPr>
          <w:rFonts w:cstheme="minorHAnsi"/>
        </w:rPr>
      </w:pPr>
      <w:r w:rsidRPr="00B4148B">
        <w:rPr>
          <w:rFonts w:cstheme="minorHAnsi"/>
        </w:rPr>
        <w:t>d) A copy of the qualifying Dutch Lipid Clinic Network Score or a copy of the result of genetic testing; and</w:t>
      </w:r>
    </w:p>
    <w:p w14:paraId="0D6AD232" w14:textId="77777777" w:rsidR="007A6C76" w:rsidRPr="00B4148B" w:rsidRDefault="007A6C76" w:rsidP="00B4148B">
      <w:pPr>
        <w:contextualSpacing/>
        <w:jc w:val="both"/>
        <w:rPr>
          <w:rFonts w:cstheme="minorHAnsi"/>
        </w:rPr>
      </w:pPr>
      <w:r w:rsidRPr="00B4148B">
        <w:rPr>
          <w:rFonts w:cstheme="minorHAnsi"/>
        </w:rPr>
        <w:t>e) The result of LDL cholesterol level and one of the following where appropriate: statin treatment details including agent, dose and treatment duration; or details of adverse event or contraindication to treatment with a statin as defined in the TGA-approved Product Information.</w:t>
      </w:r>
    </w:p>
    <w:p w14:paraId="560E86A7" w14:textId="77777777" w:rsidR="007A6C76" w:rsidRPr="00B4148B" w:rsidRDefault="007A6C76" w:rsidP="00B4148B">
      <w:pPr>
        <w:contextualSpacing/>
        <w:jc w:val="both"/>
        <w:rPr>
          <w:rFonts w:cstheme="minorHAnsi"/>
        </w:rPr>
      </w:pPr>
    </w:p>
    <w:p w14:paraId="0650A13E" w14:textId="77777777" w:rsidR="007A6C76" w:rsidRPr="00B4148B" w:rsidRDefault="007A6C76" w:rsidP="00B4148B">
      <w:pPr>
        <w:contextualSpacing/>
        <w:jc w:val="both"/>
        <w:rPr>
          <w:rFonts w:cstheme="minorHAnsi"/>
          <w:b/>
        </w:rPr>
      </w:pPr>
      <w:r w:rsidRPr="00B4148B">
        <w:rPr>
          <w:rFonts w:cstheme="minorHAnsi"/>
          <w:b/>
        </w:rPr>
        <w:t>Treatment Phase: Continuing treatment</w:t>
      </w:r>
    </w:p>
    <w:p w14:paraId="5E468291" w14:textId="77777777" w:rsidR="007A6C76" w:rsidRPr="00B4148B" w:rsidRDefault="007A6C76" w:rsidP="00B4148B">
      <w:pPr>
        <w:contextualSpacing/>
        <w:jc w:val="both"/>
        <w:rPr>
          <w:rFonts w:cstheme="minorHAnsi"/>
        </w:rPr>
      </w:pPr>
    </w:p>
    <w:p w14:paraId="520BD39C" w14:textId="77777777" w:rsidR="007A6C76" w:rsidRPr="00B4148B" w:rsidRDefault="007A6C76" w:rsidP="00B4148B">
      <w:pPr>
        <w:contextualSpacing/>
        <w:jc w:val="both"/>
        <w:rPr>
          <w:rFonts w:cstheme="minorHAnsi"/>
          <w:b/>
        </w:rPr>
      </w:pPr>
      <w:r w:rsidRPr="00B4148B">
        <w:rPr>
          <w:rFonts w:cstheme="minorHAnsi"/>
          <w:b/>
        </w:rPr>
        <w:t>Clinical criteria:</w:t>
      </w:r>
    </w:p>
    <w:p w14:paraId="2AC1E6D5" w14:textId="77777777" w:rsidR="007A6C76" w:rsidRPr="00B4148B" w:rsidRDefault="007A6C76" w:rsidP="00B4148B">
      <w:pPr>
        <w:contextualSpacing/>
        <w:jc w:val="both"/>
        <w:rPr>
          <w:rFonts w:cstheme="minorHAnsi"/>
        </w:rPr>
      </w:pPr>
    </w:p>
    <w:p w14:paraId="6BC14714" w14:textId="77777777" w:rsidR="007A6C76" w:rsidRPr="00B4148B" w:rsidRDefault="007A6C76" w:rsidP="00B4148B">
      <w:pPr>
        <w:contextualSpacing/>
        <w:jc w:val="both"/>
        <w:rPr>
          <w:rFonts w:cstheme="minorHAnsi"/>
        </w:rPr>
      </w:pPr>
      <w:r w:rsidRPr="00B4148B">
        <w:rPr>
          <w:rFonts w:cstheme="minorHAnsi"/>
        </w:rPr>
        <w:t>Patient must have previously received PBS-subsidised treatment with this drug for this condit</w:t>
      </w:r>
      <w:r w:rsidR="00ED5684" w:rsidRPr="00B4148B">
        <w:rPr>
          <w:rFonts w:cstheme="minorHAnsi"/>
        </w:rPr>
        <w:t>ion,</w:t>
      </w:r>
    </w:p>
    <w:p w14:paraId="70D0B1F7" w14:textId="77777777" w:rsidR="007A6C76" w:rsidRPr="00B4148B" w:rsidRDefault="00ED5684" w:rsidP="00B4148B">
      <w:pPr>
        <w:contextualSpacing/>
        <w:jc w:val="both"/>
        <w:rPr>
          <w:rFonts w:cstheme="minorHAnsi"/>
        </w:rPr>
      </w:pPr>
      <w:r w:rsidRPr="00B4148B">
        <w:rPr>
          <w:rFonts w:cstheme="minorHAnsi"/>
        </w:rPr>
        <w:t>AND</w:t>
      </w:r>
    </w:p>
    <w:p w14:paraId="1148398F" w14:textId="77777777" w:rsidR="002B1901" w:rsidRPr="00B4148B" w:rsidRDefault="007A6C76" w:rsidP="00B4148B">
      <w:pPr>
        <w:contextualSpacing/>
        <w:jc w:val="both"/>
        <w:rPr>
          <w:rFonts w:cstheme="minorHAnsi"/>
        </w:rPr>
      </w:pPr>
      <w:r w:rsidRPr="00B4148B">
        <w:rPr>
          <w:rFonts w:cstheme="minorHAnsi"/>
        </w:rPr>
        <w:t>The treatment must be in conjunction with dietary therapy and exercise.</w:t>
      </w:r>
    </w:p>
    <w:p w14:paraId="1AD4DAEC" w14:textId="77777777" w:rsidR="00D96AC2" w:rsidRPr="00B4148B" w:rsidDel="00EE2BBB" w:rsidRDefault="00D96AC2" w:rsidP="00B4148B">
      <w:pPr>
        <w:contextualSpacing/>
        <w:jc w:val="both"/>
        <w:rPr>
          <w:rFonts w:cstheme="minorHAnsi"/>
          <w:highlight w:val="yellow"/>
        </w:rPr>
      </w:pPr>
    </w:p>
    <w:p w14:paraId="72DF5D82" w14:textId="77777777" w:rsidR="00ED5684" w:rsidRPr="00B4148B" w:rsidRDefault="00ED5684" w:rsidP="00B4148B">
      <w:pPr>
        <w:jc w:val="both"/>
        <w:rPr>
          <w:rFonts w:cstheme="minorHAnsi"/>
        </w:rPr>
      </w:pPr>
      <w:r w:rsidRPr="00B4148B">
        <w:rPr>
          <w:rFonts w:cstheme="minorHAnsi"/>
        </w:rPr>
        <w:t>Note: No increase in the maximum number of repeats may be authorised.</w:t>
      </w:r>
    </w:p>
    <w:p w14:paraId="7E1332E4" w14:textId="77777777" w:rsidR="00B4148B" w:rsidRDefault="00D96AC2" w:rsidP="00B4148B">
      <w:pPr>
        <w:jc w:val="both"/>
        <w:rPr>
          <w:rFonts w:cstheme="minorHAnsi"/>
        </w:rPr>
      </w:pPr>
      <w:r w:rsidRPr="00B4148B">
        <w:rPr>
          <w:rFonts w:cstheme="minorHAnsi"/>
        </w:rPr>
        <w:t xml:space="preserve">For details of the current PBS </w:t>
      </w:r>
      <w:proofErr w:type="gramStart"/>
      <w:r w:rsidRPr="00B4148B">
        <w:rPr>
          <w:rFonts w:cstheme="minorHAnsi"/>
        </w:rPr>
        <w:t>listing</w:t>
      </w:r>
      <w:proofErr w:type="gramEnd"/>
      <w:r w:rsidRPr="00B4148B">
        <w:rPr>
          <w:rFonts w:cstheme="minorHAnsi"/>
        </w:rPr>
        <w:t xml:space="preserve"> refer to the </w:t>
      </w:r>
      <w:r w:rsidRPr="004449A7">
        <w:rPr>
          <w:rFonts w:cstheme="minorHAnsi"/>
        </w:rPr>
        <w:t>PBS website</w:t>
      </w:r>
      <w:r w:rsidRPr="00B4148B">
        <w:rPr>
          <w:rFonts w:cstheme="minorHAnsi"/>
        </w:rPr>
        <w:t>.</w:t>
      </w:r>
    </w:p>
    <w:p w14:paraId="41945FF8" w14:textId="77777777" w:rsidR="00D96AC2" w:rsidRPr="00B4148B" w:rsidDel="00EE2BBB" w:rsidRDefault="00B4148B" w:rsidP="009F131C">
      <w:pPr>
        <w:spacing w:line="276" w:lineRule="auto"/>
        <w:rPr>
          <w:rFonts w:cstheme="minorHAnsi"/>
        </w:rPr>
      </w:pPr>
      <w:r>
        <w:rPr>
          <w:rFonts w:cstheme="minorHAnsi"/>
        </w:rPr>
        <w:br w:type="page"/>
      </w:r>
    </w:p>
    <w:p w14:paraId="743292C5" w14:textId="77777777" w:rsidR="009C35F2" w:rsidRDefault="009C35F2" w:rsidP="001B29FB">
      <w:pPr>
        <w:pStyle w:val="Heading3"/>
        <w:spacing w:before="0"/>
      </w:pPr>
      <w:r w:rsidRPr="00675BB1" w:rsidDel="00EE2BBB">
        <w:lastRenderedPageBreak/>
        <w:t>Date of listing on PBS</w:t>
      </w:r>
    </w:p>
    <w:p w14:paraId="53357C10" w14:textId="77777777" w:rsidR="00B4148B" w:rsidRPr="00B4148B" w:rsidRDefault="00D96AC2" w:rsidP="00500EA5">
      <w:pPr>
        <w:rPr>
          <w:b/>
          <w:i/>
        </w:rPr>
      </w:pPr>
      <w:proofErr w:type="spellStart"/>
      <w:r w:rsidRPr="00D96AC2">
        <w:t>Evolocumab</w:t>
      </w:r>
      <w:proofErr w:type="spellEnd"/>
      <w:r w:rsidRPr="00D96AC2">
        <w:t xml:space="preserve"> 140 mg/mL injection, 1 mL pen device</w:t>
      </w:r>
      <w:r>
        <w:t xml:space="preserve"> </w:t>
      </w:r>
      <w:r w:rsidRPr="00D96AC2">
        <w:t xml:space="preserve">was first PBS listed for the treatment of homozygous familial </w:t>
      </w:r>
      <w:proofErr w:type="spellStart"/>
      <w:r w:rsidRPr="00D96AC2">
        <w:t>hypercholesterolaemia</w:t>
      </w:r>
      <w:proofErr w:type="spellEnd"/>
      <w:r w:rsidRPr="00D96AC2">
        <w:t xml:space="preserve"> on </w:t>
      </w:r>
      <w:r w:rsidRPr="00B4148B">
        <w:t>1 December 2016.</w:t>
      </w:r>
      <w:r w:rsidR="000F6910">
        <w:t xml:space="preserve"> </w:t>
      </w:r>
    </w:p>
    <w:p w14:paraId="45E54C40" w14:textId="77777777" w:rsidR="00675BB1" w:rsidRPr="00675BB1" w:rsidDel="00EE2BBB" w:rsidRDefault="00675BB1" w:rsidP="001B29FB">
      <w:pPr>
        <w:pStyle w:val="Heading3"/>
        <w:spacing w:before="0"/>
      </w:pPr>
      <w:r w:rsidRPr="00675BB1" w:rsidDel="00EE2BBB">
        <w:t>Changes to listing</w:t>
      </w:r>
    </w:p>
    <w:p w14:paraId="08AB164F" w14:textId="77777777" w:rsidR="00B4148B" w:rsidRDefault="00B4148B" w:rsidP="001B29FB">
      <w:proofErr w:type="spellStart"/>
      <w:r w:rsidRPr="00B4148B">
        <w:t>Evolocumab</w:t>
      </w:r>
      <w:proofErr w:type="spellEnd"/>
      <w:r w:rsidRPr="00B4148B">
        <w:t xml:space="preserve"> 420 mg/3.5 mL injection, 3.5 mL cartridge was PBS listed for the treatment of homozygous familial </w:t>
      </w:r>
      <w:proofErr w:type="spellStart"/>
      <w:r w:rsidRPr="00B4148B">
        <w:t>hypercholesterolaemia</w:t>
      </w:r>
      <w:proofErr w:type="spellEnd"/>
      <w:r w:rsidRPr="00B4148B">
        <w:t xml:space="preserve"> on 1 November 2017.</w:t>
      </w:r>
    </w:p>
    <w:p w14:paraId="26838D1F" w14:textId="77777777" w:rsidR="00BB4F53" w:rsidRPr="002F61CA" w:rsidDel="00EE2BBB" w:rsidRDefault="00BF544D" w:rsidP="001B29FB">
      <w:r w:rsidRPr="002F61CA" w:rsidDel="00EE2BBB">
        <w:t xml:space="preserve">Current PBS listing details are available from </w:t>
      </w:r>
      <w:r w:rsidDel="00EE2BBB">
        <w:t xml:space="preserve">the </w:t>
      </w:r>
      <w:r w:rsidRPr="004449A7" w:rsidDel="00EE2BBB">
        <w:t>PBS website</w:t>
      </w:r>
      <w:r w:rsidDel="00EE2BBB">
        <w:t>.</w:t>
      </w:r>
    </w:p>
    <w:p w14:paraId="1FC9AF7C" w14:textId="77777777" w:rsidR="00736041" w:rsidRPr="005E22C2" w:rsidRDefault="00394AEE" w:rsidP="00CF5E22">
      <w:pPr>
        <w:pStyle w:val="Heading2"/>
      </w:pPr>
      <w:r>
        <w:t>Relevant aspects of</w:t>
      </w:r>
      <w:r w:rsidR="00736041" w:rsidRPr="005E22C2">
        <w:t xml:space="preserve"> consideration</w:t>
      </w:r>
      <w:r>
        <w:t xml:space="preserve"> by the Pharmaceutical Benefits Advisory Committee (PBAC)</w:t>
      </w:r>
    </w:p>
    <w:p w14:paraId="175DFDFE" w14:textId="77777777" w:rsidR="00500F6C" w:rsidRPr="00205D0F" w:rsidRDefault="00500F6C" w:rsidP="001B29FB">
      <w:pPr>
        <w:jc w:val="both"/>
        <w:rPr>
          <w:rFonts w:eastAsia="Times New Roman" w:cstheme="minorHAnsi"/>
        </w:rPr>
      </w:pPr>
      <w:r w:rsidRPr="00520DB5">
        <w:rPr>
          <w:rFonts w:eastAsia="Times New Roman" w:cstheme="minorHAnsi"/>
        </w:rPr>
        <w:t>The PBAC has</w:t>
      </w:r>
      <w:r w:rsidRPr="00205D0F">
        <w:rPr>
          <w:rFonts w:eastAsia="Times New Roman" w:cstheme="minorHAnsi"/>
        </w:rPr>
        <w:t xml:space="preserve"> </w:t>
      </w:r>
      <w:r w:rsidRPr="00520DB5">
        <w:rPr>
          <w:rFonts w:eastAsia="Times New Roman" w:cstheme="minorHAnsi"/>
        </w:rPr>
        <w:t xml:space="preserve">considered </w:t>
      </w:r>
      <w:r w:rsidRPr="00615305">
        <w:rPr>
          <w:rFonts w:eastAsia="Times New Roman" w:cstheme="minorHAnsi"/>
        </w:rPr>
        <w:t>seven</w:t>
      </w:r>
      <w:r w:rsidRPr="00520DB5">
        <w:rPr>
          <w:rFonts w:eastAsia="Times New Roman" w:cstheme="minorHAnsi"/>
        </w:rPr>
        <w:t xml:space="preserve"> submissions for </w:t>
      </w:r>
      <w:proofErr w:type="spellStart"/>
      <w:r w:rsidRPr="00520DB5">
        <w:rPr>
          <w:rFonts w:eastAsia="Times New Roman" w:cstheme="minorHAnsi"/>
        </w:rPr>
        <w:t>evolocumab</w:t>
      </w:r>
      <w:proofErr w:type="spellEnd"/>
      <w:r w:rsidRPr="00205D0F">
        <w:rPr>
          <w:rFonts w:eastAsia="Times New Roman" w:cstheme="minorHAnsi"/>
        </w:rPr>
        <w:t xml:space="preserve"> since 2</w:t>
      </w:r>
      <w:r w:rsidR="00435402">
        <w:rPr>
          <w:rFonts w:eastAsia="Times New Roman" w:cstheme="minorHAnsi"/>
        </w:rPr>
        <w:t>015. Out of these submissions, three</w:t>
      </w:r>
      <w:r w:rsidR="00B719F2">
        <w:rPr>
          <w:rFonts w:eastAsia="Times New Roman" w:cstheme="minorHAnsi"/>
        </w:rPr>
        <w:t xml:space="preserve"> submissions were for </w:t>
      </w:r>
      <w:proofErr w:type="spellStart"/>
      <w:r w:rsidR="00B719F2">
        <w:rPr>
          <w:rFonts w:eastAsia="Times New Roman" w:cstheme="minorHAnsi"/>
        </w:rPr>
        <w:t>HoF</w:t>
      </w:r>
      <w:r w:rsidRPr="00205D0F">
        <w:rPr>
          <w:rFonts w:eastAsia="Times New Roman" w:cstheme="minorHAnsi"/>
        </w:rPr>
        <w:t>H</w:t>
      </w:r>
      <w:proofErr w:type="spellEnd"/>
      <w:r w:rsidRPr="00205D0F">
        <w:rPr>
          <w:rFonts w:eastAsia="Times New Roman" w:cstheme="minorHAnsi"/>
        </w:rPr>
        <w:t xml:space="preserve">. </w:t>
      </w:r>
      <w:proofErr w:type="spellStart"/>
      <w:r w:rsidR="00652A71">
        <w:rPr>
          <w:rFonts w:eastAsia="Times New Roman" w:cstheme="minorHAnsi"/>
        </w:rPr>
        <w:t>E</w:t>
      </w:r>
      <w:r w:rsidRPr="00205D0F">
        <w:rPr>
          <w:rFonts w:eastAsia="Times New Roman" w:cstheme="minorHAnsi"/>
        </w:rPr>
        <w:t>volocumab</w:t>
      </w:r>
      <w:proofErr w:type="spellEnd"/>
      <w:r w:rsidRPr="00205D0F">
        <w:rPr>
          <w:rFonts w:eastAsia="Times New Roman" w:cstheme="minorHAnsi"/>
        </w:rPr>
        <w:t xml:space="preserve"> submissions for </w:t>
      </w:r>
      <w:proofErr w:type="spellStart"/>
      <w:r w:rsidRPr="00205D0F">
        <w:rPr>
          <w:rFonts w:eastAsia="Times New Roman" w:cstheme="minorHAnsi"/>
        </w:rPr>
        <w:t>HoFH</w:t>
      </w:r>
      <w:proofErr w:type="spellEnd"/>
      <w:r w:rsidRPr="00205D0F">
        <w:rPr>
          <w:rFonts w:eastAsia="Times New Roman" w:cstheme="minorHAnsi"/>
        </w:rPr>
        <w:t xml:space="preserve"> </w:t>
      </w:r>
      <w:proofErr w:type="gramStart"/>
      <w:r w:rsidRPr="00205D0F">
        <w:rPr>
          <w:rFonts w:eastAsia="Times New Roman" w:cstheme="minorHAnsi"/>
        </w:rPr>
        <w:t>are outlined</w:t>
      </w:r>
      <w:proofErr w:type="gramEnd"/>
      <w:r w:rsidRPr="00205D0F">
        <w:rPr>
          <w:rFonts w:eastAsia="Times New Roman" w:cstheme="minorHAnsi"/>
        </w:rPr>
        <w:t xml:space="preserve"> in this section. A more detailed summary of all th</w:t>
      </w:r>
      <w:r w:rsidR="009F131C">
        <w:rPr>
          <w:rFonts w:eastAsia="Times New Roman" w:cstheme="minorHAnsi"/>
        </w:rPr>
        <w:t xml:space="preserve">e </w:t>
      </w:r>
      <w:proofErr w:type="spellStart"/>
      <w:r w:rsidR="009F131C">
        <w:rPr>
          <w:rFonts w:eastAsia="Times New Roman" w:cstheme="minorHAnsi"/>
        </w:rPr>
        <w:t>evolocumab</w:t>
      </w:r>
      <w:proofErr w:type="spellEnd"/>
      <w:r w:rsidR="009F131C">
        <w:rPr>
          <w:rFonts w:eastAsia="Times New Roman" w:cstheme="minorHAnsi"/>
        </w:rPr>
        <w:t xml:space="preserve"> submissions </w:t>
      </w:r>
      <w:proofErr w:type="gramStart"/>
      <w:r w:rsidRPr="00205D0F">
        <w:rPr>
          <w:rFonts w:eastAsia="Times New Roman" w:cstheme="minorHAnsi"/>
        </w:rPr>
        <w:t>can be found</w:t>
      </w:r>
      <w:proofErr w:type="gramEnd"/>
      <w:r w:rsidRPr="00205D0F">
        <w:rPr>
          <w:rFonts w:eastAsia="Times New Roman" w:cstheme="minorHAnsi"/>
        </w:rPr>
        <w:t xml:space="preserve"> in Appendix 1. </w:t>
      </w:r>
    </w:p>
    <w:p w14:paraId="0BE5B9DD" w14:textId="77777777" w:rsidR="00500F6C" w:rsidRPr="00205D0F" w:rsidRDefault="00500F6C" w:rsidP="001B29FB">
      <w:pPr>
        <w:pStyle w:val="Heading3"/>
        <w:spacing w:before="0"/>
      </w:pPr>
      <w:r w:rsidRPr="00520DB5">
        <w:t>March 2015</w:t>
      </w:r>
      <w:r w:rsidRPr="00205D0F">
        <w:t xml:space="preserve"> </w:t>
      </w:r>
      <w:r w:rsidRPr="00520DB5">
        <w:t>PBAC Meeting</w:t>
      </w:r>
    </w:p>
    <w:p w14:paraId="07181CCB" w14:textId="77777777" w:rsidR="00500F6C" w:rsidRPr="00205D0F" w:rsidRDefault="00500F6C" w:rsidP="001B29FB">
      <w:pPr>
        <w:jc w:val="both"/>
        <w:rPr>
          <w:rFonts w:eastAsia="Times New Roman" w:cstheme="minorHAnsi"/>
        </w:rPr>
      </w:pPr>
      <w:r w:rsidRPr="006557A4">
        <w:rPr>
          <w:rFonts w:eastAsia="Times New Roman" w:cstheme="minorHAnsi"/>
        </w:rPr>
        <w:t xml:space="preserve">The submission sought to open a dialogue regarding the potential future listing of </w:t>
      </w:r>
      <w:proofErr w:type="spellStart"/>
      <w:r w:rsidRPr="006557A4">
        <w:rPr>
          <w:rFonts w:eastAsia="Times New Roman" w:cstheme="minorHAnsi"/>
        </w:rPr>
        <w:t>evolocumab</w:t>
      </w:r>
      <w:proofErr w:type="spellEnd"/>
      <w:r w:rsidRPr="006557A4">
        <w:rPr>
          <w:rFonts w:eastAsia="Times New Roman" w:cstheme="minorHAnsi"/>
        </w:rPr>
        <w:t xml:space="preserve"> on the PBS for the treatment of </w:t>
      </w:r>
      <w:proofErr w:type="spellStart"/>
      <w:r w:rsidRPr="006557A4">
        <w:rPr>
          <w:rFonts w:eastAsia="Times New Roman" w:cstheme="minorHAnsi"/>
        </w:rPr>
        <w:t>hypercholesterolaemia</w:t>
      </w:r>
      <w:proofErr w:type="spellEnd"/>
      <w:r w:rsidRPr="006557A4">
        <w:rPr>
          <w:rFonts w:eastAsia="Times New Roman" w:cstheme="minorHAnsi"/>
        </w:rPr>
        <w:t>.</w:t>
      </w:r>
    </w:p>
    <w:p w14:paraId="4315527D" w14:textId="77777777" w:rsidR="00500F6C" w:rsidRPr="00205D0F" w:rsidRDefault="00500F6C" w:rsidP="001B29FB">
      <w:pPr>
        <w:jc w:val="both"/>
        <w:rPr>
          <w:rFonts w:eastAsia="Times New Roman" w:cstheme="minorHAnsi"/>
        </w:rPr>
      </w:pPr>
      <w:r w:rsidRPr="003D0BAB">
        <w:rPr>
          <w:rFonts w:eastAsia="Times New Roman" w:cstheme="minorHAnsi"/>
        </w:rPr>
        <w:t xml:space="preserve">The submission </w:t>
      </w:r>
      <w:proofErr w:type="gramStart"/>
      <w:r w:rsidRPr="003D0BAB">
        <w:rPr>
          <w:rFonts w:eastAsia="Times New Roman" w:cstheme="minorHAnsi"/>
        </w:rPr>
        <w:t>was considered</w:t>
      </w:r>
      <w:proofErr w:type="gramEnd"/>
      <w:r w:rsidRPr="003D0BAB">
        <w:rPr>
          <w:rFonts w:eastAsia="Times New Roman" w:cstheme="minorHAnsi"/>
        </w:rPr>
        <w:t xml:space="preserve"> by DUSC. </w:t>
      </w:r>
      <w:r w:rsidR="00652A71">
        <w:rPr>
          <w:rFonts w:eastAsia="Times New Roman" w:cstheme="minorHAnsi"/>
        </w:rPr>
        <w:t>DUSC considered t</w:t>
      </w:r>
      <w:r w:rsidRPr="003D0BAB">
        <w:rPr>
          <w:rFonts w:eastAsia="Times New Roman" w:cstheme="minorHAnsi"/>
        </w:rPr>
        <w:t>he main issues were</w:t>
      </w:r>
      <w:r w:rsidR="00652A71">
        <w:rPr>
          <w:rFonts w:eastAsia="Times New Roman" w:cstheme="minorHAnsi"/>
        </w:rPr>
        <w:t>:</w:t>
      </w:r>
      <w:r w:rsidRPr="003D0BAB">
        <w:rPr>
          <w:rFonts w:eastAsia="Times New Roman" w:cstheme="minorHAnsi"/>
        </w:rPr>
        <w:t xml:space="preserve">  </w:t>
      </w:r>
    </w:p>
    <w:p w14:paraId="240A6ED6" w14:textId="77777777" w:rsidR="00500F6C" w:rsidRPr="006D2CC9" w:rsidRDefault="00500F6C" w:rsidP="001B29FB">
      <w:pPr>
        <w:pStyle w:val="ListParagraph"/>
        <w:numPr>
          <w:ilvl w:val="0"/>
          <w:numId w:val="30"/>
        </w:numPr>
        <w:jc w:val="both"/>
        <w:rPr>
          <w:rFonts w:eastAsia="Times New Roman" w:cstheme="minorHAnsi"/>
        </w:rPr>
      </w:pPr>
      <w:r w:rsidRPr="006D2CC9">
        <w:rPr>
          <w:rFonts w:eastAsia="Times New Roman" w:cstheme="minorHAnsi"/>
        </w:rPr>
        <w:t xml:space="preserve">The market share approach, based on ezetimibe utilisation, underestimated the population eligible for </w:t>
      </w:r>
      <w:proofErr w:type="spellStart"/>
      <w:r w:rsidRPr="006D2CC9">
        <w:rPr>
          <w:rFonts w:eastAsia="Times New Roman" w:cstheme="minorHAnsi"/>
        </w:rPr>
        <w:t>evolocumab</w:t>
      </w:r>
      <w:proofErr w:type="spellEnd"/>
      <w:r w:rsidRPr="006D2CC9">
        <w:rPr>
          <w:rFonts w:eastAsia="Times New Roman" w:cstheme="minorHAnsi"/>
        </w:rPr>
        <w:t xml:space="preserve">. </w:t>
      </w:r>
    </w:p>
    <w:p w14:paraId="3F4AD106" w14:textId="77777777" w:rsidR="00500F6C" w:rsidRPr="006D2CC9" w:rsidRDefault="00500F6C" w:rsidP="001B29FB">
      <w:pPr>
        <w:pStyle w:val="ListParagraph"/>
        <w:numPr>
          <w:ilvl w:val="0"/>
          <w:numId w:val="30"/>
        </w:numPr>
        <w:jc w:val="both"/>
        <w:rPr>
          <w:rFonts w:eastAsia="Times New Roman" w:cstheme="minorHAnsi"/>
        </w:rPr>
      </w:pPr>
      <w:r w:rsidRPr="006D2CC9">
        <w:rPr>
          <w:rFonts w:eastAsia="Times New Roman" w:cstheme="minorHAnsi"/>
        </w:rPr>
        <w:t xml:space="preserve">Changing clinical practice, including increased assessment of cardiovascular risk or more widespread treatment to target cholesterol levels, could result in many more patients </w:t>
      </w:r>
      <w:proofErr w:type="gramStart"/>
      <w:r w:rsidRPr="006D2CC9">
        <w:rPr>
          <w:rFonts w:eastAsia="Times New Roman" w:cstheme="minorHAnsi"/>
        </w:rPr>
        <w:t>being treated</w:t>
      </w:r>
      <w:proofErr w:type="gramEnd"/>
      <w:r w:rsidRPr="006D2CC9">
        <w:rPr>
          <w:rFonts w:eastAsia="Times New Roman" w:cstheme="minorHAnsi"/>
        </w:rPr>
        <w:t xml:space="preserve"> with </w:t>
      </w:r>
      <w:proofErr w:type="spellStart"/>
      <w:r w:rsidRPr="006D2CC9">
        <w:rPr>
          <w:rFonts w:eastAsia="Times New Roman" w:cstheme="minorHAnsi"/>
        </w:rPr>
        <w:t>evolocumab</w:t>
      </w:r>
      <w:proofErr w:type="spellEnd"/>
      <w:r w:rsidRPr="006D2CC9">
        <w:rPr>
          <w:rFonts w:eastAsia="Times New Roman" w:cstheme="minorHAnsi"/>
        </w:rPr>
        <w:t xml:space="preserve">. Given the high prevalence of dyslipidaemia and the proposed price of </w:t>
      </w:r>
      <w:proofErr w:type="spellStart"/>
      <w:r w:rsidRPr="006D2CC9">
        <w:rPr>
          <w:rFonts w:eastAsia="Times New Roman" w:cstheme="minorHAnsi"/>
        </w:rPr>
        <w:t>evolocumab</w:t>
      </w:r>
      <w:proofErr w:type="spellEnd"/>
      <w:r w:rsidRPr="006D2CC9">
        <w:rPr>
          <w:rFonts w:eastAsia="Times New Roman" w:cstheme="minorHAnsi"/>
        </w:rPr>
        <w:t xml:space="preserve">, small changes in practice could have a large budget impact. </w:t>
      </w:r>
    </w:p>
    <w:p w14:paraId="34419F62" w14:textId="77777777" w:rsidR="00500F6C" w:rsidRPr="006D2CC9" w:rsidRDefault="00652A71" w:rsidP="001B29FB">
      <w:pPr>
        <w:pStyle w:val="ListParagraph"/>
        <w:numPr>
          <w:ilvl w:val="0"/>
          <w:numId w:val="30"/>
        </w:numPr>
        <w:jc w:val="both"/>
        <w:rPr>
          <w:rFonts w:eastAsia="Times New Roman" w:cstheme="minorHAnsi"/>
        </w:rPr>
      </w:pPr>
      <w:r>
        <w:rPr>
          <w:rFonts w:eastAsia="Times New Roman" w:cstheme="minorHAnsi"/>
        </w:rPr>
        <w:t>S</w:t>
      </w:r>
      <w:r w:rsidR="00500F6C" w:rsidRPr="006D2CC9">
        <w:rPr>
          <w:rFonts w:eastAsia="Times New Roman" w:cstheme="minorHAnsi"/>
        </w:rPr>
        <w:t xml:space="preserve">ignificant potential for use beyond the restriction by patients who are not achieving target cholesterol levels, but who would not qualify for </w:t>
      </w:r>
      <w:proofErr w:type="spellStart"/>
      <w:r w:rsidR="00500F6C" w:rsidRPr="006D2CC9">
        <w:rPr>
          <w:rFonts w:eastAsia="Times New Roman" w:cstheme="minorHAnsi"/>
        </w:rPr>
        <w:t>evolocumab</w:t>
      </w:r>
      <w:proofErr w:type="spellEnd"/>
      <w:r w:rsidR="00500F6C" w:rsidRPr="006D2CC9">
        <w:rPr>
          <w:rFonts w:eastAsia="Times New Roman" w:cstheme="minorHAnsi"/>
        </w:rPr>
        <w:t xml:space="preserve"> treatment under the proposed restriction.</w:t>
      </w:r>
    </w:p>
    <w:p w14:paraId="548C4206" w14:textId="77777777" w:rsidR="00500F6C" w:rsidRDefault="00500F6C" w:rsidP="001B29FB">
      <w:pPr>
        <w:jc w:val="both"/>
        <w:rPr>
          <w:rFonts w:eastAsia="Times New Roman" w:cstheme="minorHAnsi"/>
        </w:rPr>
      </w:pPr>
      <w:r w:rsidRPr="006557A4">
        <w:rPr>
          <w:rFonts w:eastAsia="Times New Roman" w:cstheme="minorHAnsi"/>
        </w:rPr>
        <w:t xml:space="preserve">The PBAC rejected the request to list </w:t>
      </w:r>
      <w:proofErr w:type="spellStart"/>
      <w:r w:rsidRPr="006557A4">
        <w:rPr>
          <w:rFonts w:eastAsia="Times New Roman" w:cstheme="minorHAnsi"/>
        </w:rPr>
        <w:t>evolocumab</w:t>
      </w:r>
      <w:proofErr w:type="spellEnd"/>
      <w:r w:rsidRPr="006557A4">
        <w:rPr>
          <w:rFonts w:eastAsia="Times New Roman" w:cstheme="minorHAnsi"/>
        </w:rPr>
        <w:t xml:space="preserve"> for the treatment of</w:t>
      </w:r>
      <w:r w:rsidRPr="00205D0F">
        <w:rPr>
          <w:rFonts w:eastAsia="Times New Roman" w:cstheme="minorHAnsi"/>
        </w:rPr>
        <w:t xml:space="preserve"> </w:t>
      </w:r>
      <w:proofErr w:type="spellStart"/>
      <w:r w:rsidRPr="006557A4">
        <w:rPr>
          <w:rFonts w:eastAsia="Times New Roman" w:cstheme="minorHAnsi"/>
        </w:rPr>
        <w:t>hypercholesterolaemia</w:t>
      </w:r>
      <w:proofErr w:type="spellEnd"/>
      <w:r w:rsidRPr="006557A4">
        <w:rPr>
          <w:rFonts w:eastAsia="Times New Roman" w:cstheme="minorHAnsi"/>
        </w:rPr>
        <w:t xml:space="preserve"> </w:t>
      </w:r>
      <w:proofErr w:type="gramStart"/>
      <w:r w:rsidRPr="006557A4">
        <w:rPr>
          <w:rFonts w:eastAsia="Times New Roman" w:cstheme="minorHAnsi"/>
        </w:rPr>
        <w:t>on the basis of</w:t>
      </w:r>
      <w:proofErr w:type="gramEnd"/>
      <w:r w:rsidRPr="006557A4">
        <w:rPr>
          <w:rFonts w:eastAsia="Times New Roman" w:cstheme="minorHAnsi"/>
        </w:rPr>
        <w:t xml:space="preserve"> unestablished clinical place in therapy and the uncertainty surroundin</w:t>
      </w:r>
      <w:r w:rsidR="009E56CA">
        <w:rPr>
          <w:rFonts w:eastAsia="Times New Roman" w:cstheme="minorHAnsi"/>
        </w:rPr>
        <w:t>g its use in clinical practice.</w:t>
      </w:r>
    </w:p>
    <w:p w14:paraId="23CDCEB3" w14:textId="77777777" w:rsidR="00500F6C" w:rsidRPr="00500F6C" w:rsidRDefault="00500F6C" w:rsidP="001B29FB">
      <w:pPr>
        <w:pStyle w:val="Heading3"/>
        <w:spacing w:before="0"/>
      </w:pPr>
      <w:r w:rsidRPr="00205D0F">
        <w:t xml:space="preserve">March 2016 </w:t>
      </w:r>
      <w:r w:rsidRPr="00520DB5">
        <w:t>PBAC Meeting</w:t>
      </w:r>
    </w:p>
    <w:p w14:paraId="297F7FCC" w14:textId="77777777" w:rsidR="00500F6C" w:rsidRPr="00500F6C" w:rsidRDefault="00500F6C" w:rsidP="001B29FB">
      <w:pPr>
        <w:jc w:val="both"/>
        <w:rPr>
          <w:rFonts w:eastAsia="Times New Roman" w:cstheme="minorHAnsi"/>
        </w:rPr>
      </w:pPr>
      <w:r w:rsidRPr="006557A4">
        <w:rPr>
          <w:rFonts w:eastAsia="Times New Roman" w:cstheme="minorHAnsi"/>
        </w:rPr>
        <w:t xml:space="preserve">The </w:t>
      </w:r>
      <w:r w:rsidR="00652A71">
        <w:rPr>
          <w:rFonts w:eastAsia="Times New Roman" w:cstheme="minorHAnsi"/>
        </w:rPr>
        <w:t>re</w:t>
      </w:r>
      <w:r w:rsidRPr="006557A4">
        <w:rPr>
          <w:rFonts w:eastAsia="Times New Roman" w:cstheme="minorHAnsi"/>
        </w:rPr>
        <w:t xml:space="preserve">submission requested a Section 85 Authority Required PBS listing for </w:t>
      </w:r>
      <w:proofErr w:type="spellStart"/>
      <w:r w:rsidRPr="006557A4">
        <w:rPr>
          <w:rFonts w:eastAsia="Times New Roman" w:cstheme="minorHAnsi"/>
        </w:rPr>
        <w:t>evolocumab</w:t>
      </w:r>
      <w:proofErr w:type="spellEnd"/>
      <w:r w:rsidRPr="006557A4">
        <w:rPr>
          <w:rFonts w:eastAsia="Times New Roman" w:cstheme="minorHAnsi"/>
        </w:rPr>
        <w:t xml:space="preserve"> for the treatment of familial </w:t>
      </w:r>
      <w:proofErr w:type="spellStart"/>
      <w:r w:rsidRPr="006557A4">
        <w:rPr>
          <w:rFonts w:eastAsia="Times New Roman" w:cstheme="minorHAnsi"/>
        </w:rPr>
        <w:t>hypercholesterolaemia</w:t>
      </w:r>
      <w:proofErr w:type="spellEnd"/>
      <w:r w:rsidRPr="006557A4">
        <w:rPr>
          <w:rFonts w:eastAsia="Times New Roman" w:cstheme="minorHAnsi"/>
        </w:rPr>
        <w:t>.</w:t>
      </w:r>
      <w:r w:rsidR="00652A71">
        <w:rPr>
          <w:rFonts w:eastAsia="Times New Roman" w:cstheme="minorHAnsi"/>
        </w:rPr>
        <w:t xml:space="preserve"> </w:t>
      </w:r>
      <w:r w:rsidRPr="006557A4">
        <w:rPr>
          <w:rFonts w:eastAsia="Times New Roman" w:cstheme="minorHAnsi"/>
        </w:rPr>
        <w:t xml:space="preserve">This resubmission </w:t>
      </w:r>
      <w:proofErr w:type="gramStart"/>
      <w:r w:rsidRPr="006557A4">
        <w:rPr>
          <w:rFonts w:eastAsia="Times New Roman" w:cstheme="minorHAnsi"/>
        </w:rPr>
        <w:t>was not considered</w:t>
      </w:r>
      <w:proofErr w:type="gramEnd"/>
      <w:r w:rsidRPr="006557A4">
        <w:rPr>
          <w:rFonts w:eastAsia="Times New Roman" w:cstheme="minorHAnsi"/>
        </w:rPr>
        <w:t xml:space="preserve"> by DUSC.</w:t>
      </w:r>
    </w:p>
    <w:p w14:paraId="1B5675A0" w14:textId="77777777" w:rsidR="00500F6C" w:rsidRPr="00205D0F" w:rsidRDefault="00500F6C" w:rsidP="00B719F2">
      <w:pPr>
        <w:jc w:val="both"/>
        <w:rPr>
          <w:rFonts w:eastAsia="Times New Roman" w:cstheme="minorHAnsi"/>
        </w:rPr>
      </w:pPr>
      <w:r w:rsidRPr="006557A4">
        <w:rPr>
          <w:rFonts w:eastAsia="Times New Roman" w:cstheme="minorHAnsi"/>
        </w:rPr>
        <w:t>The PBAC recommended the</w:t>
      </w:r>
      <w:r w:rsidR="00652A71">
        <w:rPr>
          <w:rFonts w:eastAsia="Times New Roman" w:cstheme="minorHAnsi"/>
        </w:rPr>
        <w:t xml:space="preserve"> Section 85 Authority Required</w:t>
      </w:r>
      <w:r w:rsidRPr="006557A4">
        <w:rPr>
          <w:rFonts w:eastAsia="Times New Roman" w:cstheme="minorHAnsi"/>
        </w:rPr>
        <w:t xml:space="preserve"> listing of </w:t>
      </w:r>
      <w:proofErr w:type="spellStart"/>
      <w:r w:rsidRPr="006557A4">
        <w:rPr>
          <w:rFonts w:eastAsia="Times New Roman" w:cstheme="minorHAnsi"/>
        </w:rPr>
        <w:t>evolocumab</w:t>
      </w:r>
      <w:proofErr w:type="spellEnd"/>
      <w:r w:rsidRPr="006557A4">
        <w:rPr>
          <w:rFonts w:eastAsia="Times New Roman" w:cstheme="minorHAnsi"/>
        </w:rPr>
        <w:t xml:space="preserve"> for homozygous familial </w:t>
      </w:r>
      <w:proofErr w:type="spellStart"/>
      <w:r w:rsidRPr="006557A4">
        <w:rPr>
          <w:rFonts w:eastAsia="Times New Roman" w:cstheme="minorHAnsi"/>
        </w:rPr>
        <w:t>hypercholesterolaemia</w:t>
      </w:r>
      <w:proofErr w:type="spellEnd"/>
      <w:r w:rsidRPr="006557A4">
        <w:rPr>
          <w:rFonts w:eastAsia="Times New Roman" w:cstheme="minorHAnsi"/>
        </w:rPr>
        <w:t xml:space="preserve"> (but </w:t>
      </w:r>
      <w:proofErr w:type="gramStart"/>
      <w:r w:rsidRPr="006557A4">
        <w:rPr>
          <w:rFonts w:eastAsia="Times New Roman" w:cstheme="minorHAnsi"/>
        </w:rPr>
        <w:t>not</w:t>
      </w:r>
      <w:proofErr w:type="gramEnd"/>
      <w:r w:rsidRPr="006557A4">
        <w:rPr>
          <w:rFonts w:eastAsia="Times New Roman" w:cstheme="minorHAnsi"/>
        </w:rPr>
        <w:t xml:space="preserve"> the </w:t>
      </w:r>
      <w:proofErr w:type="gramStart"/>
      <w:r w:rsidRPr="006557A4">
        <w:rPr>
          <w:rFonts w:eastAsia="Times New Roman" w:cstheme="minorHAnsi"/>
        </w:rPr>
        <w:t>broader</w:t>
      </w:r>
      <w:proofErr w:type="gramEnd"/>
      <w:r w:rsidRPr="006557A4">
        <w:rPr>
          <w:rFonts w:eastAsia="Times New Roman" w:cstheme="minorHAnsi"/>
        </w:rPr>
        <w:t xml:space="preserve"> heterozygous familial </w:t>
      </w:r>
      <w:proofErr w:type="spellStart"/>
      <w:r w:rsidRPr="006557A4">
        <w:rPr>
          <w:rFonts w:eastAsia="Times New Roman" w:cstheme="minorHAnsi"/>
        </w:rPr>
        <w:lastRenderedPageBreak/>
        <w:t>hypercholesterolaemia</w:t>
      </w:r>
      <w:proofErr w:type="spellEnd"/>
      <w:r w:rsidRPr="006557A4">
        <w:rPr>
          <w:rFonts w:eastAsia="Times New Roman" w:cstheme="minorHAnsi"/>
        </w:rPr>
        <w:t xml:space="preserve"> population). In making this recommendation, the PBAC considered that the homozygous FH population represent a small, definable, patient group, in whom there is a high level of clinical need. </w:t>
      </w:r>
    </w:p>
    <w:p w14:paraId="5EEB3DA9" w14:textId="77777777" w:rsidR="00A062BA" w:rsidRPr="0096511A" w:rsidRDefault="00500F6C" w:rsidP="0096511A">
      <w:pPr>
        <w:jc w:val="both"/>
        <w:rPr>
          <w:rFonts w:eastAsia="Times New Roman" w:cstheme="minorHAnsi"/>
        </w:rPr>
      </w:pPr>
      <w:r w:rsidRPr="00205D0F">
        <w:rPr>
          <w:rFonts w:eastAsia="Times New Roman" w:cstheme="minorHAnsi"/>
        </w:rPr>
        <w:t>T</w:t>
      </w:r>
      <w:r w:rsidRPr="006557A4">
        <w:rPr>
          <w:rFonts w:eastAsia="Times New Roman" w:cstheme="minorHAnsi"/>
        </w:rPr>
        <w:t>he PBAC considered that the submission’s estimates of usage in the homozygous FH population were more reliable than the estimates for the heterozygous FH population, as there are likely to be less undiagnosed homozygous patients. The PBAC recommended a</w:t>
      </w:r>
      <w:r w:rsidR="00652A71">
        <w:rPr>
          <w:rFonts w:eastAsia="Times New Roman" w:cstheme="minorHAnsi"/>
        </w:rPr>
        <w:t xml:space="preserve"> risk</w:t>
      </w:r>
      <w:r w:rsidR="00652A71">
        <w:rPr>
          <w:rFonts w:eastAsia="Times New Roman" w:cstheme="minorHAnsi"/>
        </w:rPr>
        <w:noBreakHyphen/>
        <w:t>sharing arrangement (RSA)</w:t>
      </w:r>
      <w:r w:rsidRPr="006557A4">
        <w:rPr>
          <w:rFonts w:eastAsia="Times New Roman" w:cstheme="minorHAnsi"/>
        </w:rPr>
        <w:t xml:space="preserve"> that should include a cap based on the number of patients </w:t>
      </w:r>
      <w:r w:rsidRPr="001850B9">
        <w:rPr>
          <w:rFonts w:eastAsia="Times New Roman" w:cstheme="minorHAnsi"/>
        </w:rPr>
        <w:t>treated</w:t>
      </w:r>
      <w:r w:rsidR="00A11F03">
        <w:rPr>
          <w:rFonts w:eastAsia="Times New Roman" w:cstheme="minorHAnsi"/>
        </w:rPr>
        <w:t>.</w:t>
      </w:r>
    </w:p>
    <w:p w14:paraId="01A961A0" w14:textId="77777777" w:rsidR="0096511A" w:rsidRPr="00500F6C" w:rsidRDefault="0096511A" w:rsidP="00506B36">
      <w:pPr>
        <w:pStyle w:val="Heading3"/>
      </w:pPr>
      <w:r>
        <w:t>July 2017</w:t>
      </w:r>
      <w:r w:rsidRPr="00205D0F">
        <w:t xml:space="preserve"> </w:t>
      </w:r>
      <w:r w:rsidRPr="00520DB5">
        <w:t>PBAC Meeting</w:t>
      </w:r>
    </w:p>
    <w:p w14:paraId="5A12F9CF" w14:textId="77777777" w:rsidR="0096511A" w:rsidRDefault="0096511A" w:rsidP="0096511A">
      <w:pPr>
        <w:jc w:val="both"/>
      </w:pPr>
      <w:r>
        <w:t xml:space="preserve">The minor submission requested PBS listing of an additional form of </w:t>
      </w:r>
      <w:proofErr w:type="spellStart"/>
      <w:r>
        <w:t>evolocumab</w:t>
      </w:r>
      <w:proofErr w:type="spellEnd"/>
      <w:r>
        <w:t xml:space="preserve"> 120</w:t>
      </w:r>
      <w:r w:rsidR="002F2754">
        <w:t> </w:t>
      </w:r>
      <w:r>
        <w:t>mg/1</w:t>
      </w:r>
      <w:r w:rsidR="002F2754">
        <w:t> </w:t>
      </w:r>
      <w:r>
        <w:t>mL in 3.5 mL</w:t>
      </w:r>
      <w:r w:rsidR="009A0B74">
        <w:t xml:space="preserve"> (420 mg/3.5 mL</w:t>
      </w:r>
      <w:r w:rsidR="009A0B74" w:rsidRPr="0021111D">
        <w:t xml:space="preserve"> cartridge</w:t>
      </w:r>
      <w:r w:rsidR="009A0B74">
        <w:t>)</w:t>
      </w:r>
      <w:r>
        <w:t xml:space="preserve"> for the treatment of familial homozygous </w:t>
      </w:r>
      <w:proofErr w:type="spellStart"/>
      <w:r>
        <w:t>hypercholesterolaemia</w:t>
      </w:r>
      <w:proofErr w:type="spellEnd"/>
      <w:r>
        <w:t xml:space="preserve">. </w:t>
      </w:r>
    </w:p>
    <w:p w14:paraId="25066D5E" w14:textId="77777777" w:rsidR="0096511A" w:rsidRDefault="0096511A" w:rsidP="0096511A">
      <w:pPr>
        <w:jc w:val="both"/>
      </w:pPr>
      <w:proofErr w:type="gramStart"/>
      <w:r>
        <w:t xml:space="preserve">The PBAC recommended the listing of the new strength of </w:t>
      </w:r>
      <w:proofErr w:type="spellStart"/>
      <w:r>
        <w:t>evolocumab</w:t>
      </w:r>
      <w:proofErr w:type="spellEnd"/>
      <w:r>
        <w:t xml:space="preserve"> for the treatment of familial homozygous </w:t>
      </w:r>
      <w:proofErr w:type="spellStart"/>
      <w:r>
        <w:t>hypercholest</w:t>
      </w:r>
      <w:r w:rsidR="007F2D0F">
        <w:t>e</w:t>
      </w:r>
      <w:r>
        <w:t>rolaemia</w:t>
      </w:r>
      <w:proofErr w:type="spellEnd"/>
      <w:r>
        <w:t xml:space="preserve"> as the listing would reduce the number of injections that patients would be required to administer from the three injections for the currently listed strength of 140 mg/mL to a single injection and therefore would make it easier for patients to manage their condition.</w:t>
      </w:r>
      <w:proofErr w:type="gramEnd"/>
      <w:r>
        <w:t xml:space="preserve"> </w:t>
      </w:r>
    </w:p>
    <w:p w14:paraId="029E7510" w14:textId="77777777" w:rsidR="0096511A" w:rsidRDefault="0096511A" w:rsidP="0096511A">
      <w:pPr>
        <w:jc w:val="both"/>
      </w:pPr>
      <w:r>
        <w:t xml:space="preserve">The PBAC accepted the additional form of </w:t>
      </w:r>
      <w:proofErr w:type="spellStart"/>
      <w:r>
        <w:t>evolocumab</w:t>
      </w:r>
      <w:proofErr w:type="spellEnd"/>
      <w:r>
        <w:t xml:space="preserve"> </w:t>
      </w:r>
      <w:proofErr w:type="gramStart"/>
      <w:r>
        <w:t>will</w:t>
      </w:r>
      <w:proofErr w:type="gramEnd"/>
      <w:r>
        <w:t xml:space="preserve"> provide patients with an alternative dosing schedule at no additional cost to the Government. </w:t>
      </w:r>
    </w:p>
    <w:p w14:paraId="13FD85FC" w14:textId="77777777" w:rsidR="0096511A" w:rsidRDefault="0096511A" w:rsidP="0096511A">
      <w:pPr>
        <w:jc w:val="both"/>
      </w:pPr>
      <w:r>
        <w:t xml:space="preserve">The PBAC noted the restriction is unchanged from the currently listed strength of </w:t>
      </w:r>
      <w:proofErr w:type="spellStart"/>
      <w:r>
        <w:t>evolocumab</w:t>
      </w:r>
      <w:proofErr w:type="spellEnd"/>
      <w:r>
        <w:t>.</w:t>
      </w:r>
    </w:p>
    <w:p w14:paraId="0009DD9C" w14:textId="77777777" w:rsidR="00884412" w:rsidRPr="008768B9" w:rsidRDefault="0096511A" w:rsidP="006D2CC9">
      <w:r w:rsidRPr="0096511A">
        <w:t xml:space="preserve">For further </w:t>
      </w:r>
      <w:proofErr w:type="gramStart"/>
      <w:r w:rsidRPr="0096511A">
        <w:t>details</w:t>
      </w:r>
      <w:proofErr w:type="gramEnd"/>
      <w:r w:rsidRPr="0096511A">
        <w:t xml:space="preserve"> refer to the </w:t>
      </w:r>
      <w:r w:rsidRPr="004449A7">
        <w:t>Public Summary Documents</w:t>
      </w:r>
      <w:r w:rsidR="001B29FB">
        <w:t>.</w:t>
      </w:r>
    </w:p>
    <w:p w14:paraId="1587519D" w14:textId="77777777" w:rsidR="008768B9" w:rsidRPr="003E2437" w:rsidRDefault="003E2437" w:rsidP="00506B36">
      <w:pPr>
        <w:pStyle w:val="Heading3"/>
      </w:pPr>
      <w:r w:rsidRPr="003E2437">
        <w:t>Medical Services Advisory Committee (MSAC)</w:t>
      </w:r>
      <w:r>
        <w:t xml:space="preserve"> consideration</w:t>
      </w:r>
    </w:p>
    <w:p w14:paraId="0352A066" w14:textId="77777777" w:rsidR="00935061" w:rsidRPr="00935061" w:rsidRDefault="00935061" w:rsidP="001B29FB">
      <w:pPr>
        <w:jc w:val="both"/>
      </w:pPr>
      <w:r w:rsidRPr="00935061">
        <w:t xml:space="preserve">In March 2019, the MSAC considered </w:t>
      </w:r>
      <w:r>
        <w:t>a</w:t>
      </w:r>
      <w:r w:rsidRPr="00935061">
        <w:t>n application</w:t>
      </w:r>
      <w:r>
        <w:t xml:space="preserve"> received from the </w:t>
      </w:r>
      <w:r w:rsidRPr="00935061">
        <w:t xml:space="preserve">Royal College of Pathologists of Australasia (RCPA) for diagnostic genetic testing for heritable mutations predisposing to familial </w:t>
      </w:r>
      <w:proofErr w:type="spellStart"/>
      <w:r w:rsidRPr="00935061">
        <w:t>hypercholesterolaemia</w:t>
      </w:r>
      <w:proofErr w:type="spellEnd"/>
      <w:r w:rsidR="004D331D">
        <w:t xml:space="preserve"> </w:t>
      </w:r>
      <w:r w:rsidRPr="00935061">
        <w:t>in clinically affected individuals, and for predictive genetic testing (or “cascade testing”) of the family members of those affected individuals who ar</w:t>
      </w:r>
      <w:r>
        <w:t>e shown to have such a mutation.</w:t>
      </w:r>
    </w:p>
    <w:p w14:paraId="13E01835" w14:textId="77777777" w:rsidR="0076394B" w:rsidRDefault="0076394B" w:rsidP="001B29FB">
      <w:pPr>
        <w:jc w:val="both"/>
      </w:pPr>
      <w:r>
        <w:t xml:space="preserve">After considering the strength of the available evidence in relation to comparative safety, clinical effectiveness and cost-effectiveness, MSAC supported </w:t>
      </w:r>
      <w:r w:rsidR="00A83FDF" w:rsidRPr="00A83FDF">
        <w:t xml:space="preserve">Medicare Benefits Schedule (MBS) </w:t>
      </w:r>
      <w:r>
        <w:t xml:space="preserve">listing of genetic testing for heritable mutations associated with </w:t>
      </w:r>
      <w:r w:rsidR="00652A71">
        <w:t>FH</w:t>
      </w:r>
      <w:r>
        <w:t xml:space="preserve"> in affected individuals meeting defined eligibility criteria, and targeted cascade testing in first and second-degree relatives of those affected individuals with a confirmed genetic diagnosis. </w:t>
      </w:r>
    </w:p>
    <w:p w14:paraId="170D5E8D" w14:textId="77777777" w:rsidR="00EC7F10" w:rsidRDefault="00F47E90" w:rsidP="001B29FB">
      <w:pPr>
        <w:jc w:val="both"/>
      </w:pPr>
      <w:proofErr w:type="gramStart"/>
      <w:r>
        <w:t xml:space="preserve">MSAC queried whether the PBS criteria would lead to leakage for an MBS listing, but noted that the Dutch Lipid Clinic Network Score for identifying affected individuals in the proposed MBS item descriptor (at least 6) is similar to the Score used in the alternative option for confirming FH in the PBS restriction for </w:t>
      </w:r>
      <w:proofErr w:type="spellStart"/>
      <w:r>
        <w:t>evolocumab</w:t>
      </w:r>
      <w:proofErr w:type="spellEnd"/>
      <w:r>
        <w:t xml:space="preserve"> (at least 6 for </w:t>
      </w:r>
      <w:proofErr w:type="spellStart"/>
      <w:r w:rsidR="00652A71">
        <w:t>He</w:t>
      </w:r>
      <w:r>
        <w:t>FH</w:t>
      </w:r>
      <w:proofErr w:type="spellEnd"/>
      <w:r>
        <w:t xml:space="preserve">, and at least 7 for </w:t>
      </w:r>
      <w:proofErr w:type="spellStart"/>
      <w:r w:rsidR="00652A71">
        <w:t>H</w:t>
      </w:r>
      <w:r>
        <w:t>oFH</w:t>
      </w:r>
      <w:proofErr w:type="spellEnd"/>
      <w:r>
        <w:t>).</w:t>
      </w:r>
      <w:proofErr w:type="gramEnd"/>
      <w:r>
        <w:t xml:space="preserve"> In addition, the PBS listing for </w:t>
      </w:r>
      <w:proofErr w:type="spellStart"/>
      <w:r w:rsidR="00652A71">
        <w:t>H</w:t>
      </w:r>
      <w:r>
        <w:t>oFH</w:t>
      </w:r>
      <w:proofErr w:type="spellEnd"/>
      <w:r>
        <w:t xml:space="preserve"> patients </w:t>
      </w:r>
      <w:r w:rsidR="00652A71">
        <w:t xml:space="preserve">did </w:t>
      </w:r>
      <w:r>
        <w:t xml:space="preserve">not appear to have resulted in large </w:t>
      </w:r>
      <w:r>
        <w:lastRenderedPageBreak/>
        <w:t xml:space="preserve">increases in genetic testing, although the listing for </w:t>
      </w:r>
      <w:proofErr w:type="spellStart"/>
      <w:r w:rsidR="00652A71">
        <w:t>H</w:t>
      </w:r>
      <w:r>
        <w:t>eFH</w:t>
      </w:r>
      <w:proofErr w:type="spellEnd"/>
      <w:r>
        <w:t xml:space="preserve"> patients </w:t>
      </w:r>
      <w:r w:rsidR="00652A71">
        <w:t>was</w:t>
      </w:r>
      <w:r>
        <w:t xml:space="preserve"> too recent for any data </w:t>
      </w:r>
      <w:proofErr w:type="gramStart"/>
      <w:r>
        <w:t>to yet be</w:t>
      </w:r>
      <w:proofErr w:type="gramEnd"/>
      <w:r>
        <w:t xml:space="preserve"> available. MSAC noted that the pool of </w:t>
      </w:r>
      <w:proofErr w:type="spellStart"/>
      <w:r w:rsidR="00652A71">
        <w:t>H</w:t>
      </w:r>
      <w:r>
        <w:t>eFH</w:t>
      </w:r>
      <w:proofErr w:type="spellEnd"/>
      <w:r>
        <w:t xml:space="preserve"> patients is much larger than for </w:t>
      </w:r>
      <w:proofErr w:type="spellStart"/>
      <w:r w:rsidR="00652A71">
        <w:t>H</w:t>
      </w:r>
      <w:r>
        <w:t>oFH</w:t>
      </w:r>
      <w:proofErr w:type="spellEnd"/>
      <w:r>
        <w:t xml:space="preserve"> patients. </w:t>
      </w:r>
    </w:p>
    <w:p w14:paraId="76F10F78" w14:textId="77777777" w:rsidR="00EC7F10" w:rsidRDefault="00F47E90" w:rsidP="00EC7F10">
      <w:pPr>
        <w:jc w:val="both"/>
      </w:pPr>
      <w:r>
        <w:t xml:space="preserve">MSAC queried the criteria for testing in the proposed MBS item descriptor, noting that it differed in some respects from the PBS listing for </w:t>
      </w:r>
      <w:proofErr w:type="spellStart"/>
      <w:r>
        <w:t>evolocumab</w:t>
      </w:r>
      <w:proofErr w:type="spellEnd"/>
      <w:r>
        <w:t xml:space="preserve">. However, MSAC accepted that these criteria do not have to match. Therefore, MSAC accepted the following criteria for testing of affected individuals who do not have a previously identified FH mutation, but have one or more of the following: </w:t>
      </w:r>
    </w:p>
    <w:p w14:paraId="18EB6AD9" w14:textId="77777777" w:rsidR="00EC7F10" w:rsidRDefault="00F47E90" w:rsidP="00935061">
      <w:pPr>
        <w:pStyle w:val="ListParagraph"/>
        <w:numPr>
          <w:ilvl w:val="0"/>
          <w:numId w:val="30"/>
        </w:numPr>
      </w:pPr>
      <w:r>
        <w:t xml:space="preserve">a Dutch Lipid Clinic Network Score of at least 6 </w:t>
      </w:r>
    </w:p>
    <w:p w14:paraId="1A6EB8A9" w14:textId="77777777" w:rsidR="00EC7F10" w:rsidRDefault="00F47E90" w:rsidP="00935061">
      <w:pPr>
        <w:pStyle w:val="ListParagraph"/>
        <w:numPr>
          <w:ilvl w:val="0"/>
          <w:numId w:val="30"/>
        </w:numPr>
      </w:pPr>
      <w:r>
        <w:t xml:space="preserve">a low-density lipoprotein (LDL) cholesterol level of at least 6.5 </w:t>
      </w:r>
      <w:proofErr w:type="spellStart"/>
      <w:r>
        <w:t>mmol</w:t>
      </w:r>
      <w:proofErr w:type="spellEnd"/>
      <w:r>
        <w:t xml:space="preserve">/L in the absence of secondary causes </w:t>
      </w:r>
    </w:p>
    <w:p w14:paraId="24AEFD38" w14:textId="77777777" w:rsidR="00884412" w:rsidRDefault="00F47E90" w:rsidP="00935061">
      <w:pPr>
        <w:pStyle w:val="ListParagraph"/>
        <w:numPr>
          <w:ilvl w:val="0"/>
          <w:numId w:val="30"/>
        </w:numPr>
      </w:pPr>
      <w:proofErr w:type="gramStart"/>
      <w:r>
        <w:t>an</w:t>
      </w:r>
      <w:proofErr w:type="gramEnd"/>
      <w:r>
        <w:t xml:space="preserve"> LDL cholesterol level between 5.0 and 6.5 </w:t>
      </w:r>
      <w:proofErr w:type="spellStart"/>
      <w:r>
        <w:t>mmol</w:t>
      </w:r>
      <w:proofErr w:type="spellEnd"/>
      <w:r>
        <w:t xml:space="preserve">/L with signs of premature/accelerated </w:t>
      </w:r>
      <w:proofErr w:type="spellStart"/>
      <w:r>
        <w:t>atherogenesis</w:t>
      </w:r>
      <w:proofErr w:type="spellEnd"/>
      <w:r>
        <w:t>.</w:t>
      </w:r>
    </w:p>
    <w:p w14:paraId="68350E4E" w14:textId="77777777" w:rsidR="00935061" w:rsidRPr="00935061" w:rsidRDefault="00935061" w:rsidP="00935061">
      <w:pPr>
        <w:jc w:val="both"/>
      </w:pPr>
      <w:r w:rsidRPr="00935061">
        <w:t xml:space="preserve">For further </w:t>
      </w:r>
      <w:proofErr w:type="gramStart"/>
      <w:r w:rsidRPr="00935061">
        <w:t>details</w:t>
      </w:r>
      <w:proofErr w:type="gramEnd"/>
      <w:r w:rsidRPr="00935061">
        <w:t xml:space="preserve"> refer to the </w:t>
      </w:r>
      <w:r w:rsidR="00E15572">
        <w:t xml:space="preserve">MSAC </w:t>
      </w:r>
      <w:r w:rsidRPr="004449A7">
        <w:t>Public Summary Doc</w:t>
      </w:r>
      <w:r w:rsidR="00E15572" w:rsidRPr="004449A7">
        <w:t>ument</w:t>
      </w:r>
      <w:r w:rsidRPr="00935061">
        <w:t>.</w:t>
      </w:r>
    </w:p>
    <w:p w14:paraId="5672B2AE" w14:textId="77777777" w:rsidR="00BA6AB8" w:rsidRDefault="00BA6AB8" w:rsidP="00506B36">
      <w:pPr>
        <w:pStyle w:val="Heading2"/>
        <w:rPr>
          <w:rFonts w:eastAsia="Times New Roman" w:cstheme="minorHAnsi"/>
        </w:rPr>
      </w:pPr>
      <w:r w:rsidRPr="00BA6AB8">
        <w:t>Previous reviews by the DUSC</w:t>
      </w:r>
    </w:p>
    <w:p w14:paraId="093DB014" w14:textId="77777777" w:rsidR="00884412" w:rsidRPr="00BA6AB8" w:rsidRDefault="00BA6AB8" w:rsidP="00362DB0">
      <w:pPr>
        <w:rPr>
          <w:rFonts w:eastAsia="Times New Roman" w:cstheme="minorHAnsi"/>
        </w:rPr>
      </w:pPr>
      <w:proofErr w:type="spellStart"/>
      <w:r w:rsidRPr="000C49A3">
        <w:rPr>
          <w:rFonts w:eastAsia="Times New Roman" w:cstheme="minorHAnsi"/>
        </w:rPr>
        <w:t>Ev</w:t>
      </w:r>
      <w:r w:rsidRPr="000C65A4">
        <w:rPr>
          <w:rFonts w:eastAsia="Times New Roman" w:cstheme="minorHAnsi"/>
        </w:rPr>
        <w:t>olocumab</w:t>
      </w:r>
      <w:proofErr w:type="spellEnd"/>
      <w:r w:rsidRPr="000C49A3">
        <w:rPr>
          <w:rFonts w:eastAsia="Times New Roman" w:cstheme="minorHAnsi"/>
        </w:rPr>
        <w:t xml:space="preserve"> </w:t>
      </w:r>
      <w:proofErr w:type="gramStart"/>
      <w:r w:rsidRPr="000C49A3">
        <w:rPr>
          <w:rFonts w:eastAsia="Times New Roman" w:cstheme="minorHAnsi"/>
        </w:rPr>
        <w:t>has not previously been reviewed</w:t>
      </w:r>
      <w:proofErr w:type="gramEnd"/>
      <w:r w:rsidRPr="000C49A3">
        <w:rPr>
          <w:rFonts w:eastAsia="Times New Roman" w:cstheme="minorHAnsi"/>
        </w:rPr>
        <w:t xml:space="preserve"> by DUSC.</w:t>
      </w:r>
    </w:p>
    <w:p w14:paraId="1E98B434" w14:textId="77777777" w:rsidR="000F2F51" w:rsidRDefault="00ED633B" w:rsidP="00CF5E22">
      <w:pPr>
        <w:pStyle w:val="Heading2"/>
      </w:pPr>
      <w:r>
        <w:t>A</w:t>
      </w:r>
      <w:r w:rsidR="000F2F51">
        <w:t xml:space="preserve">pproach </w:t>
      </w:r>
      <w:r>
        <w:t xml:space="preserve">taken to </w:t>
      </w:r>
      <w:r w:rsidR="000F2F51">
        <w:t>estimat</w:t>
      </w:r>
      <w:r>
        <w:t>e</w:t>
      </w:r>
      <w:r w:rsidR="000F2F51">
        <w:t xml:space="preserve"> utilisation</w:t>
      </w:r>
    </w:p>
    <w:p w14:paraId="6345E68F" w14:textId="77777777" w:rsidR="00956E33" w:rsidRDefault="00E6468D" w:rsidP="00E6468D">
      <w:pPr>
        <w:jc w:val="both"/>
      </w:pPr>
      <w:r w:rsidRPr="00E6468D">
        <w:t>The</w:t>
      </w:r>
      <w:r w:rsidR="005D58E5">
        <w:t xml:space="preserve"> March 2016</w:t>
      </w:r>
      <w:r w:rsidR="00956E33">
        <w:t xml:space="preserve"> PBAC</w:t>
      </w:r>
      <w:r w:rsidRPr="00E6468D">
        <w:t xml:space="preserve"> submission requested a Section 85 Authority Required PBS listing for </w:t>
      </w:r>
      <w:proofErr w:type="spellStart"/>
      <w:r w:rsidRPr="00E6468D">
        <w:t>evolocumab</w:t>
      </w:r>
      <w:proofErr w:type="spellEnd"/>
      <w:r w:rsidR="0021111D" w:rsidRPr="0021111D">
        <w:t xml:space="preserve"> 140 mg/</w:t>
      </w:r>
      <w:r w:rsidR="0021111D">
        <w:t xml:space="preserve">mL injection </w:t>
      </w:r>
      <w:r w:rsidR="0021111D" w:rsidRPr="0021111D">
        <w:t>prefilled syringe</w:t>
      </w:r>
      <w:r w:rsidR="008E5444">
        <w:t xml:space="preserve"> (pen device)</w:t>
      </w:r>
      <w:r w:rsidRPr="00E6468D">
        <w:t xml:space="preserve"> for the treatment of</w:t>
      </w:r>
      <w:r>
        <w:t xml:space="preserve"> </w:t>
      </w:r>
      <w:r w:rsidR="00652A71">
        <w:t>FH</w:t>
      </w:r>
      <w:r>
        <w:t xml:space="preserve"> (</w:t>
      </w:r>
      <w:proofErr w:type="spellStart"/>
      <w:r w:rsidR="00956E33">
        <w:t>HoFH</w:t>
      </w:r>
      <w:proofErr w:type="spellEnd"/>
      <w:r w:rsidR="00956E33">
        <w:t xml:space="preserve"> and </w:t>
      </w:r>
      <w:proofErr w:type="spellStart"/>
      <w:r w:rsidR="00956E33">
        <w:t>HeFH</w:t>
      </w:r>
      <w:proofErr w:type="spellEnd"/>
      <w:r w:rsidR="00956E33">
        <w:t xml:space="preserve">). As the focus of this report is the use of </w:t>
      </w:r>
      <w:proofErr w:type="spellStart"/>
      <w:r w:rsidR="00956E33">
        <w:t>e</w:t>
      </w:r>
      <w:r w:rsidR="0096511A">
        <w:t>volocumab</w:t>
      </w:r>
      <w:proofErr w:type="spellEnd"/>
      <w:r w:rsidR="0096511A">
        <w:t xml:space="preserve"> for </w:t>
      </w:r>
      <w:proofErr w:type="spellStart"/>
      <w:r w:rsidR="0096511A">
        <w:t>HoFH</w:t>
      </w:r>
      <w:proofErr w:type="spellEnd"/>
      <w:r w:rsidR="00956E33">
        <w:t>, only the approach taken to estimate the</w:t>
      </w:r>
      <w:r w:rsidR="008E5444">
        <w:t xml:space="preserve"> utilisation in the</w:t>
      </w:r>
      <w:r w:rsidR="00956E33">
        <w:t xml:space="preserve"> </w:t>
      </w:r>
      <w:proofErr w:type="spellStart"/>
      <w:r w:rsidR="00956E33">
        <w:t>HoFH</w:t>
      </w:r>
      <w:proofErr w:type="spellEnd"/>
      <w:r w:rsidR="00956E33">
        <w:t xml:space="preserve"> population </w:t>
      </w:r>
      <w:proofErr w:type="gramStart"/>
      <w:r w:rsidR="00956E33">
        <w:t>will be outlined</w:t>
      </w:r>
      <w:proofErr w:type="gramEnd"/>
      <w:r w:rsidR="00956E33">
        <w:t xml:space="preserve"> in this section. </w:t>
      </w:r>
    </w:p>
    <w:p w14:paraId="0BAAFA95" w14:textId="77777777" w:rsidR="00E6468D" w:rsidRDefault="00956E33" w:rsidP="00E6468D">
      <w:pPr>
        <w:jc w:val="both"/>
      </w:pPr>
      <w:r>
        <w:t xml:space="preserve">An epidemiological approach </w:t>
      </w:r>
      <w:proofErr w:type="gramStart"/>
      <w:r>
        <w:t>was</w:t>
      </w:r>
      <w:r w:rsidR="005D58E5" w:rsidRPr="009507DF">
        <w:t xml:space="preserve"> taken</w:t>
      </w:r>
      <w:proofErr w:type="gramEnd"/>
      <w:r w:rsidR="005D58E5" w:rsidRPr="009507DF">
        <w:t xml:space="preserve"> to estimate the extent of use of </w:t>
      </w:r>
      <w:proofErr w:type="spellStart"/>
      <w:r w:rsidR="005D58E5" w:rsidRPr="009507DF">
        <w:t>evolocumab</w:t>
      </w:r>
      <w:proofErr w:type="spellEnd"/>
      <w:r w:rsidR="005D58E5" w:rsidRPr="009507DF">
        <w:t xml:space="preserve"> in the p</w:t>
      </w:r>
      <w:r w:rsidR="005D58E5">
        <w:t xml:space="preserve">roposed </w:t>
      </w:r>
      <w:proofErr w:type="spellStart"/>
      <w:r w:rsidR="005D58E5">
        <w:t>HoFH</w:t>
      </w:r>
      <w:proofErr w:type="spellEnd"/>
      <w:r w:rsidR="005D58E5">
        <w:t xml:space="preserve"> population. </w:t>
      </w:r>
      <w:r>
        <w:t xml:space="preserve">The size of the Australian population </w:t>
      </w:r>
      <w:r w:rsidR="00911295" w:rsidRPr="00911295">
        <w:t xml:space="preserve">sourced from the </w:t>
      </w:r>
      <w:r>
        <w:t>Australian Bureau of Statistics (ABS) was</w:t>
      </w:r>
      <w:r w:rsidR="00911295" w:rsidRPr="00911295">
        <w:t xml:space="preserve"> used as the starting point of the analysis to which an annual growth rate of </w:t>
      </w:r>
      <w:r w:rsidR="004449A7">
        <w:rPr>
          <w:noProof/>
          <w:color w:val="000000"/>
          <w:highlight w:val="black"/>
        </w:rPr>
        <w:t xml:space="preserve">'''''''' </w:t>
      </w:r>
      <w:r w:rsidR="00911295" w:rsidRPr="00911295">
        <w:t>was applied to project into future years.</w:t>
      </w:r>
    </w:p>
    <w:p w14:paraId="395BD88E" w14:textId="77777777" w:rsidR="00911295" w:rsidRDefault="00956E33" w:rsidP="007F5A71">
      <w:pPr>
        <w:jc w:val="both"/>
      </w:pPr>
      <w:proofErr w:type="gramStart"/>
      <w:r>
        <w:t xml:space="preserve">The prevalence of </w:t>
      </w:r>
      <w:proofErr w:type="spellStart"/>
      <w:r>
        <w:t>HoFH</w:t>
      </w:r>
      <w:proofErr w:type="spellEnd"/>
      <w:r>
        <w:t xml:space="preserve"> was</w:t>
      </w:r>
      <w:r w:rsidR="005B2109">
        <w:t xml:space="preserve"> taken from </w:t>
      </w:r>
      <w:r w:rsidR="00911295">
        <w:t xml:space="preserve">a publication </w:t>
      </w:r>
      <w:r w:rsidR="005B2109">
        <w:t xml:space="preserve">by </w:t>
      </w:r>
      <w:proofErr w:type="spellStart"/>
      <w:r w:rsidR="005B2109">
        <w:t>Cuchel</w:t>
      </w:r>
      <w:proofErr w:type="spellEnd"/>
      <w:r w:rsidR="005B2109">
        <w:t xml:space="preserve"> et al</w:t>
      </w:r>
      <w:r w:rsidR="00ED2383">
        <w:t xml:space="preserve"> (2014)</w:t>
      </w:r>
      <w:proofErr w:type="gramEnd"/>
      <w:r w:rsidR="00ED2383">
        <w:t xml:space="preserve">. </w:t>
      </w:r>
      <w:proofErr w:type="spellStart"/>
      <w:r w:rsidR="00ED2383" w:rsidRPr="00ED2383">
        <w:t>Cuchel</w:t>
      </w:r>
      <w:proofErr w:type="spellEnd"/>
      <w:r w:rsidR="00ED2383" w:rsidRPr="00ED2383">
        <w:t xml:space="preserve"> et al estimate</w:t>
      </w:r>
      <w:r w:rsidR="0055547F">
        <w:t>d</w:t>
      </w:r>
      <w:r w:rsidR="00ED2383" w:rsidRPr="00ED2383">
        <w:t xml:space="preserve"> that </w:t>
      </w:r>
      <w:proofErr w:type="spellStart"/>
      <w:r w:rsidR="00ED2383" w:rsidRPr="00ED2383">
        <w:t>HoFH</w:t>
      </w:r>
      <w:proofErr w:type="spellEnd"/>
      <w:r w:rsidR="00ED2383" w:rsidRPr="00ED2383">
        <w:t xml:space="preserve"> </w:t>
      </w:r>
      <w:proofErr w:type="gramStart"/>
      <w:r w:rsidR="00ED2383" w:rsidRPr="00ED2383">
        <w:t>may</w:t>
      </w:r>
      <w:proofErr w:type="gramEnd"/>
      <w:r w:rsidR="00ED2383" w:rsidRPr="00ED2383">
        <w:t xml:space="preserve"> affect as many as 1 in 160,000-300,000 people</w:t>
      </w:r>
      <w:r w:rsidR="00E6468D">
        <w:t>.</w:t>
      </w:r>
      <w:r w:rsidR="00277B02">
        <w:rPr>
          <w:rStyle w:val="FootnoteReference"/>
        </w:rPr>
        <w:footnoteReference w:id="3"/>
      </w:r>
      <w:r w:rsidR="00E6468D">
        <w:t xml:space="preserve"> A prevalence of </w:t>
      </w:r>
      <w:proofErr w:type="gramStart"/>
      <w:r w:rsidR="00E6468D">
        <w:t>1</w:t>
      </w:r>
      <w:proofErr w:type="gramEnd"/>
      <w:r w:rsidR="00652A71">
        <w:t> </w:t>
      </w:r>
      <w:r w:rsidR="00E6468D">
        <w:t xml:space="preserve">in </w:t>
      </w:r>
      <w:r w:rsidR="004449A7">
        <w:rPr>
          <w:noProof/>
          <w:color w:val="000000"/>
          <w:highlight w:val="black"/>
        </w:rPr>
        <w:t>''''''''''''''''</w:t>
      </w:r>
      <w:r w:rsidR="00E6468D">
        <w:t xml:space="preserve"> was</w:t>
      </w:r>
      <w:r w:rsidR="00ED2383" w:rsidRPr="00ED2383">
        <w:t xml:space="preserve"> u</w:t>
      </w:r>
      <w:r w:rsidR="0096511A">
        <w:t>sed in the financial analysis.</w:t>
      </w:r>
    </w:p>
    <w:p w14:paraId="138FA2CB" w14:textId="77777777" w:rsidR="00ED2383" w:rsidRDefault="00E6468D" w:rsidP="007F5A71">
      <w:pPr>
        <w:jc w:val="both"/>
      </w:pPr>
      <w:r>
        <w:t xml:space="preserve">It </w:t>
      </w:r>
      <w:proofErr w:type="gramStart"/>
      <w:r>
        <w:t>was</w:t>
      </w:r>
      <w:r w:rsidR="00ED2383" w:rsidRPr="00ED2383">
        <w:t xml:space="preserve"> assumed</w:t>
      </w:r>
      <w:proofErr w:type="gramEnd"/>
      <w:r w:rsidR="00ED2383" w:rsidRPr="00ED2383">
        <w:t xml:space="preserve"> in the analysis that all </w:t>
      </w:r>
      <w:proofErr w:type="spellStart"/>
      <w:r w:rsidR="00ED2383" w:rsidRPr="00ED2383">
        <w:t>HoFH</w:t>
      </w:r>
      <w:proofErr w:type="spellEnd"/>
      <w:r w:rsidR="00ED2383" w:rsidRPr="00ED2383">
        <w:t xml:space="preserve"> patients will meet the PBS eligibility criteria and uptake of </w:t>
      </w:r>
      <w:proofErr w:type="spellStart"/>
      <w:r w:rsidR="00ED2383" w:rsidRPr="00ED2383">
        <w:t>evolocumab</w:t>
      </w:r>
      <w:proofErr w:type="spellEnd"/>
      <w:r w:rsidR="00ED2383" w:rsidRPr="00ED2383">
        <w:t xml:space="preserve"> will be </w:t>
      </w:r>
      <w:r w:rsidR="004449A7">
        <w:rPr>
          <w:noProof/>
          <w:color w:val="000000"/>
          <w:highlight w:val="black"/>
        </w:rPr>
        <w:t>''''''''''</w:t>
      </w:r>
      <w:r w:rsidR="00ED2383" w:rsidRPr="009D1643">
        <w:t>.</w:t>
      </w:r>
      <w:r w:rsidR="00911295">
        <w:t xml:space="preserve"> </w:t>
      </w:r>
      <w:r w:rsidR="00ED2383" w:rsidRPr="00ED2383">
        <w:t xml:space="preserve">The </w:t>
      </w:r>
      <w:proofErr w:type="spellStart"/>
      <w:r w:rsidR="00ED2383" w:rsidRPr="00ED2383">
        <w:t>monthly</w:t>
      </w:r>
      <w:proofErr w:type="gramStart"/>
      <w:r w:rsidR="00ED2383" w:rsidRPr="00ED2383">
        <w:t>:fortnightly</w:t>
      </w:r>
      <w:proofErr w:type="spellEnd"/>
      <w:proofErr w:type="gramEnd"/>
      <w:r w:rsidR="00ED2383" w:rsidRPr="00ED2383">
        <w:t xml:space="preserve"> </w:t>
      </w:r>
      <w:proofErr w:type="spellStart"/>
      <w:r w:rsidR="00ED2383" w:rsidRPr="00ED2383">
        <w:t>evolocumab</w:t>
      </w:r>
      <w:proofErr w:type="spellEnd"/>
      <w:r w:rsidR="00ED2383" w:rsidRPr="00ED2383">
        <w:t xml:space="preserve"> dosing</w:t>
      </w:r>
      <w:r w:rsidR="0096511A">
        <w:t xml:space="preserve"> split was</w:t>
      </w:r>
      <w:r w:rsidR="00911295">
        <w:t xml:space="preserve"> assumed to be </w:t>
      </w:r>
      <w:r w:rsidR="004449A7">
        <w:rPr>
          <w:noProof/>
          <w:color w:val="000000"/>
          <w:highlight w:val="black"/>
        </w:rPr>
        <w:t>''''''''''</w:t>
      </w:r>
      <w:r w:rsidR="00911295">
        <w:t>.</w:t>
      </w:r>
    </w:p>
    <w:p w14:paraId="08650C1C" w14:textId="77777777" w:rsidR="0096511A" w:rsidRDefault="0021111D" w:rsidP="0062157C">
      <w:pPr>
        <w:jc w:val="both"/>
      </w:pPr>
      <w:r w:rsidRPr="0021111D">
        <w:lastRenderedPageBreak/>
        <w:t>The</w:t>
      </w:r>
      <w:r>
        <w:t xml:space="preserve"> July 2017</w:t>
      </w:r>
      <w:r w:rsidRPr="0021111D">
        <w:t xml:space="preserve"> minor submission</w:t>
      </w:r>
      <w:r w:rsidR="006F1BA3">
        <w:t xml:space="preserve"> to PBAC</w:t>
      </w:r>
      <w:r w:rsidRPr="0021111D">
        <w:t xml:space="preserve"> requested PBS listing of an additional form of </w:t>
      </w:r>
      <w:proofErr w:type="spellStart"/>
      <w:r w:rsidRPr="0021111D">
        <w:t>evolocumab</w:t>
      </w:r>
      <w:proofErr w:type="spellEnd"/>
      <w:r w:rsidRPr="0021111D">
        <w:t xml:space="preserve"> 120 mg/1 mL in 3.5 mL (420 mg/3.5 mL) cartridge</w:t>
      </w:r>
      <w:r>
        <w:t>.</w:t>
      </w:r>
      <w:r w:rsidR="003F5C57">
        <w:t xml:space="preserve"> The submission used the following </w:t>
      </w:r>
      <w:r w:rsidR="0076394B">
        <w:t xml:space="preserve">substitution </w:t>
      </w:r>
      <w:r w:rsidR="0096511A">
        <w:t>rate.</w:t>
      </w:r>
    </w:p>
    <w:p w14:paraId="278E30CA" w14:textId="77777777" w:rsidR="003F5C57" w:rsidRPr="0021111D" w:rsidRDefault="006F1BA3" w:rsidP="00A81117">
      <w:pPr>
        <w:pStyle w:val="Tabletitle"/>
        <w:spacing w:before="200"/>
      </w:pPr>
      <w:r>
        <w:t>Table 2</w:t>
      </w:r>
      <w:r w:rsidR="0076394B" w:rsidRPr="001420B3" w:rsidDel="00EE2BBB">
        <w:t xml:space="preserve">: </w:t>
      </w:r>
      <w:r>
        <w:t>U</w:t>
      </w:r>
      <w:r w:rsidR="0076394B">
        <w:t xml:space="preserve">se of </w:t>
      </w:r>
      <w:proofErr w:type="spellStart"/>
      <w:r w:rsidR="0076394B">
        <w:t>evolocumab</w:t>
      </w:r>
      <w:proofErr w:type="spellEnd"/>
      <w:r w:rsidR="0076394B">
        <w:t xml:space="preserve"> by presentation</w:t>
      </w:r>
    </w:p>
    <w:tbl>
      <w:tblPr>
        <w:tblStyle w:val="TableGrid"/>
        <w:tblW w:w="8926" w:type="dxa"/>
        <w:tblLayout w:type="fixed"/>
        <w:tblLook w:val="04A0" w:firstRow="1" w:lastRow="0" w:firstColumn="1" w:lastColumn="0" w:noHBand="0" w:noVBand="1"/>
        <w:tblCaption w:val="Table 2"/>
        <w:tblDescription w:val="Use of evolocumab by presentation"/>
      </w:tblPr>
      <w:tblGrid>
        <w:gridCol w:w="2400"/>
        <w:gridCol w:w="997"/>
        <w:gridCol w:w="993"/>
        <w:gridCol w:w="850"/>
        <w:gridCol w:w="851"/>
        <w:gridCol w:w="992"/>
        <w:gridCol w:w="992"/>
        <w:gridCol w:w="851"/>
      </w:tblGrid>
      <w:tr w:rsidR="003F5C57" w:rsidRPr="00A35800" w:rsidDel="00EE2BBB" w14:paraId="794E8C0A" w14:textId="77777777" w:rsidTr="0076394B">
        <w:trPr>
          <w:trHeight w:val="694"/>
          <w:tblHeader/>
        </w:trPr>
        <w:tc>
          <w:tcPr>
            <w:tcW w:w="2400" w:type="dxa"/>
            <w:shd w:val="clear" w:color="auto" w:fill="BFBFBF" w:themeFill="background1" w:themeFillShade="BF"/>
          </w:tcPr>
          <w:p w14:paraId="14F28C14" w14:textId="77777777" w:rsidR="003F5C57" w:rsidRPr="00A35800" w:rsidDel="00EE2BBB" w:rsidRDefault="006F1BA3" w:rsidP="003F5C57">
            <w:pPr>
              <w:pStyle w:val="Tableheading"/>
              <w:rPr>
                <w:sz w:val="20"/>
                <w:szCs w:val="20"/>
              </w:rPr>
            </w:pPr>
            <w:r>
              <w:rPr>
                <w:sz w:val="20"/>
                <w:szCs w:val="20"/>
              </w:rPr>
              <w:t>Name, form &amp; strength</w:t>
            </w:r>
          </w:p>
        </w:tc>
        <w:tc>
          <w:tcPr>
            <w:tcW w:w="997" w:type="dxa"/>
            <w:shd w:val="clear" w:color="auto" w:fill="BFBFBF" w:themeFill="background1" w:themeFillShade="BF"/>
          </w:tcPr>
          <w:p w14:paraId="37F494D0" w14:textId="77777777" w:rsidR="003F5C57" w:rsidRPr="00A35800" w:rsidDel="00EE2BBB" w:rsidRDefault="003F5C57" w:rsidP="003F5C57">
            <w:pPr>
              <w:pStyle w:val="Tableheading"/>
              <w:rPr>
                <w:sz w:val="20"/>
                <w:szCs w:val="20"/>
              </w:rPr>
            </w:pPr>
            <w:r>
              <w:rPr>
                <w:sz w:val="20"/>
                <w:szCs w:val="20"/>
              </w:rPr>
              <w:t>2016</w:t>
            </w:r>
          </w:p>
        </w:tc>
        <w:tc>
          <w:tcPr>
            <w:tcW w:w="993" w:type="dxa"/>
            <w:shd w:val="clear" w:color="auto" w:fill="BFBFBF" w:themeFill="background1" w:themeFillShade="BF"/>
          </w:tcPr>
          <w:p w14:paraId="3CFDB638" w14:textId="77777777" w:rsidR="003F5C57" w:rsidRPr="00A35800" w:rsidDel="00EE2BBB" w:rsidRDefault="003F5C57" w:rsidP="003F5C57">
            <w:pPr>
              <w:pStyle w:val="Tableheading"/>
              <w:rPr>
                <w:sz w:val="20"/>
                <w:szCs w:val="20"/>
              </w:rPr>
            </w:pPr>
            <w:r>
              <w:rPr>
                <w:sz w:val="20"/>
                <w:szCs w:val="20"/>
              </w:rPr>
              <w:t>2017</w:t>
            </w:r>
          </w:p>
        </w:tc>
        <w:tc>
          <w:tcPr>
            <w:tcW w:w="850" w:type="dxa"/>
            <w:shd w:val="clear" w:color="auto" w:fill="BFBFBF" w:themeFill="background1" w:themeFillShade="BF"/>
          </w:tcPr>
          <w:p w14:paraId="6C446732" w14:textId="77777777" w:rsidR="003F5C57" w:rsidRPr="00A35800" w:rsidDel="00EE2BBB" w:rsidRDefault="003F5C57" w:rsidP="003F5C57">
            <w:pPr>
              <w:pStyle w:val="Tableheading"/>
              <w:rPr>
                <w:sz w:val="20"/>
                <w:szCs w:val="20"/>
              </w:rPr>
            </w:pPr>
            <w:r>
              <w:rPr>
                <w:sz w:val="20"/>
                <w:szCs w:val="20"/>
              </w:rPr>
              <w:t>2018</w:t>
            </w:r>
          </w:p>
        </w:tc>
        <w:tc>
          <w:tcPr>
            <w:tcW w:w="851" w:type="dxa"/>
            <w:shd w:val="clear" w:color="auto" w:fill="BFBFBF" w:themeFill="background1" w:themeFillShade="BF"/>
          </w:tcPr>
          <w:p w14:paraId="1737D5BD" w14:textId="77777777" w:rsidR="003F5C57" w:rsidRPr="00A35800" w:rsidDel="00EE2BBB" w:rsidRDefault="003F5C57" w:rsidP="003F5C57">
            <w:pPr>
              <w:pStyle w:val="Tableheading"/>
              <w:rPr>
                <w:sz w:val="20"/>
                <w:szCs w:val="20"/>
              </w:rPr>
            </w:pPr>
            <w:r>
              <w:rPr>
                <w:sz w:val="20"/>
                <w:szCs w:val="20"/>
              </w:rPr>
              <w:t>2019</w:t>
            </w:r>
          </w:p>
        </w:tc>
        <w:tc>
          <w:tcPr>
            <w:tcW w:w="992" w:type="dxa"/>
            <w:shd w:val="clear" w:color="auto" w:fill="BFBFBF" w:themeFill="background1" w:themeFillShade="BF"/>
          </w:tcPr>
          <w:p w14:paraId="540F6EC7" w14:textId="77777777" w:rsidR="003F5C57" w:rsidRDefault="003F5C57" w:rsidP="003F5C57">
            <w:pPr>
              <w:pStyle w:val="Tableheading"/>
              <w:rPr>
                <w:sz w:val="20"/>
                <w:szCs w:val="20"/>
              </w:rPr>
            </w:pPr>
            <w:r>
              <w:rPr>
                <w:sz w:val="20"/>
                <w:szCs w:val="20"/>
              </w:rPr>
              <w:t>2020</w:t>
            </w:r>
          </w:p>
        </w:tc>
        <w:tc>
          <w:tcPr>
            <w:tcW w:w="992" w:type="dxa"/>
            <w:shd w:val="clear" w:color="auto" w:fill="BFBFBF" w:themeFill="background1" w:themeFillShade="BF"/>
          </w:tcPr>
          <w:p w14:paraId="6F19AE31" w14:textId="77777777" w:rsidR="003F5C57" w:rsidRDefault="003F5C57" w:rsidP="003F5C57">
            <w:pPr>
              <w:pStyle w:val="Tableheading"/>
              <w:rPr>
                <w:sz w:val="20"/>
                <w:szCs w:val="20"/>
              </w:rPr>
            </w:pPr>
            <w:r>
              <w:rPr>
                <w:sz w:val="20"/>
                <w:szCs w:val="20"/>
              </w:rPr>
              <w:t>2021</w:t>
            </w:r>
          </w:p>
        </w:tc>
        <w:tc>
          <w:tcPr>
            <w:tcW w:w="851" w:type="dxa"/>
            <w:shd w:val="clear" w:color="auto" w:fill="BFBFBF" w:themeFill="background1" w:themeFillShade="BF"/>
          </w:tcPr>
          <w:p w14:paraId="473C8F34" w14:textId="77777777" w:rsidR="003F5C57" w:rsidRDefault="003F5C57" w:rsidP="003F5C57">
            <w:pPr>
              <w:pStyle w:val="Tableheading"/>
              <w:rPr>
                <w:sz w:val="20"/>
                <w:szCs w:val="20"/>
              </w:rPr>
            </w:pPr>
            <w:r>
              <w:rPr>
                <w:sz w:val="20"/>
                <w:szCs w:val="20"/>
              </w:rPr>
              <w:t>2022</w:t>
            </w:r>
          </w:p>
        </w:tc>
      </w:tr>
      <w:tr w:rsidR="003F5C57" w:rsidRPr="00A35800" w:rsidDel="00EE2BBB" w14:paraId="4DFA5A3D" w14:textId="77777777" w:rsidTr="0076394B">
        <w:trPr>
          <w:trHeight w:val="552"/>
          <w:tblHeader/>
        </w:trPr>
        <w:tc>
          <w:tcPr>
            <w:tcW w:w="2400" w:type="dxa"/>
            <w:shd w:val="clear" w:color="auto" w:fill="auto"/>
          </w:tcPr>
          <w:p w14:paraId="555F46C8" w14:textId="77777777" w:rsidR="003F5C57" w:rsidRPr="00A35800" w:rsidDel="00EE2BBB" w:rsidRDefault="003F5C57" w:rsidP="003F5C57">
            <w:pPr>
              <w:pStyle w:val="Tablewriting"/>
            </w:pPr>
            <w:proofErr w:type="spellStart"/>
            <w:r w:rsidRPr="007A6C76">
              <w:t>evolocumab</w:t>
            </w:r>
            <w:proofErr w:type="spellEnd"/>
            <w:r w:rsidRPr="007A6C76">
              <w:t xml:space="preserve"> 140 mg/mL injection, 1 mL pen device</w:t>
            </w:r>
          </w:p>
        </w:tc>
        <w:tc>
          <w:tcPr>
            <w:tcW w:w="997" w:type="dxa"/>
            <w:shd w:val="clear" w:color="auto" w:fill="auto"/>
          </w:tcPr>
          <w:p w14:paraId="432B36E8" w14:textId="77777777" w:rsidR="003F5C57" w:rsidRPr="004449A7" w:rsidDel="00EE2BBB" w:rsidRDefault="004449A7" w:rsidP="0076394B">
            <w:pPr>
              <w:pStyle w:val="Tablewriting"/>
              <w:jc w:val="center"/>
              <w:rPr>
                <w:highlight w:val="black"/>
              </w:rPr>
            </w:pPr>
            <w:r>
              <w:rPr>
                <w:noProof/>
                <w:highlight w:val="black"/>
              </w:rPr>
              <w:t>''''''''''</w:t>
            </w:r>
          </w:p>
        </w:tc>
        <w:tc>
          <w:tcPr>
            <w:tcW w:w="993" w:type="dxa"/>
            <w:shd w:val="clear" w:color="auto" w:fill="auto"/>
          </w:tcPr>
          <w:p w14:paraId="6BE62A5C" w14:textId="77777777" w:rsidR="003F5C57" w:rsidRPr="004449A7" w:rsidDel="00EE2BBB" w:rsidRDefault="004449A7" w:rsidP="0076394B">
            <w:pPr>
              <w:pStyle w:val="Tablewriting"/>
              <w:jc w:val="center"/>
              <w:rPr>
                <w:highlight w:val="black"/>
              </w:rPr>
            </w:pPr>
            <w:r>
              <w:rPr>
                <w:noProof/>
                <w:highlight w:val="black"/>
              </w:rPr>
              <w:t>''''''''</w:t>
            </w:r>
          </w:p>
        </w:tc>
        <w:tc>
          <w:tcPr>
            <w:tcW w:w="850" w:type="dxa"/>
            <w:shd w:val="clear" w:color="auto" w:fill="auto"/>
          </w:tcPr>
          <w:p w14:paraId="77F40195" w14:textId="77777777" w:rsidR="003F5C57" w:rsidRPr="004449A7" w:rsidDel="00EE2BBB" w:rsidRDefault="004449A7" w:rsidP="0076394B">
            <w:pPr>
              <w:pStyle w:val="Tablewriting"/>
              <w:jc w:val="center"/>
              <w:rPr>
                <w:highlight w:val="black"/>
              </w:rPr>
            </w:pPr>
            <w:r>
              <w:rPr>
                <w:noProof/>
                <w:highlight w:val="black"/>
              </w:rPr>
              <w:t>''''''''</w:t>
            </w:r>
          </w:p>
        </w:tc>
        <w:tc>
          <w:tcPr>
            <w:tcW w:w="851" w:type="dxa"/>
            <w:shd w:val="clear" w:color="auto" w:fill="auto"/>
          </w:tcPr>
          <w:p w14:paraId="66ED9C33" w14:textId="77777777" w:rsidR="003F5C57" w:rsidRPr="004449A7" w:rsidDel="00EE2BBB" w:rsidRDefault="004449A7" w:rsidP="0076394B">
            <w:pPr>
              <w:pStyle w:val="Tablewriting"/>
              <w:jc w:val="center"/>
              <w:rPr>
                <w:highlight w:val="black"/>
              </w:rPr>
            </w:pPr>
            <w:r>
              <w:rPr>
                <w:noProof/>
                <w:highlight w:val="black"/>
              </w:rPr>
              <w:t>'''''''''</w:t>
            </w:r>
          </w:p>
        </w:tc>
        <w:tc>
          <w:tcPr>
            <w:tcW w:w="992" w:type="dxa"/>
          </w:tcPr>
          <w:p w14:paraId="448E4018" w14:textId="77777777" w:rsidR="003F5C57" w:rsidRPr="004449A7" w:rsidDel="00EE2BBB" w:rsidRDefault="004449A7" w:rsidP="0076394B">
            <w:pPr>
              <w:pStyle w:val="Tablewriting"/>
              <w:jc w:val="center"/>
              <w:rPr>
                <w:highlight w:val="black"/>
              </w:rPr>
            </w:pPr>
            <w:r>
              <w:rPr>
                <w:noProof/>
                <w:highlight w:val="black"/>
              </w:rPr>
              <w:t>''''''''</w:t>
            </w:r>
          </w:p>
        </w:tc>
        <w:tc>
          <w:tcPr>
            <w:tcW w:w="992" w:type="dxa"/>
          </w:tcPr>
          <w:p w14:paraId="203DC451" w14:textId="77777777" w:rsidR="003F5C57" w:rsidRPr="004449A7" w:rsidDel="00EE2BBB" w:rsidRDefault="004449A7" w:rsidP="0076394B">
            <w:pPr>
              <w:pStyle w:val="Tablewriting"/>
              <w:jc w:val="center"/>
              <w:rPr>
                <w:highlight w:val="black"/>
              </w:rPr>
            </w:pPr>
            <w:r>
              <w:rPr>
                <w:noProof/>
                <w:highlight w:val="black"/>
              </w:rPr>
              <w:t>'''''''''</w:t>
            </w:r>
          </w:p>
        </w:tc>
        <w:tc>
          <w:tcPr>
            <w:tcW w:w="851" w:type="dxa"/>
          </w:tcPr>
          <w:p w14:paraId="7CA12AF8" w14:textId="77777777" w:rsidR="003F5C57" w:rsidRPr="004449A7" w:rsidDel="00EE2BBB" w:rsidRDefault="004449A7" w:rsidP="0076394B">
            <w:pPr>
              <w:pStyle w:val="Tablewriting"/>
              <w:jc w:val="center"/>
              <w:rPr>
                <w:highlight w:val="black"/>
              </w:rPr>
            </w:pPr>
            <w:r>
              <w:rPr>
                <w:noProof/>
                <w:highlight w:val="black"/>
              </w:rPr>
              <w:t>'''''''''</w:t>
            </w:r>
          </w:p>
        </w:tc>
      </w:tr>
      <w:tr w:rsidR="003F5C57" w:rsidRPr="00A35800" w:rsidDel="00EE2BBB" w14:paraId="2CC4A2CF" w14:textId="77777777" w:rsidTr="0076394B">
        <w:trPr>
          <w:trHeight w:val="546"/>
          <w:tblHeader/>
        </w:trPr>
        <w:tc>
          <w:tcPr>
            <w:tcW w:w="2400" w:type="dxa"/>
            <w:shd w:val="clear" w:color="auto" w:fill="auto"/>
          </w:tcPr>
          <w:p w14:paraId="1864B09A" w14:textId="77777777" w:rsidR="003F5C57" w:rsidRPr="00A35800" w:rsidDel="00EE2BBB" w:rsidRDefault="003F5C57" w:rsidP="00652A71">
            <w:pPr>
              <w:pStyle w:val="Tablewriting"/>
            </w:pPr>
            <w:proofErr w:type="spellStart"/>
            <w:r w:rsidRPr="004738EA">
              <w:t>evolocumab</w:t>
            </w:r>
            <w:proofErr w:type="spellEnd"/>
            <w:r w:rsidRPr="004738EA">
              <w:t xml:space="preserve"> 420</w:t>
            </w:r>
            <w:r w:rsidR="00652A71">
              <w:t> </w:t>
            </w:r>
            <w:r w:rsidRPr="004738EA">
              <w:t>mg/3.5</w:t>
            </w:r>
            <w:r w:rsidR="00652A71">
              <w:t> </w:t>
            </w:r>
            <w:r w:rsidRPr="004738EA">
              <w:t>mL injection, 3.5 mL cartridge</w:t>
            </w:r>
          </w:p>
        </w:tc>
        <w:tc>
          <w:tcPr>
            <w:tcW w:w="997" w:type="dxa"/>
            <w:shd w:val="clear" w:color="auto" w:fill="auto"/>
          </w:tcPr>
          <w:p w14:paraId="69D7C0A3" w14:textId="77777777" w:rsidR="003F5C57" w:rsidRPr="004449A7" w:rsidDel="00EE2BBB" w:rsidRDefault="004449A7" w:rsidP="003F5C57">
            <w:pPr>
              <w:pStyle w:val="Tablewriting"/>
              <w:jc w:val="center"/>
              <w:rPr>
                <w:highlight w:val="black"/>
              </w:rPr>
            </w:pPr>
            <w:r>
              <w:rPr>
                <w:noProof/>
                <w:highlight w:val="black"/>
              </w:rPr>
              <w:t>''''''</w:t>
            </w:r>
          </w:p>
        </w:tc>
        <w:tc>
          <w:tcPr>
            <w:tcW w:w="993" w:type="dxa"/>
            <w:shd w:val="clear" w:color="auto" w:fill="auto"/>
          </w:tcPr>
          <w:p w14:paraId="15060C01" w14:textId="77777777" w:rsidR="003F5C57" w:rsidRPr="004449A7" w:rsidDel="00EE2BBB" w:rsidRDefault="004449A7" w:rsidP="003F5C57">
            <w:pPr>
              <w:pStyle w:val="Tablewriting"/>
              <w:jc w:val="center"/>
              <w:rPr>
                <w:highlight w:val="black"/>
              </w:rPr>
            </w:pPr>
            <w:r>
              <w:rPr>
                <w:noProof/>
                <w:highlight w:val="black"/>
              </w:rPr>
              <w:t>''''''</w:t>
            </w:r>
          </w:p>
        </w:tc>
        <w:tc>
          <w:tcPr>
            <w:tcW w:w="850" w:type="dxa"/>
            <w:shd w:val="clear" w:color="auto" w:fill="auto"/>
          </w:tcPr>
          <w:p w14:paraId="24072D39" w14:textId="77777777" w:rsidR="003F5C57" w:rsidRPr="004449A7" w:rsidDel="00EE2BBB" w:rsidRDefault="004449A7" w:rsidP="0076394B">
            <w:pPr>
              <w:pStyle w:val="Tablewriting"/>
              <w:jc w:val="center"/>
              <w:rPr>
                <w:highlight w:val="black"/>
              </w:rPr>
            </w:pPr>
            <w:r>
              <w:rPr>
                <w:noProof/>
                <w:highlight w:val="black"/>
              </w:rPr>
              <w:t>''''''</w:t>
            </w:r>
          </w:p>
        </w:tc>
        <w:tc>
          <w:tcPr>
            <w:tcW w:w="851" w:type="dxa"/>
            <w:shd w:val="clear" w:color="auto" w:fill="auto"/>
          </w:tcPr>
          <w:p w14:paraId="425EB9A6" w14:textId="77777777" w:rsidR="003F5C57" w:rsidRPr="004449A7" w:rsidDel="00EE2BBB" w:rsidRDefault="004449A7" w:rsidP="0076394B">
            <w:pPr>
              <w:pStyle w:val="Tablewriting"/>
              <w:jc w:val="center"/>
              <w:rPr>
                <w:highlight w:val="black"/>
              </w:rPr>
            </w:pPr>
            <w:r>
              <w:rPr>
                <w:noProof/>
                <w:highlight w:val="black"/>
              </w:rPr>
              <w:t>'''''''''</w:t>
            </w:r>
          </w:p>
        </w:tc>
        <w:tc>
          <w:tcPr>
            <w:tcW w:w="992" w:type="dxa"/>
          </w:tcPr>
          <w:p w14:paraId="4704FC42" w14:textId="77777777" w:rsidR="003F5C57" w:rsidRPr="004449A7" w:rsidDel="00EE2BBB" w:rsidRDefault="004449A7" w:rsidP="0076394B">
            <w:pPr>
              <w:pStyle w:val="Tablewriting"/>
              <w:jc w:val="center"/>
              <w:rPr>
                <w:highlight w:val="black"/>
              </w:rPr>
            </w:pPr>
            <w:r>
              <w:rPr>
                <w:noProof/>
                <w:highlight w:val="black"/>
              </w:rPr>
              <w:t>'''''''''</w:t>
            </w:r>
          </w:p>
        </w:tc>
        <w:tc>
          <w:tcPr>
            <w:tcW w:w="992" w:type="dxa"/>
          </w:tcPr>
          <w:p w14:paraId="254E397C" w14:textId="77777777" w:rsidR="003F5C57" w:rsidRPr="004449A7" w:rsidDel="00EE2BBB" w:rsidRDefault="004449A7" w:rsidP="0076394B">
            <w:pPr>
              <w:pStyle w:val="Tablewriting"/>
              <w:jc w:val="center"/>
              <w:rPr>
                <w:highlight w:val="black"/>
              </w:rPr>
            </w:pPr>
            <w:r>
              <w:rPr>
                <w:noProof/>
                <w:highlight w:val="black"/>
              </w:rPr>
              <w:t>''''''''</w:t>
            </w:r>
          </w:p>
        </w:tc>
        <w:tc>
          <w:tcPr>
            <w:tcW w:w="851" w:type="dxa"/>
          </w:tcPr>
          <w:p w14:paraId="450004CA" w14:textId="77777777" w:rsidR="003F5C57" w:rsidRPr="004449A7" w:rsidDel="00EE2BBB" w:rsidRDefault="004449A7" w:rsidP="0076394B">
            <w:pPr>
              <w:pStyle w:val="Tablewriting"/>
              <w:jc w:val="center"/>
              <w:rPr>
                <w:highlight w:val="black"/>
              </w:rPr>
            </w:pPr>
            <w:r>
              <w:rPr>
                <w:noProof/>
                <w:highlight w:val="black"/>
              </w:rPr>
              <w:t>'''''''''</w:t>
            </w:r>
          </w:p>
        </w:tc>
      </w:tr>
    </w:tbl>
    <w:p w14:paraId="0EA6A87C" w14:textId="77777777" w:rsidR="00500F6C" w:rsidRPr="00500F6C" w:rsidRDefault="006F1BA3" w:rsidP="00500F6C">
      <w:pPr>
        <w:pStyle w:val="Heading1"/>
      </w:pPr>
      <w:r>
        <w:t>M</w:t>
      </w:r>
      <w:r w:rsidR="00E677DD" w:rsidRPr="005E22C2">
        <w:t>ethod</w:t>
      </w:r>
      <w:r w:rsidR="001B5D37" w:rsidRPr="005E22C2">
        <w:t>s</w:t>
      </w:r>
    </w:p>
    <w:p w14:paraId="2A9A42E3" w14:textId="4AE6080E" w:rsidR="009831BC" w:rsidRDefault="006F5305" w:rsidP="00500F6C">
      <w:pPr>
        <w:jc w:val="both"/>
        <w:rPr>
          <w:rFonts w:eastAsia="Times New Roman" w:cstheme="minorHAnsi"/>
        </w:rPr>
      </w:pPr>
      <w:r w:rsidRPr="006F5305">
        <w:rPr>
          <w:rFonts w:eastAsia="Times New Roman" w:cstheme="minorHAnsi"/>
        </w:rPr>
        <w:t xml:space="preserve">The analyses used data from the </w:t>
      </w:r>
      <w:r w:rsidR="00331483">
        <w:rPr>
          <w:rFonts w:eastAsia="Times New Roman" w:cstheme="minorHAnsi"/>
        </w:rPr>
        <w:t>PBS</w:t>
      </w:r>
      <w:r w:rsidRPr="006F5305">
        <w:rPr>
          <w:rFonts w:eastAsia="Times New Roman" w:cstheme="minorHAnsi"/>
        </w:rPr>
        <w:t xml:space="preserve"> supplied prescriptions database</w:t>
      </w:r>
      <w:r w:rsidR="00BA6DA2">
        <w:rPr>
          <w:rFonts w:eastAsia="Times New Roman" w:cstheme="minorHAnsi"/>
        </w:rPr>
        <w:t>, managed by Services Australia,</w:t>
      </w:r>
      <w:r w:rsidRPr="006F5305">
        <w:rPr>
          <w:rFonts w:eastAsia="Times New Roman" w:cstheme="minorHAnsi"/>
        </w:rPr>
        <w:t xml:space="preserve"> for dates of supply up to and incl</w:t>
      </w:r>
      <w:r>
        <w:rPr>
          <w:rFonts w:eastAsia="Times New Roman" w:cstheme="minorHAnsi"/>
        </w:rPr>
        <w:t>uding 30 June 2019; extracted 29</w:t>
      </w:r>
      <w:r w:rsidRPr="006F5305">
        <w:rPr>
          <w:rFonts w:eastAsia="Times New Roman" w:cstheme="minorHAnsi"/>
        </w:rPr>
        <w:t xml:space="preserve"> July 2019</w:t>
      </w:r>
      <w:r>
        <w:rPr>
          <w:rFonts w:eastAsia="Times New Roman" w:cstheme="minorHAnsi"/>
        </w:rPr>
        <w:t xml:space="preserve">. </w:t>
      </w:r>
      <w:r w:rsidR="00500F6C" w:rsidRPr="00536F77">
        <w:rPr>
          <w:rFonts w:eastAsia="Times New Roman" w:cstheme="minorHAnsi"/>
        </w:rPr>
        <w:t xml:space="preserve">The </w:t>
      </w:r>
      <w:r w:rsidR="00331483">
        <w:rPr>
          <w:rFonts w:eastAsia="Times New Roman" w:cstheme="minorHAnsi"/>
        </w:rPr>
        <w:t>PBS</w:t>
      </w:r>
      <w:r w:rsidR="00500F6C" w:rsidRPr="00536F77">
        <w:rPr>
          <w:rFonts w:eastAsia="Times New Roman" w:cstheme="minorHAnsi"/>
        </w:rPr>
        <w:t xml:space="preserve"> supplied prescriptions database includes data submitted to </w:t>
      </w:r>
      <w:r w:rsidR="00BA6DA2">
        <w:rPr>
          <w:rFonts w:eastAsia="Times New Roman" w:cstheme="minorHAnsi"/>
        </w:rPr>
        <w:t>Services Australia</w:t>
      </w:r>
      <w:r w:rsidR="00BA6DA2" w:rsidRPr="00536F77">
        <w:rPr>
          <w:rFonts w:eastAsia="Times New Roman" w:cstheme="minorHAnsi"/>
        </w:rPr>
        <w:t xml:space="preserve"> </w:t>
      </w:r>
      <w:r w:rsidR="00500F6C" w:rsidRPr="00536F77">
        <w:rPr>
          <w:rFonts w:eastAsia="Times New Roman" w:cstheme="minorHAnsi"/>
        </w:rPr>
        <w:t>for payment of a PBS or Repatriation PBS (RPBS) subsidy by the Government by all approved pharmacies in Australia.</w:t>
      </w:r>
      <w:r w:rsidR="009831BC">
        <w:rPr>
          <w:rFonts w:eastAsia="Times New Roman" w:cstheme="minorHAnsi"/>
        </w:rPr>
        <w:t xml:space="preserve"> </w:t>
      </w:r>
      <w:r w:rsidR="00652A71">
        <w:rPr>
          <w:rFonts w:eastAsia="Times New Roman" w:cstheme="minorHAnsi"/>
        </w:rPr>
        <w:t>These</w:t>
      </w:r>
      <w:r w:rsidR="009831BC">
        <w:rPr>
          <w:rFonts w:eastAsia="Times New Roman" w:cstheme="minorHAnsi"/>
        </w:rPr>
        <w:t xml:space="preserve"> prescription data </w:t>
      </w:r>
      <w:proofErr w:type="gramStart"/>
      <w:r w:rsidR="009831BC">
        <w:rPr>
          <w:rFonts w:eastAsia="Times New Roman" w:cstheme="minorHAnsi"/>
        </w:rPr>
        <w:t>were used</w:t>
      </w:r>
      <w:proofErr w:type="gramEnd"/>
      <w:r w:rsidR="009831BC">
        <w:rPr>
          <w:rFonts w:eastAsia="Times New Roman" w:cstheme="minorHAnsi"/>
        </w:rPr>
        <w:t xml:space="preserve"> to determine the number of prescriptions supplied and for the PBS expenditure analysis.</w:t>
      </w:r>
    </w:p>
    <w:p w14:paraId="7B04CDE3" w14:textId="775C7CF8" w:rsidR="00500F6C" w:rsidRPr="000C65A4" w:rsidRDefault="00500F6C" w:rsidP="00500F6C">
      <w:pPr>
        <w:jc w:val="both"/>
        <w:rPr>
          <w:rFonts w:eastAsia="Times New Roman" w:cstheme="minorHAnsi"/>
        </w:rPr>
      </w:pPr>
      <w:r w:rsidRPr="006A2DE7">
        <w:rPr>
          <w:rFonts w:eastAsia="Times New Roman" w:cstheme="minorHAnsi"/>
        </w:rPr>
        <w:t>This</w:t>
      </w:r>
      <w:r w:rsidR="009831BC">
        <w:rPr>
          <w:rFonts w:eastAsia="Times New Roman" w:cstheme="minorHAnsi"/>
        </w:rPr>
        <w:t xml:space="preserve"> </w:t>
      </w:r>
      <w:r w:rsidR="00331483">
        <w:rPr>
          <w:rFonts w:eastAsia="Times New Roman" w:cstheme="minorHAnsi"/>
        </w:rPr>
        <w:t>PBS</w:t>
      </w:r>
      <w:r w:rsidR="00BA6DA2" w:rsidRPr="006F5305">
        <w:rPr>
          <w:rFonts w:eastAsia="Times New Roman" w:cstheme="minorHAnsi"/>
        </w:rPr>
        <w:t xml:space="preserve"> </w:t>
      </w:r>
      <w:r w:rsidR="009831BC">
        <w:rPr>
          <w:rFonts w:eastAsia="Times New Roman" w:cstheme="minorHAnsi"/>
        </w:rPr>
        <w:t>supplied prescriptions</w:t>
      </w:r>
      <w:r w:rsidRPr="006A2DE7">
        <w:rPr>
          <w:rFonts w:eastAsia="Times New Roman" w:cstheme="minorHAnsi"/>
        </w:rPr>
        <w:t xml:space="preserve"> database includes a </w:t>
      </w:r>
      <w:r w:rsidRPr="00536F77">
        <w:rPr>
          <w:rFonts w:eastAsia="Times New Roman" w:cstheme="minorHAnsi"/>
        </w:rPr>
        <w:t>unique patient identification number (PIN)</w:t>
      </w:r>
      <w:r w:rsidRPr="000C65A4">
        <w:rPr>
          <w:rFonts w:eastAsia="Times New Roman" w:cstheme="minorHAnsi"/>
        </w:rPr>
        <w:t xml:space="preserve"> </w:t>
      </w:r>
      <w:r w:rsidRPr="006A2DE7">
        <w:rPr>
          <w:rFonts w:eastAsia="Times New Roman" w:cstheme="minorHAnsi"/>
        </w:rPr>
        <w:t xml:space="preserve">that allows supplied prescriptions to </w:t>
      </w:r>
      <w:proofErr w:type="gramStart"/>
      <w:r w:rsidRPr="006A2DE7">
        <w:rPr>
          <w:rFonts w:eastAsia="Times New Roman" w:cstheme="minorHAnsi"/>
        </w:rPr>
        <w:t>be attributed</w:t>
      </w:r>
      <w:proofErr w:type="gramEnd"/>
      <w:r w:rsidRPr="006A2DE7">
        <w:rPr>
          <w:rFonts w:eastAsia="Times New Roman" w:cstheme="minorHAnsi"/>
        </w:rPr>
        <w:t xml:space="preserve"> to a particular patient.</w:t>
      </w:r>
      <w:r w:rsidRPr="000C65A4">
        <w:rPr>
          <w:rFonts w:eastAsia="Times New Roman" w:cstheme="minorHAnsi"/>
        </w:rPr>
        <w:t xml:space="preserve"> </w:t>
      </w:r>
      <w:r w:rsidR="00CC3F3B" w:rsidRPr="00CC3F3B">
        <w:rPr>
          <w:rFonts w:eastAsia="Times New Roman" w:cstheme="minorHAnsi"/>
        </w:rPr>
        <w:t>The numbe</w:t>
      </w:r>
      <w:r w:rsidR="00E72F47">
        <w:rPr>
          <w:rFonts w:eastAsia="Times New Roman" w:cstheme="minorHAnsi"/>
        </w:rPr>
        <w:t xml:space="preserve">r of patients supplied </w:t>
      </w:r>
      <w:proofErr w:type="spellStart"/>
      <w:r w:rsidR="00E72F47">
        <w:rPr>
          <w:rFonts w:eastAsia="Times New Roman" w:cstheme="minorHAnsi"/>
        </w:rPr>
        <w:t>evolocumab</w:t>
      </w:r>
      <w:proofErr w:type="spellEnd"/>
      <w:r w:rsidR="00CC3F3B" w:rsidRPr="00CC3F3B">
        <w:rPr>
          <w:rFonts w:eastAsia="Times New Roman" w:cstheme="minorHAnsi"/>
        </w:rPr>
        <w:t xml:space="preserve"> under the PBS was determined by counting the number of de-identified </w:t>
      </w:r>
      <w:r w:rsidR="00CC3F3B">
        <w:rPr>
          <w:rFonts w:eastAsia="Times New Roman" w:cstheme="minorHAnsi"/>
        </w:rPr>
        <w:t xml:space="preserve">PINs </w:t>
      </w:r>
      <w:r w:rsidR="00CC3F3B" w:rsidRPr="00CC3F3B">
        <w:rPr>
          <w:rFonts w:eastAsia="Times New Roman" w:cstheme="minorHAnsi"/>
        </w:rPr>
        <w:t xml:space="preserve">in the prescription data over the specified time. </w:t>
      </w:r>
      <w:r w:rsidRPr="00536F77">
        <w:rPr>
          <w:rFonts w:eastAsia="Times New Roman" w:cstheme="minorHAnsi"/>
        </w:rPr>
        <w:t xml:space="preserve">New (initiating) patients </w:t>
      </w:r>
      <w:proofErr w:type="gramStart"/>
      <w:r w:rsidRPr="00536F77">
        <w:rPr>
          <w:rFonts w:eastAsia="Times New Roman" w:cstheme="minorHAnsi"/>
        </w:rPr>
        <w:t>were defined</w:t>
      </w:r>
      <w:proofErr w:type="gramEnd"/>
      <w:r w:rsidRPr="00536F77">
        <w:rPr>
          <w:rFonts w:eastAsia="Times New Roman" w:cstheme="minorHAnsi"/>
        </w:rPr>
        <w:t xml:space="preserve"> as those with no prior prescription for </w:t>
      </w:r>
      <w:proofErr w:type="spellStart"/>
      <w:r w:rsidRPr="000C65A4">
        <w:rPr>
          <w:rFonts w:eastAsia="Times New Roman" w:cstheme="minorHAnsi"/>
        </w:rPr>
        <w:t>evolocumab</w:t>
      </w:r>
      <w:proofErr w:type="spellEnd"/>
      <w:r w:rsidRPr="000C65A4">
        <w:rPr>
          <w:rFonts w:eastAsia="Times New Roman" w:cstheme="minorHAnsi"/>
        </w:rPr>
        <w:t xml:space="preserve"> and was </w:t>
      </w:r>
      <w:r w:rsidRPr="00536F77">
        <w:rPr>
          <w:rFonts w:eastAsia="Times New Roman" w:cstheme="minorHAnsi"/>
        </w:rPr>
        <w:t>based on the date of first supply of PBS</w:t>
      </w:r>
      <w:r w:rsidR="00652A71">
        <w:rPr>
          <w:rFonts w:eastAsia="Times New Roman" w:cstheme="minorHAnsi"/>
        </w:rPr>
        <w:noBreakHyphen/>
      </w:r>
      <w:r w:rsidRPr="00536F77">
        <w:rPr>
          <w:rFonts w:eastAsia="Times New Roman" w:cstheme="minorHAnsi"/>
        </w:rPr>
        <w:t xml:space="preserve">subsidised </w:t>
      </w:r>
      <w:proofErr w:type="spellStart"/>
      <w:r w:rsidRPr="000C65A4">
        <w:rPr>
          <w:rFonts w:eastAsia="Times New Roman" w:cstheme="minorHAnsi"/>
        </w:rPr>
        <w:t>evolocumab</w:t>
      </w:r>
      <w:proofErr w:type="spellEnd"/>
      <w:r w:rsidRPr="00536F77">
        <w:rPr>
          <w:rFonts w:eastAsia="Times New Roman" w:cstheme="minorHAnsi"/>
        </w:rPr>
        <w:t xml:space="preserve"> from the date of listing.</w:t>
      </w:r>
      <w:r w:rsidRPr="000C65A4">
        <w:rPr>
          <w:rFonts w:eastAsia="Times New Roman" w:cstheme="minorHAnsi"/>
        </w:rPr>
        <w:t xml:space="preserve"> </w:t>
      </w:r>
      <w:r w:rsidRPr="00536F77">
        <w:rPr>
          <w:rFonts w:eastAsia="Times New Roman" w:cstheme="minorHAnsi"/>
        </w:rPr>
        <w:t xml:space="preserve">This group contained patients who were naïve to </w:t>
      </w:r>
      <w:proofErr w:type="spellStart"/>
      <w:r w:rsidRPr="00536F77">
        <w:rPr>
          <w:rFonts w:eastAsia="Times New Roman" w:cstheme="minorHAnsi"/>
        </w:rPr>
        <w:t>e</w:t>
      </w:r>
      <w:r w:rsidRPr="000C65A4">
        <w:rPr>
          <w:rFonts w:eastAsia="Times New Roman" w:cstheme="minorHAnsi"/>
        </w:rPr>
        <w:t>volocumab</w:t>
      </w:r>
      <w:proofErr w:type="spellEnd"/>
      <w:r w:rsidR="006F5305">
        <w:rPr>
          <w:rFonts w:eastAsia="Times New Roman" w:cstheme="minorHAnsi"/>
        </w:rPr>
        <w:t xml:space="preserve"> and “grandfathered” patients. Grandfathered patients </w:t>
      </w:r>
      <w:r w:rsidRPr="00536F77">
        <w:rPr>
          <w:rFonts w:eastAsia="Times New Roman" w:cstheme="minorHAnsi"/>
        </w:rPr>
        <w:t xml:space="preserve">obtained </w:t>
      </w:r>
      <w:proofErr w:type="spellStart"/>
      <w:r w:rsidRPr="00536F77">
        <w:rPr>
          <w:rFonts w:eastAsia="Times New Roman" w:cstheme="minorHAnsi"/>
        </w:rPr>
        <w:t>e</w:t>
      </w:r>
      <w:r w:rsidRPr="000C65A4">
        <w:rPr>
          <w:rFonts w:eastAsia="Times New Roman" w:cstheme="minorHAnsi"/>
        </w:rPr>
        <w:t>volocumab</w:t>
      </w:r>
      <w:proofErr w:type="spellEnd"/>
      <w:r w:rsidRPr="00536F77">
        <w:rPr>
          <w:rFonts w:eastAsia="Times New Roman" w:cstheme="minorHAnsi"/>
        </w:rPr>
        <w:t xml:space="preserve"> through other means prior to listing on the PBS and then commenced PBS-subsidised treatment.</w:t>
      </w:r>
      <w:r w:rsidRPr="000C65A4">
        <w:rPr>
          <w:rFonts w:eastAsia="Times New Roman" w:cstheme="minorHAnsi"/>
        </w:rPr>
        <w:t xml:space="preserve"> </w:t>
      </w:r>
      <w:r w:rsidRPr="00536F77">
        <w:rPr>
          <w:rFonts w:eastAsia="Times New Roman" w:cstheme="minorHAnsi"/>
        </w:rPr>
        <w:t xml:space="preserve">Patients </w:t>
      </w:r>
      <w:proofErr w:type="gramStart"/>
      <w:r w:rsidRPr="00536F77">
        <w:rPr>
          <w:rFonts w:eastAsia="Times New Roman" w:cstheme="minorHAnsi"/>
        </w:rPr>
        <w:t>were identified</w:t>
      </w:r>
      <w:proofErr w:type="gramEnd"/>
      <w:r w:rsidRPr="00536F77">
        <w:rPr>
          <w:rFonts w:eastAsia="Times New Roman" w:cstheme="minorHAnsi"/>
        </w:rPr>
        <w:t xml:space="preserve"> as being on treatment (prevalent) if they had received at least one dispensing of </w:t>
      </w:r>
      <w:proofErr w:type="spellStart"/>
      <w:r w:rsidRPr="000C65A4">
        <w:rPr>
          <w:rFonts w:eastAsia="Times New Roman" w:cstheme="minorHAnsi"/>
        </w:rPr>
        <w:t>evolocumab</w:t>
      </w:r>
      <w:proofErr w:type="spellEnd"/>
      <w:r w:rsidRPr="00536F77">
        <w:rPr>
          <w:rFonts w:eastAsia="Times New Roman" w:cstheme="minorHAnsi"/>
        </w:rPr>
        <w:t xml:space="preserve"> in the specified period.</w:t>
      </w:r>
    </w:p>
    <w:p w14:paraId="025B6BFD" w14:textId="18A4F366" w:rsidR="00500F6C" w:rsidRDefault="00500F6C" w:rsidP="00500F6C">
      <w:pPr>
        <w:jc w:val="both"/>
        <w:rPr>
          <w:rFonts w:eastAsia="Times New Roman" w:cstheme="minorHAnsi"/>
        </w:rPr>
      </w:pPr>
      <w:r w:rsidRPr="00536F77">
        <w:rPr>
          <w:rFonts w:eastAsia="Times New Roman" w:cstheme="minorHAnsi"/>
        </w:rPr>
        <w:t xml:space="preserve">Prescriber type </w:t>
      </w:r>
      <w:proofErr w:type="gramStart"/>
      <w:r w:rsidRPr="00536F77">
        <w:rPr>
          <w:rFonts w:eastAsia="Times New Roman" w:cstheme="minorHAnsi"/>
        </w:rPr>
        <w:t>was attributed</w:t>
      </w:r>
      <w:proofErr w:type="gramEnd"/>
      <w:r w:rsidRPr="00536F77">
        <w:rPr>
          <w:rFonts w:eastAsia="Times New Roman" w:cstheme="minorHAnsi"/>
        </w:rPr>
        <w:t xml:space="preserve"> to the de-identified approval </w:t>
      </w:r>
      <w:r w:rsidR="00BA6DA2">
        <w:rPr>
          <w:rFonts w:eastAsia="Times New Roman" w:cstheme="minorHAnsi"/>
        </w:rPr>
        <w:t xml:space="preserve">number of the prescriber by Services Australia </w:t>
      </w:r>
      <w:r w:rsidRPr="00536F77">
        <w:rPr>
          <w:rFonts w:eastAsia="Times New Roman" w:cstheme="minorHAnsi"/>
        </w:rPr>
        <w:t xml:space="preserve">and was based on the major field of specialty, derived from the combination of the current registered specialty and the most </w:t>
      </w:r>
      <w:r w:rsidR="00331483">
        <w:rPr>
          <w:rFonts w:eastAsia="Times New Roman" w:cstheme="minorHAnsi"/>
        </w:rPr>
        <w:t>PBS</w:t>
      </w:r>
      <w:r w:rsidRPr="00536F77">
        <w:rPr>
          <w:rFonts w:eastAsia="Times New Roman" w:cstheme="minorHAnsi"/>
        </w:rPr>
        <w:t xml:space="preserve"> services provided per quarter. Prescribers can work in several different specialties but </w:t>
      </w:r>
      <w:proofErr w:type="gramStart"/>
      <w:r w:rsidRPr="00536F77">
        <w:rPr>
          <w:rFonts w:eastAsia="Times New Roman" w:cstheme="minorHAnsi"/>
        </w:rPr>
        <w:t>are allocated</w:t>
      </w:r>
      <w:proofErr w:type="gramEnd"/>
      <w:r w:rsidRPr="00536F77">
        <w:rPr>
          <w:rFonts w:eastAsia="Times New Roman" w:cstheme="minorHAnsi"/>
        </w:rPr>
        <w:t xml:space="preserve"> by </w:t>
      </w:r>
      <w:r w:rsidR="00BA6DA2">
        <w:rPr>
          <w:rFonts w:eastAsia="Times New Roman" w:cstheme="minorHAnsi"/>
        </w:rPr>
        <w:t>Services Australia</w:t>
      </w:r>
      <w:r w:rsidRPr="00536F77">
        <w:rPr>
          <w:rFonts w:eastAsia="Times New Roman" w:cstheme="minorHAnsi"/>
        </w:rPr>
        <w:t xml:space="preserve"> to one major field of specialty per quarter. </w:t>
      </w:r>
    </w:p>
    <w:p w14:paraId="084A7964" w14:textId="6321ED11" w:rsidR="006F5305" w:rsidRDefault="00BA6DA2" w:rsidP="00500F6C">
      <w:pPr>
        <w:jc w:val="both"/>
        <w:rPr>
          <w:rFonts w:eastAsia="Times New Roman" w:cstheme="minorHAnsi"/>
        </w:rPr>
      </w:pPr>
      <w:r>
        <w:rPr>
          <w:rFonts w:eastAsia="Times New Roman" w:cstheme="minorHAnsi"/>
        </w:rPr>
        <w:t xml:space="preserve">Services Australia </w:t>
      </w:r>
      <w:r w:rsidR="00331483">
        <w:rPr>
          <w:rFonts w:eastAsia="Times New Roman" w:cstheme="minorHAnsi"/>
        </w:rPr>
        <w:t>also maintains the a</w:t>
      </w:r>
      <w:r w:rsidR="006F5305" w:rsidRPr="006F5305">
        <w:rPr>
          <w:rFonts w:eastAsia="Times New Roman" w:cstheme="minorHAnsi"/>
        </w:rPr>
        <w:t>uthority</w:t>
      </w:r>
      <w:r w:rsidR="00331483">
        <w:rPr>
          <w:rFonts w:eastAsia="Times New Roman" w:cstheme="minorHAnsi"/>
        </w:rPr>
        <w:t xml:space="preserve"> a</w:t>
      </w:r>
      <w:r w:rsidR="006F5305" w:rsidRPr="006F5305">
        <w:rPr>
          <w:rFonts w:eastAsia="Times New Roman" w:cstheme="minorHAnsi"/>
        </w:rPr>
        <w:t>pproval</w:t>
      </w:r>
      <w:r w:rsidR="00E15572">
        <w:rPr>
          <w:rFonts w:eastAsia="Times New Roman" w:cstheme="minorHAnsi"/>
        </w:rPr>
        <w:t>s</w:t>
      </w:r>
      <w:r w:rsidR="006F5305" w:rsidRPr="006F5305">
        <w:rPr>
          <w:rFonts w:eastAsia="Times New Roman" w:cstheme="minorHAnsi"/>
        </w:rPr>
        <w:t xml:space="preserve"> database.</w:t>
      </w:r>
      <w:r w:rsidR="006F5305">
        <w:rPr>
          <w:rFonts w:eastAsia="Times New Roman" w:cstheme="minorHAnsi"/>
        </w:rPr>
        <w:t xml:space="preserve"> </w:t>
      </w:r>
      <w:r w:rsidR="006F5305" w:rsidRPr="006F5305">
        <w:rPr>
          <w:rFonts w:eastAsia="Times New Roman" w:cstheme="minorHAnsi"/>
        </w:rPr>
        <w:t xml:space="preserve">Prescribers provide necessary information to </w:t>
      </w:r>
      <w:r>
        <w:rPr>
          <w:rFonts w:eastAsia="Times New Roman" w:cstheme="minorHAnsi"/>
        </w:rPr>
        <w:t xml:space="preserve">Services Australia </w:t>
      </w:r>
      <w:r w:rsidR="006F5305" w:rsidRPr="006F5305">
        <w:rPr>
          <w:rFonts w:eastAsia="Times New Roman" w:cstheme="minorHAnsi"/>
        </w:rPr>
        <w:t xml:space="preserve">to support approval for a PBS Authority Required prescription. De-identified information </w:t>
      </w:r>
      <w:proofErr w:type="gramStart"/>
      <w:r w:rsidR="006F5305" w:rsidRPr="006F5305">
        <w:rPr>
          <w:rFonts w:eastAsia="Times New Roman" w:cstheme="minorHAnsi"/>
        </w:rPr>
        <w:t>is recorded</w:t>
      </w:r>
      <w:proofErr w:type="gramEnd"/>
      <w:r w:rsidR="006F5305" w:rsidRPr="006F5305">
        <w:rPr>
          <w:rFonts w:eastAsia="Times New Roman" w:cstheme="minorHAnsi"/>
        </w:rPr>
        <w:t xml:space="preserve"> by PIN and can be matched to the prescriptions database. Approvals for the </w:t>
      </w:r>
      <w:proofErr w:type="spellStart"/>
      <w:r w:rsidR="006F5305" w:rsidRPr="006F5305">
        <w:rPr>
          <w:rFonts w:eastAsia="Times New Roman" w:cstheme="minorHAnsi"/>
        </w:rPr>
        <w:t>evolocumab</w:t>
      </w:r>
      <w:proofErr w:type="spellEnd"/>
      <w:r w:rsidR="006F5305" w:rsidRPr="006F5305">
        <w:rPr>
          <w:rFonts w:eastAsia="Times New Roman" w:cstheme="minorHAnsi"/>
        </w:rPr>
        <w:t xml:space="preserve"> PBS item codes 11193D, 10958R, 11484K, 11485L </w:t>
      </w:r>
      <w:proofErr w:type="gramStart"/>
      <w:r w:rsidR="006F5305" w:rsidRPr="006F5305">
        <w:rPr>
          <w:rFonts w:eastAsia="Times New Roman" w:cstheme="minorHAnsi"/>
        </w:rPr>
        <w:t>were extracted</w:t>
      </w:r>
      <w:proofErr w:type="gramEnd"/>
      <w:r w:rsidR="006F5305" w:rsidRPr="006F5305">
        <w:rPr>
          <w:rFonts w:eastAsia="Times New Roman" w:cstheme="minorHAnsi"/>
        </w:rPr>
        <w:t xml:space="preserve"> from the </w:t>
      </w:r>
      <w:r w:rsidR="00331483">
        <w:rPr>
          <w:rFonts w:eastAsia="Times New Roman" w:cstheme="minorHAnsi"/>
        </w:rPr>
        <w:t>PBS</w:t>
      </w:r>
      <w:r w:rsidR="00331483">
        <w:rPr>
          <w:rFonts w:eastAsia="Times New Roman" w:cstheme="minorHAnsi"/>
        </w:rPr>
        <w:t xml:space="preserve"> authority a</w:t>
      </w:r>
      <w:r w:rsidR="006F5305" w:rsidRPr="006F5305">
        <w:rPr>
          <w:rFonts w:eastAsia="Times New Roman" w:cstheme="minorHAnsi"/>
        </w:rPr>
        <w:t>p</w:t>
      </w:r>
      <w:r w:rsidR="006F5305">
        <w:rPr>
          <w:rFonts w:eastAsia="Times New Roman" w:cstheme="minorHAnsi"/>
        </w:rPr>
        <w:t>provals database for the period</w:t>
      </w:r>
      <w:r w:rsidR="006F5305" w:rsidRPr="006F5305">
        <w:rPr>
          <w:rFonts w:eastAsia="Times New Roman" w:cstheme="minorHAnsi"/>
        </w:rPr>
        <w:t xml:space="preserve">. </w:t>
      </w:r>
    </w:p>
    <w:p w14:paraId="2C1FB8D0" w14:textId="77777777" w:rsidR="00500F6C" w:rsidRPr="000C65A4" w:rsidRDefault="00CC3F3B" w:rsidP="00500F6C">
      <w:pPr>
        <w:jc w:val="both"/>
        <w:rPr>
          <w:rFonts w:eastAsia="Times New Roman" w:cstheme="minorHAnsi"/>
        </w:rPr>
      </w:pPr>
      <w:r w:rsidRPr="00CC3F3B">
        <w:rPr>
          <w:rFonts w:eastAsia="Times New Roman" w:cstheme="minorHAnsi"/>
        </w:rPr>
        <w:t xml:space="preserve">Data manipulation was undertaken using SAS. </w:t>
      </w:r>
    </w:p>
    <w:p w14:paraId="5801D8F8" w14:textId="37CC742E" w:rsidR="00500F6C" w:rsidRPr="00536F77" w:rsidRDefault="00500F6C">
      <w:pPr>
        <w:jc w:val="both"/>
        <w:rPr>
          <w:rFonts w:eastAsia="Times New Roman" w:cstheme="minorHAnsi"/>
        </w:rPr>
      </w:pPr>
      <w:r w:rsidRPr="00536F77">
        <w:rPr>
          <w:rFonts w:eastAsia="Times New Roman" w:cstheme="minorHAnsi"/>
        </w:rPr>
        <w:lastRenderedPageBreak/>
        <w:t xml:space="preserve">As this analysis uses date of supply prescription data, there may be small differences in total </w:t>
      </w:r>
      <w:r w:rsidR="00CA304D">
        <w:rPr>
          <w:rFonts w:eastAsia="Times New Roman" w:cstheme="minorHAnsi"/>
        </w:rPr>
        <w:t xml:space="preserve">number of supplies of </w:t>
      </w:r>
      <w:proofErr w:type="spellStart"/>
      <w:r w:rsidR="00CA304D">
        <w:rPr>
          <w:rFonts w:eastAsia="Times New Roman" w:cstheme="minorHAnsi"/>
        </w:rPr>
        <w:t>evolocumab</w:t>
      </w:r>
      <w:proofErr w:type="spellEnd"/>
      <w:r w:rsidRPr="00536F77">
        <w:rPr>
          <w:rFonts w:eastAsia="Times New Roman" w:cstheme="minorHAnsi"/>
        </w:rPr>
        <w:t xml:space="preserve"> in the same period compared with publicly availabl</w:t>
      </w:r>
      <w:r w:rsidR="00CA304D">
        <w:rPr>
          <w:rFonts w:eastAsia="Times New Roman" w:cstheme="minorHAnsi"/>
        </w:rPr>
        <w:t xml:space="preserve">e </w:t>
      </w:r>
      <w:r w:rsidRPr="00536F77">
        <w:rPr>
          <w:rFonts w:eastAsia="Times New Roman" w:cstheme="minorHAnsi"/>
        </w:rPr>
        <w:t>date of processing data.</w:t>
      </w:r>
      <w:r w:rsidR="00960B8D">
        <w:rPr>
          <w:rStyle w:val="FootnoteReference"/>
          <w:rFonts w:eastAsia="Times New Roman" w:cstheme="minorHAnsi"/>
        </w:rPr>
        <w:footnoteReference w:id="4"/>
      </w:r>
    </w:p>
    <w:p w14:paraId="59ED95BF" w14:textId="77777777" w:rsidR="00C714D0" w:rsidRPr="005E22C2" w:rsidRDefault="00C714D0" w:rsidP="00CF5E22">
      <w:pPr>
        <w:pStyle w:val="Heading1"/>
      </w:pPr>
      <w:r w:rsidRPr="005E22C2">
        <w:t>Results</w:t>
      </w:r>
    </w:p>
    <w:p w14:paraId="0A9694E9" w14:textId="77777777" w:rsidR="00736041" w:rsidRPr="005E22C2" w:rsidRDefault="001B5D37" w:rsidP="00CF5E22">
      <w:pPr>
        <w:pStyle w:val="Heading2"/>
      </w:pPr>
      <w:r w:rsidRPr="005E22C2">
        <w:t xml:space="preserve">Analysis </w:t>
      </w:r>
      <w:r w:rsidR="00736041" w:rsidRPr="005E22C2">
        <w:t xml:space="preserve">of </w:t>
      </w:r>
      <w:r w:rsidR="0063631C">
        <w:t>d</w:t>
      </w:r>
      <w:r w:rsidR="00E677DD" w:rsidRPr="005E22C2">
        <w:t xml:space="preserve">rug </w:t>
      </w:r>
      <w:r w:rsidR="0063631C">
        <w:t>u</w:t>
      </w:r>
      <w:r w:rsidR="00E677DD" w:rsidRPr="005E22C2">
        <w:t>tilisation</w:t>
      </w:r>
    </w:p>
    <w:p w14:paraId="4DDB5DEC" w14:textId="77777777" w:rsidR="006A44F5" w:rsidRDefault="00736041" w:rsidP="00CF5E22">
      <w:pPr>
        <w:pStyle w:val="Heading3"/>
      </w:pPr>
      <w:r w:rsidRPr="005E22C2">
        <w:t>Overall utilisation</w:t>
      </w:r>
    </w:p>
    <w:p w14:paraId="73AF182C" w14:textId="77777777" w:rsidR="00894012" w:rsidRPr="00894012" w:rsidRDefault="00202BC7" w:rsidP="00894012">
      <w:r>
        <w:rPr>
          <w:noProof/>
        </w:rPr>
        <w:drawing>
          <wp:inline distT="0" distB="0" distL="0" distR="0" wp14:anchorId="0C41BECC" wp14:editId="51415CBE">
            <wp:extent cx="5687695" cy="3706495"/>
            <wp:effectExtent l="0" t="0" r="8255" b="8255"/>
            <wp:docPr id="1" name="Chart 1" descr="Figure 1 depicts the number of prevalent and initiating patients to evolocumab for the treatment of HoFH and HeFH. Initially, there was a steady increase in the number of patients supplied evolocumab for HoFH, but a decreasing rate of growth was apparent, particularly in the last three quarters of available data. In 2018, there were 1,098 patients supplied a prescription for HoFH and, of these, 574 patients were supplied their first PBS‐subsidised evolocumab prescription. The number of new patients starting evolocumab for the treatment of HoFH continued to decline from the first quarter of 2018. " title="Figure 1: Prevalent and initiating patients by indication and quarter of supply "/>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F3F5057" w14:textId="77777777" w:rsidR="005E2CB3" w:rsidRDefault="00202BC7" w:rsidP="00D04E9F">
      <w:pPr>
        <w:pStyle w:val="Figuretitle"/>
      </w:pPr>
      <w:r>
        <w:t>Figure 1</w:t>
      </w:r>
      <w:r w:rsidR="00CA32D5">
        <w:t>: Prevalent and initiating</w:t>
      </w:r>
      <w:r>
        <w:t xml:space="preserve"> patients by indication and quarter of supply </w:t>
      </w:r>
    </w:p>
    <w:p w14:paraId="5AF9D2ED" w14:textId="62B326B1" w:rsidR="00C55FE0" w:rsidRDefault="00650FF8" w:rsidP="00506B36">
      <w:pPr>
        <w:pStyle w:val="Notes"/>
      </w:pPr>
      <w:r w:rsidRPr="00480F8E">
        <w:t xml:space="preserve">Source: </w:t>
      </w:r>
      <w:r w:rsidR="00331483">
        <w:rPr>
          <w:rFonts w:eastAsia="Times New Roman" w:cstheme="minorHAnsi"/>
        </w:rPr>
        <w:t>PBS</w:t>
      </w:r>
      <w:r w:rsidRPr="00480F8E">
        <w:t xml:space="preserve"> supplied prescriptions database; extracted July 2019. </w:t>
      </w:r>
    </w:p>
    <w:p w14:paraId="3D1DA637" w14:textId="77777777" w:rsidR="00650FF8" w:rsidRDefault="00202BC7" w:rsidP="00E9203F">
      <w:pPr>
        <w:jc w:val="both"/>
        <w:rPr>
          <w:rFonts w:eastAsia="Times New Roman" w:cstheme="minorHAnsi"/>
        </w:rPr>
      </w:pPr>
      <w:r w:rsidRPr="00202BC7">
        <w:rPr>
          <w:rFonts w:eastAsia="Times New Roman" w:cstheme="minorHAnsi"/>
        </w:rPr>
        <w:t>Figu</w:t>
      </w:r>
      <w:r w:rsidR="003C2AC0">
        <w:rPr>
          <w:rFonts w:eastAsia="Times New Roman" w:cstheme="minorHAnsi"/>
        </w:rPr>
        <w:t>re 1 depicts</w:t>
      </w:r>
      <w:r w:rsidR="00D04E9F">
        <w:rPr>
          <w:rFonts w:eastAsia="Times New Roman" w:cstheme="minorHAnsi"/>
        </w:rPr>
        <w:t xml:space="preserve"> the number of prevalent and initiating</w:t>
      </w:r>
      <w:r w:rsidR="003F1143">
        <w:rPr>
          <w:rFonts w:eastAsia="Times New Roman" w:cstheme="minorHAnsi"/>
        </w:rPr>
        <w:t xml:space="preserve"> patients to </w:t>
      </w:r>
      <w:proofErr w:type="spellStart"/>
      <w:r w:rsidR="003F1143">
        <w:rPr>
          <w:rFonts w:eastAsia="Times New Roman" w:cstheme="minorHAnsi"/>
        </w:rPr>
        <w:t>evolocumab</w:t>
      </w:r>
      <w:proofErr w:type="spellEnd"/>
      <w:r w:rsidR="003F1143">
        <w:rPr>
          <w:rFonts w:eastAsia="Times New Roman" w:cstheme="minorHAnsi"/>
        </w:rPr>
        <w:t xml:space="preserve"> for the treatment of </w:t>
      </w:r>
      <w:proofErr w:type="spellStart"/>
      <w:r w:rsidR="003F1143">
        <w:rPr>
          <w:rFonts w:eastAsia="Times New Roman" w:cstheme="minorHAnsi"/>
        </w:rPr>
        <w:t>HoFH</w:t>
      </w:r>
      <w:proofErr w:type="spellEnd"/>
      <w:r w:rsidR="003F1143">
        <w:rPr>
          <w:rFonts w:eastAsia="Times New Roman" w:cstheme="minorHAnsi"/>
        </w:rPr>
        <w:t xml:space="preserve"> and </w:t>
      </w:r>
      <w:proofErr w:type="spellStart"/>
      <w:r w:rsidR="003F1143">
        <w:rPr>
          <w:rFonts w:eastAsia="Times New Roman" w:cstheme="minorHAnsi"/>
        </w:rPr>
        <w:t>HeFH</w:t>
      </w:r>
      <w:proofErr w:type="spellEnd"/>
      <w:r w:rsidR="003F1143">
        <w:rPr>
          <w:rFonts w:eastAsia="Times New Roman" w:cstheme="minorHAnsi"/>
        </w:rPr>
        <w:t>.</w:t>
      </w:r>
      <w:r w:rsidR="001B3569">
        <w:rPr>
          <w:rFonts w:eastAsia="Times New Roman" w:cstheme="minorHAnsi"/>
        </w:rPr>
        <w:t xml:space="preserve"> </w:t>
      </w:r>
      <w:r w:rsidR="00E0156C">
        <w:t xml:space="preserve">Initially, there was a </w:t>
      </w:r>
      <w:r w:rsidR="00E0156C" w:rsidRPr="00450C03">
        <w:t xml:space="preserve">steady increase in the number of patients </w:t>
      </w:r>
      <w:r w:rsidR="00E0156C">
        <w:t xml:space="preserve">supplied </w:t>
      </w:r>
      <w:proofErr w:type="spellStart"/>
      <w:r w:rsidR="00E0156C">
        <w:t>evolocumab</w:t>
      </w:r>
      <w:proofErr w:type="spellEnd"/>
      <w:r w:rsidR="00E0156C" w:rsidRPr="00450C03">
        <w:t xml:space="preserve"> for </w:t>
      </w:r>
      <w:proofErr w:type="spellStart"/>
      <w:r w:rsidR="00E0156C" w:rsidRPr="00450C03">
        <w:t>HoFH</w:t>
      </w:r>
      <w:proofErr w:type="spellEnd"/>
      <w:r w:rsidR="00C94DD8">
        <w:t>,</w:t>
      </w:r>
      <w:r w:rsidR="00C122F2">
        <w:t xml:space="preserve"> but a decreasing rate of growth</w:t>
      </w:r>
      <w:r w:rsidR="00C94DD8">
        <w:t xml:space="preserve"> was apparent, particularly in the last three quarters of available data</w:t>
      </w:r>
      <w:r w:rsidR="00E0156C">
        <w:t>.</w:t>
      </w:r>
      <w:r w:rsidR="00E0156C">
        <w:rPr>
          <w:rFonts w:eastAsia="Times New Roman" w:cstheme="minorHAnsi"/>
        </w:rPr>
        <w:t xml:space="preserve"> </w:t>
      </w:r>
      <w:r w:rsidR="00093FD7" w:rsidRPr="00093FD7">
        <w:rPr>
          <w:rFonts w:eastAsia="Times New Roman" w:cstheme="minorHAnsi" w:hint="eastAsia"/>
        </w:rPr>
        <w:t>In 2018, there were 1</w:t>
      </w:r>
      <w:r w:rsidR="00652A71">
        <w:rPr>
          <w:rFonts w:eastAsia="Times New Roman" w:cstheme="minorHAnsi"/>
        </w:rPr>
        <w:t>,</w:t>
      </w:r>
      <w:r w:rsidR="00093FD7" w:rsidRPr="00093FD7">
        <w:rPr>
          <w:rFonts w:eastAsia="Times New Roman" w:cstheme="minorHAnsi" w:hint="eastAsia"/>
        </w:rPr>
        <w:t xml:space="preserve">098 patients supplied a prescription for </w:t>
      </w:r>
      <w:proofErr w:type="spellStart"/>
      <w:r w:rsidR="00093FD7" w:rsidRPr="00093FD7">
        <w:rPr>
          <w:rFonts w:eastAsia="Times New Roman" w:cstheme="minorHAnsi" w:hint="eastAsia"/>
        </w:rPr>
        <w:t>HoFH</w:t>
      </w:r>
      <w:proofErr w:type="spellEnd"/>
      <w:r w:rsidR="00093FD7" w:rsidRPr="00093FD7">
        <w:rPr>
          <w:rFonts w:eastAsia="Times New Roman" w:cstheme="minorHAnsi" w:hint="eastAsia"/>
        </w:rPr>
        <w:t xml:space="preserve"> and, of these, 574 patients were supplied their first PBS‐subsidised </w:t>
      </w:r>
      <w:proofErr w:type="spellStart"/>
      <w:r w:rsidR="00093FD7" w:rsidRPr="00093FD7">
        <w:rPr>
          <w:rFonts w:eastAsia="Times New Roman" w:cstheme="minorHAnsi" w:hint="eastAsia"/>
        </w:rPr>
        <w:t>evolocumab</w:t>
      </w:r>
      <w:proofErr w:type="spellEnd"/>
      <w:r w:rsidR="00093FD7" w:rsidRPr="00093FD7">
        <w:rPr>
          <w:rFonts w:eastAsia="Times New Roman" w:cstheme="minorHAnsi" w:hint="eastAsia"/>
        </w:rPr>
        <w:t xml:space="preserve"> prescription.</w:t>
      </w:r>
      <w:r w:rsidR="00504F5C">
        <w:rPr>
          <w:rFonts w:eastAsia="Times New Roman" w:cstheme="minorHAnsi"/>
        </w:rPr>
        <w:t xml:space="preserve"> </w:t>
      </w:r>
      <w:r w:rsidR="00D04E9F">
        <w:rPr>
          <w:rFonts w:eastAsia="Times New Roman" w:cstheme="minorHAnsi"/>
        </w:rPr>
        <w:t xml:space="preserve">The number of </w:t>
      </w:r>
      <w:r w:rsidR="00093FD7">
        <w:rPr>
          <w:rFonts w:eastAsia="Times New Roman" w:cstheme="minorHAnsi"/>
        </w:rPr>
        <w:t xml:space="preserve">new </w:t>
      </w:r>
      <w:r w:rsidR="00D04E9F">
        <w:rPr>
          <w:rFonts w:eastAsia="Times New Roman" w:cstheme="minorHAnsi"/>
        </w:rPr>
        <w:t xml:space="preserve">patients starting </w:t>
      </w:r>
      <w:proofErr w:type="spellStart"/>
      <w:r w:rsidR="00D04E9F">
        <w:rPr>
          <w:rFonts w:eastAsia="Times New Roman" w:cstheme="minorHAnsi"/>
        </w:rPr>
        <w:t>evolocumab</w:t>
      </w:r>
      <w:proofErr w:type="spellEnd"/>
      <w:r w:rsidR="00D04E9F">
        <w:rPr>
          <w:rFonts w:eastAsia="Times New Roman" w:cstheme="minorHAnsi"/>
        </w:rPr>
        <w:t xml:space="preserve"> for the treatment of </w:t>
      </w:r>
      <w:proofErr w:type="spellStart"/>
      <w:r w:rsidR="00D04E9F">
        <w:rPr>
          <w:rFonts w:eastAsia="Times New Roman" w:cstheme="minorHAnsi"/>
        </w:rPr>
        <w:t>HoFH</w:t>
      </w:r>
      <w:proofErr w:type="spellEnd"/>
      <w:r w:rsidR="00E0156C">
        <w:rPr>
          <w:rFonts w:eastAsia="Times New Roman" w:cstheme="minorHAnsi"/>
        </w:rPr>
        <w:t xml:space="preserve"> continued</w:t>
      </w:r>
      <w:r w:rsidR="00093FD7">
        <w:rPr>
          <w:rFonts w:eastAsia="Times New Roman" w:cstheme="minorHAnsi"/>
        </w:rPr>
        <w:t xml:space="preserve"> to</w:t>
      </w:r>
      <w:r w:rsidR="00D04E9F">
        <w:rPr>
          <w:rFonts w:eastAsia="Times New Roman" w:cstheme="minorHAnsi"/>
        </w:rPr>
        <w:t xml:space="preserve"> decline</w:t>
      </w:r>
      <w:r w:rsidR="00093FD7">
        <w:rPr>
          <w:rFonts w:eastAsia="Times New Roman" w:cstheme="minorHAnsi"/>
        </w:rPr>
        <w:t xml:space="preserve"> from </w:t>
      </w:r>
      <w:r w:rsidR="00D04E9F">
        <w:rPr>
          <w:rFonts w:eastAsia="Times New Roman" w:cstheme="minorHAnsi"/>
        </w:rPr>
        <w:t>the first quarter of 2018.</w:t>
      </w:r>
      <w:r w:rsidR="005E2CB3">
        <w:rPr>
          <w:rFonts w:eastAsia="Times New Roman" w:cstheme="minorHAnsi"/>
        </w:rPr>
        <w:t xml:space="preserve"> </w:t>
      </w:r>
    </w:p>
    <w:p w14:paraId="357E56D6" w14:textId="77777777" w:rsidR="00A23606" w:rsidRPr="00506B36" w:rsidRDefault="005F2568" w:rsidP="00506B36">
      <w:pPr>
        <w:autoSpaceDE w:val="0"/>
        <w:autoSpaceDN w:val="0"/>
        <w:adjustRightInd w:val="0"/>
        <w:rPr>
          <w:rFonts w:cstheme="minorHAnsi"/>
          <w:color w:val="000000"/>
        </w:rPr>
      </w:pPr>
      <w:proofErr w:type="spellStart"/>
      <w:r w:rsidRPr="00960B8D">
        <w:rPr>
          <w:rFonts w:eastAsia="Times New Roman" w:cstheme="minorHAnsi"/>
        </w:rPr>
        <w:lastRenderedPageBreak/>
        <w:t>Evolocumab</w:t>
      </w:r>
      <w:proofErr w:type="spellEnd"/>
      <w:r w:rsidRPr="00960B8D">
        <w:rPr>
          <w:rFonts w:eastAsia="Times New Roman" w:cstheme="minorHAnsi"/>
        </w:rPr>
        <w:t xml:space="preserve"> </w:t>
      </w:r>
      <w:proofErr w:type="gramStart"/>
      <w:r w:rsidRPr="00960B8D">
        <w:rPr>
          <w:rFonts w:eastAsia="Times New Roman" w:cstheme="minorHAnsi"/>
        </w:rPr>
        <w:t>was listed</w:t>
      </w:r>
      <w:proofErr w:type="gramEnd"/>
      <w:r w:rsidR="00502BB4" w:rsidRPr="00960B8D">
        <w:rPr>
          <w:rFonts w:eastAsia="Times New Roman" w:cstheme="minorHAnsi"/>
        </w:rPr>
        <w:t xml:space="preserve"> on the PBS</w:t>
      </w:r>
      <w:r w:rsidRPr="00960B8D">
        <w:rPr>
          <w:rFonts w:eastAsia="Times New Roman" w:cstheme="minorHAnsi"/>
        </w:rPr>
        <w:t xml:space="preserve"> for the treatment of </w:t>
      </w:r>
      <w:proofErr w:type="spellStart"/>
      <w:r w:rsidRPr="00960B8D">
        <w:rPr>
          <w:rFonts w:eastAsia="Times New Roman" w:cstheme="minorHAnsi"/>
        </w:rPr>
        <w:t>HeFH</w:t>
      </w:r>
      <w:proofErr w:type="spellEnd"/>
      <w:r w:rsidRPr="00960B8D">
        <w:rPr>
          <w:rFonts w:eastAsia="Times New Roman" w:cstheme="minorHAnsi"/>
        </w:rPr>
        <w:t xml:space="preserve"> on 1 November 2018.</w:t>
      </w:r>
      <w:r w:rsidR="00502BB4" w:rsidRPr="00960B8D">
        <w:rPr>
          <w:rFonts w:eastAsia="Times New Roman" w:cstheme="minorHAnsi"/>
        </w:rPr>
        <w:t xml:space="preserve"> </w:t>
      </w:r>
      <w:r w:rsidR="00093FD7" w:rsidRPr="00960B8D">
        <w:rPr>
          <w:rFonts w:eastAsia="Times New Roman" w:cstheme="minorHAnsi"/>
        </w:rPr>
        <w:t xml:space="preserve">Of the patients who had a prescription for </w:t>
      </w:r>
      <w:proofErr w:type="spellStart"/>
      <w:r w:rsidR="00093FD7" w:rsidRPr="00960B8D">
        <w:rPr>
          <w:rFonts w:eastAsia="Times New Roman" w:cstheme="minorHAnsi"/>
        </w:rPr>
        <w:t>evolocumab</w:t>
      </w:r>
      <w:proofErr w:type="spellEnd"/>
      <w:r w:rsidR="00093FD7" w:rsidRPr="00960B8D">
        <w:rPr>
          <w:rFonts w:eastAsia="Times New Roman" w:cstheme="minorHAnsi"/>
        </w:rPr>
        <w:t xml:space="preserve"> supplied under</w:t>
      </w:r>
      <w:r w:rsidR="00093FD7" w:rsidRPr="00EF5A22">
        <w:rPr>
          <w:rFonts w:cstheme="minorHAnsi"/>
        </w:rPr>
        <w:t xml:space="preserve"> </w:t>
      </w:r>
      <w:proofErr w:type="spellStart"/>
      <w:r w:rsidR="00093FD7" w:rsidRPr="00960B8D">
        <w:rPr>
          <w:rFonts w:eastAsia="Times New Roman" w:cstheme="minorHAnsi"/>
        </w:rPr>
        <w:t>HeFH</w:t>
      </w:r>
      <w:proofErr w:type="spellEnd"/>
      <w:r w:rsidR="00093FD7" w:rsidRPr="00960B8D">
        <w:rPr>
          <w:rFonts w:eastAsia="Times New Roman" w:cstheme="minorHAnsi"/>
        </w:rPr>
        <w:t xml:space="preserve"> item codes (11484K and 11485L)</w:t>
      </w:r>
      <w:r w:rsidR="00281E9A" w:rsidRPr="00960B8D">
        <w:rPr>
          <w:rFonts w:eastAsia="Times New Roman" w:cstheme="minorHAnsi"/>
        </w:rPr>
        <w:t xml:space="preserve"> since listing</w:t>
      </w:r>
      <w:r w:rsidR="00502BB4" w:rsidRPr="00960B8D">
        <w:rPr>
          <w:rFonts w:eastAsia="Times New Roman" w:cstheme="minorHAnsi"/>
        </w:rPr>
        <w:t>, 1</w:t>
      </w:r>
      <w:r w:rsidR="00281E9A" w:rsidRPr="00960B8D">
        <w:rPr>
          <w:rFonts w:eastAsia="Times New Roman" w:cstheme="minorHAnsi"/>
        </w:rPr>
        <w:t>0</w:t>
      </w:r>
      <w:r w:rsidR="00502BB4" w:rsidRPr="00960B8D">
        <w:rPr>
          <w:rFonts w:eastAsia="Times New Roman" w:cstheme="minorHAnsi"/>
        </w:rPr>
        <w:t>% of patients</w:t>
      </w:r>
      <w:r w:rsidR="00F269BA" w:rsidRPr="00960B8D">
        <w:rPr>
          <w:rFonts w:eastAsia="Times New Roman" w:cstheme="minorHAnsi"/>
        </w:rPr>
        <w:t xml:space="preserve"> </w:t>
      </w:r>
      <w:r w:rsidR="00093FD7" w:rsidRPr="00960B8D">
        <w:rPr>
          <w:rFonts w:eastAsia="Times New Roman" w:cstheme="minorHAnsi"/>
        </w:rPr>
        <w:t>had</w:t>
      </w:r>
      <w:r w:rsidR="007B3713" w:rsidRPr="00960B8D">
        <w:rPr>
          <w:rFonts w:eastAsia="Times New Roman" w:cstheme="minorHAnsi"/>
        </w:rPr>
        <w:t xml:space="preserve"> </w:t>
      </w:r>
      <w:r w:rsidR="00093FD7" w:rsidRPr="00960B8D">
        <w:rPr>
          <w:rFonts w:eastAsia="Times New Roman" w:cstheme="minorHAnsi"/>
        </w:rPr>
        <w:t>a</w:t>
      </w:r>
      <w:r w:rsidR="00F269BA" w:rsidRPr="00960B8D">
        <w:rPr>
          <w:rFonts w:eastAsia="Times New Roman" w:cstheme="minorHAnsi"/>
        </w:rPr>
        <w:t xml:space="preserve"> previous prescription </w:t>
      </w:r>
      <w:r w:rsidR="00093FD7" w:rsidRPr="00960B8D">
        <w:rPr>
          <w:rFonts w:eastAsia="Times New Roman" w:cstheme="minorHAnsi"/>
        </w:rPr>
        <w:t xml:space="preserve">supplied </w:t>
      </w:r>
      <w:r w:rsidR="007B3713" w:rsidRPr="00960B8D">
        <w:rPr>
          <w:rFonts w:eastAsia="Times New Roman" w:cstheme="minorHAnsi"/>
        </w:rPr>
        <w:t>und</w:t>
      </w:r>
      <w:r w:rsidR="00650FF8" w:rsidRPr="00960B8D">
        <w:rPr>
          <w:rFonts w:eastAsia="Times New Roman" w:cstheme="minorHAnsi"/>
        </w:rPr>
        <w:t>er</w:t>
      </w:r>
      <w:r w:rsidR="00F269BA" w:rsidRPr="00960B8D">
        <w:rPr>
          <w:rFonts w:eastAsia="Times New Roman" w:cstheme="minorHAnsi"/>
        </w:rPr>
        <w:t xml:space="preserve"> the</w:t>
      </w:r>
      <w:r w:rsidR="00650FF8" w:rsidRPr="00960B8D">
        <w:rPr>
          <w:rFonts w:eastAsia="Times New Roman" w:cstheme="minorHAnsi"/>
        </w:rPr>
        <w:t xml:space="preserve"> </w:t>
      </w:r>
      <w:proofErr w:type="spellStart"/>
      <w:r w:rsidR="00650FF8" w:rsidRPr="00960B8D">
        <w:rPr>
          <w:rFonts w:eastAsia="Times New Roman" w:cstheme="minorHAnsi"/>
        </w:rPr>
        <w:t>HoFH</w:t>
      </w:r>
      <w:proofErr w:type="spellEnd"/>
      <w:r w:rsidR="00650FF8" w:rsidRPr="00960B8D">
        <w:rPr>
          <w:rFonts w:eastAsia="Times New Roman" w:cstheme="minorHAnsi"/>
        </w:rPr>
        <w:t xml:space="preserve"> </w:t>
      </w:r>
      <w:r w:rsidR="00504F5C" w:rsidRPr="00960B8D">
        <w:rPr>
          <w:rFonts w:eastAsia="Times New Roman" w:cstheme="minorHAnsi"/>
        </w:rPr>
        <w:t>item codes (11193D and 10958R).</w:t>
      </w:r>
    </w:p>
    <w:p w14:paraId="4AD614D3" w14:textId="77777777" w:rsidR="00894012" w:rsidRDefault="00F10D3C" w:rsidP="00894012">
      <w:pPr>
        <w:pStyle w:val="Figuretitle"/>
      </w:pPr>
      <w:r>
        <w:rPr>
          <w:noProof/>
          <w:lang w:val="en-AU"/>
        </w:rPr>
        <w:drawing>
          <wp:inline distT="0" distB="0" distL="0" distR="0" wp14:anchorId="538FCD8C" wp14:editId="4ECD5C9C">
            <wp:extent cx="5687695" cy="3706495"/>
            <wp:effectExtent l="0" t="0" r="8255" b="8255"/>
            <wp:docPr id="2" name="Chart 2" descr="Figure 2 shows the number of prescriptions supplied per quarter for the treatment of HoFH has been growing since listing, with a slight dip in the first quarter of 2019. The total number of PBS-subsidised evolocumab prescriptions supplied for HoFH has increased from 120 prescriptions in the first quarter of 2017 to 2,108 in the first quarter of 2019. The limited data available for the HeFH indication illustrates a rapid uptake of evolocumab in this population, with 396 prescriptions of evolocumab dispensed in the first quarter of 2019 and 718 prescriptions in the second quarter." title="Figure 2: Number of prescriptions by indication and quarter of supply"/>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1E9CEA1" w14:textId="77777777" w:rsidR="00F10D3C" w:rsidRDefault="00650FF8" w:rsidP="00F10D3C">
      <w:pPr>
        <w:pStyle w:val="Figuretitle"/>
      </w:pPr>
      <w:r>
        <w:t>Figure 2</w:t>
      </w:r>
      <w:r w:rsidR="00F10D3C" w:rsidRPr="00F10D3C">
        <w:t>: Number of pr</w:t>
      </w:r>
      <w:r w:rsidR="0039369A">
        <w:t xml:space="preserve">escriptions </w:t>
      </w:r>
      <w:r w:rsidR="00F10D3C" w:rsidRPr="00F10D3C">
        <w:t>by indication and quarter of supply</w:t>
      </w:r>
    </w:p>
    <w:p w14:paraId="51A8A026" w14:textId="3361BD6A" w:rsidR="0039369A" w:rsidRDefault="00625C4F" w:rsidP="00506B36">
      <w:pPr>
        <w:pStyle w:val="Notes"/>
      </w:pPr>
      <w:r w:rsidRPr="00480F8E">
        <w:t xml:space="preserve">Source: </w:t>
      </w:r>
      <w:r w:rsidR="00331483">
        <w:rPr>
          <w:rFonts w:eastAsia="Times New Roman" w:cstheme="minorHAnsi"/>
        </w:rPr>
        <w:t>PBS</w:t>
      </w:r>
      <w:r w:rsidRPr="00480F8E">
        <w:t xml:space="preserve"> supplied prescriptions</w:t>
      </w:r>
      <w:r w:rsidR="00E9203F">
        <w:t xml:space="preserve"> database; extracted July 2019.</w:t>
      </w:r>
    </w:p>
    <w:p w14:paraId="4D14AB58" w14:textId="77777777" w:rsidR="0039369A" w:rsidRPr="00625C4F" w:rsidRDefault="00652A71" w:rsidP="002671BA">
      <w:pPr>
        <w:jc w:val="both"/>
        <w:rPr>
          <w:rFonts w:eastAsia="Times New Roman" w:cstheme="minorHAnsi"/>
        </w:rPr>
      </w:pPr>
      <w:r>
        <w:rPr>
          <w:rFonts w:eastAsia="Times New Roman" w:cstheme="minorHAnsi"/>
        </w:rPr>
        <w:t>F</w:t>
      </w:r>
      <w:r w:rsidR="00625C4F" w:rsidRPr="00625C4F">
        <w:rPr>
          <w:rFonts w:eastAsia="Times New Roman" w:cstheme="minorHAnsi"/>
        </w:rPr>
        <w:t xml:space="preserve">igure </w:t>
      </w:r>
      <w:proofErr w:type="gramStart"/>
      <w:r>
        <w:rPr>
          <w:rFonts w:eastAsia="Times New Roman" w:cstheme="minorHAnsi"/>
        </w:rPr>
        <w:t>2</w:t>
      </w:r>
      <w:proofErr w:type="gramEnd"/>
      <w:r w:rsidR="003C59FC">
        <w:rPr>
          <w:rFonts w:eastAsia="Times New Roman" w:cstheme="minorHAnsi"/>
        </w:rPr>
        <w:t xml:space="preserve"> shows</w:t>
      </w:r>
      <w:r w:rsidR="007702E9">
        <w:rPr>
          <w:rFonts w:eastAsia="Times New Roman" w:cstheme="minorHAnsi"/>
        </w:rPr>
        <w:t xml:space="preserve"> the number of prescriptions supplied per quarter for the treatment of </w:t>
      </w:r>
      <w:proofErr w:type="spellStart"/>
      <w:r w:rsidR="007702E9">
        <w:rPr>
          <w:rFonts w:eastAsia="Times New Roman" w:cstheme="minorHAnsi"/>
        </w:rPr>
        <w:t>HoFH</w:t>
      </w:r>
      <w:proofErr w:type="spellEnd"/>
      <w:r w:rsidR="007702E9">
        <w:rPr>
          <w:rFonts w:eastAsia="Times New Roman" w:cstheme="minorHAnsi"/>
        </w:rPr>
        <w:t xml:space="preserve"> has </w:t>
      </w:r>
      <w:r w:rsidR="00125082">
        <w:rPr>
          <w:rFonts w:eastAsia="Times New Roman" w:cstheme="minorHAnsi"/>
        </w:rPr>
        <w:t>g</w:t>
      </w:r>
      <w:r w:rsidR="007702E9">
        <w:rPr>
          <w:rFonts w:eastAsia="Times New Roman" w:cstheme="minorHAnsi"/>
        </w:rPr>
        <w:t>row</w:t>
      </w:r>
      <w:r w:rsidR="00125082">
        <w:rPr>
          <w:rFonts w:eastAsia="Times New Roman" w:cstheme="minorHAnsi"/>
        </w:rPr>
        <w:t>n</w:t>
      </w:r>
      <w:r w:rsidR="007702E9">
        <w:rPr>
          <w:rFonts w:eastAsia="Times New Roman" w:cstheme="minorHAnsi"/>
        </w:rPr>
        <w:t xml:space="preserve"> </w:t>
      </w:r>
      <w:r w:rsidR="00625C4F" w:rsidRPr="00625C4F">
        <w:rPr>
          <w:rFonts w:eastAsia="Times New Roman" w:cstheme="minorHAnsi"/>
        </w:rPr>
        <w:t xml:space="preserve">since listing, </w:t>
      </w:r>
      <w:r w:rsidR="00650FF8" w:rsidRPr="00650FF8">
        <w:rPr>
          <w:rFonts w:eastAsia="Times New Roman" w:cstheme="minorHAnsi"/>
        </w:rPr>
        <w:t xml:space="preserve">with a slight dip </w:t>
      </w:r>
      <w:r>
        <w:rPr>
          <w:rFonts w:eastAsia="Times New Roman" w:cstheme="minorHAnsi"/>
        </w:rPr>
        <w:t>in the</w:t>
      </w:r>
      <w:r w:rsidR="00650FF8" w:rsidRPr="00650FF8">
        <w:rPr>
          <w:rFonts w:eastAsia="Times New Roman" w:cstheme="minorHAnsi"/>
        </w:rPr>
        <w:t xml:space="preserve"> first quarter of 2019</w:t>
      </w:r>
      <w:r w:rsidR="00650FF8">
        <w:rPr>
          <w:rFonts w:eastAsia="Times New Roman" w:cstheme="minorHAnsi"/>
        </w:rPr>
        <w:t>.</w:t>
      </w:r>
      <w:r w:rsidR="002671BA">
        <w:rPr>
          <w:rFonts w:eastAsia="Times New Roman" w:cstheme="minorHAnsi"/>
        </w:rPr>
        <w:t xml:space="preserve"> </w:t>
      </w:r>
      <w:r w:rsidR="002671BA" w:rsidRPr="002671BA">
        <w:rPr>
          <w:rFonts w:eastAsia="Times New Roman" w:cstheme="minorHAnsi"/>
        </w:rPr>
        <w:t>The total number</w:t>
      </w:r>
      <w:r w:rsidR="002671BA">
        <w:rPr>
          <w:rFonts w:eastAsia="Times New Roman" w:cstheme="minorHAnsi"/>
        </w:rPr>
        <w:t xml:space="preserve"> of PBS-subsidised </w:t>
      </w:r>
      <w:proofErr w:type="spellStart"/>
      <w:r w:rsidR="002671BA">
        <w:rPr>
          <w:rFonts w:eastAsia="Times New Roman" w:cstheme="minorHAnsi"/>
        </w:rPr>
        <w:t>evolocumab</w:t>
      </w:r>
      <w:proofErr w:type="spellEnd"/>
      <w:r w:rsidR="002671BA">
        <w:rPr>
          <w:rFonts w:eastAsia="Times New Roman" w:cstheme="minorHAnsi"/>
        </w:rPr>
        <w:t xml:space="preserve"> </w:t>
      </w:r>
      <w:r w:rsidR="002671BA" w:rsidRPr="002671BA">
        <w:rPr>
          <w:rFonts w:eastAsia="Times New Roman" w:cstheme="minorHAnsi"/>
        </w:rPr>
        <w:t>prescriptions su</w:t>
      </w:r>
      <w:r w:rsidR="002671BA">
        <w:rPr>
          <w:rFonts w:eastAsia="Times New Roman" w:cstheme="minorHAnsi"/>
        </w:rPr>
        <w:t>pplied</w:t>
      </w:r>
      <w:r w:rsidR="007702E9">
        <w:rPr>
          <w:rFonts w:eastAsia="Times New Roman" w:cstheme="minorHAnsi"/>
        </w:rPr>
        <w:t xml:space="preserve"> for </w:t>
      </w:r>
      <w:proofErr w:type="spellStart"/>
      <w:r w:rsidR="007702E9">
        <w:rPr>
          <w:rFonts w:eastAsia="Times New Roman" w:cstheme="minorHAnsi"/>
        </w:rPr>
        <w:t>HoFH</w:t>
      </w:r>
      <w:proofErr w:type="spellEnd"/>
      <w:r w:rsidR="002671BA">
        <w:rPr>
          <w:rFonts w:eastAsia="Times New Roman" w:cstheme="minorHAnsi"/>
        </w:rPr>
        <w:t xml:space="preserve"> increased from 120</w:t>
      </w:r>
      <w:r>
        <w:rPr>
          <w:rFonts w:eastAsia="Times New Roman" w:cstheme="minorHAnsi"/>
        </w:rPr>
        <w:t> </w:t>
      </w:r>
      <w:r w:rsidR="002671BA">
        <w:rPr>
          <w:rFonts w:eastAsia="Times New Roman" w:cstheme="minorHAnsi"/>
        </w:rPr>
        <w:t xml:space="preserve">prescriptions in the first quarter of 2017 to 2,108 in the first quarter of 2019. </w:t>
      </w:r>
      <w:r w:rsidR="003C2AC0">
        <w:rPr>
          <w:rFonts w:eastAsia="Times New Roman" w:cstheme="minorHAnsi"/>
        </w:rPr>
        <w:t xml:space="preserve">The </w:t>
      </w:r>
      <w:r w:rsidR="003C59FC">
        <w:rPr>
          <w:rFonts w:eastAsia="Times New Roman" w:cstheme="minorHAnsi"/>
        </w:rPr>
        <w:t>limited</w:t>
      </w:r>
      <w:r w:rsidR="003C2AC0">
        <w:rPr>
          <w:rFonts w:eastAsia="Times New Roman" w:cstheme="minorHAnsi"/>
        </w:rPr>
        <w:t xml:space="preserve"> data available for the </w:t>
      </w:r>
      <w:proofErr w:type="spellStart"/>
      <w:r w:rsidR="003C2AC0">
        <w:rPr>
          <w:rFonts w:eastAsia="Times New Roman" w:cstheme="minorHAnsi"/>
        </w:rPr>
        <w:t>HeFH</w:t>
      </w:r>
      <w:proofErr w:type="spellEnd"/>
      <w:r w:rsidR="003C2AC0">
        <w:rPr>
          <w:rFonts w:eastAsia="Times New Roman" w:cstheme="minorHAnsi"/>
        </w:rPr>
        <w:t xml:space="preserve"> </w:t>
      </w:r>
      <w:r w:rsidR="003C59FC">
        <w:rPr>
          <w:rFonts w:eastAsia="Times New Roman" w:cstheme="minorHAnsi"/>
        </w:rPr>
        <w:t xml:space="preserve">indication </w:t>
      </w:r>
      <w:r w:rsidR="00625C4F">
        <w:rPr>
          <w:rFonts w:eastAsia="Times New Roman" w:cstheme="minorHAnsi"/>
        </w:rPr>
        <w:t>illustrates</w:t>
      </w:r>
      <w:r w:rsidR="00650FF8">
        <w:rPr>
          <w:rFonts w:eastAsia="Times New Roman" w:cstheme="minorHAnsi"/>
        </w:rPr>
        <w:t xml:space="preserve"> </w:t>
      </w:r>
      <w:r w:rsidR="003C59FC">
        <w:rPr>
          <w:rFonts w:eastAsia="Times New Roman" w:cstheme="minorHAnsi"/>
        </w:rPr>
        <w:t xml:space="preserve">a </w:t>
      </w:r>
      <w:r w:rsidR="00650FF8">
        <w:rPr>
          <w:rFonts w:eastAsia="Times New Roman" w:cstheme="minorHAnsi"/>
        </w:rPr>
        <w:t xml:space="preserve">rapid uptake of </w:t>
      </w:r>
      <w:proofErr w:type="spellStart"/>
      <w:r w:rsidR="00650FF8">
        <w:rPr>
          <w:rFonts w:eastAsia="Times New Roman" w:cstheme="minorHAnsi"/>
        </w:rPr>
        <w:t>evolocumab</w:t>
      </w:r>
      <w:proofErr w:type="spellEnd"/>
      <w:r w:rsidR="00650FF8">
        <w:rPr>
          <w:rFonts w:eastAsia="Times New Roman" w:cstheme="minorHAnsi"/>
        </w:rPr>
        <w:t xml:space="preserve"> </w:t>
      </w:r>
      <w:r w:rsidR="001001AC">
        <w:rPr>
          <w:rFonts w:eastAsia="Times New Roman" w:cstheme="minorHAnsi"/>
        </w:rPr>
        <w:t xml:space="preserve">in this population, with 396 prescriptions of </w:t>
      </w:r>
      <w:proofErr w:type="spellStart"/>
      <w:r w:rsidR="001001AC">
        <w:rPr>
          <w:rFonts w:eastAsia="Times New Roman" w:cstheme="minorHAnsi"/>
        </w:rPr>
        <w:t>evolocumab</w:t>
      </w:r>
      <w:proofErr w:type="spellEnd"/>
      <w:r w:rsidR="001001AC">
        <w:rPr>
          <w:rFonts w:eastAsia="Times New Roman" w:cstheme="minorHAnsi"/>
        </w:rPr>
        <w:t xml:space="preserve"> dispensed in the first quarter of 2019 and 718 presc</w:t>
      </w:r>
      <w:r w:rsidR="00E9203F">
        <w:rPr>
          <w:rFonts w:eastAsia="Times New Roman" w:cstheme="minorHAnsi"/>
        </w:rPr>
        <w:t>riptions in the second quarter.</w:t>
      </w:r>
    </w:p>
    <w:p w14:paraId="2CFE2B22" w14:textId="77777777" w:rsidR="0039369A" w:rsidRDefault="0039369A" w:rsidP="00F10D3C">
      <w:pPr>
        <w:pStyle w:val="Figuretitle"/>
      </w:pPr>
      <w:r>
        <w:rPr>
          <w:noProof/>
          <w:lang w:val="en-AU"/>
        </w:rPr>
        <w:lastRenderedPageBreak/>
        <w:drawing>
          <wp:inline distT="0" distB="0" distL="0" distR="0" wp14:anchorId="3766A3F7" wp14:editId="77AD05A8">
            <wp:extent cx="5687695" cy="3474720"/>
            <wp:effectExtent l="0" t="0" r="8255" b="11430"/>
            <wp:docPr id="3" name="Chart 3" descr="There are currently two different strengths of evolocumab listed on the PBS. Evolocumab 140mg/mL pen device is the most common form of evolocumab supplied for HoFH and HeFH. In 2018, 6,996 prescriptions were supplied of the 140 mg/mL pen device compared to 276 prescriptions of 420 mg/3.5 mL cartridge for the treatment of HoFH.&#10;" title="Figure 3: Number of prescriptions by item code and quarter of supply"/>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DC97ADD" w14:textId="77777777" w:rsidR="0039369A" w:rsidRDefault="00625C4F" w:rsidP="00F10D3C">
      <w:pPr>
        <w:pStyle w:val="Figuretitle"/>
      </w:pPr>
      <w:r>
        <w:t>Figure 3</w:t>
      </w:r>
      <w:r w:rsidR="0039369A" w:rsidRPr="0039369A">
        <w:t>: Numbe</w:t>
      </w:r>
      <w:r w:rsidR="0039369A">
        <w:t>r of prescriptions by item code</w:t>
      </w:r>
      <w:r w:rsidR="0039369A" w:rsidRPr="0039369A">
        <w:t xml:space="preserve"> and quarter of supply</w:t>
      </w:r>
    </w:p>
    <w:p w14:paraId="257B3D04" w14:textId="1C4B0BCE" w:rsidR="00625C4F" w:rsidRDefault="00625C4F" w:rsidP="00506B36">
      <w:pPr>
        <w:pStyle w:val="Notes"/>
      </w:pPr>
      <w:r w:rsidRPr="00480F8E">
        <w:t xml:space="preserve">Source: </w:t>
      </w:r>
      <w:r w:rsidR="00331483">
        <w:rPr>
          <w:rFonts w:eastAsia="Times New Roman" w:cstheme="minorHAnsi"/>
        </w:rPr>
        <w:t>PBS</w:t>
      </w:r>
      <w:r w:rsidRPr="00480F8E">
        <w:t xml:space="preserve"> supplied prescriptions</w:t>
      </w:r>
      <w:r w:rsidR="00E9203F">
        <w:t xml:space="preserve"> database; extracted July 2019.</w:t>
      </w:r>
    </w:p>
    <w:p w14:paraId="03E075EF" w14:textId="77777777" w:rsidR="00504F5C" w:rsidRDefault="00DE3E1B" w:rsidP="00E9203F">
      <w:pPr>
        <w:jc w:val="both"/>
        <w:rPr>
          <w:rFonts w:eastAsia="Times New Roman" w:cstheme="minorHAnsi"/>
        </w:rPr>
      </w:pPr>
      <w:r>
        <w:rPr>
          <w:rFonts w:eastAsia="Times New Roman" w:cstheme="minorHAnsi"/>
        </w:rPr>
        <w:t xml:space="preserve">There are currently two different strengths of </w:t>
      </w:r>
      <w:proofErr w:type="spellStart"/>
      <w:r>
        <w:rPr>
          <w:rFonts w:eastAsia="Times New Roman" w:cstheme="minorHAnsi"/>
        </w:rPr>
        <w:t>evolocumab</w:t>
      </w:r>
      <w:proofErr w:type="spellEnd"/>
      <w:r w:rsidR="00637C55">
        <w:rPr>
          <w:rFonts w:eastAsia="Times New Roman" w:cstheme="minorHAnsi"/>
        </w:rPr>
        <w:t xml:space="preserve"> </w:t>
      </w:r>
      <w:r>
        <w:rPr>
          <w:rFonts w:eastAsia="Times New Roman" w:cstheme="minorHAnsi"/>
        </w:rPr>
        <w:t xml:space="preserve">listed on the PBS. </w:t>
      </w:r>
      <w:proofErr w:type="spellStart"/>
      <w:r>
        <w:rPr>
          <w:rFonts w:eastAsia="Times New Roman" w:cstheme="minorHAnsi"/>
        </w:rPr>
        <w:t>Evolocumab</w:t>
      </w:r>
      <w:proofErr w:type="spellEnd"/>
      <w:r>
        <w:rPr>
          <w:rFonts w:eastAsia="Times New Roman" w:cstheme="minorHAnsi"/>
        </w:rPr>
        <w:t xml:space="preserve"> </w:t>
      </w:r>
      <w:r w:rsidR="00637C55">
        <w:rPr>
          <w:rFonts w:eastAsia="Times New Roman" w:cstheme="minorHAnsi"/>
        </w:rPr>
        <w:t xml:space="preserve">140mg/mL </w:t>
      </w:r>
      <w:r w:rsidR="00637C55" w:rsidRPr="00637C55">
        <w:rPr>
          <w:rFonts w:eastAsia="Times New Roman" w:cstheme="minorHAnsi"/>
        </w:rPr>
        <w:t>pen device</w:t>
      </w:r>
      <w:r w:rsidRPr="00637C55">
        <w:rPr>
          <w:rFonts w:eastAsia="Times New Roman" w:cstheme="minorHAnsi"/>
        </w:rPr>
        <w:t xml:space="preserve"> </w:t>
      </w:r>
      <w:r w:rsidR="00125082">
        <w:rPr>
          <w:rFonts w:eastAsia="Times New Roman" w:cstheme="minorHAnsi"/>
        </w:rPr>
        <w:t>was</w:t>
      </w:r>
      <w:r w:rsidR="00637C55">
        <w:rPr>
          <w:rFonts w:eastAsia="Times New Roman" w:cstheme="minorHAnsi"/>
        </w:rPr>
        <w:t xml:space="preserve"> the</w:t>
      </w:r>
      <w:r>
        <w:rPr>
          <w:rFonts w:eastAsia="Times New Roman" w:cstheme="minorHAnsi"/>
        </w:rPr>
        <w:t xml:space="preserve"> </w:t>
      </w:r>
      <w:r w:rsidR="00637C55">
        <w:rPr>
          <w:rFonts w:eastAsia="Times New Roman" w:cstheme="minorHAnsi"/>
        </w:rPr>
        <w:t>most common form</w:t>
      </w:r>
      <w:r w:rsidR="00625C4F" w:rsidRPr="00C0535B">
        <w:rPr>
          <w:rFonts w:eastAsia="Times New Roman" w:cstheme="minorHAnsi"/>
        </w:rPr>
        <w:t xml:space="preserve"> of </w:t>
      </w:r>
      <w:proofErr w:type="spellStart"/>
      <w:r w:rsidR="00625C4F" w:rsidRPr="00C0535B">
        <w:rPr>
          <w:rFonts w:eastAsia="Times New Roman" w:cstheme="minorHAnsi"/>
        </w:rPr>
        <w:t>evolocumab</w:t>
      </w:r>
      <w:proofErr w:type="spellEnd"/>
      <w:r w:rsidR="00625C4F" w:rsidRPr="00C0535B">
        <w:rPr>
          <w:rFonts w:eastAsia="Times New Roman" w:cstheme="minorHAnsi"/>
        </w:rPr>
        <w:t xml:space="preserve"> supplied for </w:t>
      </w:r>
      <w:proofErr w:type="spellStart"/>
      <w:r w:rsidR="00625C4F" w:rsidRPr="00C0535B">
        <w:rPr>
          <w:rFonts w:eastAsia="Times New Roman" w:cstheme="minorHAnsi"/>
        </w:rPr>
        <w:t>HoFH</w:t>
      </w:r>
      <w:proofErr w:type="spellEnd"/>
      <w:r w:rsidR="00625C4F" w:rsidRPr="00C0535B">
        <w:rPr>
          <w:rFonts w:eastAsia="Times New Roman" w:cstheme="minorHAnsi"/>
        </w:rPr>
        <w:t xml:space="preserve"> and </w:t>
      </w:r>
      <w:proofErr w:type="spellStart"/>
      <w:r w:rsidR="00625C4F" w:rsidRPr="00C0535B">
        <w:rPr>
          <w:rFonts w:eastAsia="Times New Roman" w:cstheme="minorHAnsi"/>
        </w:rPr>
        <w:t>HeFH</w:t>
      </w:r>
      <w:proofErr w:type="spellEnd"/>
      <w:r w:rsidR="00637C55">
        <w:rPr>
          <w:rFonts w:eastAsia="Times New Roman" w:cstheme="minorHAnsi"/>
        </w:rPr>
        <w:t xml:space="preserve">. </w:t>
      </w:r>
      <w:r w:rsidR="00C0535B" w:rsidRPr="00C0535B">
        <w:rPr>
          <w:rFonts w:eastAsia="Times New Roman" w:cstheme="minorHAnsi"/>
        </w:rPr>
        <w:t>In 2018, 6</w:t>
      </w:r>
      <w:r w:rsidR="00AA6D1E">
        <w:rPr>
          <w:rFonts w:eastAsia="Times New Roman" w:cstheme="minorHAnsi"/>
        </w:rPr>
        <w:t>,</w:t>
      </w:r>
      <w:r w:rsidR="00C0535B" w:rsidRPr="00C0535B">
        <w:rPr>
          <w:rFonts w:eastAsia="Times New Roman" w:cstheme="minorHAnsi"/>
        </w:rPr>
        <w:t xml:space="preserve">996 prescriptions </w:t>
      </w:r>
      <w:proofErr w:type="gramStart"/>
      <w:r w:rsidR="00C0535B" w:rsidRPr="00C0535B">
        <w:rPr>
          <w:rFonts w:eastAsia="Times New Roman" w:cstheme="minorHAnsi"/>
        </w:rPr>
        <w:t>w</w:t>
      </w:r>
      <w:r w:rsidR="00637C55">
        <w:rPr>
          <w:rFonts w:eastAsia="Times New Roman" w:cstheme="minorHAnsi"/>
        </w:rPr>
        <w:t>ere supplied</w:t>
      </w:r>
      <w:proofErr w:type="gramEnd"/>
      <w:r w:rsidR="00637C55">
        <w:rPr>
          <w:rFonts w:eastAsia="Times New Roman" w:cstheme="minorHAnsi"/>
        </w:rPr>
        <w:t xml:space="preserve"> of</w:t>
      </w:r>
      <w:r w:rsidR="00C0535B" w:rsidRPr="00C0535B">
        <w:rPr>
          <w:rFonts w:eastAsia="Times New Roman" w:cstheme="minorHAnsi"/>
        </w:rPr>
        <w:t xml:space="preserve"> the </w:t>
      </w:r>
      <w:r w:rsidR="00637C55">
        <w:rPr>
          <w:rFonts w:eastAsia="Times New Roman" w:cstheme="minorHAnsi"/>
        </w:rPr>
        <w:t>140</w:t>
      </w:r>
      <w:r w:rsidR="00AA6D1E">
        <w:rPr>
          <w:rFonts w:eastAsia="Times New Roman" w:cstheme="minorHAnsi"/>
        </w:rPr>
        <w:t> </w:t>
      </w:r>
      <w:r w:rsidR="00637C55">
        <w:rPr>
          <w:rFonts w:eastAsia="Times New Roman" w:cstheme="minorHAnsi"/>
        </w:rPr>
        <w:t>mg/mL pen device</w:t>
      </w:r>
      <w:r w:rsidR="00C0535B" w:rsidRPr="00C0535B">
        <w:rPr>
          <w:rFonts w:eastAsia="Times New Roman" w:cstheme="minorHAnsi"/>
        </w:rPr>
        <w:t xml:space="preserve"> compared t</w:t>
      </w:r>
      <w:r w:rsidR="00637C55">
        <w:rPr>
          <w:rFonts w:eastAsia="Times New Roman" w:cstheme="minorHAnsi"/>
        </w:rPr>
        <w:t>o 276 prescriptions of 420</w:t>
      </w:r>
      <w:r w:rsidR="00AA6D1E">
        <w:rPr>
          <w:rFonts w:eastAsia="Times New Roman" w:cstheme="minorHAnsi"/>
        </w:rPr>
        <w:t> </w:t>
      </w:r>
      <w:r w:rsidR="00637C55">
        <w:rPr>
          <w:rFonts w:eastAsia="Times New Roman" w:cstheme="minorHAnsi"/>
        </w:rPr>
        <w:t>mg/3.5</w:t>
      </w:r>
      <w:r w:rsidR="00AA6D1E">
        <w:rPr>
          <w:rFonts w:eastAsia="Times New Roman" w:cstheme="minorHAnsi"/>
        </w:rPr>
        <w:t> </w:t>
      </w:r>
      <w:r w:rsidR="00637C55">
        <w:rPr>
          <w:rFonts w:eastAsia="Times New Roman" w:cstheme="minorHAnsi"/>
        </w:rPr>
        <w:t>mL cartridge</w:t>
      </w:r>
      <w:r w:rsidR="001001AC">
        <w:rPr>
          <w:rFonts w:eastAsia="Times New Roman" w:cstheme="minorHAnsi"/>
        </w:rPr>
        <w:t xml:space="preserve"> for the treatment of </w:t>
      </w:r>
      <w:proofErr w:type="spellStart"/>
      <w:r w:rsidR="001001AC">
        <w:rPr>
          <w:rFonts w:eastAsia="Times New Roman" w:cstheme="minorHAnsi"/>
        </w:rPr>
        <w:t>HoFH</w:t>
      </w:r>
      <w:proofErr w:type="spellEnd"/>
      <w:r w:rsidR="00637C55">
        <w:rPr>
          <w:rFonts w:eastAsia="Times New Roman" w:cstheme="minorHAnsi"/>
        </w:rPr>
        <w:t>.</w:t>
      </w:r>
    </w:p>
    <w:p w14:paraId="5518FD22" w14:textId="77777777" w:rsidR="00736041" w:rsidRPr="005E22C2" w:rsidRDefault="00736041" w:rsidP="00B05858">
      <w:pPr>
        <w:pStyle w:val="Heading3"/>
      </w:pPr>
      <w:r w:rsidRPr="005E22C2">
        <w:t>Utilisation</w:t>
      </w:r>
      <w:r w:rsidR="00B05858">
        <w:t xml:space="preserve"> by prescriber type</w:t>
      </w:r>
    </w:p>
    <w:p w14:paraId="3AB3DABE" w14:textId="77777777" w:rsidR="00384C75" w:rsidRDefault="00B05858" w:rsidP="00A35800">
      <w:r>
        <w:rPr>
          <w:noProof/>
        </w:rPr>
        <w:drawing>
          <wp:inline distT="0" distB="0" distL="0" distR="0" wp14:anchorId="43BEF072" wp14:editId="0F1B2D58">
            <wp:extent cx="5124450" cy="2743200"/>
            <wp:effectExtent l="0" t="0" r="0" b="0"/>
            <wp:docPr id="5" name="Chart 5" descr="Figure 4 depicts the type of prescribers who initiated PBS subsidised evolocumab for HoFH in 2018. The largest proportion of HoFH patients initiating evolocumab had their first prescription written by a cardiologist; followed by internal medicine specialists, GPs and endocrinologists." title="Figure 4: Proportion of patients initiating evolocumab for HoFH by prescriber type in 20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0DB7940" w14:textId="77777777" w:rsidR="00B05858" w:rsidRPr="00480F8E" w:rsidRDefault="00EB513E" w:rsidP="00B05858">
      <w:pPr>
        <w:pStyle w:val="Figuretitle"/>
        <w:rPr>
          <w:rFonts w:cstheme="minorHAnsi"/>
        </w:rPr>
      </w:pPr>
      <w:r>
        <w:rPr>
          <w:rFonts w:cstheme="minorHAnsi"/>
        </w:rPr>
        <w:t>Figure 4</w:t>
      </w:r>
      <w:r w:rsidR="00B05858" w:rsidRPr="00480F8E">
        <w:rPr>
          <w:rFonts w:cstheme="minorHAnsi"/>
        </w:rPr>
        <w:t xml:space="preserve">: </w:t>
      </w:r>
      <w:r w:rsidR="00AA6D1E">
        <w:rPr>
          <w:rFonts w:cstheme="minorHAnsi"/>
        </w:rPr>
        <w:t>Proportion</w:t>
      </w:r>
      <w:r w:rsidR="00AA6D1E" w:rsidRPr="00480F8E">
        <w:rPr>
          <w:rFonts w:cstheme="minorHAnsi"/>
        </w:rPr>
        <w:t xml:space="preserve"> </w:t>
      </w:r>
      <w:r w:rsidR="00B05858" w:rsidRPr="00480F8E">
        <w:rPr>
          <w:rFonts w:cstheme="minorHAnsi"/>
        </w:rPr>
        <w:t xml:space="preserve">of patients initiating </w:t>
      </w:r>
      <w:proofErr w:type="spellStart"/>
      <w:r w:rsidR="00B05858" w:rsidRPr="00480F8E">
        <w:rPr>
          <w:rFonts w:cstheme="minorHAnsi"/>
        </w:rPr>
        <w:t>evolocumab</w:t>
      </w:r>
      <w:proofErr w:type="spellEnd"/>
      <w:r w:rsidR="00B05858" w:rsidRPr="00480F8E">
        <w:rPr>
          <w:rFonts w:cstheme="minorHAnsi"/>
        </w:rPr>
        <w:t xml:space="preserve"> for </w:t>
      </w:r>
      <w:proofErr w:type="spellStart"/>
      <w:r w:rsidR="00B05858" w:rsidRPr="00480F8E">
        <w:rPr>
          <w:rFonts w:cstheme="minorHAnsi"/>
        </w:rPr>
        <w:t>HoFH</w:t>
      </w:r>
      <w:proofErr w:type="spellEnd"/>
      <w:r w:rsidR="00B05858" w:rsidRPr="00480F8E">
        <w:rPr>
          <w:rFonts w:cstheme="minorHAnsi"/>
        </w:rPr>
        <w:t xml:space="preserve"> by prescriber type in 2018</w:t>
      </w:r>
    </w:p>
    <w:p w14:paraId="1EC75801" w14:textId="057BA9BC" w:rsidR="00384C75" w:rsidRDefault="00B05858" w:rsidP="00506B36">
      <w:pPr>
        <w:pStyle w:val="Notes"/>
      </w:pPr>
      <w:r w:rsidRPr="00480F8E">
        <w:t xml:space="preserve">Source: </w:t>
      </w:r>
      <w:r w:rsidR="00331483">
        <w:rPr>
          <w:rFonts w:eastAsia="Times New Roman" w:cstheme="minorHAnsi"/>
        </w:rPr>
        <w:t>PBS</w:t>
      </w:r>
      <w:r w:rsidRPr="00480F8E">
        <w:t xml:space="preserve"> supplied prescriptions</w:t>
      </w:r>
      <w:r w:rsidR="00E9203F">
        <w:t xml:space="preserve"> database; extracted July 2019.</w:t>
      </w:r>
    </w:p>
    <w:p w14:paraId="6087EA57" w14:textId="77777777" w:rsidR="00480F8E" w:rsidRDefault="00480F8E" w:rsidP="00504F5C">
      <w:pPr>
        <w:jc w:val="both"/>
        <w:rPr>
          <w:rFonts w:eastAsia="Times New Roman" w:cstheme="minorHAnsi"/>
        </w:rPr>
      </w:pPr>
      <w:r>
        <w:rPr>
          <w:rFonts w:eastAsia="Times New Roman" w:cstheme="minorHAnsi"/>
        </w:rPr>
        <w:lastRenderedPageBreak/>
        <w:t xml:space="preserve">The PBS restriction for </w:t>
      </w:r>
      <w:proofErr w:type="spellStart"/>
      <w:r>
        <w:rPr>
          <w:rFonts w:eastAsia="Times New Roman" w:cstheme="minorHAnsi"/>
        </w:rPr>
        <w:t>evolocumab</w:t>
      </w:r>
      <w:proofErr w:type="spellEnd"/>
      <w:r>
        <w:rPr>
          <w:rFonts w:eastAsia="Times New Roman" w:cstheme="minorHAnsi"/>
        </w:rPr>
        <w:t xml:space="preserve"> requires</w:t>
      </w:r>
      <w:r w:rsidR="00EB513E">
        <w:rPr>
          <w:rFonts w:eastAsia="Times New Roman" w:cstheme="minorHAnsi"/>
        </w:rPr>
        <w:t xml:space="preserve"> that </w:t>
      </w:r>
      <w:proofErr w:type="gramStart"/>
      <w:r w:rsidR="00EB513E">
        <w:rPr>
          <w:rFonts w:eastAsia="Times New Roman" w:cstheme="minorHAnsi"/>
        </w:rPr>
        <w:t xml:space="preserve">the patient </w:t>
      </w:r>
      <w:r w:rsidRPr="00480F8E">
        <w:rPr>
          <w:rFonts w:eastAsia="Times New Roman" w:cstheme="minorHAnsi"/>
        </w:rPr>
        <w:t>must be treated by a specialist physician</w:t>
      </w:r>
      <w:proofErr w:type="gramEnd"/>
      <w:r w:rsidRPr="00480F8E">
        <w:rPr>
          <w:rFonts w:eastAsia="Times New Roman" w:cstheme="minorHAnsi"/>
        </w:rPr>
        <w:t xml:space="preserve">. </w:t>
      </w:r>
      <w:r w:rsidR="00B4148B" w:rsidRPr="00B4148B">
        <w:rPr>
          <w:rFonts w:eastAsia="Times New Roman" w:cstheme="minorHAnsi"/>
        </w:rPr>
        <w:t xml:space="preserve">The full name of the specialist physician consulted </w:t>
      </w:r>
      <w:r w:rsidR="00504F5C">
        <w:rPr>
          <w:rFonts w:eastAsia="Times New Roman" w:cstheme="minorHAnsi"/>
        </w:rPr>
        <w:t>and the date of consultation need</w:t>
      </w:r>
      <w:r w:rsidR="00B4148B" w:rsidRPr="00B4148B">
        <w:rPr>
          <w:rFonts w:eastAsia="Times New Roman" w:cstheme="minorHAnsi"/>
        </w:rPr>
        <w:t xml:space="preserve"> to </w:t>
      </w:r>
      <w:proofErr w:type="gramStart"/>
      <w:r w:rsidR="00B4148B" w:rsidRPr="00B4148B">
        <w:rPr>
          <w:rFonts w:eastAsia="Times New Roman" w:cstheme="minorHAnsi"/>
        </w:rPr>
        <w:t>be provided</w:t>
      </w:r>
      <w:proofErr w:type="gramEnd"/>
      <w:r w:rsidR="00B4148B" w:rsidRPr="00B4148B">
        <w:rPr>
          <w:rFonts w:eastAsia="Times New Roman" w:cstheme="minorHAnsi"/>
        </w:rPr>
        <w:t xml:space="preserve"> at the time of</w:t>
      </w:r>
      <w:r w:rsidR="00B4148B">
        <w:rPr>
          <w:rFonts w:eastAsia="Times New Roman" w:cstheme="minorHAnsi"/>
        </w:rPr>
        <w:t xml:space="preserve"> the authority</w:t>
      </w:r>
      <w:r w:rsidR="00B4148B" w:rsidRPr="00B4148B">
        <w:rPr>
          <w:rFonts w:eastAsia="Times New Roman" w:cstheme="minorHAnsi"/>
        </w:rPr>
        <w:t xml:space="preserve"> application.</w:t>
      </w:r>
      <w:r w:rsidR="00B4148B">
        <w:rPr>
          <w:rFonts w:eastAsia="Times New Roman" w:cstheme="minorHAnsi"/>
        </w:rPr>
        <w:t xml:space="preserve"> </w:t>
      </w:r>
      <w:r w:rsidR="00B4148B" w:rsidRPr="00B4148B">
        <w:rPr>
          <w:rFonts w:eastAsia="Times New Roman" w:cstheme="minorHAnsi"/>
        </w:rPr>
        <w:t xml:space="preserve">The date of the consultation with a specialist physician must be no more than 6 months prior to the application date. </w:t>
      </w:r>
      <w:r w:rsidR="00B4148B">
        <w:rPr>
          <w:rFonts w:eastAsia="Times New Roman" w:cstheme="minorHAnsi"/>
        </w:rPr>
        <w:t>T</w:t>
      </w:r>
      <w:r w:rsidR="00EB513E">
        <w:rPr>
          <w:rFonts w:eastAsia="Times New Roman" w:cstheme="minorHAnsi"/>
        </w:rPr>
        <w:t>herefore</w:t>
      </w:r>
      <w:r w:rsidR="00B4148B">
        <w:rPr>
          <w:rFonts w:eastAsia="Times New Roman" w:cstheme="minorHAnsi"/>
        </w:rPr>
        <w:t>, it is</w:t>
      </w:r>
      <w:r w:rsidRPr="00480F8E">
        <w:rPr>
          <w:rFonts w:eastAsia="Times New Roman" w:cstheme="minorHAnsi"/>
        </w:rPr>
        <w:t xml:space="preserve"> possible for non-s</w:t>
      </w:r>
      <w:r>
        <w:rPr>
          <w:rFonts w:eastAsia="Times New Roman" w:cstheme="minorHAnsi"/>
        </w:rPr>
        <w:t xml:space="preserve">pecialist medical doctors (e.g. </w:t>
      </w:r>
      <w:r w:rsidRPr="00480F8E">
        <w:rPr>
          <w:rFonts w:eastAsia="Times New Roman" w:cstheme="minorHAnsi"/>
        </w:rPr>
        <w:t xml:space="preserve">general practitioners) to prescribe </w:t>
      </w:r>
      <w:proofErr w:type="spellStart"/>
      <w:r w:rsidRPr="00480F8E">
        <w:rPr>
          <w:rFonts w:eastAsia="Times New Roman" w:cstheme="minorHAnsi"/>
        </w:rPr>
        <w:t>evolocumab</w:t>
      </w:r>
      <w:proofErr w:type="spellEnd"/>
      <w:r w:rsidRPr="00480F8E">
        <w:rPr>
          <w:rFonts w:eastAsia="Times New Roman" w:cstheme="minorHAnsi"/>
        </w:rPr>
        <w:t xml:space="preserve"> i</w:t>
      </w:r>
      <w:r>
        <w:rPr>
          <w:rFonts w:eastAsia="Times New Roman" w:cstheme="minorHAnsi"/>
        </w:rPr>
        <w:t xml:space="preserve">n consultation with the </w:t>
      </w:r>
      <w:r w:rsidRPr="00480F8E">
        <w:rPr>
          <w:rFonts w:eastAsia="Times New Roman" w:cstheme="minorHAnsi"/>
        </w:rPr>
        <w:t>specia</w:t>
      </w:r>
      <w:r>
        <w:rPr>
          <w:rFonts w:eastAsia="Times New Roman" w:cstheme="minorHAnsi"/>
        </w:rPr>
        <w:t>list managing the patient care.</w:t>
      </w:r>
    </w:p>
    <w:p w14:paraId="5935EC7D" w14:textId="77777777" w:rsidR="00EB513E" w:rsidRDefault="00EB513E" w:rsidP="00504F5C">
      <w:pPr>
        <w:jc w:val="both"/>
        <w:rPr>
          <w:rFonts w:eastAsia="Times New Roman" w:cstheme="minorHAnsi"/>
        </w:rPr>
      </w:pPr>
      <w:r>
        <w:rPr>
          <w:rFonts w:eastAsia="Times New Roman" w:cstheme="minorHAnsi"/>
        </w:rPr>
        <w:t>Figure 4 depicts</w:t>
      </w:r>
      <w:r w:rsidR="00480F8E">
        <w:rPr>
          <w:rFonts w:eastAsia="Times New Roman" w:cstheme="minorHAnsi"/>
        </w:rPr>
        <w:t xml:space="preserve"> the type of prescribers </w:t>
      </w:r>
      <w:r w:rsidR="00AA6D1E">
        <w:rPr>
          <w:rFonts w:eastAsia="Times New Roman" w:cstheme="minorHAnsi"/>
        </w:rPr>
        <w:t xml:space="preserve">who initiated </w:t>
      </w:r>
      <w:r w:rsidR="00480F8E">
        <w:rPr>
          <w:rFonts w:eastAsia="Times New Roman" w:cstheme="minorHAnsi"/>
        </w:rPr>
        <w:t>PBS</w:t>
      </w:r>
      <w:r w:rsidR="00AA6D1E">
        <w:rPr>
          <w:rFonts w:eastAsia="Times New Roman" w:cstheme="minorHAnsi"/>
        </w:rPr>
        <w:noBreakHyphen/>
      </w:r>
      <w:r w:rsidR="00480F8E">
        <w:rPr>
          <w:rFonts w:eastAsia="Times New Roman" w:cstheme="minorHAnsi"/>
        </w:rPr>
        <w:t xml:space="preserve">subsidised </w:t>
      </w:r>
      <w:proofErr w:type="spellStart"/>
      <w:r w:rsidR="00480F8E">
        <w:rPr>
          <w:rFonts w:eastAsia="Times New Roman" w:cstheme="minorHAnsi"/>
        </w:rPr>
        <w:t>evolocumab</w:t>
      </w:r>
      <w:proofErr w:type="spellEnd"/>
      <w:r w:rsidR="00480F8E">
        <w:rPr>
          <w:rFonts w:eastAsia="Times New Roman" w:cstheme="minorHAnsi"/>
        </w:rPr>
        <w:t xml:space="preserve"> for </w:t>
      </w:r>
      <w:proofErr w:type="spellStart"/>
      <w:r w:rsidR="00480F8E">
        <w:rPr>
          <w:rFonts w:eastAsia="Times New Roman" w:cstheme="minorHAnsi"/>
        </w:rPr>
        <w:t>HoFH</w:t>
      </w:r>
      <w:proofErr w:type="spellEnd"/>
      <w:r>
        <w:rPr>
          <w:rFonts w:eastAsia="Times New Roman" w:cstheme="minorHAnsi"/>
        </w:rPr>
        <w:t xml:space="preserve"> in 2018</w:t>
      </w:r>
      <w:r w:rsidR="00480F8E">
        <w:rPr>
          <w:rFonts w:eastAsia="Times New Roman" w:cstheme="minorHAnsi"/>
        </w:rPr>
        <w:t>. The largest proportion of</w:t>
      </w:r>
      <w:r w:rsidR="00B862BA">
        <w:rPr>
          <w:rFonts w:eastAsia="Times New Roman" w:cstheme="minorHAnsi"/>
        </w:rPr>
        <w:t xml:space="preserve"> </w:t>
      </w:r>
      <w:proofErr w:type="spellStart"/>
      <w:r w:rsidR="00B862BA">
        <w:rPr>
          <w:rFonts w:eastAsia="Times New Roman" w:cstheme="minorHAnsi"/>
        </w:rPr>
        <w:t>HoFH</w:t>
      </w:r>
      <w:proofErr w:type="spellEnd"/>
      <w:r w:rsidR="00B862BA">
        <w:rPr>
          <w:rFonts w:eastAsia="Times New Roman" w:cstheme="minorHAnsi"/>
        </w:rPr>
        <w:t xml:space="preserve"> patients </w:t>
      </w:r>
      <w:r w:rsidR="00F04020">
        <w:rPr>
          <w:rFonts w:eastAsia="Times New Roman" w:cstheme="minorHAnsi"/>
        </w:rPr>
        <w:t xml:space="preserve">initiating </w:t>
      </w:r>
      <w:proofErr w:type="spellStart"/>
      <w:r w:rsidR="00F04020">
        <w:rPr>
          <w:rFonts w:eastAsia="Times New Roman" w:cstheme="minorHAnsi"/>
        </w:rPr>
        <w:t>evolocumab</w:t>
      </w:r>
      <w:proofErr w:type="spellEnd"/>
      <w:r w:rsidR="00F04020">
        <w:rPr>
          <w:rFonts w:eastAsia="Times New Roman" w:cstheme="minorHAnsi"/>
        </w:rPr>
        <w:t xml:space="preserve"> </w:t>
      </w:r>
      <w:r w:rsidR="00B862BA">
        <w:rPr>
          <w:rFonts w:eastAsia="Times New Roman" w:cstheme="minorHAnsi"/>
        </w:rPr>
        <w:t xml:space="preserve">had their </w:t>
      </w:r>
      <w:r w:rsidR="00F04020">
        <w:rPr>
          <w:rFonts w:eastAsia="Times New Roman" w:cstheme="minorHAnsi"/>
        </w:rPr>
        <w:t xml:space="preserve">first </w:t>
      </w:r>
      <w:r w:rsidR="00B862BA">
        <w:rPr>
          <w:rFonts w:eastAsia="Times New Roman" w:cstheme="minorHAnsi"/>
        </w:rPr>
        <w:t>prescription</w:t>
      </w:r>
      <w:r w:rsidR="00480F8E">
        <w:rPr>
          <w:rFonts w:eastAsia="Times New Roman" w:cstheme="minorHAnsi"/>
        </w:rPr>
        <w:t xml:space="preserve"> written by </w:t>
      </w:r>
      <w:r w:rsidR="00F04020">
        <w:rPr>
          <w:rFonts w:eastAsia="Times New Roman" w:cstheme="minorHAnsi"/>
        </w:rPr>
        <w:t xml:space="preserve">a </w:t>
      </w:r>
      <w:r w:rsidR="00480F8E">
        <w:rPr>
          <w:rFonts w:eastAsia="Times New Roman" w:cstheme="minorHAnsi"/>
        </w:rPr>
        <w:t>cardiologist</w:t>
      </w:r>
      <w:r w:rsidR="00F04020">
        <w:rPr>
          <w:rFonts w:eastAsia="Times New Roman" w:cstheme="minorHAnsi"/>
        </w:rPr>
        <w:t>;</w:t>
      </w:r>
      <w:r w:rsidR="00480F8E">
        <w:rPr>
          <w:rFonts w:eastAsia="Times New Roman" w:cstheme="minorHAnsi"/>
        </w:rPr>
        <w:t xml:space="preserve"> followed by internal medicine specialists, GPs and endocrinologists.</w:t>
      </w:r>
    </w:p>
    <w:p w14:paraId="04BE4BEF" w14:textId="77777777" w:rsidR="00736041" w:rsidRDefault="00D151EB" w:rsidP="00F73113">
      <w:pPr>
        <w:pStyle w:val="Heading2"/>
      </w:pPr>
      <w:r>
        <w:t xml:space="preserve">Analysis </w:t>
      </w:r>
      <w:r w:rsidR="00C0076F" w:rsidRPr="005E22C2">
        <w:t xml:space="preserve">of </w:t>
      </w:r>
      <w:r w:rsidR="0063631C">
        <w:t>a</w:t>
      </w:r>
      <w:r w:rsidR="00C0076F" w:rsidRPr="005E22C2">
        <w:t xml:space="preserve">ctual versus </w:t>
      </w:r>
      <w:r w:rsidR="0063631C">
        <w:t>p</w:t>
      </w:r>
      <w:r w:rsidR="00C0076F" w:rsidRPr="005E22C2">
        <w:t xml:space="preserve">redicted </w:t>
      </w:r>
      <w:r w:rsidR="0063631C">
        <w:t>u</w:t>
      </w:r>
      <w:r w:rsidR="00C0076F" w:rsidRPr="005E22C2">
        <w:t>tilisation</w:t>
      </w:r>
    </w:p>
    <w:p w14:paraId="1373BF1B" w14:textId="77777777" w:rsidR="00BE6953" w:rsidRPr="00C31273" w:rsidRDefault="005F2568" w:rsidP="005F2568">
      <w:r>
        <w:t xml:space="preserve">A comparison of the predicted utilisation of </w:t>
      </w:r>
      <w:proofErr w:type="spellStart"/>
      <w:r>
        <w:t>evolocumab</w:t>
      </w:r>
      <w:proofErr w:type="spellEnd"/>
      <w:r>
        <w:t xml:space="preserve"> for </w:t>
      </w:r>
      <w:proofErr w:type="spellStart"/>
      <w:r>
        <w:t>HoFH</w:t>
      </w:r>
      <w:proofErr w:type="spellEnd"/>
      <w:r>
        <w:t xml:space="preserve"> versus actual use </w:t>
      </w:r>
      <w:proofErr w:type="gramStart"/>
      <w:r>
        <w:t xml:space="preserve">is </w:t>
      </w:r>
      <w:r w:rsidR="008A74C1">
        <w:t>shown</w:t>
      </w:r>
      <w:proofErr w:type="gramEnd"/>
      <w:r w:rsidR="008A74C1">
        <w:t xml:space="preserve"> in Table 3</w:t>
      </w:r>
      <w:r>
        <w:t>.</w:t>
      </w:r>
    </w:p>
    <w:p w14:paraId="5A7739E3" w14:textId="77777777" w:rsidR="009251E1" w:rsidRPr="00C20632" w:rsidRDefault="008A74C1" w:rsidP="00506B36">
      <w:pPr>
        <w:pStyle w:val="Tabletitle"/>
        <w:rPr>
          <w:highlight w:val="black"/>
        </w:rPr>
      </w:pPr>
      <w:r>
        <w:t>Table 3</w:t>
      </w:r>
      <w:r w:rsidR="009251E1">
        <w:t xml:space="preserve">: </w:t>
      </w:r>
      <w:proofErr w:type="spellStart"/>
      <w:r w:rsidR="009251E1">
        <w:t>Evolocumab</w:t>
      </w:r>
      <w:proofErr w:type="spellEnd"/>
      <w:r w:rsidR="009251E1" w:rsidRPr="00E3204F">
        <w:t>: actual versus predicted utilisation</w:t>
      </w:r>
      <w:r w:rsidR="004C68B4">
        <w:t xml:space="preserve"> for </w:t>
      </w:r>
      <w:proofErr w:type="spellStart"/>
      <w:r w:rsidR="004C68B4">
        <w:t>HoFH</w:t>
      </w:r>
      <w:proofErr w:type="spellEnd"/>
    </w:p>
    <w:tbl>
      <w:tblPr>
        <w:tblStyle w:val="TableGrid"/>
        <w:tblW w:w="8217" w:type="dxa"/>
        <w:tblInd w:w="10" w:type="dxa"/>
        <w:tblLook w:val="04A0" w:firstRow="1" w:lastRow="0" w:firstColumn="1" w:lastColumn="0" w:noHBand="0" w:noVBand="1"/>
        <w:tblCaption w:val="Table 3: Evolocumab: actual versus predicted utilisation for HoFH"/>
        <w:tblDescription w:val="Actual versus predicted utilisation for HoFH for listing Year 1 and Year 2"/>
      </w:tblPr>
      <w:tblGrid>
        <w:gridCol w:w="1706"/>
        <w:gridCol w:w="1975"/>
        <w:gridCol w:w="2551"/>
        <w:gridCol w:w="1985"/>
      </w:tblGrid>
      <w:tr w:rsidR="00D610D2" w:rsidRPr="00D610D2" w14:paraId="0746A21F" w14:textId="77777777" w:rsidTr="00A84F42">
        <w:trPr>
          <w:trHeight w:val="300"/>
          <w:tblHeader/>
        </w:trPr>
        <w:tc>
          <w:tcPr>
            <w:tcW w:w="1706" w:type="dxa"/>
            <w:shd w:val="clear" w:color="auto" w:fill="BFBFBF" w:themeFill="background1" w:themeFillShade="BF"/>
            <w:noWrap/>
            <w:hideMark/>
          </w:tcPr>
          <w:p w14:paraId="2AF49375" w14:textId="77777777" w:rsidR="00D610D2" w:rsidRPr="00D610D2" w:rsidRDefault="00D610D2" w:rsidP="003F5C57">
            <w:pPr>
              <w:spacing w:before="60" w:after="60"/>
              <w:rPr>
                <w:rFonts w:cstheme="minorHAnsi"/>
                <w:sz w:val="20"/>
                <w:szCs w:val="20"/>
              </w:rPr>
            </w:pPr>
            <w:r w:rsidRPr="00D610D2">
              <w:rPr>
                <w:rFonts w:cstheme="minorHAnsi"/>
                <w:sz w:val="20"/>
                <w:szCs w:val="20"/>
              </w:rPr>
              <w:t> </w:t>
            </w:r>
          </w:p>
        </w:tc>
        <w:tc>
          <w:tcPr>
            <w:tcW w:w="1975" w:type="dxa"/>
            <w:shd w:val="clear" w:color="auto" w:fill="BFBFBF" w:themeFill="background1" w:themeFillShade="BF"/>
          </w:tcPr>
          <w:p w14:paraId="03C9A8C1" w14:textId="77777777" w:rsidR="00D610D2" w:rsidRPr="00D610D2" w:rsidRDefault="00D610D2" w:rsidP="00506B36">
            <w:pPr>
              <w:pStyle w:val="Tableheading"/>
            </w:pPr>
          </w:p>
        </w:tc>
        <w:tc>
          <w:tcPr>
            <w:tcW w:w="2551" w:type="dxa"/>
            <w:shd w:val="clear" w:color="auto" w:fill="BFBFBF" w:themeFill="background1" w:themeFillShade="BF"/>
            <w:noWrap/>
            <w:hideMark/>
          </w:tcPr>
          <w:p w14:paraId="6A5B9EE5" w14:textId="77777777" w:rsidR="00D610D2" w:rsidRPr="00506B36" w:rsidRDefault="00D610D2" w:rsidP="00506B36">
            <w:pPr>
              <w:pStyle w:val="Tableheading"/>
              <w:rPr>
                <w:sz w:val="20"/>
              </w:rPr>
            </w:pPr>
            <w:r w:rsidRPr="00506B36">
              <w:rPr>
                <w:sz w:val="20"/>
              </w:rPr>
              <w:t>Year 1</w:t>
            </w:r>
          </w:p>
        </w:tc>
        <w:tc>
          <w:tcPr>
            <w:tcW w:w="1985" w:type="dxa"/>
            <w:shd w:val="clear" w:color="auto" w:fill="BFBFBF" w:themeFill="background1" w:themeFillShade="BF"/>
            <w:noWrap/>
            <w:hideMark/>
          </w:tcPr>
          <w:p w14:paraId="57EBAC87" w14:textId="77777777" w:rsidR="00D610D2" w:rsidRPr="00506B36" w:rsidRDefault="00D610D2" w:rsidP="00506B36">
            <w:pPr>
              <w:pStyle w:val="Tableheading"/>
              <w:rPr>
                <w:sz w:val="20"/>
              </w:rPr>
            </w:pPr>
            <w:r w:rsidRPr="00506B36">
              <w:rPr>
                <w:sz w:val="20"/>
              </w:rPr>
              <w:t>Year 2</w:t>
            </w:r>
          </w:p>
        </w:tc>
      </w:tr>
      <w:tr w:rsidR="00D610D2" w:rsidRPr="00D610D2" w14:paraId="53922AB6" w14:textId="77777777" w:rsidTr="005310AB">
        <w:trPr>
          <w:trHeight w:val="180"/>
        </w:trPr>
        <w:tc>
          <w:tcPr>
            <w:tcW w:w="1706" w:type="dxa"/>
            <w:vMerge w:val="restart"/>
            <w:noWrap/>
            <w:hideMark/>
          </w:tcPr>
          <w:p w14:paraId="3BC62207" w14:textId="77777777" w:rsidR="00D610D2" w:rsidRPr="00D610D2" w:rsidRDefault="00F3492C" w:rsidP="003F5C57">
            <w:pPr>
              <w:spacing w:before="60" w:after="60"/>
              <w:rPr>
                <w:rFonts w:cstheme="minorHAnsi"/>
                <w:b/>
                <w:bCs/>
                <w:sz w:val="20"/>
                <w:szCs w:val="20"/>
              </w:rPr>
            </w:pPr>
            <w:r>
              <w:rPr>
                <w:rFonts w:cstheme="minorHAnsi"/>
                <w:b/>
                <w:bCs/>
                <w:sz w:val="20"/>
                <w:szCs w:val="20"/>
              </w:rPr>
              <w:t>P</w:t>
            </w:r>
            <w:r w:rsidR="00D610D2" w:rsidRPr="00D610D2">
              <w:rPr>
                <w:rFonts w:cstheme="minorHAnsi"/>
                <w:b/>
                <w:bCs/>
                <w:sz w:val="20"/>
                <w:szCs w:val="20"/>
              </w:rPr>
              <w:t>atients</w:t>
            </w:r>
          </w:p>
        </w:tc>
        <w:tc>
          <w:tcPr>
            <w:tcW w:w="1975" w:type="dxa"/>
          </w:tcPr>
          <w:p w14:paraId="3B144B2C" w14:textId="77777777" w:rsidR="00D610D2" w:rsidRPr="00D610D2" w:rsidRDefault="00D610D2" w:rsidP="00727FB0">
            <w:pPr>
              <w:pStyle w:val="Tablewriting"/>
            </w:pPr>
            <w:r w:rsidRPr="00D610D2">
              <w:t xml:space="preserve">Predicted </w:t>
            </w:r>
          </w:p>
        </w:tc>
        <w:tc>
          <w:tcPr>
            <w:tcW w:w="2551" w:type="dxa"/>
            <w:noWrap/>
            <w:hideMark/>
          </w:tcPr>
          <w:p w14:paraId="1494AEA7" w14:textId="77777777" w:rsidR="00D610D2" w:rsidRPr="004449A7" w:rsidRDefault="004449A7" w:rsidP="00727FB0">
            <w:pPr>
              <w:pStyle w:val="Tablewriting"/>
              <w:rPr>
                <w:highlight w:val="black"/>
              </w:rPr>
            </w:pPr>
            <w:r>
              <w:rPr>
                <w:noProof/>
                <w:highlight w:val="black"/>
              </w:rPr>
              <w:t xml:space="preserve">''''''' </w:t>
            </w:r>
          </w:p>
        </w:tc>
        <w:tc>
          <w:tcPr>
            <w:tcW w:w="1985" w:type="dxa"/>
            <w:noWrap/>
            <w:hideMark/>
          </w:tcPr>
          <w:p w14:paraId="26FD0414" w14:textId="77777777" w:rsidR="00D610D2" w:rsidRPr="004449A7" w:rsidRDefault="004449A7" w:rsidP="00727FB0">
            <w:pPr>
              <w:pStyle w:val="Tablewriting"/>
              <w:rPr>
                <w:highlight w:val="black"/>
              </w:rPr>
            </w:pPr>
            <w:r>
              <w:rPr>
                <w:noProof/>
                <w:highlight w:val="black"/>
              </w:rPr>
              <w:t xml:space="preserve">'''''''' </w:t>
            </w:r>
          </w:p>
        </w:tc>
      </w:tr>
      <w:tr w:rsidR="00D610D2" w:rsidRPr="00D610D2" w14:paraId="206D34F2" w14:textId="77777777" w:rsidTr="005310AB">
        <w:trPr>
          <w:trHeight w:val="180"/>
        </w:trPr>
        <w:tc>
          <w:tcPr>
            <w:tcW w:w="1706" w:type="dxa"/>
            <w:vMerge/>
            <w:noWrap/>
          </w:tcPr>
          <w:p w14:paraId="297D71D8" w14:textId="77777777" w:rsidR="00D610D2" w:rsidRPr="00D610D2" w:rsidRDefault="00D610D2" w:rsidP="003F5C57">
            <w:pPr>
              <w:spacing w:before="60" w:after="60"/>
              <w:rPr>
                <w:rFonts w:cstheme="minorHAnsi"/>
                <w:b/>
                <w:bCs/>
                <w:sz w:val="20"/>
                <w:szCs w:val="20"/>
              </w:rPr>
            </w:pPr>
          </w:p>
        </w:tc>
        <w:tc>
          <w:tcPr>
            <w:tcW w:w="1975" w:type="dxa"/>
          </w:tcPr>
          <w:p w14:paraId="4C852A42" w14:textId="77777777" w:rsidR="00D610D2" w:rsidRPr="00D610D2" w:rsidRDefault="00D610D2" w:rsidP="00727FB0">
            <w:pPr>
              <w:pStyle w:val="Tablewriting"/>
            </w:pPr>
            <w:r w:rsidRPr="00D610D2">
              <w:t>Actual</w:t>
            </w:r>
          </w:p>
        </w:tc>
        <w:tc>
          <w:tcPr>
            <w:tcW w:w="2551" w:type="dxa"/>
            <w:noWrap/>
          </w:tcPr>
          <w:p w14:paraId="2BB3080F" w14:textId="77777777" w:rsidR="00D610D2" w:rsidRPr="00D610D2" w:rsidRDefault="004C68B4" w:rsidP="00727FB0">
            <w:pPr>
              <w:pStyle w:val="Tablewriting"/>
            </w:pPr>
            <w:r>
              <w:t>502</w:t>
            </w:r>
          </w:p>
        </w:tc>
        <w:tc>
          <w:tcPr>
            <w:tcW w:w="1985" w:type="dxa"/>
            <w:noWrap/>
          </w:tcPr>
          <w:p w14:paraId="0E48F860" w14:textId="77777777" w:rsidR="00D610D2" w:rsidRPr="00D610D2" w:rsidRDefault="004C68B4" w:rsidP="00727FB0">
            <w:pPr>
              <w:pStyle w:val="Tablewriting"/>
            </w:pPr>
            <w:r>
              <w:t>1,068</w:t>
            </w:r>
          </w:p>
        </w:tc>
      </w:tr>
      <w:tr w:rsidR="00D610D2" w:rsidRPr="00D610D2" w14:paraId="4ECCF617" w14:textId="77777777" w:rsidTr="005310AB">
        <w:trPr>
          <w:trHeight w:val="180"/>
        </w:trPr>
        <w:tc>
          <w:tcPr>
            <w:tcW w:w="1706" w:type="dxa"/>
            <w:vMerge/>
            <w:noWrap/>
          </w:tcPr>
          <w:p w14:paraId="1894F8FD" w14:textId="77777777" w:rsidR="00D610D2" w:rsidRPr="00D610D2" w:rsidRDefault="00D610D2" w:rsidP="003F5C57">
            <w:pPr>
              <w:spacing w:before="60" w:after="60"/>
              <w:rPr>
                <w:rFonts w:cstheme="minorHAnsi"/>
                <w:b/>
                <w:bCs/>
                <w:sz w:val="20"/>
                <w:szCs w:val="20"/>
              </w:rPr>
            </w:pPr>
          </w:p>
        </w:tc>
        <w:tc>
          <w:tcPr>
            <w:tcW w:w="1975" w:type="dxa"/>
          </w:tcPr>
          <w:p w14:paraId="2620C9EB" w14:textId="77777777" w:rsidR="00D610D2" w:rsidRPr="00502BB4" w:rsidRDefault="00D610D2" w:rsidP="00727FB0">
            <w:pPr>
              <w:pStyle w:val="Tablewriting"/>
            </w:pPr>
            <w:r w:rsidRPr="00502BB4">
              <w:t xml:space="preserve">%Difference </w:t>
            </w:r>
          </w:p>
        </w:tc>
        <w:tc>
          <w:tcPr>
            <w:tcW w:w="2551" w:type="dxa"/>
            <w:noWrap/>
          </w:tcPr>
          <w:p w14:paraId="52EF0533" w14:textId="77777777" w:rsidR="00D610D2" w:rsidRPr="004449A7" w:rsidRDefault="004449A7" w:rsidP="00727FB0">
            <w:pPr>
              <w:pStyle w:val="Tablewriting"/>
              <w:rPr>
                <w:highlight w:val="black"/>
              </w:rPr>
            </w:pPr>
            <w:r>
              <w:rPr>
                <w:noProof/>
                <w:highlight w:val="black"/>
              </w:rPr>
              <w:t>'''''''''''''</w:t>
            </w:r>
          </w:p>
        </w:tc>
        <w:tc>
          <w:tcPr>
            <w:tcW w:w="1985" w:type="dxa"/>
            <w:noWrap/>
          </w:tcPr>
          <w:p w14:paraId="36A764A6" w14:textId="77777777" w:rsidR="00D610D2" w:rsidRPr="004449A7" w:rsidRDefault="004449A7" w:rsidP="00727FB0">
            <w:pPr>
              <w:pStyle w:val="Tablewriting"/>
              <w:rPr>
                <w:highlight w:val="black"/>
              </w:rPr>
            </w:pPr>
            <w:r>
              <w:rPr>
                <w:noProof/>
                <w:highlight w:val="black"/>
              </w:rPr>
              <w:t>'''''''''''''</w:t>
            </w:r>
          </w:p>
        </w:tc>
      </w:tr>
      <w:tr w:rsidR="00D610D2" w:rsidRPr="00D610D2" w14:paraId="2181544B" w14:textId="77777777" w:rsidTr="005310AB">
        <w:trPr>
          <w:trHeight w:val="120"/>
        </w:trPr>
        <w:tc>
          <w:tcPr>
            <w:tcW w:w="1706" w:type="dxa"/>
            <w:vMerge w:val="restart"/>
            <w:noWrap/>
            <w:hideMark/>
          </w:tcPr>
          <w:p w14:paraId="2809BCA1" w14:textId="77777777" w:rsidR="00D610D2" w:rsidRPr="00D610D2" w:rsidRDefault="00F3492C" w:rsidP="003F5C57">
            <w:pPr>
              <w:spacing w:before="60" w:after="60"/>
              <w:rPr>
                <w:rFonts w:cstheme="minorHAnsi"/>
                <w:b/>
                <w:bCs/>
                <w:sz w:val="20"/>
                <w:szCs w:val="20"/>
              </w:rPr>
            </w:pPr>
            <w:r>
              <w:rPr>
                <w:rFonts w:cstheme="minorHAnsi"/>
                <w:b/>
                <w:bCs/>
                <w:sz w:val="20"/>
                <w:szCs w:val="20"/>
              </w:rPr>
              <w:t>P</w:t>
            </w:r>
            <w:r w:rsidR="00D610D2" w:rsidRPr="00D610D2">
              <w:rPr>
                <w:rFonts w:cstheme="minorHAnsi"/>
                <w:b/>
                <w:bCs/>
                <w:sz w:val="20"/>
                <w:szCs w:val="20"/>
              </w:rPr>
              <w:t xml:space="preserve">rescriptions </w:t>
            </w:r>
            <w:r>
              <w:rPr>
                <w:rFonts w:cstheme="minorHAnsi"/>
                <w:b/>
                <w:bCs/>
                <w:sz w:val="20"/>
                <w:szCs w:val="20"/>
              </w:rPr>
              <w:t>(total)</w:t>
            </w:r>
          </w:p>
        </w:tc>
        <w:tc>
          <w:tcPr>
            <w:tcW w:w="1975" w:type="dxa"/>
          </w:tcPr>
          <w:p w14:paraId="18963206" w14:textId="77777777" w:rsidR="00D610D2" w:rsidRPr="00D610D2" w:rsidRDefault="00D610D2" w:rsidP="00727FB0">
            <w:pPr>
              <w:pStyle w:val="Tablewriting"/>
            </w:pPr>
            <w:r w:rsidRPr="00D610D2">
              <w:t xml:space="preserve">Predicted </w:t>
            </w:r>
          </w:p>
        </w:tc>
        <w:tc>
          <w:tcPr>
            <w:tcW w:w="2551" w:type="dxa"/>
            <w:noWrap/>
            <w:hideMark/>
          </w:tcPr>
          <w:p w14:paraId="5509D93C" w14:textId="77777777" w:rsidR="00D610D2" w:rsidRPr="004449A7" w:rsidRDefault="004449A7" w:rsidP="00727FB0">
            <w:pPr>
              <w:pStyle w:val="Tablewriting"/>
              <w:rPr>
                <w:highlight w:val="black"/>
              </w:rPr>
            </w:pPr>
            <w:r>
              <w:rPr>
                <w:noProof/>
                <w:highlight w:val="black"/>
              </w:rPr>
              <w:t>'''''''''''</w:t>
            </w:r>
            <w:r w:rsidR="00D610D2" w:rsidRPr="004449A7">
              <w:rPr>
                <w:highlight w:val="black"/>
              </w:rPr>
              <w:t xml:space="preserve"> </w:t>
            </w:r>
          </w:p>
        </w:tc>
        <w:tc>
          <w:tcPr>
            <w:tcW w:w="1985" w:type="dxa"/>
            <w:noWrap/>
            <w:hideMark/>
          </w:tcPr>
          <w:p w14:paraId="75DFB074" w14:textId="77777777" w:rsidR="00D610D2" w:rsidRPr="004449A7" w:rsidRDefault="004449A7" w:rsidP="00727FB0">
            <w:pPr>
              <w:pStyle w:val="Tablewriting"/>
              <w:rPr>
                <w:highlight w:val="black"/>
              </w:rPr>
            </w:pPr>
            <w:r>
              <w:rPr>
                <w:noProof/>
                <w:highlight w:val="black"/>
              </w:rPr>
              <w:t>''''''''''</w:t>
            </w:r>
            <w:r w:rsidR="00D610D2" w:rsidRPr="004449A7">
              <w:rPr>
                <w:highlight w:val="black"/>
              </w:rPr>
              <w:t xml:space="preserve"> </w:t>
            </w:r>
          </w:p>
        </w:tc>
      </w:tr>
      <w:tr w:rsidR="00D610D2" w:rsidRPr="00D610D2" w14:paraId="0B645349" w14:textId="77777777" w:rsidTr="005310AB">
        <w:trPr>
          <w:trHeight w:val="120"/>
        </w:trPr>
        <w:tc>
          <w:tcPr>
            <w:tcW w:w="1706" w:type="dxa"/>
            <w:vMerge/>
            <w:noWrap/>
          </w:tcPr>
          <w:p w14:paraId="798B885A" w14:textId="77777777" w:rsidR="00D610D2" w:rsidRPr="00D610D2" w:rsidRDefault="00D610D2" w:rsidP="003F5C57">
            <w:pPr>
              <w:spacing w:before="60" w:after="60"/>
              <w:rPr>
                <w:rFonts w:cstheme="minorHAnsi"/>
                <w:b/>
                <w:bCs/>
                <w:sz w:val="20"/>
                <w:szCs w:val="20"/>
              </w:rPr>
            </w:pPr>
          </w:p>
        </w:tc>
        <w:tc>
          <w:tcPr>
            <w:tcW w:w="1975" w:type="dxa"/>
          </w:tcPr>
          <w:p w14:paraId="78FACCFE" w14:textId="77777777" w:rsidR="00D610D2" w:rsidRPr="00D610D2" w:rsidRDefault="00D610D2" w:rsidP="00727FB0">
            <w:pPr>
              <w:pStyle w:val="Tablewriting"/>
            </w:pPr>
            <w:r w:rsidRPr="00D610D2">
              <w:t>Actual</w:t>
            </w:r>
          </w:p>
        </w:tc>
        <w:tc>
          <w:tcPr>
            <w:tcW w:w="2551" w:type="dxa"/>
            <w:noWrap/>
          </w:tcPr>
          <w:p w14:paraId="4897267B" w14:textId="77777777" w:rsidR="00D610D2" w:rsidRPr="00D610D2" w:rsidRDefault="004C68B4" w:rsidP="00727FB0">
            <w:pPr>
              <w:pStyle w:val="Tablewriting"/>
            </w:pPr>
            <w:r>
              <w:t>2,010</w:t>
            </w:r>
          </w:p>
        </w:tc>
        <w:tc>
          <w:tcPr>
            <w:tcW w:w="1985" w:type="dxa"/>
            <w:noWrap/>
          </w:tcPr>
          <w:p w14:paraId="69AC2069" w14:textId="77777777" w:rsidR="00D610D2" w:rsidRPr="00D610D2" w:rsidRDefault="004C68B4" w:rsidP="00727FB0">
            <w:pPr>
              <w:pStyle w:val="Tablewriting"/>
            </w:pPr>
            <w:r>
              <w:t>6,915</w:t>
            </w:r>
          </w:p>
        </w:tc>
      </w:tr>
      <w:tr w:rsidR="00D610D2" w:rsidRPr="00D610D2" w14:paraId="423F2FB8" w14:textId="77777777" w:rsidTr="005310AB">
        <w:trPr>
          <w:trHeight w:val="120"/>
        </w:trPr>
        <w:tc>
          <w:tcPr>
            <w:tcW w:w="1706" w:type="dxa"/>
            <w:vMerge/>
            <w:noWrap/>
          </w:tcPr>
          <w:p w14:paraId="22DBC3A8" w14:textId="77777777" w:rsidR="00D610D2" w:rsidRPr="00D610D2" w:rsidRDefault="00D610D2" w:rsidP="003F5C57">
            <w:pPr>
              <w:spacing w:before="60" w:after="60"/>
              <w:rPr>
                <w:rFonts w:cstheme="minorHAnsi"/>
                <w:b/>
                <w:bCs/>
                <w:sz w:val="20"/>
                <w:szCs w:val="20"/>
              </w:rPr>
            </w:pPr>
          </w:p>
        </w:tc>
        <w:tc>
          <w:tcPr>
            <w:tcW w:w="1975" w:type="dxa"/>
          </w:tcPr>
          <w:p w14:paraId="63EDB6FB" w14:textId="77777777" w:rsidR="00D610D2" w:rsidRPr="00D610D2" w:rsidRDefault="00D610D2" w:rsidP="00727FB0">
            <w:pPr>
              <w:pStyle w:val="Tablewriting"/>
            </w:pPr>
            <w:r w:rsidRPr="00D610D2">
              <w:t xml:space="preserve">%Difference </w:t>
            </w:r>
          </w:p>
        </w:tc>
        <w:tc>
          <w:tcPr>
            <w:tcW w:w="2551" w:type="dxa"/>
            <w:noWrap/>
          </w:tcPr>
          <w:p w14:paraId="3191A8CE" w14:textId="77777777" w:rsidR="00D610D2" w:rsidRPr="004449A7" w:rsidRDefault="004449A7" w:rsidP="00727FB0">
            <w:pPr>
              <w:pStyle w:val="Tablewriting"/>
              <w:rPr>
                <w:highlight w:val="black"/>
              </w:rPr>
            </w:pPr>
            <w:r>
              <w:rPr>
                <w:noProof/>
                <w:highlight w:val="black"/>
              </w:rPr>
              <w:t>''''''''</w:t>
            </w:r>
          </w:p>
        </w:tc>
        <w:tc>
          <w:tcPr>
            <w:tcW w:w="1985" w:type="dxa"/>
            <w:noWrap/>
          </w:tcPr>
          <w:p w14:paraId="3C05B6B6" w14:textId="77777777" w:rsidR="00D610D2" w:rsidRPr="004449A7" w:rsidRDefault="004449A7" w:rsidP="00727FB0">
            <w:pPr>
              <w:pStyle w:val="Tablewriting"/>
              <w:rPr>
                <w:highlight w:val="black"/>
              </w:rPr>
            </w:pPr>
            <w:r>
              <w:rPr>
                <w:noProof/>
                <w:highlight w:val="black"/>
              </w:rPr>
              <w:t>'''''''''''''</w:t>
            </w:r>
          </w:p>
        </w:tc>
      </w:tr>
      <w:tr w:rsidR="00F3492C" w:rsidRPr="00D610D2" w14:paraId="39089499" w14:textId="77777777" w:rsidTr="005310AB">
        <w:trPr>
          <w:trHeight w:val="120"/>
        </w:trPr>
        <w:tc>
          <w:tcPr>
            <w:tcW w:w="1706" w:type="dxa"/>
            <w:vMerge w:val="restart"/>
            <w:noWrap/>
          </w:tcPr>
          <w:p w14:paraId="0D168A40" w14:textId="77777777" w:rsidR="00F3492C" w:rsidRPr="00D610D2" w:rsidRDefault="00F3492C" w:rsidP="00F3492C">
            <w:pPr>
              <w:spacing w:before="60" w:after="60"/>
              <w:rPr>
                <w:rFonts w:cstheme="minorHAnsi"/>
                <w:b/>
                <w:bCs/>
                <w:sz w:val="20"/>
                <w:szCs w:val="20"/>
              </w:rPr>
            </w:pPr>
            <w:r>
              <w:rPr>
                <w:rFonts w:cstheme="minorHAnsi"/>
                <w:b/>
                <w:bCs/>
                <w:sz w:val="20"/>
                <w:szCs w:val="20"/>
              </w:rPr>
              <w:t>Prescription</w:t>
            </w:r>
            <w:r w:rsidR="004E36F4">
              <w:rPr>
                <w:rFonts w:cstheme="minorHAnsi"/>
                <w:b/>
                <w:bCs/>
                <w:sz w:val="20"/>
                <w:szCs w:val="20"/>
              </w:rPr>
              <w:t xml:space="preserve">s for 140 mg in 1 mL </w:t>
            </w:r>
            <w:r>
              <w:rPr>
                <w:rFonts w:cstheme="minorHAnsi"/>
                <w:b/>
                <w:bCs/>
                <w:sz w:val="20"/>
                <w:szCs w:val="20"/>
              </w:rPr>
              <w:t>pen</w:t>
            </w:r>
            <w:r w:rsidR="004E36F4">
              <w:rPr>
                <w:rFonts w:cstheme="minorHAnsi"/>
                <w:b/>
                <w:bCs/>
                <w:sz w:val="20"/>
                <w:szCs w:val="20"/>
              </w:rPr>
              <w:t xml:space="preserve"> device</w:t>
            </w:r>
            <w:r>
              <w:rPr>
                <w:rFonts w:cstheme="minorHAnsi"/>
                <w:b/>
                <w:bCs/>
                <w:sz w:val="20"/>
                <w:szCs w:val="20"/>
              </w:rPr>
              <w:t xml:space="preserve"> (10958R)</w:t>
            </w:r>
          </w:p>
        </w:tc>
        <w:tc>
          <w:tcPr>
            <w:tcW w:w="1975" w:type="dxa"/>
          </w:tcPr>
          <w:p w14:paraId="34C27C03" w14:textId="77777777" w:rsidR="00F3492C" w:rsidRPr="00D610D2" w:rsidRDefault="00F3492C" w:rsidP="00727FB0">
            <w:pPr>
              <w:pStyle w:val="Tablewriting"/>
            </w:pPr>
            <w:r w:rsidRPr="00D610D2">
              <w:t xml:space="preserve">Predicted </w:t>
            </w:r>
          </w:p>
        </w:tc>
        <w:tc>
          <w:tcPr>
            <w:tcW w:w="2551" w:type="dxa"/>
            <w:noWrap/>
          </w:tcPr>
          <w:p w14:paraId="241C52DD" w14:textId="77777777" w:rsidR="00F3492C" w:rsidRPr="004449A7" w:rsidRDefault="004449A7" w:rsidP="00727FB0">
            <w:pPr>
              <w:pStyle w:val="Tablewriting"/>
              <w:rPr>
                <w:highlight w:val="black"/>
              </w:rPr>
            </w:pPr>
            <w:r>
              <w:rPr>
                <w:noProof/>
                <w:highlight w:val="black"/>
              </w:rPr>
              <w:t>''''''''''</w:t>
            </w:r>
            <w:r w:rsidR="00F3492C" w:rsidRPr="004449A7">
              <w:rPr>
                <w:highlight w:val="black"/>
              </w:rPr>
              <w:t xml:space="preserve"> </w:t>
            </w:r>
          </w:p>
        </w:tc>
        <w:tc>
          <w:tcPr>
            <w:tcW w:w="1985" w:type="dxa"/>
            <w:noWrap/>
          </w:tcPr>
          <w:p w14:paraId="6DA39E9B" w14:textId="77777777" w:rsidR="00F3492C" w:rsidRPr="004449A7" w:rsidRDefault="004449A7" w:rsidP="00727FB0">
            <w:pPr>
              <w:pStyle w:val="Tablewriting"/>
              <w:rPr>
                <w:highlight w:val="black"/>
                <w:vertAlign w:val="superscript"/>
              </w:rPr>
            </w:pPr>
            <w:r>
              <w:rPr>
                <w:noProof/>
                <w:highlight w:val="black"/>
              </w:rPr>
              <w:t>''''''''''''''</w:t>
            </w:r>
          </w:p>
        </w:tc>
      </w:tr>
      <w:tr w:rsidR="00F3492C" w:rsidRPr="00D610D2" w14:paraId="64BF3428" w14:textId="77777777" w:rsidTr="005310AB">
        <w:trPr>
          <w:trHeight w:val="120"/>
        </w:trPr>
        <w:tc>
          <w:tcPr>
            <w:tcW w:w="1706" w:type="dxa"/>
            <w:vMerge/>
            <w:noWrap/>
          </w:tcPr>
          <w:p w14:paraId="193987D4" w14:textId="77777777" w:rsidR="00F3492C" w:rsidRPr="00D610D2" w:rsidRDefault="00F3492C" w:rsidP="00F3492C">
            <w:pPr>
              <w:spacing w:before="60" w:after="60"/>
              <w:rPr>
                <w:rFonts w:cstheme="minorHAnsi"/>
                <w:b/>
                <w:bCs/>
                <w:sz w:val="20"/>
                <w:szCs w:val="20"/>
              </w:rPr>
            </w:pPr>
          </w:p>
        </w:tc>
        <w:tc>
          <w:tcPr>
            <w:tcW w:w="1975" w:type="dxa"/>
          </w:tcPr>
          <w:p w14:paraId="4F1C861D" w14:textId="77777777" w:rsidR="00F3492C" w:rsidRPr="00D610D2" w:rsidRDefault="00F3492C" w:rsidP="00727FB0">
            <w:pPr>
              <w:pStyle w:val="Tablewriting"/>
            </w:pPr>
            <w:r w:rsidRPr="00D610D2">
              <w:t>Actual</w:t>
            </w:r>
          </w:p>
        </w:tc>
        <w:tc>
          <w:tcPr>
            <w:tcW w:w="2551" w:type="dxa"/>
            <w:noWrap/>
          </w:tcPr>
          <w:p w14:paraId="1451E5EC" w14:textId="77777777" w:rsidR="00F3492C" w:rsidRPr="002719B3" w:rsidRDefault="00F3492C" w:rsidP="00727FB0">
            <w:pPr>
              <w:pStyle w:val="Tablewriting"/>
              <w:rPr>
                <w:highlight w:val="yellow"/>
              </w:rPr>
            </w:pPr>
            <w:r>
              <w:t>2,010</w:t>
            </w:r>
          </w:p>
        </w:tc>
        <w:tc>
          <w:tcPr>
            <w:tcW w:w="1985" w:type="dxa"/>
            <w:noWrap/>
          </w:tcPr>
          <w:p w14:paraId="24EE4AFB" w14:textId="77777777" w:rsidR="00F3492C" w:rsidRDefault="00F3492C" w:rsidP="00727FB0">
            <w:pPr>
              <w:pStyle w:val="Tablewriting"/>
            </w:pPr>
            <w:r>
              <w:t>6,686</w:t>
            </w:r>
          </w:p>
        </w:tc>
      </w:tr>
      <w:tr w:rsidR="00F3492C" w:rsidRPr="00D610D2" w14:paraId="0B6D3198" w14:textId="77777777" w:rsidTr="005310AB">
        <w:trPr>
          <w:trHeight w:val="120"/>
        </w:trPr>
        <w:tc>
          <w:tcPr>
            <w:tcW w:w="1706" w:type="dxa"/>
            <w:vMerge/>
            <w:noWrap/>
          </w:tcPr>
          <w:p w14:paraId="1640CC7C" w14:textId="77777777" w:rsidR="00F3492C" w:rsidRPr="00D610D2" w:rsidRDefault="00F3492C" w:rsidP="00F3492C">
            <w:pPr>
              <w:spacing w:before="60" w:after="60"/>
              <w:rPr>
                <w:rFonts w:cstheme="minorHAnsi"/>
                <w:b/>
                <w:bCs/>
                <w:sz w:val="20"/>
                <w:szCs w:val="20"/>
              </w:rPr>
            </w:pPr>
          </w:p>
        </w:tc>
        <w:tc>
          <w:tcPr>
            <w:tcW w:w="1975" w:type="dxa"/>
          </w:tcPr>
          <w:p w14:paraId="4EF15E61" w14:textId="77777777" w:rsidR="00F3492C" w:rsidRPr="00D610D2" w:rsidRDefault="00F3492C" w:rsidP="00727FB0">
            <w:pPr>
              <w:pStyle w:val="Tablewriting"/>
            </w:pPr>
            <w:r w:rsidRPr="00D610D2">
              <w:t xml:space="preserve">%Difference </w:t>
            </w:r>
          </w:p>
        </w:tc>
        <w:tc>
          <w:tcPr>
            <w:tcW w:w="2551" w:type="dxa"/>
            <w:noWrap/>
          </w:tcPr>
          <w:p w14:paraId="1CBE84F5" w14:textId="77777777" w:rsidR="00F3492C" w:rsidRPr="004449A7" w:rsidRDefault="004449A7" w:rsidP="00727FB0">
            <w:pPr>
              <w:pStyle w:val="Tablewriting"/>
              <w:rPr>
                <w:highlight w:val="black"/>
              </w:rPr>
            </w:pPr>
            <w:r>
              <w:rPr>
                <w:noProof/>
                <w:highlight w:val="black"/>
              </w:rPr>
              <w:t>''''''''</w:t>
            </w:r>
          </w:p>
        </w:tc>
        <w:tc>
          <w:tcPr>
            <w:tcW w:w="1985" w:type="dxa"/>
            <w:noWrap/>
          </w:tcPr>
          <w:p w14:paraId="53FF7D0D" w14:textId="77777777" w:rsidR="00F3492C" w:rsidRPr="004449A7" w:rsidRDefault="004449A7" w:rsidP="00727FB0">
            <w:pPr>
              <w:pStyle w:val="Tablewriting"/>
              <w:rPr>
                <w:highlight w:val="black"/>
              </w:rPr>
            </w:pPr>
            <w:r>
              <w:rPr>
                <w:noProof/>
                <w:highlight w:val="black"/>
              </w:rPr>
              <w:t>'''''''''''''</w:t>
            </w:r>
          </w:p>
        </w:tc>
      </w:tr>
      <w:tr w:rsidR="00F3492C" w:rsidRPr="00D610D2" w14:paraId="1F807147" w14:textId="77777777" w:rsidTr="005310AB">
        <w:trPr>
          <w:trHeight w:val="120"/>
        </w:trPr>
        <w:tc>
          <w:tcPr>
            <w:tcW w:w="1706" w:type="dxa"/>
            <w:vMerge w:val="restart"/>
            <w:noWrap/>
          </w:tcPr>
          <w:p w14:paraId="77144DD6" w14:textId="77777777" w:rsidR="00F3492C" w:rsidRPr="00D610D2" w:rsidRDefault="00F3492C" w:rsidP="004E36F4">
            <w:pPr>
              <w:spacing w:before="60" w:after="60"/>
              <w:rPr>
                <w:rFonts w:cstheme="minorHAnsi"/>
                <w:b/>
                <w:bCs/>
                <w:sz w:val="20"/>
                <w:szCs w:val="20"/>
              </w:rPr>
            </w:pPr>
            <w:r>
              <w:rPr>
                <w:rFonts w:cstheme="minorHAnsi"/>
                <w:b/>
                <w:bCs/>
                <w:sz w:val="20"/>
                <w:szCs w:val="20"/>
              </w:rPr>
              <w:t xml:space="preserve">Prescriptions for 420 mg in 3.5 mL cartridge (11193D) </w:t>
            </w:r>
          </w:p>
        </w:tc>
        <w:tc>
          <w:tcPr>
            <w:tcW w:w="1975" w:type="dxa"/>
          </w:tcPr>
          <w:p w14:paraId="60FAFEBB" w14:textId="77777777" w:rsidR="00F3492C" w:rsidRPr="00D610D2" w:rsidRDefault="00F3492C" w:rsidP="00727FB0">
            <w:pPr>
              <w:pStyle w:val="Tablewriting"/>
            </w:pPr>
            <w:r w:rsidRPr="00D610D2">
              <w:t xml:space="preserve">Predicted </w:t>
            </w:r>
          </w:p>
        </w:tc>
        <w:tc>
          <w:tcPr>
            <w:tcW w:w="2551" w:type="dxa"/>
            <w:noWrap/>
          </w:tcPr>
          <w:p w14:paraId="180B2CAB" w14:textId="77777777" w:rsidR="00F3492C" w:rsidRPr="00B862BA" w:rsidRDefault="00F3492C" w:rsidP="00727FB0">
            <w:pPr>
              <w:pStyle w:val="Tablewriting"/>
            </w:pPr>
            <w:r w:rsidRPr="00B862BA">
              <w:t>n/a</w:t>
            </w:r>
          </w:p>
        </w:tc>
        <w:tc>
          <w:tcPr>
            <w:tcW w:w="1985" w:type="dxa"/>
            <w:noWrap/>
          </w:tcPr>
          <w:p w14:paraId="7FBD62B3" w14:textId="77777777" w:rsidR="00F3492C" w:rsidRPr="004449A7" w:rsidRDefault="004449A7" w:rsidP="00727FB0">
            <w:pPr>
              <w:pStyle w:val="Tablewriting"/>
              <w:rPr>
                <w:highlight w:val="black"/>
                <w:vertAlign w:val="superscript"/>
              </w:rPr>
            </w:pPr>
            <w:r>
              <w:rPr>
                <w:noProof/>
                <w:highlight w:val="black"/>
              </w:rPr>
              <w:t>''''''''</w:t>
            </w:r>
          </w:p>
        </w:tc>
      </w:tr>
      <w:tr w:rsidR="00F3492C" w:rsidRPr="00D610D2" w14:paraId="5CC55CF1" w14:textId="77777777" w:rsidTr="005310AB">
        <w:trPr>
          <w:trHeight w:val="120"/>
        </w:trPr>
        <w:tc>
          <w:tcPr>
            <w:tcW w:w="1706" w:type="dxa"/>
            <w:vMerge/>
            <w:noWrap/>
          </w:tcPr>
          <w:p w14:paraId="1D867B33" w14:textId="77777777" w:rsidR="00F3492C" w:rsidRPr="00D610D2" w:rsidRDefault="00F3492C" w:rsidP="00F3492C">
            <w:pPr>
              <w:spacing w:before="60" w:after="60"/>
              <w:rPr>
                <w:rFonts w:cstheme="minorHAnsi"/>
                <w:b/>
                <w:bCs/>
                <w:sz w:val="20"/>
                <w:szCs w:val="20"/>
              </w:rPr>
            </w:pPr>
          </w:p>
        </w:tc>
        <w:tc>
          <w:tcPr>
            <w:tcW w:w="1975" w:type="dxa"/>
          </w:tcPr>
          <w:p w14:paraId="4B31152A" w14:textId="77777777" w:rsidR="00F3492C" w:rsidRPr="00D610D2" w:rsidRDefault="00F3492C" w:rsidP="00727FB0">
            <w:pPr>
              <w:pStyle w:val="Tablewriting"/>
            </w:pPr>
            <w:r w:rsidRPr="00D610D2">
              <w:t>Actual</w:t>
            </w:r>
          </w:p>
        </w:tc>
        <w:tc>
          <w:tcPr>
            <w:tcW w:w="2551" w:type="dxa"/>
            <w:noWrap/>
          </w:tcPr>
          <w:p w14:paraId="3505CA98" w14:textId="77777777" w:rsidR="00F3492C" w:rsidRPr="00B862BA" w:rsidRDefault="00F3492C" w:rsidP="00727FB0">
            <w:pPr>
              <w:pStyle w:val="Tablewriting"/>
            </w:pPr>
            <w:r w:rsidRPr="00B862BA">
              <w:t>n/a</w:t>
            </w:r>
          </w:p>
        </w:tc>
        <w:tc>
          <w:tcPr>
            <w:tcW w:w="1985" w:type="dxa"/>
            <w:noWrap/>
          </w:tcPr>
          <w:p w14:paraId="3A39F6FF" w14:textId="77777777" w:rsidR="00F3492C" w:rsidRDefault="00F3492C" w:rsidP="00727FB0">
            <w:pPr>
              <w:pStyle w:val="Tablewriting"/>
            </w:pPr>
            <w:r>
              <w:t>229</w:t>
            </w:r>
          </w:p>
        </w:tc>
      </w:tr>
      <w:tr w:rsidR="00F3492C" w:rsidRPr="00D610D2" w14:paraId="20BD6B96" w14:textId="77777777" w:rsidTr="005310AB">
        <w:trPr>
          <w:trHeight w:val="120"/>
        </w:trPr>
        <w:tc>
          <w:tcPr>
            <w:tcW w:w="1706" w:type="dxa"/>
            <w:vMerge/>
            <w:noWrap/>
          </w:tcPr>
          <w:p w14:paraId="1A8B6E42" w14:textId="77777777" w:rsidR="00F3492C" w:rsidRPr="00D610D2" w:rsidRDefault="00F3492C" w:rsidP="00F3492C">
            <w:pPr>
              <w:spacing w:before="60" w:after="60"/>
              <w:rPr>
                <w:rFonts w:cstheme="minorHAnsi"/>
                <w:b/>
                <w:bCs/>
                <w:sz w:val="20"/>
                <w:szCs w:val="20"/>
              </w:rPr>
            </w:pPr>
          </w:p>
        </w:tc>
        <w:tc>
          <w:tcPr>
            <w:tcW w:w="1975" w:type="dxa"/>
          </w:tcPr>
          <w:p w14:paraId="7211923F" w14:textId="77777777" w:rsidR="00F3492C" w:rsidRPr="00D610D2" w:rsidRDefault="00F3492C" w:rsidP="00727FB0">
            <w:pPr>
              <w:pStyle w:val="Tablewriting"/>
            </w:pPr>
            <w:r w:rsidRPr="00D610D2">
              <w:t xml:space="preserve">%Difference </w:t>
            </w:r>
          </w:p>
        </w:tc>
        <w:tc>
          <w:tcPr>
            <w:tcW w:w="2551" w:type="dxa"/>
            <w:noWrap/>
          </w:tcPr>
          <w:p w14:paraId="2724648A" w14:textId="77777777" w:rsidR="00F3492C" w:rsidRPr="00B862BA" w:rsidRDefault="00F3492C" w:rsidP="00727FB0">
            <w:pPr>
              <w:pStyle w:val="Tablewriting"/>
            </w:pPr>
            <w:r w:rsidRPr="00B862BA">
              <w:t>n/a</w:t>
            </w:r>
          </w:p>
        </w:tc>
        <w:tc>
          <w:tcPr>
            <w:tcW w:w="1985" w:type="dxa"/>
            <w:noWrap/>
          </w:tcPr>
          <w:p w14:paraId="3A31BA1B" w14:textId="77777777" w:rsidR="00F3492C" w:rsidRPr="004449A7" w:rsidRDefault="004449A7" w:rsidP="00727FB0">
            <w:pPr>
              <w:pStyle w:val="Tablewriting"/>
              <w:rPr>
                <w:highlight w:val="black"/>
              </w:rPr>
            </w:pPr>
            <w:r>
              <w:rPr>
                <w:noProof/>
                <w:highlight w:val="black"/>
              </w:rPr>
              <w:t>''''''''''''''</w:t>
            </w:r>
          </w:p>
        </w:tc>
      </w:tr>
      <w:tr w:rsidR="00F3492C" w:rsidRPr="00D610D2" w14:paraId="41258DBF" w14:textId="77777777" w:rsidTr="005310AB">
        <w:trPr>
          <w:trHeight w:val="205"/>
        </w:trPr>
        <w:tc>
          <w:tcPr>
            <w:tcW w:w="1706" w:type="dxa"/>
            <w:vMerge w:val="restart"/>
            <w:noWrap/>
            <w:hideMark/>
          </w:tcPr>
          <w:p w14:paraId="1DD521CD" w14:textId="77777777" w:rsidR="00F3492C" w:rsidRPr="00D610D2" w:rsidRDefault="00F3492C" w:rsidP="00F3492C">
            <w:pPr>
              <w:spacing w:before="60" w:after="60"/>
              <w:rPr>
                <w:rFonts w:cstheme="minorHAnsi"/>
                <w:b/>
                <w:bCs/>
                <w:sz w:val="20"/>
                <w:szCs w:val="20"/>
              </w:rPr>
            </w:pPr>
            <w:r w:rsidRPr="00D610D2">
              <w:rPr>
                <w:rFonts w:cstheme="minorHAnsi"/>
                <w:b/>
                <w:bCs/>
                <w:sz w:val="20"/>
                <w:szCs w:val="20"/>
              </w:rPr>
              <w:t>Expenditure</w:t>
            </w:r>
          </w:p>
        </w:tc>
        <w:tc>
          <w:tcPr>
            <w:tcW w:w="1975" w:type="dxa"/>
          </w:tcPr>
          <w:p w14:paraId="147E73D1" w14:textId="77777777" w:rsidR="00F3492C" w:rsidRPr="00D610D2" w:rsidRDefault="00F3492C" w:rsidP="00727FB0">
            <w:pPr>
              <w:pStyle w:val="Tablewriting"/>
            </w:pPr>
            <w:r w:rsidRPr="00D610D2">
              <w:t xml:space="preserve">Predicted </w:t>
            </w:r>
          </w:p>
        </w:tc>
        <w:tc>
          <w:tcPr>
            <w:tcW w:w="2551" w:type="dxa"/>
            <w:noWrap/>
            <w:hideMark/>
          </w:tcPr>
          <w:p w14:paraId="522DD132" w14:textId="77777777" w:rsidR="00F3492C" w:rsidRPr="004449A7" w:rsidRDefault="004449A7" w:rsidP="00727FB0">
            <w:pPr>
              <w:pStyle w:val="Tablewriting"/>
              <w:rPr>
                <w:highlight w:val="black"/>
              </w:rPr>
            </w:pPr>
            <w:r>
              <w:rPr>
                <w:noProof/>
                <w:highlight w:val="black"/>
              </w:rPr>
              <w:t>'''''''''''''''''''''''</w:t>
            </w:r>
          </w:p>
        </w:tc>
        <w:tc>
          <w:tcPr>
            <w:tcW w:w="1985" w:type="dxa"/>
            <w:noWrap/>
            <w:hideMark/>
          </w:tcPr>
          <w:p w14:paraId="42BF54D0" w14:textId="77777777" w:rsidR="00F3492C" w:rsidRPr="004449A7" w:rsidRDefault="004449A7" w:rsidP="00727FB0">
            <w:pPr>
              <w:pStyle w:val="Tablewriting"/>
              <w:rPr>
                <w:highlight w:val="black"/>
              </w:rPr>
            </w:pPr>
            <w:r>
              <w:rPr>
                <w:noProof/>
                <w:highlight w:val="black"/>
              </w:rPr>
              <w:t>'''''''''''''''''''</w:t>
            </w:r>
          </w:p>
        </w:tc>
      </w:tr>
      <w:tr w:rsidR="00F3492C" w:rsidRPr="00D610D2" w14:paraId="3030F5EF" w14:textId="77777777" w:rsidTr="005310AB">
        <w:trPr>
          <w:trHeight w:val="205"/>
        </w:trPr>
        <w:tc>
          <w:tcPr>
            <w:tcW w:w="1706" w:type="dxa"/>
            <w:vMerge/>
            <w:noWrap/>
          </w:tcPr>
          <w:p w14:paraId="58BBBE96" w14:textId="77777777" w:rsidR="00F3492C" w:rsidRPr="00D610D2" w:rsidRDefault="00F3492C" w:rsidP="00F3492C">
            <w:pPr>
              <w:spacing w:before="60" w:after="60"/>
              <w:rPr>
                <w:rFonts w:cstheme="minorHAnsi"/>
                <w:b/>
                <w:bCs/>
                <w:sz w:val="20"/>
                <w:szCs w:val="20"/>
              </w:rPr>
            </w:pPr>
          </w:p>
        </w:tc>
        <w:tc>
          <w:tcPr>
            <w:tcW w:w="1975" w:type="dxa"/>
            <w:shd w:val="clear" w:color="auto" w:fill="auto"/>
          </w:tcPr>
          <w:p w14:paraId="358B7768" w14:textId="77777777" w:rsidR="00F3492C" w:rsidRPr="00D610D2" w:rsidRDefault="00F3492C" w:rsidP="00727FB0">
            <w:pPr>
              <w:pStyle w:val="Tablewriting"/>
            </w:pPr>
            <w:r w:rsidRPr="00D610D2">
              <w:t>Actual</w:t>
            </w:r>
          </w:p>
        </w:tc>
        <w:tc>
          <w:tcPr>
            <w:tcW w:w="2551" w:type="dxa"/>
            <w:shd w:val="clear" w:color="auto" w:fill="auto"/>
            <w:noWrap/>
          </w:tcPr>
          <w:p w14:paraId="42708E5F" w14:textId="77777777" w:rsidR="00F3492C" w:rsidRPr="00D610D2" w:rsidRDefault="00F3492C" w:rsidP="00727FB0">
            <w:pPr>
              <w:pStyle w:val="Tablewriting"/>
            </w:pPr>
            <w:r>
              <w:t>$</w:t>
            </w:r>
            <w:r w:rsidRPr="00561F56">
              <w:t>1</w:t>
            </w:r>
            <w:r>
              <w:t>,</w:t>
            </w:r>
            <w:r w:rsidRPr="00561F56">
              <w:t>84</w:t>
            </w:r>
            <w:r>
              <w:t>8,635</w:t>
            </w:r>
          </w:p>
        </w:tc>
        <w:tc>
          <w:tcPr>
            <w:tcW w:w="1985" w:type="dxa"/>
            <w:shd w:val="clear" w:color="auto" w:fill="auto"/>
            <w:noWrap/>
          </w:tcPr>
          <w:p w14:paraId="7312B830" w14:textId="77777777" w:rsidR="00F3492C" w:rsidRPr="00D610D2" w:rsidRDefault="00F3492C" w:rsidP="00727FB0">
            <w:pPr>
              <w:pStyle w:val="Tablewriting"/>
            </w:pPr>
            <w:r>
              <w:t>$6,319,473</w:t>
            </w:r>
          </w:p>
        </w:tc>
      </w:tr>
      <w:tr w:rsidR="00F3492C" w:rsidRPr="00D610D2" w14:paraId="4E42754F" w14:textId="77777777" w:rsidTr="005310AB">
        <w:trPr>
          <w:trHeight w:val="205"/>
        </w:trPr>
        <w:tc>
          <w:tcPr>
            <w:tcW w:w="1706" w:type="dxa"/>
            <w:vMerge/>
            <w:noWrap/>
          </w:tcPr>
          <w:p w14:paraId="6157AC43" w14:textId="77777777" w:rsidR="00F3492C" w:rsidRPr="00D610D2" w:rsidRDefault="00F3492C" w:rsidP="00F3492C">
            <w:pPr>
              <w:spacing w:before="60" w:after="60"/>
              <w:rPr>
                <w:rFonts w:cstheme="minorHAnsi"/>
                <w:b/>
                <w:bCs/>
                <w:sz w:val="20"/>
                <w:szCs w:val="20"/>
              </w:rPr>
            </w:pPr>
          </w:p>
        </w:tc>
        <w:tc>
          <w:tcPr>
            <w:tcW w:w="1975" w:type="dxa"/>
          </w:tcPr>
          <w:p w14:paraId="7B786964" w14:textId="77777777" w:rsidR="00F3492C" w:rsidRPr="00D610D2" w:rsidRDefault="00F3492C" w:rsidP="00727FB0">
            <w:pPr>
              <w:pStyle w:val="Tablewriting"/>
            </w:pPr>
            <w:r w:rsidRPr="00D610D2">
              <w:t xml:space="preserve">%Difference </w:t>
            </w:r>
          </w:p>
        </w:tc>
        <w:tc>
          <w:tcPr>
            <w:tcW w:w="2551" w:type="dxa"/>
            <w:noWrap/>
          </w:tcPr>
          <w:p w14:paraId="5570267A" w14:textId="77777777" w:rsidR="00F3492C" w:rsidRPr="004449A7" w:rsidRDefault="004449A7" w:rsidP="00727FB0">
            <w:pPr>
              <w:pStyle w:val="Tablewriting"/>
              <w:rPr>
                <w:highlight w:val="black"/>
              </w:rPr>
            </w:pPr>
            <w:r>
              <w:rPr>
                <w:noProof/>
                <w:highlight w:val="black"/>
              </w:rPr>
              <w:t>''''''''''</w:t>
            </w:r>
          </w:p>
        </w:tc>
        <w:tc>
          <w:tcPr>
            <w:tcW w:w="1985" w:type="dxa"/>
            <w:noWrap/>
          </w:tcPr>
          <w:p w14:paraId="4A80E79E" w14:textId="77777777" w:rsidR="00F3492C" w:rsidRPr="004449A7" w:rsidRDefault="004449A7" w:rsidP="00727FB0">
            <w:pPr>
              <w:pStyle w:val="Tablewriting"/>
              <w:rPr>
                <w:highlight w:val="black"/>
              </w:rPr>
            </w:pPr>
            <w:r>
              <w:rPr>
                <w:noProof/>
                <w:highlight w:val="black"/>
              </w:rPr>
              <w:t>''''''''''''</w:t>
            </w:r>
          </w:p>
        </w:tc>
      </w:tr>
    </w:tbl>
    <w:p w14:paraId="669B3A87" w14:textId="3264BEEA" w:rsidR="002F7082" w:rsidRDefault="004C68B4" w:rsidP="00B57EF2">
      <w:pPr>
        <w:autoSpaceDE w:val="0"/>
        <w:autoSpaceDN w:val="0"/>
        <w:adjustRightInd w:val="0"/>
        <w:spacing w:after="0"/>
        <w:contextualSpacing/>
        <w:rPr>
          <w:rFonts w:cs="Calibri"/>
          <w:color w:val="000000"/>
          <w:sz w:val="20"/>
          <w:szCs w:val="20"/>
        </w:rPr>
      </w:pPr>
      <w:r>
        <w:rPr>
          <w:rFonts w:cs="Calibri"/>
          <w:color w:val="000000"/>
          <w:sz w:val="20"/>
          <w:szCs w:val="20"/>
        </w:rPr>
        <w:t xml:space="preserve">Source: </w:t>
      </w:r>
      <w:proofErr w:type="spellStart"/>
      <w:r>
        <w:rPr>
          <w:rFonts w:cs="Calibri"/>
          <w:color w:val="000000"/>
          <w:sz w:val="20"/>
          <w:szCs w:val="20"/>
        </w:rPr>
        <w:t>Evolocumab</w:t>
      </w:r>
      <w:proofErr w:type="spellEnd"/>
      <w:r w:rsidR="009251E1" w:rsidRPr="00D610D2">
        <w:rPr>
          <w:rFonts w:cs="Calibri"/>
          <w:color w:val="000000"/>
          <w:sz w:val="20"/>
          <w:szCs w:val="20"/>
        </w:rPr>
        <w:t xml:space="preserve"> Final Estimates</w:t>
      </w:r>
      <w:r w:rsidR="00F7631B">
        <w:rPr>
          <w:rFonts w:cs="Calibri"/>
          <w:color w:val="000000"/>
          <w:sz w:val="20"/>
          <w:szCs w:val="20"/>
        </w:rPr>
        <w:t xml:space="preserve"> 2016 </w:t>
      </w:r>
      <w:r w:rsidR="009251E1" w:rsidRPr="00D610D2">
        <w:rPr>
          <w:rFonts w:cs="Calibri"/>
          <w:color w:val="000000"/>
          <w:sz w:val="20"/>
          <w:szCs w:val="20"/>
        </w:rPr>
        <w:t xml:space="preserve">(predicted), </w:t>
      </w:r>
      <w:r w:rsidR="00331483">
        <w:rPr>
          <w:rFonts w:eastAsia="Times New Roman" w:cstheme="minorHAnsi"/>
        </w:rPr>
        <w:t>PBS</w:t>
      </w:r>
      <w:r w:rsidR="009251E1" w:rsidRPr="00D610D2">
        <w:rPr>
          <w:rFonts w:cs="Calibri"/>
          <w:color w:val="000000"/>
          <w:sz w:val="20"/>
          <w:szCs w:val="20"/>
        </w:rPr>
        <w:t xml:space="preserve"> prescription da</w:t>
      </w:r>
      <w:r w:rsidR="0044741E">
        <w:rPr>
          <w:rFonts w:cs="Calibri"/>
          <w:color w:val="000000"/>
          <w:sz w:val="20"/>
          <w:szCs w:val="20"/>
        </w:rPr>
        <w:t>tabase (actual), extracted July</w:t>
      </w:r>
      <w:r w:rsidR="009251E1" w:rsidRPr="00D610D2">
        <w:rPr>
          <w:rFonts w:cs="Calibri"/>
          <w:color w:val="000000"/>
          <w:sz w:val="20"/>
          <w:szCs w:val="20"/>
        </w:rPr>
        <w:t xml:space="preserve"> 2019</w:t>
      </w:r>
      <w:r w:rsidR="00F3492C">
        <w:rPr>
          <w:rFonts w:cs="Calibri"/>
          <w:color w:val="000000"/>
          <w:sz w:val="20"/>
          <w:szCs w:val="20"/>
        </w:rPr>
        <w:t>. n/a = not applicable.</w:t>
      </w:r>
    </w:p>
    <w:p w14:paraId="6E6C9BB3" w14:textId="7612EDA4" w:rsidR="00125082" w:rsidRDefault="002F7082" w:rsidP="00C07AEA">
      <w:pPr>
        <w:autoSpaceDE w:val="0"/>
        <w:autoSpaceDN w:val="0"/>
        <w:adjustRightInd w:val="0"/>
        <w:spacing w:after="0"/>
        <w:contextualSpacing/>
        <w:rPr>
          <w:rFonts w:cs="Calibri"/>
          <w:color w:val="000000"/>
          <w:sz w:val="20"/>
          <w:szCs w:val="20"/>
        </w:rPr>
      </w:pPr>
      <w:r>
        <w:rPr>
          <w:rFonts w:cs="Calibri"/>
          <w:color w:val="000000"/>
          <w:sz w:val="20"/>
          <w:szCs w:val="20"/>
        </w:rPr>
        <w:t xml:space="preserve">Note: Expenditure </w:t>
      </w:r>
      <w:proofErr w:type="gramStart"/>
      <w:r>
        <w:rPr>
          <w:rFonts w:cs="Calibri"/>
          <w:color w:val="000000"/>
          <w:sz w:val="20"/>
          <w:szCs w:val="20"/>
        </w:rPr>
        <w:t>is reported</w:t>
      </w:r>
      <w:proofErr w:type="gramEnd"/>
      <w:r>
        <w:rPr>
          <w:rFonts w:cs="Calibri"/>
          <w:color w:val="000000"/>
          <w:sz w:val="20"/>
          <w:szCs w:val="20"/>
        </w:rPr>
        <w:t xml:space="preserve"> based on published prices. </w:t>
      </w:r>
      <w:r w:rsidR="00E160CF" w:rsidRPr="00E160CF">
        <w:rPr>
          <w:rFonts w:cs="Calibri"/>
          <w:color w:val="000000"/>
          <w:sz w:val="20"/>
          <w:szCs w:val="20"/>
        </w:rPr>
        <w:t>Special Pricing Arrangements apply</w:t>
      </w:r>
      <w:r>
        <w:rPr>
          <w:rFonts w:cs="Calibri"/>
          <w:color w:val="000000"/>
          <w:sz w:val="20"/>
          <w:szCs w:val="20"/>
        </w:rPr>
        <w:t>.</w:t>
      </w:r>
    </w:p>
    <w:p w14:paraId="4F33A2BD" w14:textId="77777777" w:rsidR="00C07AEA" w:rsidRPr="00C07AEA" w:rsidRDefault="00C07AEA" w:rsidP="00C07AEA">
      <w:pPr>
        <w:autoSpaceDE w:val="0"/>
        <w:autoSpaceDN w:val="0"/>
        <w:adjustRightInd w:val="0"/>
        <w:spacing w:after="0"/>
        <w:contextualSpacing/>
        <w:rPr>
          <w:rFonts w:cs="Calibri"/>
          <w:color w:val="000000"/>
          <w:sz w:val="20"/>
          <w:szCs w:val="20"/>
        </w:rPr>
      </w:pPr>
    </w:p>
    <w:p w14:paraId="579E1A83" w14:textId="77777777" w:rsidR="00830D94" w:rsidRDefault="00B30E14" w:rsidP="005F2568">
      <w:pPr>
        <w:jc w:val="both"/>
      </w:pPr>
      <w:r>
        <w:t>The</w:t>
      </w:r>
      <w:r w:rsidR="008A74C1">
        <w:t xml:space="preserve"> sponsor’s</w:t>
      </w:r>
      <w:r>
        <w:t xml:space="preserve"> predicted number of patients, prescriptions and expenditure</w:t>
      </w:r>
      <w:r w:rsidR="008A74C1">
        <w:t xml:space="preserve"> were</w:t>
      </w:r>
      <w:r w:rsidR="00830D94">
        <w:t xml:space="preserve"> very similar between </w:t>
      </w:r>
      <w:r w:rsidR="008A74C1">
        <w:t>listing years 1 and 2</w:t>
      </w:r>
      <w:r w:rsidR="00F3492C">
        <w:t>; i.e. the sponsor predicted very little growth in the market</w:t>
      </w:r>
      <w:r w:rsidR="008A74C1">
        <w:t xml:space="preserve">. </w:t>
      </w:r>
      <w:r w:rsidR="002719B3">
        <w:t>The</w:t>
      </w:r>
      <w:r>
        <w:t xml:space="preserve"> actual</w:t>
      </w:r>
      <w:r w:rsidR="002719B3">
        <w:t xml:space="preserve"> number of patients receiving </w:t>
      </w:r>
      <w:proofErr w:type="spellStart"/>
      <w:r w:rsidR="002719B3">
        <w:t>evolocumab</w:t>
      </w:r>
      <w:proofErr w:type="spellEnd"/>
      <w:r w:rsidR="002719B3">
        <w:t xml:space="preserve"> was higher than predicted in both year 1 and year 2. The number of</w:t>
      </w:r>
      <w:r>
        <w:t xml:space="preserve"> PBS subsidised</w:t>
      </w:r>
      <w:r w:rsidR="002719B3">
        <w:t xml:space="preserve"> prescriptions</w:t>
      </w:r>
      <w:r>
        <w:t xml:space="preserve"> of </w:t>
      </w:r>
      <w:proofErr w:type="spellStart"/>
      <w:r>
        <w:t>evolocumab</w:t>
      </w:r>
      <w:proofErr w:type="spellEnd"/>
      <w:r>
        <w:t xml:space="preserve"> </w:t>
      </w:r>
      <w:r w:rsidR="002719B3">
        <w:t xml:space="preserve">was close to the </w:t>
      </w:r>
      <w:r w:rsidR="002719B3">
        <w:lastRenderedPageBreak/>
        <w:t>predicted</w:t>
      </w:r>
      <w:r>
        <w:t xml:space="preserve"> number </w:t>
      </w:r>
      <w:r w:rsidR="002719B3">
        <w:t>in Year 1 but was</w:t>
      </w:r>
      <w:r w:rsidR="00C7083C">
        <w:t xml:space="preserve"> higher than predicted</w:t>
      </w:r>
      <w:r w:rsidR="002719B3">
        <w:t xml:space="preserve"> in year 2</w:t>
      </w:r>
      <w:r>
        <w:t xml:space="preserve"> of listing</w:t>
      </w:r>
      <w:r w:rsidR="002719B3">
        <w:t>. T</w:t>
      </w:r>
      <w:r w:rsidR="006A3EB9">
        <w:t xml:space="preserve">he government expenditure was lower than </w:t>
      </w:r>
      <w:proofErr w:type="gramStart"/>
      <w:r w:rsidR="002719B3">
        <w:t>predict</w:t>
      </w:r>
      <w:r w:rsidR="00731920">
        <w:t>ed</w:t>
      </w:r>
      <w:proofErr w:type="gramEnd"/>
      <w:r w:rsidR="00731920">
        <w:t xml:space="preserve"> in th</w:t>
      </w:r>
      <w:r>
        <w:t>e first year of listing but was higher than expected in the second year of listing.</w:t>
      </w:r>
    </w:p>
    <w:p w14:paraId="676BF06D" w14:textId="77777777" w:rsidR="002719B3" w:rsidRDefault="00F04020" w:rsidP="00B1372B">
      <w:r>
        <w:t xml:space="preserve">In the </w:t>
      </w:r>
      <w:r w:rsidR="009A0B74">
        <w:t>July</w:t>
      </w:r>
      <w:r>
        <w:t xml:space="preserve"> 2017 submission, the sponsor estimated that the </w:t>
      </w:r>
      <w:r w:rsidR="002420B2">
        <w:t xml:space="preserve">420 mg in 3.5 mL pre-filled cartridge would substitute for </w:t>
      </w:r>
      <w:r w:rsidR="004449A7">
        <w:rPr>
          <w:noProof/>
          <w:color w:val="000000"/>
          <w:highlight w:val="black"/>
        </w:rPr>
        <w:t>'''''</w:t>
      </w:r>
      <w:r w:rsidR="002420B2">
        <w:t xml:space="preserve"> of the 140 mg in 1 mL pre-filled pen prescriptions. Actual data show that the cartridge accounted for 3% of the market in its first year of listing (i.e.</w:t>
      </w:r>
      <w:r w:rsidR="009A0B74">
        <w:t> </w:t>
      </w:r>
      <w:r w:rsidR="002420B2">
        <w:t xml:space="preserve">the second year of </w:t>
      </w:r>
      <w:proofErr w:type="spellStart"/>
      <w:r w:rsidR="002420B2">
        <w:t>evolocumab</w:t>
      </w:r>
      <w:proofErr w:type="spellEnd"/>
      <w:r w:rsidR="002420B2">
        <w:t xml:space="preserve"> listing)</w:t>
      </w:r>
      <w:r w:rsidR="009A0B74">
        <w:t xml:space="preserve">, although use of both </w:t>
      </w:r>
      <w:r w:rsidR="00E9203F">
        <w:t>forms was higher than expected.</w:t>
      </w:r>
    </w:p>
    <w:p w14:paraId="32F36176" w14:textId="77777777" w:rsidR="00591512" w:rsidRDefault="00AB3733" w:rsidP="00F73113">
      <w:pPr>
        <w:pStyle w:val="Heading1"/>
      </w:pPr>
      <w:r>
        <w:t>D</w:t>
      </w:r>
      <w:r w:rsidR="007346C7" w:rsidRPr="005E22C2">
        <w:t>iscussion</w:t>
      </w:r>
      <w:r w:rsidR="001E02E6">
        <w:t xml:space="preserve"> and DUSC consideration</w:t>
      </w:r>
    </w:p>
    <w:p w14:paraId="3DEEB9DE" w14:textId="77777777" w:rsidR="001E02E6" w:rsidRDefault="00450C03" w:rsidP="00830D94">
      <w:pPr>
        <w:jc w:val="both"/>
      </w:pPr>
      <w:r>
        <w:t xml:space="preserve">The number of patients treated with </w:t>
      </w:r>
      <w:proofErr w:type="spellStart"/>
      <w:r>
        <w:t>evolocumab</w:t>
      </w:r>
      <w:proofErr w:type="spellEnd"/>
      <w:r>
        <w:t xml:space="preserve"> in the first two years of listing was higher than expected. </w:t>
      </w:r>
      <w:r w:rsidR="001E02E6" w:rsidRPr="001E02E6">
        <w:t xml:space="preserve">In the Pre-Sub Committee Response (PSCR, p1), the Sponsor considered the likely reason for the greater than predicted number of patients is that the submission utilisation estimates were based on the epidemiology of true genotypic </w:t>
      </w:r>
      <w:proofErr w:type="spellStart"/>
      <w:r w:rsidR="001E02E6" w:rsidRPr="001E02E6">
        <w:t>HoFH</w:t>
      </w:r>
      <w:proofErr w:type="spellEnd"/>
      <w:r w:rsidR="001E02E6" w:rsidRPr="001E02E6">
        <w:t xml:space="preserve">, whereas the restriction recommended by the PBAC also allows eligibility based on a phenotypic definition. DUSC noted to qualify for treatment under </w:t>
      </w:r>
      <w:proofErr w:type="spellStart"/>
      <w:r w:rsidR="001E02E6" w:rsidRPr="001E02E6">
        <w:t>HoFH</w:t>
      </w:r>
      <w:proofErr w:type="spellEnd"/>
      <w:r w:rsidR="001E02E6" w:rsidRPr="001E02E6">
        <w:t xml:space="preserve"> item codes, the condition must have been confirm</w:t>
      </w:r>
      <w:r w:rsidR="00A83FDF">
        <w:t xml:space="preserve">ed by genetic testing or by a DLCNS </w:t>
      </w:r>
      <w:r w:rsidR="001E02E6" w:rsidRPr="001E02E6">
        <w:t xml:space="preserve">of at least </w:t>
      </w:r>
      <w:proofErr w:type="gramStart"/>
      <w:r w:rsidR="001E02E6" w:rsidRPr="001E02E6">
        <w:t>7</w:t>
      </w:r>
      <w:proofErr w:type="gramEnd"/>
      <w:r w:rsidR="001E02E6" w:rsidRPr="001E02E6">
        <w:t xml:space="preserve">. DUSC considered that DLCNS categorises patients by the likelihood of familial </w:t>
      </w:r>
      <w:proofErr w:type="spellStart"/>
      <w:r w:rsidR="001E02E6" w:rsidRPr="001E02E6">
        <w:t>hypercholesterolaemia</w:t>
      </w:r>
      <w:proofErr w:type="spellEnd"/>
      <w:r w:rsidR="001E02E6" w:rsidRPr="001E02E6">
        <w:t xml:space="preserve"> and a score of at least </w:t>
      </w:r>
      <w:proofErr w:type="gramStart"/>
      <w:r w:rsidR="001E02E6" w:rsidRPr="001E02E6">
        <w:t>7</w:t>
      </w:r>
      <w:proofErr w:type="gramEnd"/>
      <w:r w:rsidR="001E02E6" w:rsidRPr="001E02E6">
        <w:t xml:space="preserve"> could also encompass heterozygous patients. DUSC considered that as the </w:t>
      </w:r>
      <w:proofErr w:type="gramStart"/>
      <w:r w:rsidR="001E02E6" w:rsidRPr="001E02E6">
        <w:t>DLCNS was used by the majority of prescribers to confirm the condition</w:t>
      </w:r>
      <w:proofErr w:type="gramEnd"/>
      <w:r w:rsidR="001E02E6" w:rsidRPr="001E02E6">
        <w:t>, the actual number of treated patients most likely incl</w:t>
      </w:r>
      <w:r w:rsidR="00A83FDF">
        <w:t xml:space="preserve">uded both </w:t>
      </w:r>
      <w:proofErr w:type="spellStart"/>
      <w:r w:rsidR="00A83FDF">
        <w:t>HoFH</w:t>
      </w:r>
      <w:proofErr w:type="spellEnd"/>
      <w:r w:rsidR="00A83FDF">
        <w:t xml:space="preserve"> and </w:t>
      </w:r>
      <w:proofErr w:type="spellStart"/>
      <w:r w:rsidR="00A83FDF">
        <w:t>HeFH</w:t>
      </w:r>
      <w:proofErr w:type="spellEnd"/>
      <w:r w:rsidR="001E02E6" w:rsidRPr="001E02E6">
        <w:t xml:space="preserve"> patients</w:t>
      </w:r>
      <w:r w:rsidR="001E02E6">
        <w:t>.</w:t>
      </w:r>
    </w:p>
    <w:p w14:paraId="0A5D56DD" w14:textId="77777777" w:rsidR="002719B3" w:rsidRDefault="00504F5C" w:rsidP="00830D94">
      <w:pPr>
        <w:jc w:val="both"/>
      </w:pPr>
      <w:r>
        <w:t>The analys</w:t>
      </w:r>
      <w:r w:rsidR="00F3492C">
        <w:t>e</w:t>
      </w:r>
      <w:r>
        <w:t>s show</w:t>
      </w:r>
      <w:r w:rsidR="00C94DD8">
        <w:t>ed</w:t>
      </w:r>
      <w:r>
        <w:t xml:space="preserve"> an initial </w:t>
      </w:r>
      <w:r w:rsidR="00450C03" w:rsidRPr="00450C03">
        <w:t xml:space="preserve">steady increase in the number of patients </w:t>
      </w:r>
      <w:r w:rsidR="00450C03">
        <w:t xml:space="preserve">supplied </w:t>
      </w:r>
      <w:proofErr w:type="spellStart"/>
      <w:r w:rsidR="00450C03">
        <w:t>evolocumab</w:t>
      </w:r>
      <w:proofErr w:type="spellEnd"/>
      <w:r w:rsidR="00450C03" w:rsidRPr="00450C03">
        <w:t xml:space="preserve"> for </w:t>
      </w:r>
      <w:proofErr w:type="spellStart"/>
      <w:r w:rsidR="00450C03" w:rsidRPr="00450C03">
        <w:t>HoFH</w:t>
      </w:r>
      <w:proofErr w:type="spellEnd"/>
      <w:r w:rsidR="00C94DD8">
        <w:t>,</w:t>
      </w:r>
      <w:r w:rsidR="002008ED">
        <w:t xml:space="preserve"> but</w:t>
      </w:r>
      <w:r w:rsidR="00C94DD8" w:rsidRPr="00C94DD8">
        <w:t xml:space="preserve"> </w:t>
      </w:r>
      <w:r w:rsidR="00C94DD8">
        <w:t>a decreasing rate of growth was apparent, particularly in the last three quarters of available data.</w:t>
      </w:r>
      <w:r w:rsidR="00C94DD8">
        <w:rPr>
          <w:rFonts w:eastAsia="Times New Roman" w:cstheme="minorHAnsi"/>
        </w:rPr>
        <w:t xml:space="preserve"> </w:t>
      </w:r>
      <w:r w:rsidR="00E0156C">
        <w:t xml:space="preserve">Additionally, the number of new patients initiating </w:t>
      </w:r>
      <w:proofErr w:type="spellStart"/>
      <w:r w:rsidR="00E0156C">
        <w:t>evolocumab</w:t>
      </w:r>
      <w:proofErr w:type="spellEnd"/>
      <w:r w:rsidR="00E0156C">
        <w:t xml:space="preserve"> for </w:t>
      </w:r>
      <w:proofErr w:type="spellStart"/>
      <w:r w:rsidR="00E0156C">
        <w:t>HoFH</w:t>
      </w:r>
      <w:proofErr w:type="spellEnd"/>
      <w:r w:rsidR="00E0156C">
        <w:t xml:space="preserve"> has continued to decline since the first quarter of 2018.</w:t>
      </w:r>
      <w:r w:rsidR="008272B4">
        <w:t xml:space="preserve"> </w:t>
      </w:r>
      <w:r w:rsidR="00093FD7">
        <w:t>The</w:t>
      </w:r>
      <w:r w:rsidR="000E27B4">
        <w:t xml:space="preserve"> listing of </w:t>
      </w:r>
      <w:proofErr w:type="spellStart"/>
      <w:r w:rsidR="000E27B4">
        <w:t>evolocumab</w:t>
      </w:r>
      <w:proofErr w:type="spellEnd"/>
      <w:r w:rsidR="000E27B4">
        <w:t xml:space="preserve"> for </w:t>
      </w:r>
      <w:proofErr w:type="spellStart"/>
      <w:r w:rsidR="000E27B4">
        <w:t>HeFH</w:t>
      </w:r>
      <w:proofErr w:type="spellEnd"/>
      <w:r w:rsidR="000E27B4">
        <w:t xml:space="preserve"> on 1 November 2018 coul</w:t>
      </w:r>
      <w:r w:rsidR="004821E1">
        <w:t>d have</w:t>
      </w:r>
      <w:r w:rsidR="00B104A6">
        <w:t xml:space="preserve"> </w:t>
      </w:r>
      <w:r w:rsidR="004821E1">
        <w:t>contributed to th</w:t>
      </w:r>
      <w:r w:rsidR="00E0156C">
        <w:t>e</w:t>
      </w:r>
      <w:r w:rsidR="00323C3D">
        <w:t xml:space="preserve"> decline in the rate of growth o</w:t>
      </w:r>
      <w:r w:rsidR="00A15D32">
        <w:t>bserved</w:t>
      </w:r>
      <w:r w:rsidR="00C94DD8">
        <w:t xml:space="preserve"> for the </w:t>
      </w:r>
      <w:proofErr w:type="spellStart"/>
      <w:r w:rsidR="00C94DD8">
        <w:t>HoFH</w:t>
      </w:r>
      <w:proofErr w:type="spellEnd"/>
      <w:r w:rsidR="00C94DD8">
        <w:t xml:space="preserve"> item codes</w:t>
      </w:r>
      <w:r w:rsidR="00A15D32">
        <w:t xml:space="preserve">. </w:t>
      </w:r>
      <w:r w:rsidR="001E02E6" w:rsidRPr="001E02E6">
        <w:t xml:space="preserve">DUSC noted that of the patients who had a prescription for </w:t>
      </w:r>
      <w:proofErr w:type="spellStart"/>
      <w:r w:rsidR="001E02E6" w:rsidRPr="001E02E6">
        <w:t>evolocumab</w:t>
      </w:r>
      <w:proofErr w:type="spellEnd"/>
      <w:r w:rsidR="001E02E6" w:rsidRPr="001E02E6">
        <w:t xml:space="preserve"> supplied under </w:t>
      </w:r>
      <w:proofErr w:type="spellStart"/>
      <w:r w:rsidR="001E02E6" w:rsidRPr="001E02E6">
        <w:t>HeFH</w:t>
      </w:r>
      <w:proofErr w:type="spellEnd"/>
      <w:r w:rsidR="001E02E6" w:rsidRPr="001E02E6">
        <w:t xml:space="preserve"> item codes since listing, 10% of patients had a previous prescription supplied under the </w:t>
      </w:r>
      <w:proofErr w:type="spellStart"/>
      <w:r w:rsidR="001E02E6" w:rsidRPr="001E02E6">
        <w:t>HoFH</w:t>
      </w:r>
      <w:proofErr w:type="spellEnd"/>
      <w:r w:rsidR="001E02E6" w:rsidRPr="001E02E6">
        <w:t xml:space="preserve"> item codes. DUSC considered the decline in the number of new </w:t>
      </w:r>
      <w:proofErr w:type="spellStart"/>
      <w:r w:rsidR="001E02E6" w:rsidRPr="001E02E6">
        <w:t>HoFH</w:t>
      </w:r>
      <w:proofErr w:type="spellEnd"/>
      <w:r w:rsidR="001E02E6" w:rsidRPr="001E02E6">
        <w:t xml:space="preserve"> patients initiating </w:t>
      </w:r>
      <w:proofErr w:type="spellStart"/>
      <w:r w:rsidR="001E02E6" w:rsidRPr="001E02E6">
        <w:t>evolocumab</w:t>
      </w:r>
      <w:proofErr w:type="spellEnd"/>
      <w:r w:rsidR="001E02E6" w:rsidRPr="001E02E6">
        <w:t xml:space="preserve"> could be due to patients now commencing on </w:t>
      </w:r>
      <w:proofErr w:type="spellStart"/>
      <w:r w:rsidR="001E02E6" w:rsidRPr="001E02E6">
        <w:t>HeFH</w:t>
      </w:r>
      <w:proofErr w:type="spellEnd"/>
      <w:r w:rsidR="001E02E6" w:rsidRPr="001E02E6">
        <w:t xml:space="preserve"> item codes or could be due to market saturation in the available population of </w:t>
      </w:r>
      <w:proofErr w:type="spellStart"/>
      <w:r w:rsidR="001E02E6" w:rsidRPr="001E02E6">
        <w:t>HoFH</w:t>
      </w:r>
      <w:proofErr w:type="spellEnd"/>
      <w:r w:rsidR="001E02E6" w:rsidRPr="001E02E6">
        <w:t xml:space="preserve"> patients.</w:t>
      </w:r>
    </w:p>
    <w:p w14:paraId="39DA0E43" w14:textId="77777777" w:rsidR="00737BBF" w:rsidRDefault="00830D94" w:rsidP="00737BBF">
      <w:pPr>
        <w:jc w:val="both"/>
      </w:pPr>
      <w:r>
        <w:t>The actual numb</w:t>
      </w:r>
      <w:r w:rsidR="004821E1">
        <w:t xml:space="preserve">er of supplied prescriptions </w:t>
      </w:r>
      <w:r w:rsidR="00CF747A">
        <w:t xml:space="preserve">was </w:t>
      </w:r>
      <w:r>
        <w:t>very similar to the predicted number</w:t>
      </w:r>
      <w:r w:rsidR="004821E1">
        <w:t xml:space="preserve"> of prescriptions</w:t>
      </w:r>
      <w:r>
        <w:t xml:space="preserve"> in the first year</w:t>
      </w:r>
      <w:r w:rsidR="00B104A6">
        <w:t xml:space="preserve"> of listing</w:t>
      </w:r>
      <w:r>
        <w:t xml:space="preserve"> but </w:t>
      </w:r>
      <w:r w:rsidR="004821E1">
        <w:t>greater than pred</w:t>
      </w:r>
      <w:r w:rsidR="00B662F6">
        <w:t>icted in the second year</w:t>
      </w:r>
      <w:r>
        <w:t>.</w:t>
      </w:r>
      <w:r w:rsidR="008D4845">
        <w:t xml:space="preserve"> </w:t>
      </w:r>
      <w:r w:rsidR="00892D01">
        <w:t>Three</w:t>
      </w:r>
      <w:r w:rsidR="008D4845">
        <w:t xml:space="preserve"> </w:t>
      </w:r>
      <w:r w:rsidR="00737BBF">
        <w:t xml:space="preserve">possible reasons for </w:t>
      </w:r>
      <w:r w:rsidR="008D4845">
        <w:t>higher than predicted number of patients but similar</w:t>
      </w:r>
      <w:r w:rsidR="00C7083C">
        <w:t xml:space="preserve"> to predicted numbers of </w:t>
      </w:r>
      <w:r w:rsidR="001B15DB">
        <w:t>prescriptions</w:t>
      </w:r>
      <w:r w:rsidR="00737BBF">
        <w:t xml:space="preserve"> are:</w:t>
      </w:r>
    </w:p>
    <w:p w14:paraId="7D620018" w14:textId="77777777" w:rsidR="00737BBF" w:rsidRDefault="009A0B74" w:rsidP="009A0B74">
      <w:pPr>
        <w:pStyle w:val="ListParagraph"/>
        <w:numPr>
          <w:ilvl w:val="0"/>
          <w:numId w:val="39"/>
        </w:numPr>
        <w:jc w:val="both"/>
      </w:pPr>
      <w:r>
        <w:t xml:space="preserve">a higher proportion of </w:t>
      </w:r>
      <w:r w:rsidR="00737BBF">
        <w:t xml:space="preserve">monthly </w:t>
      </w:r>
      <w:r>
        <w:t xml:space="preserve">versus fortnightly </w:t>
      </w:r>
      <w:r w:rsidR="00737BBF">
        <w:t>dosing than expected</w:t>
      </w:r>
    </w:p>
    <w:p w14:paraId="33AA9E2B" w14:textId="77777777" w:rsidR="008D4845" w:rsidRDefault="001B15DB" w:rsidP="009A0B74">
      <w:pPr>
        <w:pStyle w:val="ListParagraph"/>
        <w:numPr>
          <w:ilvl w:val="0"/>
          <w:numId w:val="39"/>
        </w:numPr>
        <w:jc w:val="both"/>
      </w:pPr>
      <w:r>
        <w:t>e</w:t>
      </w:r>
      <w:r w:rsidR="00737BBF">
        <w:t>st</w:t>
      </w:r>
      <w:r>
        <w:t>imates may not</w:t>
      </w:r>
      <w:r w:rsidR="00737BBF">
        <w:t xml:space="preserve"> have used “half cycle corrections” to account for people starting treatment at different points throughout the year </w:t>
      </w:r>
    </w:p>
    <w:p w14:paraId="33829E6E" w14:textId="77777777" w:rsidR="001E02E6" w:rsidRDefault="00892D01" w:rsidP="001E02E6">
      <w:pPr>
        <w:pStyle w:val="ListParagraph"/>
        <w:numPr>
          <w:ilvl w:val="0"/>
          <w:numId w:val="39"/>
        </w:numPr>
        <w:jc w:val="both"/>
      </w:pPr>
      <w:proofErr w:type="gramStart"/>
      <w:r>
        <w:lastRenderedPageBreak/>
        <w:t>m</w:t>
      </w:r>
      <w:r w:rsidR="00FB6280">
        <w:t>ore</w:t>
      </w:r>
      <w:proofErr w:type="gramEnd"/>
      <w:r w:rsidR="00FB6280">
        <w:t xml:space="preserve"> people discontinuing than expected</w:t>
      </w:r>
      <w:r>
        <w:t xml:space="preserve">. </w:t>
      </w:r>
      <w:r w:rsidR="00DE042F">
        <w:t>A</w:t>
      </w:r>
      <w:r w:rsidR="00FB6280">
        <w:t>ccording to the Therapeutic Guidelines, PCSK9 inhibitors have not been associated with any notable</w:t>
      </w:r>
      <w:r w:rsidR="0097378E">
        <w:t xml:space="preserve"> serious</w:t>
      </w:r>
      <w:r w:rsidR="00FB6280">
        <w:t xml:space="preserve"> adverse effects other than injection site reactions.</w:t>
      </w:r>
      <w:r>
        <w:rPr>
          <w:rStyle w:val="FootnoteReference"/>
        </w:rPr>
        <w:footnoteReference w:id="5"/>
      </w:r>
      <w:r w:rsidR="00FB6280">
        <w:t xml:space="preserve"> </w:t>
      </w:r>
    </w:p>
    <w:p w14:paraId="3504AE64" w14:textId="77777777" w:rsidR="001E02E6" w:rsidRDefault="001E02E6" w:rsidP="001E02E6">
      <w:pPr>
        <w:jc w:val="both"/>
      </w:pPr>
      <w:r>
        <w:t>DUSC considered another possible reason for a higher than predicted number of patients but similar to predicted numbers of prescriptions could be due to doctors prescribing 140</w:t>
      </w:r>
      <w:r w:rsidR="00371B84">
        <w:t> </w:t>
      </w:r>
      <w:r>
        <w:t xml:space="preserve">mg every 2 weeks instead of 420 mg every month resulting in less frequent dispensing of </w:t>
      </w:r>
      <w:proofErr w:type="spellStart"/>
      <w:r>
        <w:t>evolocumab</w:t>
      </w:r>
      <w:proofErr w:type="spellEnd"/>
      <w:r>
        <w:t xml:space="preserve">. The dose recommended for </w:t>
      </w:r>
      <w:proofErr w:type="spellStart"/>
      <w:r>
        <w:t>HeFH</w:t>
      </w:r>
      <w:proofErr w:type="spellEnd"/>
      <w:r>
        <w:t xml:space="preserve"> is 140 mg every 2 weeks or 420 mg once monthly compared to </w:t>
      </w:r>
      <w:proofErr w:type="spellStart"/>
      <w:r>
        <w:t>HoFH</w:t>
      </w:r>
      <w:proofErr w:type="spellEnd"/>
      <w:r>
        <w:t xml:space="preserve"> dosing of 420 mg once monthly as the initial dose with a possible dose increase to 420 mg every 2 weeks if required. </w:t>
      </w:r>
    </w:p>
    <w:p w14:paraId="0FA2F04C" w14:textId="77777777" w:rsidR="001E02E6" w:rsidRDefault="001E02E6" w:rsidP="001E02E6">
      <w:pPr>
        <w:jc w:val="both"/>
      </w:pPr>
      <w:r>
        <w:t>DUSC noted that in March 2019, the M</w:t>
      </w:r>
      <w:r w:rsidR="00371B84">
        <w:t>SAC</w:t>
      </w:r>
      <w:r>
        <w:t xml:space="preserve"> supported </w:t>
      </w:r>
      <w:r w:rsidR="00A83FDF">
        <w:t>MBS</w:t>
      </w:r>
      <w:r>
        <w:t xml:space="preserve"> listing of genetic testing for heritable mutations associated with FH in affected individuals meeting defined eligibility criteria, and targeted cascade testing in first and second-degree relatives of those affected individuals with a confirmed genetic diagnosis. DUSC discussed </w:t>
      </w:r>
      <w:proofErr w:type="gramStart"/>
      <w:r>
        <w:t>that genetic</w:t>
      </w:r>
      <w:proofErr w:type="gramEnd"/>
      <w:r>
        <w:t xml:space="preserve"> testing can be expensive and may not be readily available. DUSC questioned whether this MBS listing would increase the use of this test to qualify for </w:t>
      </w:r>
      <w:proofErr w:type="spellStart"/>
      <w:r>
        <w:t>evolocumab</w:t>
      </w:r>
      <w:proofErr w:type="spellEnd"/>
      <w:r>
        <w:t xml:space="preserve">. DUSC considered that, even if a genetic test </w:t>
      </w:r>
      <w:proofErr w:type="gramStart"/>
      <w:r>
        <w:t>is performed</w:t>
      </w:r>
      <w:proofErr w:type="gramEnd"/>
      <w:r>
        <w:t xml:space="preserve"> and a mutation is not detected, this does not automatically exclude FH. DUSC noted approximately 20% of clinically definite cases of FH will show a negative result. </w:t>
      </w:r>
    </w:p>
    <w:p w14:paraId="78E94F66" w14:textId="77777777" w:rsidR="001E02E6" w:rsidRDefault="001E02E6" w:rsidP="001E02E6">
      <w:pPr>
        <w:jc w:val="both"/>
      </w:pPr>
      <w:r>
        <w:t xml:space="preserve">DUSC noted </w:t>
      </w:r>
      <w:proofErr w:type="spellStart"/>
      <w:r>
        <w:t>evolocumab</w:t>
      </w:r>
      <w:proofErr w:type="spellEnd"/>
      <w:r>
        <w:t xml:space="preserve"> 140mg/mL pen device </w:t>
      </w:r>
      <w:proofErr w:type="gramStart"/>
      <w:r>
        <w:t>was supplied</w:t>
      </w:r>
      <w:proofErr w:type="gramEnd"/>
      <w:r>
        <w:t xml:space="preserve"> more commonly than the 420</w:t>
      </w:r>
      <w:r w:rsidR="00371B84">
        <w:t> </w:t>
      </w:r>
      <w:r>
        <w:t xml:space="preserve">mg/3.5 mL cartridge for the treatment of </w:t>
      </w:r>
      <w:proofErr w:type="spellStart"/>
      <w:r>
        <w:t>HoFH</w:t>
      </w:r>
      <w:proofErr w:type="spellEnd"/>
      <w:r>
        <w:t>. Based on anecdotal evidence, DUSC noted a limitation for the use of the cartridge device might be pain on administration.</w:t>
      </w:r>
    </w:p>
    <w:p w14:paraId="2997FA50" w14:textId="77777777" w:rsidR="002954F2" w:rsidRDefault="001E02E6" w:rsidP="001E02E6">
      <w:pPr>
        <w:jc w:val="both"/>
      </w:pPr>
      <w:r>
        <w:t xml:space="preserve">DUSC considered future reports of </w:t>
      </w:r>
      <w:proofErr w:type="spellStart"/>
      <w:r>
        <w:t>evolocumab</w:t>
      </w:r>
      <w:proofErr w:type="spellEnd"/>
      <w:r>
        <w:t xml:space="preserve"> could include analyses of the duration between supplies, and distribution by age and by the type of familial </w:t>
      </w:r>
      <w:proofErr w:type="spellStart"/>
      <w:r>
        <w:t>hypercholesterolaemia</w:t>
      </w:r>
      <w:proofErr w:type="spellEnd"/>
      <w:r>
        <w:t xml:space="preserve"> (</w:t>
      </w:r>
      <w:proofErr w:type="spellStart"/>
      <w:r>
        <w:t>HoFH</w:t>
      </w:r>
      <w:proofErr w:type="spellEnd"/>
      <w:r>
        <w:t xml:space="preserve"> or </w:t>
      </w:r>
      <w:proofErr w:type="spellStart"/>
      <w:r>
        <w:t>HeFH</w:t>
      </w:r>
      <w:proofErr w:type="spellEnd"/>
      <w:r>
        <w:t>).</w:t>
      </w:r>
    </w:p>
    <w:p w14:paraId="466A8516" w14:textId="77777777" w:rsidR="002954F2" w:rsidRDefault="001E02E6" w:rsidP="001E02E6">
      <w:pPr>
        <w:pStyle w:val="Heading1"/>
      </w:pPr>
      <w:r w:rsidRPr="001E02E6">
        <w:t>DUSC actions</w:t>
      </w:r>
    </w:p>
    <w:p w14:paraId="7F807567" w14:textId="77777777" w:rsidR="001E02E6" w:rsidRDefault="002954F2" w:rsidP="001E02E6">
      <w:r>
        <w:t xml:space="preserve">DUSC requested that the report </w:t>
      </w:r>
      <w:proofErr w:type="gramStart"/>
      <w:r>
        <w:t>be provided</w:t>
      </w:r>
      <w:proofErr w:type="gramEnd"/>
      <w:r>
        <w:t xml:space="preserve"> to the PBAC for consideration.</w:t>
      </w:r>
    </w:p>
    <w:p w14:paraId="7E24FD81" w14:textId="77777777" w:rsidR="001E02E6" w:rsidRDefault="001E02E6" w:rsidP="00727FB0">
      <w:pPr>
        <w:pStyle w:val="Heading1"/>
      </w:pPr>
      <w:r>
        <w:t>Context for analysis</w:t>
      </w:r>
    </w:p>
    <w:p w14:paraId="6C1E3F43" w14:textId="77777777" w:rsidR="001E02E6" w:rsidRDefault="001E02E6" w:rsidP="001E02E6">
      <w:pPr>
        <w:autoSpaceDE w:val="0"/>
        <w:autoSpaceDN w:val="0"/>
        <w:adjustRightInd w:val="0"/>
        <w:rPr>
          <w:rFonts w:ascii="Calibri" w:hAnsi="Calibri" w:cs="Calibri"/>
        </w:rPr>
      </w:pPr>
      <w:r>
        <w:rPr>
          <w:rFonts w:ascii="Calibri" w:hAnsi="Calibri" w:cs="Calibri"/>
        </w:rPr>
        <w:t>The DUSC is a Sub Committee of the Pharmaceutical Benefits Advisory Committee (PBAC). The DUSC assesses estimates on projected usage and financial cost of medicines.</w:t>
      </w:r>
    </w:p>
    <w:p w14:paraId="5F6DE1DA" w14:textId="77777777" w:rsidR="001E02E6" w:rsidRDefault="001E02E6" w:rsidP="001E02E6">
      <w:pPr>
        <w:autoSpaceDE w:val="0"/>
        <w:autoSpaceDN w:val="0"/>
        <w:adjustRightInd w:val="0"/>
        <w:rPr>
          <w:rFonts w:ascii="Calibri" w:hAnsi="Calibri" w:cs="Calibri"/>
        </w:rPr>
      </w:pPr>
      <w:r>
        <w:rPr>
          <w:rFonts w:ascii="Calibri" w:hAnsi="Calibri" w:cs="Calibri"/>
        </w:rPr>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14:paraId="157E536C" w14:textId="77777777" w:rsidR="001E02E6" w:rsidRDefault="001E02E6" w:rsidP="001E02E6">
      <w:pPr>
        <w:autoSpaceDE w:val="0"/>
        <w:autoSpaceDN w:val="0"/>
        <w:adjustRightInd w:val="0"/>
        <w:rPr>
          <w:rFonts w:ascii="Calibri" w:hAnsi="Calibri" w:cs="Calibri"/>
        </w:rPr>
      </w:pPr>
      <w:r>
        <w:rPr>
          <w:rFonts w:ascii="Calibri" w:hAnsi="Calibri" w:cs="Calibri"/>
        </w:rPr>
        <w:lastRenderedPageBreak/>
        <w:t xml:space="preserve">The DUSC operates in accordance with the quality use of medicines objective of the National Medicines Policy and considers that the DUSC utilisation analyses will assist consumers and health professionals </w:t>
      </w:r>
      <w:proofErr w:type="gramStart"/>
      <w:r>
        <w:rPr>
          <w:rFonts w:ascii="Calibri" w:hAnsi="Calibri" w:cs="Calibri"/>
        </w:rPr>
        <w:t>to better understand</w:t>
      </w:r>
      <w:proofErr w:type="gramEnd"/>
      <w:r>
        <w:rPr>
          <w:rFonts w:ascii="Calibri" w:hAnsi="Calibri" w:cs="Calibri"/>
        </w:rPr>
        <w:t xml:space="preserve"> the costs, benefits and risks of medicines.</w:t>
      </w:r>
    </w:p>
    <w:p w14:paraId="2A5306F0" w14:textId="77777777" w:rsidR="00B8027C" w:rsidRDefault="001E02E6" w:rsidP="001E02E6">
      <w:pPr>
        <w:autoSpaceDE w:val="0"/>
        <w:autoSpaceDN w:val="0"/>
        <w:adjustRightInd w:val="0"/>
        <w:rPr>
          <w:rFonts w:ascii="Calibri" w:hAnsi="Calibri" w:cs="Calibri"/>
        </w:rPr>
      </w:pPr>
      <w:r>
        <w:rPr>
          <w:rFonts w:ascii="Calibri" w:hAnsi="Calibri" w:cs="Calibri"/>
        </w:rPr>
        <w:t xml:space="preserve">The utilisation analysis report </w:t>
      </w:r>
      <w:proofErr w:type="gramStart"/>
      <w:r>
        <w:rPr>
          <w:rFonts w:ascii="Calibri" w:hAnsi="Calibri" w:cs="Calibri"/>
        </w:rPr>
        <w:t>was provided</w:t>
      </w:r>
      <w:proofErr w:type="gramEnd"/>
      <w:r>
        <w:rPr>
          <w:rFonts w:ascii="Calibri" w:hAnsi="Calibri" w:cs="Calibri"/>
        </w:rPr>
        <w:t xml:space="preserve"> to the pharmaceutical sponsors of each drug and comments on the report were provided to DUSC prior to its consideration of the analysis.</w:t>
      </w:r>
    </w:p>
    <w:p w14:paraId="4E3E0193" w14:textId="77777777" w:rsidR="00B8027C" w:rsidRPr="00B8027C" w:rsidRDefault="00B8027C" w:rsidP="00727FB0">
      <w:pPr>
        <w:pStyle w:val="Heading1"/>
      </w:pPr>
      <w:r w:rsidRPr="00B8027C">
        <w:t>Sponsors’ comments</w:t>
      </w:r>
    </w:p>
    <w:p w14:paraId="3BCF3CD1" w14:textId="77777777" w:rsidR="00156814" w:rsidRDefault="00156814" w:rsidP="00156814">
      <w:pPr>
        <w:autoSpaceDE w:val="0"/>
        <w:autoSpaceDN w:val="0"/>
        <w:adjustRightInd w:val="0"/>
        <w:rPr>
          <w:rFonts w:ascii="Calibri" w:hAnsi="Calibri" w:cs="Calibri"/>
        </w:rPr>
      </w:pPr>
      <w:r>
        <w:rPr>
          <w:rFonts w:ascii="Calibri" w:hAnsi="Calibri" w:cs="Calibri"/>
        </w:rPr>
        <w:t xml:space="preserve">Amgen Australia Pty Ltd: </w:t>
      </w:r>
      <w:r w:rsidR="009D1643" w:rsidRPr="009D1643">
        <w:rPr>
          <w:rFonts w:ascii="Calibri" w:hAnsi="Calibri" w:cs="Calibri"/>
        </w:rPr>
        <w:t>The Sponsor has no comment</w:t>
      </w:r>
    </w:p>
    <w:p w14:paraId="185D04A8" w14:textId="77777777" w:rsidR="001F08B7" w:rsidRDefault="001F08B7">
      <w:pPr>
        <w:spacing w:line="276" w:lineRule="auto"/>
      </w:pPr>
      <w:r>
        <w:br w:type="page"/>
      </w:r>
    </w:p>
    <w:p w14:paraId="438855A2" w14:textId="77777777" w:rsidR="00876CCB" w:rsidRDefault="00876CCB" w:rsidP="00727FB0">
      <w:pPr>
        <w:pStyle w:val="Heading1"/>
      </w:pPr>
      <w:r>
        <w:lastRenderedPageBreak/>
        <w:t>Appendix 1:</w:t>
      </w:r>
      <w:r w:rsidRPr="001F08B7">
        <w:t xml:space="preserve"> Relevant aspects of consideration by the Pharmaceutical Benefits Advisory Committee (PBAC)</w:t>
      </w:r>
    </w:p>
    <w:tbl>
      <w:tblPr>
        <w:tblStyle w:val="TableGrid"/>
        <w:tblW w:w="9067" w:type="dxa"/>
        <w:tblLayout w:type="fixed"/>
        <w:tblLook w:val="04A0" w:firstRow="1" w:lastRow="0" w:firstColumn="1" w:lastColumn="0" w:noHBand="0" w:noVBand="1"/>
        <w:tblCaption w:val="PBAC considerations"/>
        <w:tblDescription w:val="Relevant aspects of consideration by the Pharmaceutical Benefits Advisory Committee (PBAC)"/>
      </w:tblPr>
      <w:tblGrid>
        <w:gridCol w:w="1696"/>
        <w:gridCol w:w="2268"/>
        <w:gridCol w:w="5103"/>
      </w:tblGrid>
      <w:tr w:rsidR="001F08B7" w:rsidRPr="00A35800" w:rsidDel="00EE2BBB" w14:paraId="014E395F" w14:textId="77777777" w:rsidTr="009A0B74">
        <w:trPr>
          <w:trHeight w:val="416"/>
          <w:tblHeader/>
        </w:trPr>
        <w:tc>
          <w:tcPr>
            <w:tcW w:w="1696" w:type="dxa"/>
            <w:shd w:val="clear" w:color="auto" w:fill="BFBFBF" w:themeFill="background1" w:themeFillShade="BF"/>
          </w:tcPr>
          <w:p w14:paraId="6049EEF5" w14:textId="77777777" w:rsidR="001F08B7" w:rsidRPr="008A51F9" w:rsidDel="00EE2BBB" w:rsidRDefault="001F08B7" w:rsidP="00E9203F">
            <w:pPr>
              <w:pStyle w:val="Tableheading"/>
              <w:jc w:val="left"/>
              <w:rPr>
                <w:rFonts w:cstheme="minorHAnsi"/>
                <w:sz w:val="20"/>
                <w:szCs w:val="20"/>
              </w:rPr>
            </w:pPr>
            <w:r>
              <w:rPr>
                <w:rFonts w:cstheme="minorHAnsi"/>
                <w:sz w:val="20"/>
                <w:szCs w:val="20"/>
              </w:rPr>
              <w:t xml:space="preserve">PBAC </w:t>
            </w:r>
            <w:r w:rsidRPr="008A51F9">
              <w:rPr>
                <w:rFonts w:cstheme="minorHAnsi"/>
                <w:sz w:val="20"/>
                <w:szCs w:val="20"/>
              </w:rPr>
              <w:t>Meeting</w:t>
            </w:r>
          </w:p>
        </w:tc>
        <w:tc>
          <w:tcPr>
            <w:tcW w:w="2268" w:type="dxa"/>
            <w:shd w:val="clear" w:color="auto" w:fill="BFBFBF" w:themeFill="background1" w:themeFillShade="BF"/>
          </w:tcPr>
          <w:p w14:paraId="0F61154F" w14:textId="77777777" w:rsidR="001F08B7" w:rsidRPr="008A51F9" w:rsidDel="00EE2BBB" w:rsidRDefault="001F08B7" w:rsidP="00E9203F">
            <w:pPr>
              <w:pStyle w:val="Tableheading"/>
              <w:rPr>
                <w:rFonts w:cstheme="minorHAnsi"/>
                <w:sz w:val="20"/>
                <w:szCs w:val="20"/>
              </w:rPr>
            </w:pPr>
            <w:r w:rsidRPr="008A51F9">
              <w:rPr>
                <w:rFonts w:cstheme="minorHAnsi"/>
                <w:sz w:val="20"/>
                <w:szCs w:val="20"/>
              </w:rPr>
              <w:t>Indication Considered</w:t>
            </w:r>
          </w:p>
        </w:tc>
        <w:tc>
          <w:tcPr>
            <w:tcW w:w="5103" w:type="dxa"/>
            <w:shd w:val="clear" w:color="auto" w:fill="BFBFBF" w:themeFill="background1" w:themeFillShade="BF"/>
          </w:tcPr>
          <w:p w14:paraId="1A7B252F" w14:textId="77777777" w:rsidR="001F08B7" w:rsidRPr="008A51F9" w:rsidDel="00EE2BBB" w:rsidRDefault="001F08B7" w:rsidP="00E9203F">
            <w:pPr>
              <w:pStyle w:val="Tableheading"/>
              <w:rPr>
                <w:rFonts w:cstheme="minorHAnsi"/>
                <w:sz w:val="20"/>
                <w:szCs w:val="20"/>
              </w:rPr>
            </w:pPr>
            <w:r w:rsidRPr="008A51F9">
              <w:rPr>
                <w:rFonts w:cstheme="minorHAnsi"/>
                <w:sz w:val="20"/>
                <w:szCs w:val="20"/>
              </w:rPr>
              <w:t>Outcome</w:t>
            </w:r>
          </w:p>
        </w:tc>
      </w:tr>
      <w:tr w:rsidR="001F08B7" w:rsidRPr="00A35800" w:rsidDel="00EE2BBB" w14:paraId="723312CA" w14:textId="77777777" w:rsidTr="009A0B74">
        <w:trPr>
          <w:trHeight w:val="552"/>
          <w:tblHeader/>
        </w:trPr>
        <w:tc>
          <w:tcPr>
            <w:tcW w:w="1696" w:type="dxa"/>
            <w:shd w:val="clear" w:color="auto" w:fill="auto"/>
          </w:tcPr>
          <w:p w14:paraId="30FB94F4" w14:textId="77777777" w:rsidR="001F08B7" w:rsidRPr="008A51F9" w:rsidRDefault="001F08B7" w:rsidP="00E9203F">
            <w:pPr>
              <w:spacing w:before="60" w:after="60"/>
              <w:rPr>
                <w:rFonts w:eastAsia="Times New Roman" w:cstheme="minorHAnsi"/>
                <w:sz w:val="20"/>
                <w:szCs w:val="20"/>
              </w:rPr>
            </w:pPr>
            <w:r w:rsidRPr="004449A7">
              <w:rPr>
                <w:rFonts w:eastAsia="Times New Roman" w:cstheme="minorHAnsi"/>
                <w:sz w:val="20"/>
                <w:szCs w:val="20"/>
              </w:rPr>
              <w:t>March 2015</w:t>
            </w:r>
          </w:p>
          <w:p w14:paraId="3E8E2B42" w14:textId="77777777" w:rsidR="001F08B7" w:rsidRPr="008A51F9" w:rsidDel="00EE2BBB" w:rsidRDefault="001F08B7" w:rsidP="00E9203F">
            <w:pPr>
              <w:pStyle w:val="Tablewriting"/>
              <w:rPr>
                <w:rFonts w:cstheme="minorHAnsi"/>
              </w:rPr>
            </w:pPr>
          </w:p>
        </w:tc>
        <w:tc>
          <w:tcPr>
            <w:tcW w:w="2268" w:type="dxa"/>
            <w:shd w:val="clear" w:color="auto" w:fill="auto"/>
          </w:tcPr>
          <w:p w14:paraId="6F1E676A" w14:textId="77777777" w:rsidR="001F08B7" w:rsidRPr="008A51F9" w:rsidDel="00EE2BBB" w:rsidRDefault="001F08B7" w:rsidP="00E9203F">
            <w:pPr>
              <w:spacing w:before="60" w:after="60"/>
              <w:rPr>
                <w:rFonts w:cstheme="minorHAnsi"/>
                <w:sz w:val="20"/>
                <w:szCs w:val="20"/>
              </w:rPr>
            </w:pPr>
            <w:proofErr w:type="spellStart"/>
            <w:r w:rsidRPr="008A51F9">
              <w:rPr>
                <w:rFonts w:cstheme="minorHAnsi"/>
                <w:sz w:val="20"/>
                <w:szCs w:val="20"/>
              </w:rPr>
              <w:t>Hypercholesterolaemia</w:t>
            </w:r>
            <w:proofErr w:type="spellEnd"/>
          </w:p>
        </w:tc>
        <w:tc>
          <w:tcPr>
            <w:tcW w:w="5103" w:type="dxa"/>
            <w:shd w:val="clear" w:color="auto" w:fill="auto"/>
          </w:tcPr>
          <w:p w14:paraId="7C724D55" w14:textId="77777777" w:rsidR="001F08B7" w:rsidRPr="008A51F9" w:rsidRDefault="001F08B7" w:rsidP="00E9203F">
            <w:pPr>
              <w:snapToGrid w:val="0"/>
              <w:spacing w:before="60" w:after="60"/>
              <w:rPr>
                <w:rFonts w:cstheme="minorHAnsi"/>
                <w:sz w:val="20"/>
                <w:szCs w:val="20"/>
                <w:lang w:val="en-US"/>
              </w:rPr>
            </w:pPr>
            <w:r w:rsidRPr="008A51F9">
              <w:rPr>
                <w:rFonts w:cstheme="minorHAnsi"/>
                <w:sz w:val="20"/>
                <w:szCs w:val="20"/>
                <w:lang w:val="en-US"/>
              </w:rPr>
              <w:t xml:space="preserve">The PBAC rejected the request to list </w:t>
            </w:r>
            <w:proofErr w:type="spellStart"/>
            <w:r w:rsidRPr="008A51F9">
              <w:rPr>
                <w:rFonts w:cstheme="minorHAnsi"/>
                <w:sz w:val="20"/>
                <w:szCs w:val="20"/>
                <w:lang w:val="en-US"/>
              </w:rPr>
              <w:t>evolocumab</w:t>
            </w:r>
            <w:proofErr w:type="spellEnd"/>
            <w:r w:rsidRPr="008A51F9">
              <w:rPr>
                <w:rFonts w:cstheme="minorHAnsi"/>
                <w:sz w:val="20"/>
                <w:szCs w:val="20"/>
                <w:lang w:val="en-US"/>
              </w:rPr>
              <w:t xml:space="preserve"> for the treatment of </w:t>
            </w:r>
            <w:proofErr w:type="spellStart"/>
            <w:r w:rsidRPr="008A51F9">
              <w:rPr>
                <w:rFonts w:cstheme="minorHAnsi"/>
                <w:sz w:val="20"/>
                <w:szCs w:val="20"/>
                <w:lang w:val="en-US"/>
              </w:rPr>
              <w:t>hypercholesterolaemia</w:t>
            </w:r>
            <w:proofErr w:type="spellEnd"/>
            <w:r w:rsidRPr="008A51F9">
              <w:rPr>
                <w:rFonts w:cstheme="minorHAnsi"/>
                <w:sz w:val="20"/>
                <w:szCs w:val="20"/>
                <w:lang w:val="en-US"/>
              </w:rPr>
              <w:t xml:space="preserve"> </w:t>
            </w:r>
            <w:proofErr w:type="gramStart"/>
            <w:r w:rsidRPr="008A51F9">
              <w:rPr>
                <w:rFonts w:cstheme="minorHAnsi"/>
                <w:sz w:val="20"/>
                <w:szCs w:val="20"/>
                <w:lang w:val="en-US"/>
              </w:rPr>
              <w:t>on the basis of</w:t>
            </w:r>
            <w:proofErr w:type="gramEnd"/>
            <w:r w:rsidRPr="008A51F9">
              <w:rPr>
                <w:rFonts w:cstheme="minorHAnsi"/>
                <w:sz w:val="20"/>
                <w:szCs w:val="20"/>
                <w:lang w:val="en-US"/>
              </w:rPr>
              <w:t xml:space="preserve"> unestablished clinical place in therapy and the uncertainty surrounding its use in clinical practice.</w:t>
            </w:r>
          </w:p>
          <w:p w14:paraId="480DB196" w14:textId="77777777" w:rsidR="001F08B7" w:rsidRPr="008A51F9" w:rsidRDefault="001F08B7" w:rsidP="00E9203F">
            <w:pPr>
              <w:snapToGrid w:val="0"/>
              <w:spacing w:before="60" w:after="60"/>
              <w:rPr>
                <w:rFonts w:cstheme="minorHAnsi"/>
                <w:sz w:val="20"/>
                <w:szCs w:val="20"/>
                <w:lang w:val="en-US"/>
              </w:rPr>
            </w:pPr>
          </w:p>
          <w:p w14:paraId="50629D22" w14:textId="77777777" w:rsidR="001F08B7" w:rsidRPr="008A51F9" w:rsidDel="00EE2BBB" w:rsidRDefault="001F08B7" w:rsidP="00E9203F">
            <w:pPr>
              <w:pStyle w:val="Tablewriting"/>
              <w:rPr>
                <w:rFonts w:cstheme="minorHAnsi"/>
              </w:rPr>
            </w:pPr>
            <w:r w:rsidRPr="008A51F9">
              <w:rPr>
                <w:rFonts w:cstheme="minorHAnsi"/>
                <w:lang w:val="en-US"/>
              </w:rPr>
              <w:t xml:space="preserve">The PBAC noted that the submission </w:t>
            </w:r>
            <w:proofErr w:type="gramStart"/>
            <w:r w:rsidRPr="008A51F9">
              <w:rPr>
                <w:rFonts w:cstheme="minorHAnsi"/>
                <w:lang w:val="en-US"/>
              </w:rPr>
              <w:t>was made</w:t>
            </w:r>
            <w:proofErr w:type="gramEnd"/>
            <w:r w:rsidRPr="008A51F9">
              <w:rPr>
                <w:rFonts w:cstheme="minorHAnsi"/>
                <w:lang w:val="en-US"/>
              </w:rPr>
              <w:t xml:space="preserve"> under the TGA-PBAC parallel process with the TGA Delegate’s consideration expected in late 2015. Accordingly, the PBAC noted that there were no TGA documents available during the time of PBAC consideration to determine the indication of the drug and its clinical place in therapy.</w:t>
            </w:r>
          </w:p>
        </w:tc>
      </w:tr>
      <w:tr w:rsidR="001F08B7" w:rsidRPr="00A35800" w:rsidDel="00EE2BBB" w14:paraId="4C752119" w14:textId="77777777" w:rsidTr="009625D7">
        <w:trPr>
          <w:trHeight w:val="2153"/>
          <w:tblHeader/>
        </w:trPr>
        <w:tc>
          <w:tcPr>
            <w:tcW w:w="1696" w:type="dxa"/>
            <w:shd w:val="clear" w:color="auto" w:fill="auto"/>
          </w:tcPr>
          <w:p w14:paraId="2C64CFBD" w14:textId="77777777" w:rsidR="001F08B7" w:rsidRPr="008A51F9" w:rsidRDefault="001F08B7" w:rsidP="00E9203F">
            <w:pPr>
              <w:spacing w:before="60" w:after="60"/>
              <w:rPr>
                <w:rFonts w:eastAsia="Times New Roman" w:cstheme="minorHAnsi"/>
                <w:sz w:val="20"/>
                <w:szCs w:val="20"/>
              </w:rPr>
            </w:pPr>
            <w:r w:rsidRPr="004449A7">
              <w:rPr>
                <w:rFonts w:eastAsia="Times New Roman" w:cstheme="minorHAnsi"/>
                <w:sz w:val="20"/>
                <w:szCs w:val="20"/>
              </w:rPr>
              <w:t>March 2016</w:t>
            </w:r>
          </w:p>
          <w:p w14:paraId="32823EFB" w14:textId="77777777" w:rsidR="001F08B7" w:rsidRPr="008A51F9" w:rsidDel="00EE2BBB" w:rsidRDefault="001F08B7" w:rsidP="00E9203F">
            <w:pPr>
              <w:pStyle w:val="Tablewriting"/>
              <w:rPr>
                <w:rFonts w:cstheme="minorHAnsi"/>
              </w:rPr>
            </w:pPr>
          </w:p>
        </w:tc>
        <w:tc>
          <w:tcPr>
            <w:tcW w:w="2268" w:type="dxa"/>
            <w:shd w:val="clear" w:color="auto" w:fill="auto"/>
          </w:tcPr>
          <w:p w14:paraId="49B6FB4D" w14:textId="77777777" w:rsidR="001F08B7" w:rsidRPr="008A51F9" w:rsidDel="00EE2BBB" w:rsidRDefault="001F08B7" w:rsidP="00E9203F">
            <w:pPr>
              <w:pStyle w:val="Tablewriting"/>
              <w:rPr>
                <w:rFonts w:cstheme="minorHAnsi"/>
              </w:rPr>
            </w:pPr>
            <w:r w:rsidRPr="008A51F9">
              <w:rPr>
                <w:rFonts w:cstheme="minorHAnsi"/>
              </w:rPr>
              <w:t xml:space="preserve">Familial </w:t>
            </w:r>
            <w:proofErr w:type="spellStart"/>
            <w:r w:rsidRPr="008A51F9">
              <w:rPr>
                <w:rFonts w:cstheme="minorHAnsi"/>
              </w:rPr>
              <w:t>hypercholesterolaemia</w:t>
            </w:r>
            <w:proofErr w:type="spellEnd"/>
          </w:p>
        </w:tc>
        <w:tc>
          <w:tcPr>
            <w:tcW w:w="5103" w:type="dxa"/>
            <w:shd w:val="clear" w:color="auto" w:fill="auto"/>
          </w:tcPr>
          <w:p w14:paraId="0BD383D4" w14:textId="77777777" w:rsidR="001F08B7" w:rsidRPr="008A51F9" w:rsidDel="00EE2BBB" w:rsidRDefault="001F08B7" w:rsidP="00E9203F">
            <w:pPr>
              <w:spacing w:before="60" w:after="60"/>
            </w:pPr>
            <w:r w:rsidRPr="008A51F9">
              <w:rPr>
                <w:rFonts w:cstheme="minorHAnsi"/>
                <w:sz w:val="20"/>
                <w:szCs w:val="20"/>
              </w:rPr>
              <w:t xml:space="preserve">The PBAC recommended the Authority Required listing of </w:t>
            </w:r>
            <w:proofErr w:type="spellStart"/>
            <w:r w:rsidRPr="008A51F9">
              <w:rPr>
                <w:rFonts w:cstheme="minorHAnsi"/>
                <w:sz w:val="20"/>
                <w:szCs w:val="20"/>
              </w:rPr>
              <w:t>evolocumab</w:t>
            </w:r>
            <w:proofErr w:type="spellEnd"/>
            <w:r w:rsidRPr="008A51F9">
              <w:rPr>
                <w:rFonts w:cstheme="minorHAnsi"/>
                <w:sz w:val="20"/>
                <w:szCs w:val="20"/>
              </w:rPr>
              <w:t xml:space="preserve"> under Section 85, for the treatment of homozygous familial </w:t>
            </w:r>
            <w:proofErr w:type="spellStart"/>
            <w:r w:rsidRPr="008A51F9">
              <w:rPr>
                <w:rFonts w:cstheme="minorHAnsi"/>
                <w:sz w:val="20"/>
                <w:szCs w:val="20"/>
              </w:rPr>
              <w:t>hypercholesterolaemia</w:t>
            </w:r>
            <w:proofErr w:type="spellEnd"/>
            <w:r w:rsidRPr="008A51F9">
              <w:rPr>
                <w:rFonts w:cstheme="minorHAnsi"/>
                <w:sz w:val="20"/>
                <w:szCs w:val="20"/>
              </w:rPr>
              <w:t>. In making this recommendation, the PBAC considered that the homozygous FH population (with an abnormality in both of the two copies of the specific gene) represent a small, definable, patient group, in whom there is a high level of clinical need.</w:t>
            </w:r>
          </w:p>
        </w:tc>
      </w:tr>
      <w:tr w:rsidR="001F08B7" w:rsidRPr="00A35800" w:rsidDel="00EE2BBB" w14:paraId="39875A48" w14:textId="77777777" w:rsidTr="009A0B74">
        <w:trPr>
          <w:trHeight w:val="546"/>
          <w:tblHeader/>
        </w:trPr>
        <w:tc>
          <w:tcPr>
            <w:tcW w:w="1696" w:type="dxa"/>
            <w:shd w:val="clear" w:color="auto" w:fill="auto"/>
          </w:tcPr>
          <w:p w14:paraId="4483A80E" w14:textId="77777777" w:rsidR="001F08B7" w:rsidRPr="008A51F9" w:rsidRDefault="001F08B7" w:rsidP="00E9203F">
            <w:pPr>
              <w:spacing w:before="60" w:after="60" w:line="276" w:lineRule="auto"/>
              <w:rPr>
                <w:rFonts w:eastAsia="Times New Roman" w:cstheme="minorHAnsi"/>
                <w:sz w:val="20"/>
                <w:szCs w:val="20"/>
              </w:rPr>
            </w:pPr>
            <w:r w:rsidRPr="004449A7">
              <w:rPr>
                <w:rFonts w:eastAsia="Times New Roman" w:cstheme="minorHAnsi"/>
                <w:sz w:val="20"/>
                <w:szCs w:val="20"/>
              </w:rPr>
              <w:t>July 2017</w:t>
            </w:r>
            <w:r w:rsidRPr="008A51F9">
              <w:rPr>
                <w:rFonts w:eastAsia="Times New Roman" w:cstheme="minorHAnsi"/>
                <w:sz w:val="20"/>
                <w:szCs w:val="20"/>
              </w:rPr>
              <w:t xml:space="preserve"> </w:t>
            </w:r>
          </w:p>
        </w:tc>
        <w:tc>
          <w:tcPr>
            <w:tcW w:w="2268" w:type="dxa"/>
            <w:shd w:val="clear" w:color="auto" w:fill="auto"/>
          </w:tcPr>
          <w:p w14:paraId="09D2F11D" w14:textId="77777777" w:rsidR="001F08B7" w:rsidRPr="008A51F9" w:rsidRDefault="001F08B7" w:rsidP="00E9203F">
            <w:pPr>
              <w:pStyle w:val="Tablewriting"/>
              <w:rPr>
                <w:rFonts w:cstheme="minorHAnsi"/>
              </w:rPr>
            </w:pPr>
            <w:r w:rsidRPr="008A51F9">
              <w:rPr>
                <w:rFonts w:cstheme="minorHAnsi"/>
              </w:rPr>
              <w:t xml:space="preserve">Familial homozygous </w:t>
            </w:r>
            <w:proofErr w:type="spellStart"/>
            <w:r w:rsidRPr="008A51F9">
              <w:rPr>
                <w:rFonts w:cstheme="minorHAnsi"/>
              </w:rPr>
              <w:t>hypercholesterol</w:t>
            </w:r>
            <w:r w:rsidR="007F2D0F">
              <w:rPr>
                <w:rFonts w:cstheme="minorHAnsi"/>
              </w:rPr>
              <w:t>aemia</w:t>
            </w:r>
            <w:proofErr w:type="spellEnd"/>
            <w:r w:rsidR="007F2D0F">
              <w:rPr>
                <w:rFonts w:cstheme="minorHAnsi"/>
              </w:rPr>
              <w:t xml:space="preserve"> (listing of Injection 420 </w:t>
            </w:r>
            <w:r w:rsidRPr="008A51F9">
              <w:rPr>
                <w:rFonts w:cstheme="minorHAnsi"/>
              </w:rPr>
              <w:t xml:space="preserve">mg in 3.5 mL single dose </w:t>
            </w:r>
            <w:proofErr w:type="spellStart"/>
            <w:r w:rsidRPr="008A51F9">
              <w:rPr>
                <w:rFonts w:cstheme="minorHAnsi"/>
              </w:rPr>
              <w:t>autoinjector</w:t>
            </w:r>
            <w:proofErr w:type="spellEnd"/>
            <w:r w:rsidRPr="008A51F9">
              <w:rPr>
                <w:rFonts w:cstheme="minorHAnsi"/>
              </w:rPr>
              <w:t>)</w:t>
            </w:r>
          </w:p>
        </w:tc>
        <w:tc>
          <w:tcPr>
            <w:tcW w:w="5103" w:type="dxa"/>
            <w:shd w:val="clear" w:color="auto" w:fill="auto"/>
          </w:tcPr>
          <w:p w14:paraId="7C7898B5" w14:textId="77777777" w:rsidR="001F08B7" w:rsidRPr="008A51F9" w:rsidRDefault="001F08B7" w:rsidP="00E9203F">
            <w:pPr>
              <w:spacing w:before="60" w:after="60"/>
              <w:rPr>
                <w:rFonts w:cstheme="minorHAnsi"/>
                <w:sz w:val="20"/>
                <w:szCs w:val="20"/>
              </w:rPr>
            </w:pPr>
            <w:r w:rsidRPr="008A51F9">
              <w:rPr>
                <w:rFonts w:cstheme="minorHAnsi"/>
                <w:sz w:val="20"/>
                <w:szCs w:val="20"/>
              </w:rPr>
              <w:t xml:space="preserve">The PBAC recommended the listing of the new strength of </w:t>
            </w:r>
            <w:proofErr w:type="spellStart"/>
            <w:r w:rsidRPr="008A51F9">
              <w:rPr>
                <w:rFonts w:cstheme="minorHAnsi"/>
                <w:sz w:val="20"/>
                <w:szCs w:val="20"/>
              </w:rPr>
              <w:t>evolocumab</w:t>
            </w:r>
            <w:proofErr w:type="spellEnd"/>
            <w:r w:rsidRPr="008A51F9">
              <w:rPr>
                <w:rFonts w:cstheme="minorHAnsi"/>
                <w:sz w:val="20"/>
                <w:szCs w:val="20"/>
              </w:rPr>
              <w:t xml:space="preserve"> for the treatment of familial homozygous </w:t>
            </w:r>
            <w:proofErr w:type="spellStart"/>
            <w:r w:rsidRPr="008A51F9">
              <w:rPr>
                <w:rFonts w:cstheme="minorHAnsi"/>
                <w:sz w:val="20"/>
                <w:szCs w:val="20"/>
              </w:rPr>
              <w:t>hypercholest</w:t>
            </w:r>
            <w:r w:rsidR="007F2D0F">
              <w:rPr>
                <w:rFonts w:cstheme="minorHAnsi"/>
                <w:sz w:val="20"/>
                <w:szCs w:val="20"/>
              </w:rPr>
              <w:t>e</w:t>
            </w:r>
            <w:r w:rsidRPr="008A51F9">
              <w:rPr>
                <w:rFonts w:cstheme="minorHAnsi"/>
                <w:sz w:val="20"/>
                <w:szCs w:val="20"/>
              </w:rPr>
              <w:t>rolaemia</w:t>
            </w:r>
            <w:proofErr w:type="spellEnd"/>
            <w:r w:rsidRPr="008A51F9">
              <w:rPr>
                <w:rFonts w:cstheme="minorHAnsi"/>
                <w:sz w:val="20"/>
                <w:szCs w:val="20"/>
              </w:rPr>
              <w:t xml:space="preserve">. The PBAC accepted that this additional form of </w:t>
            </w:r>
            <w:proofErr w:type="spellStart"/>
            <w:r w:rsidRPr="008A51F9">
              <w:rPr>
                <w:rFonts w:cstheme="minorHAnsi"/>
                <w:sz w:val="20"/>
                <w:szCs w:val="20"/>
              </w:rPr>
              <w:t>evolocumab</w:t>
            </w:r>
            <w:proofErr w:type="spellEnd"/>
            <w:r w:rsidRPr="008A51F9">
              <w:rPr>
                <w:rFonts w:cstheme="minorHAnsi"/>
                <w:sz w:val="20"/>
                <w:szCs w:val="20"/>
              </w:rPr>
              <w:t xml:space="preserve"> would provide patients with an alternative dosing schedule to the currently listed form at no additional cost to the Government.</w:t>
            </w:r>
          </w:p>
        </w:tc>
      </w:tr>
      <w:tr w:rsidR="001F08B7" w:rsidRPr="00A35800" w:rsidDel="00EE2BBB" w14:paraId="1ABE706E" w14:textId="77777777" w:rsidTr="009A0B74">
        <w:trPr>
          <w:trHeight w:val="546"/>
          <w:tblHeader/>
        </w:trPr>
        <w:tc>
          <w:tcPr>
            <w:tcW w:w="1696" w:type="dxa"/>
            <w:shd w:val="clear" w:color="auto" w:fill="auto"/>
          </w:tcPr>
          <w:p w14:paraId="189F3FD2" w14:textId="77777777" w:rsidR="001F08B7" w:rsidRPr="0041706F" w:rsidRDefault="001F08B7" w:rsidP="00E9203F">
            <w:pPr>
              <w:spacing w:before="60" w:after="60"/>
              <w:rPr>
                <w:rFonts w:eastAsia="Times New Roman" w:cstheme="minorHAnsi"/>
                <w:sz w:val="20"/>
                <w:szCs w:val="20"/>
              </w:rPr>
            </w:pPr>
            <w:r w:rsidRPr="004449A7">
              <w:rPr>
                <w:rFonts w:eastAsia="Times New Roman" w:cstheme="minorHAnsi"/>
                <w:sz w:val="20"/>
                <w:szCs w:val="20"/>
              </w:rPr>
              <w:t>November 2017</w:t>
            </w:r>
            <w:r w:rsidRPr="0041706F">
              <w:rPr>
                <w:rFonts w:eastAsia="Times New Roman" w:cstheme="minorHAnsi"/>
                <w:sz w:val="20"/>
                <w:szCs w:val="20"/>
              </w:rPr>
              <w:t xml:space="preserve"> </w:t>
            </w:r>
          </w:p>
          <w:p w14:paraId="30600F97" w14:textId="77777777" w:rsidR="001F08B7" w:rsidRDefault="001F08B7" w:rsidP="00E9203F">
            <w:pPr>
              <w:spacing w:before="60" w:after="60" w:line="276" w:lineRule="auto"/>
              <w:rPr>
                <w:rFonts w:eastAsia="Times New Roman" w:cstheme="minorHAnsi"/>
                <w:sz w:val="20"/>
                <w:szCs w:val="20"/>
              </w:rPr>
            </w:pPr>
          </w:p>
        </w:tc>
        <w:tc>
          <w:tcPr>
            <w:tcW w:w="2268" w:type="dxa"/>
            <w:shd w:val="clear" w:color="auto" w:fill="auto"/>
          </w:tcPr>
          <w:p w14:paraId="7042E573" w14:textId="77777777" w:rsidR="001F08B7" w:rsidRPr="008A51F9" w:rsidRDefault="001F08B7" w:rsidP="007F33D6">
            <w:pPr>
              <w:pStyle w:val="Tablewriting"/>
              <w:rPr>
                <w:rFonts w:cstheme="minorHAnsi"/>
              </w:rPr>
            </w:pPr>
            <w:r w:rsidRPr="008A51F9">
              <w:rPr>
                <w:rFonts w:cstheme="minorHAnsi"/>
              </w:rPr>
              <w:t xml:space="preserve">Familial </w:t>
            </w:r>
            <w:proofErr w:type="spellStart"/>
            <w:r w:rsidRPr="008A51F9">
              <w:rPr>
                <w:rFonts w:cstheme="minorHAnsi"/>
              </w:rPr>
              <w:t>hypercholesterolaemia</w:t>
            </w:r>
            <w:proofErr w:type="spellEnd"/>
            <w:r w:rsidR="007F33D6" w:rsidRPr="007F33D6">
              <w:rPr>
                <w:rFonts w:cstheme="minorHAnsi"/>
              </w:rPr>
              <w:t xml:space="preserve"> </w:t>
            </w:r>
            <w:r w:rsidR="007F33D6">
              <w:rPr>
                <w:rFonts w:cstheme="minorHAnsi"/>
              </w:rPr>
              <w:t>(extension of the listing to</w:t>
            </w:r>
            <w:r w:rsidR="007F33D6" w:rsidRPr="007F33D6">
              <w:rPr>
                <w:rFonts w:cstheme="minorHAnsi"/>
              </w:rPr>
              <w:t xml:space="preserve"> include the treatment of </w:t>
            </w:r>
            <w:proofErr w:type="spellStart"/>
            <w:r w:rsidR="007F33D6">
              <w:rPr>
                <w:rFonts w:cstheme="minorHAnsi"/>
              </w:rPr>
              <w:t>HeFH</w:t>
            </w:r>
            <w:proofErr w:type="spellEnd"/>
            <w:r w:rsidR="007F33D6">
              <w:rPr>
                <w:rFonts w:cstheme="minorHAnsi"/>
              </w:rPr>
              <w:t>)</w:t>
            </w:r>
            <w:r w:rsidRPr="008A51F9">
              <w:rPr>
                <w:rFonts w:cstheme="minorHAnsi"/>
              </w:rPr>
              <w:t>/</w:t>
            </w:r>
            <w:r w:rsidR="007F33D6">
              <w:rPr>
                <w:rFonts w:cstheme="minorHAnsi"/>
              </w:rPr>
              <w:t xml:space="preserve"> </w:t>
            </w:r>
            <w:proofErr w:type="spellStart"/>
            <w:r w:rsidRPr="008A51F9">
              <w:rPr>
                <w:rFonts w:cstheme="minorHAnsi"/>
              </w:rPr>
              <w:t>hypercholesterolaemia</w:t>
            </w:r>
            <w:proofErr w:type="spellEnd"/>
            <w:r w:rsidRPr="008A51F9">
              <w:rPr>
                <w:rFonts w:cstheme="minorHAnsi"/>
              </w:rPr>
              <w:t xml:space="preserve"> with symptomatic atherosclerotic cardiovascular disease (ASCVD) who do not have underlying FH</w:t>
            </w:r>
          </w:p>
        </w:tc>
        <w:tc>
          <w:tcPr>
            <w:tcW w:w="5103" w:type="dxa"/>
            <w:shd w:val="clear" w:color="auto" w:fill="auto"/>
          </w:tcPr>
          <w:p w14:paraId="51696590" w14:textId="77777777" w:rsidR="001F08B7" w:rsidRDefault="000756D3" w:rsidP="00E9203F">
            <w:pPr>
              <w:spacing w:before="60" w:after="60"/>
              <w:rPr>
                <w:rFonts w:cstheme="minorHAnsi"/>
                <w:sz w:val="20"/>
                <w:szCs w:val="20"/>
              </w:rPr>
            </w:pPr>
            <w:r w:rsidRPr="000756D3">
              <w:rPr>
                <w:rFonts w:cstheme="minorHAnsi"/>
                <w:sz w:val="20"/>
                <w:szCs w:val="20"/>
              </w:rPr>
              <w:t xml:space="preserve">The PBAC deferred making a recommendation to extend the PBS listing of </w:t>
            </w:r>
            <w:proofErr w:type="spellStart"/>
            <w:r w:rsidRPr="000756D3">
              <w:rPr>
                <w:rFonts w:cstheme="minorHAnsi"/>
                <w:sz w:val="20"/>
                <w:szCs w:val="20"/>
              </w:rPr>
              <w:t>evolocumab</w:t>
            </w:r>
            <w:proofErr w:type="spellEnd"/>
            <w:r w:rsidRPr="000756D3">
              <w:rPr>
                <w:rFonts w:cstheme="minorHAnsi"/>
                <w:sz w:val="20"/>
                <w:szCs w:val="20"/>
              </w:rPr>
              <w:t xml:space="preserve"> for patients with familial </w:t>
            </w:r>
            <w:proofErr w:type="spellStart"/>
            <w:r w:rsidRPr="000756D3">
              <w:rPr>
                <w:rFonts w:cstheme="minorHAnsi"/>
                <w:sz w:val="20"/>
                <w:szCs w:val="20"/>
              </w:rPr>
              <w:t>hypercholesterolaemia</w:t>
            </w:r>
            <w:proofErr w:type="spellEnd"/>
            <w:r w:rsidRPr="000756D3">
              <w:rPr>
                <w:rFonts w:cstheme="minorHAnsi"/>
                <w:sz w:val="20"/>
                <w:szCs w:val="20"/>
              </w:rPr>
              <w:t xml:space="preserve"> in order to address the residual uncertainty with the economic model following revisions provided in the pre-PBAC response.</w:t>
            </w:r>
          </w:p>
          <w:p w14:paraId="536A17A8" w14:textId="77777777" w:rsidR="000756D3" w:rsidRPr="008A51F9" w:rsidRDefault="000756D3" w:rsidP="00E9203F">
            <w:pPr>
              <w:spacing w:before="60" w:after="60"/>
              <w:rPr>
                <w:rFonts w:cstheme="minorHAnsi"/>
                <w:sz w:val="20"/>
                <w:szCs w:val="20"/>
              </w:rPr>
            </w:pPr>
          </w:p>
          <w:p w14:paraId="281A79C6" w14:textId="77777777" w:rsidR="001F08B7" w:rsidRPr="008A51F9" w:rsidRDefault="001F08B7" w:rsidP="00E9203F">
            <w:pPr>
              <w:spacing w:before="60" w:after="60"/>
              <w:rPr>
                <w:rFonts w:cstheme="minorHAnsi"/>
                <w:sz w:val="20"/>
                <w:szCs w:val="20"/>
              </w:rPr>
            </w:pPr>
            <w:r w:rsidRPr="008A51F9">
              <w:rPr>
                <w:rFonts w:cstheme="minorHAnsi"/>
                <w:sz w:val="20"/>
                <w:szCs w:val="20"/>
              </w:rPr>
              <w:t xml:space="preserve">The PBAC did not recommend the listing of </w:t>
            </w:r>
            <w:proofErr w:type="spellStart"/>
            <w:r w:rsidRPr="008A51F9">
              <w:rPr>
                <w:rFonts w:cstheme="minorHAnsi"/>
                <w:sz w:val="20"/>
                <w:szCs w:val="20"/>
              </w:rPr>
              <w:t>evolocumab</w:t>
            </w:r>
            <w:proofErr w:type="spellEnd"/>
            <w:r w:rsidRPr="008A51F9">
              <w:rPr>
                <w:rFonts w:cstheme="minorHAnsi"/>
                <w:sz w:val="20"/>
                <w:szCs w:val="20"/>
              </w:rPr>
              <w:t xml:space="preserve"> for patients with non-familial </w:t>
            </w:r>
            <w:proofErr w:type="spellStart"/>
            <w:r w:rsidRPr="008A51F9">
              <w:rPr>
                <w:rFonts w:cstheme="minorHAnsi"/>
                <w:sz w:val="20"/>
                <w:szCs w:val="20"/>
              </w:rPr>
              <w:t>hypercholesterolaemia</w:t>
            </w:r>
            <w:proofErr w:type="spellEnd"/>
            <w:r w:rsidRPr="008A51F9">
              <w:rPr>
                <w:rFonts w:cstheme="minorHAnsi"/>
                <w:sz w:val="20"/>
                <w:szCs w:val="20"/>
              </w:rPr>
              <w:t xml:space="preserve"> with atherosclerotic disease </w:t>
            </w:r>
            <w:proofErr w:type="gramStart"/>
            <w:r w:rsidRPr="008A51F9">
              <w:rPr>
                <w:rFonts w:cstheme="minorHAnsi"/>
                <w:sz w:val="20"/>
                <w:szCs w:val="20"/>
              </w:rPr>
              <w:t>on the basis of</w:t>
            </w:r>
            <w:proofErr w:type="gramEnd"/>
            <w:r w:rsidRPr="008A51F9">
              <w:rPr>
                <w:rFonts w:cstheme="minorHAnsi"/>
                <w:sz w:val="20"/>
                <w:szCs w:val="20"/>
              </w:rPr>
              <w:t xml:space="preserve"> a high incremental cost effectiveness ratio (ICER) and high and uncertain patient population numbers</w:t>
            </w:r>
            <w:r>
              <w:rPr>
                <w:rFonts w:cstheme="minorHAnsi"/>
                <w:sz w:val="20"/>
                <w:szCs w:val="20"/>
              </w:rPr>
              <w:t>.</w:t>
            </w:r>
          </w:p>
        </w:tc>
      </w:tr>
    </w:tbl>
    <w:p w14:paraId="16EBFB17" w14:textId="77777777" w:rsidR="00876CCB" w:rsidRPr="008A51F9" w:rsidRDefault="00876CCB" w:rsidP="00E9203F">
      <w:pPr>
        <w:tabs>
          <w:tab w:val="left" w:pos="1809"/>
          <w:tab w:val="left" w:pos="4077"/>
        </w:tabs>
        <w:spacing w:before="60" w:after="60"/>
        <w:ind w:left="113"/>
        <w:rPr>
          <w:rFonts w:cstheme="minorHAnsi"/>
          <w:sz w:val="20"/>
          <w:szCs w:val="20"/>
        </w:rPr>
      </w:pPr>
      <w:r>
        <w:tab/>
      </w:r>
      <w:r w:rsidRPr="008A51F9">
        <w:rPr>
          <w:rFonts w:cstheme="minorHAnsi"/>
          <w:color w:val="000000"/>
          <w:sz w:val="20"/>
          <w:szCs w:val="20"/>
        </w:rPr>
        <w:tab/>
      </w:r>
    </w:p>
    <w:tbl>
      <w:tblPr>
        <w:tblStyle w:val="TableGrid"/>
        <w:tblW w:w="9067" w:type="dxa"/>
        <w:tblLayout w:type="fixed"/>
        <w:tblLook w:val="04A0" w:firstRow="1" w:lastRow="0" w:firstColumn="1" w:lastColumn="0" w:noHBand="0" w:noVBand="1"/>
        <w:tblCaption w:val="PBAC considerations"/>
        <w:tblDescription w:val="Relevant aspects of consideration by the Pharmaceutical Benefits Advisory Committee (PBAC)"/>
      </w:tblPr>
      <w:tblGrid>
        <w:gridCol w:w="1696"/>
        <w:gridCol w:w="2268"/>
        <w:gridCol w:w="5103"/>
      </w:tblGrid>
      <w:tr w:rsidR="00876CCB" w:rsidRPr="00A35800" w:rsidDel="00EE2BBB" w14:paraId="71A7F809" w14:textId="77777777" w:rsidTr="009A0B74">
        <w:trPr>
          <w:trHeight w:val="416"/>
          <w:tblHeader/>
        </w:trPr>
        <w:tc>
          <w:tcPr>
            <w:tcW w:w="1696" w:type="dxa"/>
            <w:shd w:val="clear" w:color="auto" w:fill="BFBFBF" w:themeFill="background1" w:themeFillShade="BF"/>
          </w:tcPr>
          <w:p w14:paraId="760C4DA3" w14:textId="77777777" w:rsidR="00876CCB" w:rsidRPr="008A51F9" w:rsidDel="00EE2BBB" w:rsidRDefault="00876CCB" w:rsidP="00E9203F">
            <w:pPr>
              <w:pStyle w:val="Tableheading"/>
              <w:jc w:val="left"/>
              <w:rPr>
                <w:rFonts w:cstheme="minorHAnsi"/>
                <w:sz w:val="20"/>
                <w:szCs w:val="20"/>
              </w:rPr>
            </w:pPr>
            <w:r>
              <w:rPr>
                <w:rFonts w:cstheme="minorHAnsi"/>
                <w:sz w:val="20"/>
                <w:szCs w:val="20"/>
              </w:rPr>
              <w:lastRenderedPageBreak/>
              <w:t xml:space="preserve">PBAC </w:t>
            </w:r>
            <w:r w:rsidRPr="008A51F9">
              <w:rPr>
                <w:rFonts w:cstheme="minorHAnsi"/>
                <w:sz w:val="20"/>
                <w:szCs w:val="20"/>
              </w:rPr>
              <w:t>Meeting</w:t>
            </w:r>
          </w:p>
        </w:tc>
        <w:tc>
          <w:tcPr>
            <w:tcW w:w="2268" w:type="dxa"/>
            <w:shd w:val="clear" w:color="auto" w:fill="BFBFBF" w:themeFill="background1" w:themeFillShade="BF"/>
          </w:tcPr>
          <w:p w14:paraId="510B4D77" w14:textId="77777777" w:rsidR="00876CCB" w:rsidRPr="008A51F9" w:rsidDel="00EE2BBB" w:rsidRDefault="00876CCB" w:rsidP="00E9203F">
            <w:pPr>
              <w:pStyle w:val="Tableheading"/>
              <w:jc w:val="left"/>
              <w:rPr>
                <w:rFonts w:cstheme="minorHAnsi"/>
                <w:sz w:val="20"/>
                <w:szCs w:val="20"/>
              </w:rPr>
            </w:pPr>
            <w:r w:rsidRPr="008A51F9">
              <w:rPr>
                <w:rFonts w:cstheme="minorHAnsi"/>
                <w:sz w:val="20"/>
                <w:szCs w:val="20"/>
              </w:rPr>
              <w:t>Indication Considered</w:t>
            </w:r>
          </w:p>
        </w:tc>
        <w:tc>
          <w:tcPr>
            <w:tcW w:w="5103" w:type="dxa"/>
            <w:shd w:val="clear" w:color="auto" w:fill="BFBFBF" w:themeFill="background1" w:themeFillShade="BF"/>
          </w:tcPr>
          <w:p w14:paraId="39A7B3C2" w14:textId="77777777" w:rsidR="00876CCB" w:rsidRPr="008A51F9" w:rsidDel="00EE2BBB" w:rsidRDefault="00876CCB" w:rsidP="00E9203F">
            <w:pPr>
              <w:pStyle w:val="Tableheading"/>
              <w:jc w:val="left"/>
              <w:rPr>
                <w:rFonts w:cstheme="minorHAnsi"/>
                <w:sz w:val="20"/>
                <w:szCs w:val="20"/>
              </w:rPr>
            </w:pPr>
            <w:r w:rsidRPr="008A51F9">
              <w:rPr>
                <w:rFonts w:cstheme="minorHAnsi"/>
                <w:sz w:val="20"/>
                <w:szCs w:val="20"/>
              </w:rPr>
              <w:t>Outcome</w:t>
            </w:r>
          </w:p>
        </w:tc>
      </w:tr>
      <w:tr w:rsidR="001F08B7" w:rsidRPr="00A35800" w:rsidDel="00EE2BBB" w14:paraId="37D2F4F7" w14:textId="77777777" w:rsidTr="009A0B74">
        <w:trPr>
          <w:trHeight w:val="546"/>
          <w:tblHeader/>
        </w:trPr>
        <w:tc>
          <w:tcPr>
            <w:tcW w:w="1696" w:type="dxa"/>
            <w:shd w:val="clear" w:color="auto" w:fill="auto"/>
          </w:tcPr>
          <w:p w14:paraId="53E353F3" w14:textId="77777777" w:rsidR="001F08B7" w:rsidRPr="0041706F" w:rsidRDefault="001F08B7" w:rsidP="00E9203F">
            <w:pPr>
              <w:spacing w:before="60" w:after="60"/>
              <w:rPr>
                <w:rFonts w:eastAsia="Times New Roman" w:cstheme="minorHAnsi"/>
                <w:sz w:val="20"/>
                <w:szCs w:val="20"/>
              </w:rPr>
            </w:pPr>
            <w:r w:rsidRPr="004449A7">
              <w:rPr>
                <w:rFonts w:eastAsia="Times New Roman" w:cstheme="minorHAnsi"/>
                <w:sz w:val="20"/>
                <w:szCs w:val="20"/>
              </w:rPr>
              <w:t>March 2018</w:t>
            </w:r>
          </w:p>
        </w:tc>
        <w:tc>
          <w:tcPr>
            <w:tcW w:w="2268" w:type="dxa"/>
            <w:shd w:val="clear" w:color="auto" w:fill="auto"/>
          </w:tcPr>
          <w:p w14:paraId="531873A8" w14:textId="77777777" w:rsidR="001F08B7" w:rsidRPr="008A51F9" w:rsidRDefault="001F08B7" w:rsidP="00E9203F">
            <w:pPr>
              <w:pStyle w:val="Tablewriting"/>
              <w:rPr>
                <w:rFonts w:cstheme="minorHAnsi"/>
              </w:rPr>
            </w:pPr>
            <w:r w:rsidRPr="008A51F9">
              <w:rPr>
                <w:rFonts w:cstheme="minorHAnsi"/>
              </w:rPr>
              <w:t xml:space="preserve">Familial </w:t>
            </w:r>
            <w:proofErr w:type="spellStart"/>
            <w:r w:rsidRPr="008A51F9">
              <w:rPr>
                <w:rFonts w:cstheme="minorHAnsi"/>
              </w:rPr>
              <w:t>hypercholesterolaemia</w:t>
            </w:r>
            <w:proofErr w:type="spellEnd"/>
            <w:r w:rsidRPr="008A51F9">
              <w:rPr>
                <w:rFonts w:cstheme="minorHAnsi"/>
              </w:rPr>
              <w:t xml:space="preserve"> </w:t>
            </w:r>
          </w:p>
        </w:tc>
        <w:tc>
          <w:tcPr>
            <w:tcW w:w="5103" w:type="dxa"/>
            <w:shd w:val="clear" w:color="auto" w:fill="auto"/>
          </w:tcPr>
          <w:p w14:paraId="6C19E0D3" w14:textId="77777777" w:rsidR="001F08B7" w:rsidRPr="008A51F9" w:rsidRDefault="001F08B7" w:rsidP="00E9203F">
            <w:pPr>
              <w:spacing w:before="60" w:after="60"/>
              <w:rPr>
                <w:rFonts w:cstheme="minorHAnsi"/>
                <w:sz w:val="20"/>
                <w:szCs w:val="20"/>
              </w:rPr>
            </w:pPr>
            <w:r w:rsidRPr="008A51F9">
              <w:rPr>
                <w:rFonts w:cstheme="minorHAnsi"/>
                <w:sz w:val="20"/>
                <w:szCs w:val="20"/>
              </w:rPr>
              <w:t xml:space="preserve">The PBAC recommended extending the PBS listing for </w:t>
            </w:r>
            <w:proofErr w:type="spellStart"/>
            <w:r w:rsidRPr="008A51F9">
              <w:rPr>
                <w:rFonts w:cstheme="minorHAnsi"/>
                <w:sz w:val="20"/>
                <w:szCs w:val="20"/>
              </w:rPr>
              <w:t>evolocumab</w:t>
            </w:r>
            <w:proofErr w:type="spellEnd"/>
            <w:r w:rsidRPr="008A51F9">
              <w:rPr>
                <w:rFonts w:cstheme="minorHAnsi"/>
                <w:sz w:val="20"/>
                <w:szCs w:val="20"/>
              </w:rPr>
              <w:t xml:space="preserve"> for patients with Familial </w:t>
            </w:r>
            <w:proofErr w:type="spellStart"/>
            <w:r w:rsidRPr="008A51F9">
              <w:rPr>
                <w:rFonts w:cstheme="minorHAnsi"/>
                <w:sz w:val="20"/>
                <w:szCs w:val="20"/>
              </w:rPr>
              <w:t>Hypercholesterolaemia</w:t>
            </w:r>
            <w:proofErr w:type="spellEnd"/>
            <w:r>
              <w:rPr>
                <w:rFonts w:cstheme="minorHAnsi"/>
                <w:sz w:val="20"/>
                <w:szCs w:val="20"/>
              </w:rPr>
              <w:t xml:space="preserve"> </w:t>
            </w:r>
            <w:r w:rsidRPr="008A51F9">
              <w:rPr>
                <w:rFonts w:cstheme="minorHAnsi"/>
                <w:sz w:val="20"/>
                <w:szCs w:val="20"/>
              </w:rPr>
              <w:t xml:space="preserve">to include patients with heterozygous FH, under certain conditions. The PBAC accepted that both the heterozygous and homozygous FH populations are high risk, and that the use of </w:t>
            </w:r>
            <w:proofErr w:type="spellStart"/>
            <w:r w:rsidRPr="008A51F9">
              <w:rPr>
                <w:rFonts w:cstheme="minorHAnsi"/>
                <w:sz w:val="20"/>
                <w:szCs w:val="20"/>
              </w:rPr>
              <w:t>evolocumab</w:t>
            </w:r>
            <w:proofErr w:type="spellEnd"/>
            <w:r w:rsidRPr="008A51F9">
              <w:rPr>
                <w:rFonts w:cstheme="minorHAnsi"/>
                <w:sz w:val="20"/>
                <w:szCs w:val="20"/>
              </w:rPr>
              <w:t xml:space="preserve"> could be extended to include the heterozygous </w:t>
            </w:r>
            <w:proofErr w:type="gramStart"/>
            <w:r w:rsidRPr="008A51F9">
              <w:rPr>
                <w:rFonts w:cstheme="minorHAnsi"/>
                <w:sz w:val="20"/>
                <w:szCs w:val="20"/>
              </w:rPr>
              <w:t>population</w:t>
            </w:r>
            <w:proofErr w:type="gramEnd"/>
            <w:r w:rsidRPr="008A51F9">
              <w:rPr>
                <w:rFonts w:cstheme="minorHAnsi"/>
                <w:sz w:val="20"/>
                <w:szCs w:val="20"/>
              </w:rPr>
              <w:t xml:space="preserve"> as it would be an effective and safe therapy following failed treatment with statins and ezetimibe. The PBAC considered that the revised economic model, reduced price and other arrangements proposed in the resubmission addressed the outstanding issues raised by the PBAC from the November 2017 submission.</w:t>
            </w:r>
          </w:p>
        </w:tc>
      </w:tr>
      <w:tr w:rsidR="001F08B7" w:rsidRPr="00A35800" w:rsidDel="00EE2BBB" w14:paraId="4DB1D65D" w14:textId="77777777" w:rsidTr="009A0B74">
        <w:trPr>
          <w:trHeight w:val="546"/>
          <w:tblHeader/>
        </w:trPr>
        <w:tc>
          <w:tcPr>
            <w:tcW w:w="1696" w:type="dxa"/>
            <w:shd w:val="clear" w:color="auto" w:fill="auto"/>
          </w:tcPr>
          <w:p w14:paraId="330C7A61" w14:textId="77777777" w:rsidR="001F08B7" w:rsidRPr="0041706F" w:rsidRDefault="001F08B7" w:rsidP="00E9203F">
            <w:pPr>
              <w:spacing w:before="60" w:after="60"/>
              <w:rPr>
                <w:rFonts w:eastAsia="Times New Roman" w:cstheme="minorHAnsi"/>
                <w:sz w:val="20"/>
                <w:szCs w:val="20"/>
              </w:rPr>
            </w:pPr>
            <w:r w:rsidRPr="004449A7">
              <w:rPr>
                <w:rFonts w:eastAsia="Times New Roman" w:cstheme="minorHAnsi"/>
                <w:sz w:val="20"/>
                <w:szCs w:val="20"/>
              </w:rPr>
              <w:t>July 2018</w:t>
            </w:r>
            <w:r w:rsidRPr="0041706F">
              <w:rPr>
                <w:rFonts w:eastAsia="Times New Roman" w:cstheme="minorHAnsi"/>
                <w:sz w:val="20"/>
                <w:szCs w:val="20"/>
              </w:rPr>
              <w:t xml:space="preserve"> </w:t>
            </w:r>
          </w:p>
          <w:p w14:paraId="00BF9C21" w14:textId="77777777" w:rsidR="001F08B7" w:rsidRPr="0041706F" w:rsidRDefault="001F08B7" w:rsidP="00E9203F">
            <w:pPr>
              <w:spacing w:before="60" w:after="60"/>
              <w:rPr>
                <w:rFonts w:eastAsia="Times New Roman" w:cstheme="minorHAnsi"/>
                <w:sz w:val="20"/>
                <w:szCs w:val="20"/>
              </w:rPr>
            </w:pPr>
          </w:p>
        </w:tc>
        <w:tc>
          <w:tcPr>
            <w:tcW w:w="2268" w:type="dxa"/>
            <w:shd w:val="clear" w:color="auto" w:fill="auto"/>
          </w:tcPr>
          <w:p w14:paraId="51D55D01" w14:textId="77777777" w:rsidR="001F08B7" w:rsidRPr="008A51F9" w:rsidRDefault="001F08B7" w:rsidP="00E9203F">
            <w:pPr>
              <w:spacing w:before="60" w:after="60"/>
              <w:rPr>
                <w:rFonts w:eastAsia="Times New Roman" w:cstheme="minorHAnsi"/>
                <w:sz w:val="20"/>
                <w:szCs w:val="20"/>
              </w:rPr>
            </w:pPr>
            <w:r w:rsidRPr="008A51F9">
              <w:rPr>
                <w:rFonts w:eastAsia="Times New Roman" w:cstheme="minorHAnsi"/>
                <w:sz w:val="20"/>
                <w:szCs w:val="20"/>
              </w:rPr>
              <w:t xml:space="preserve">Non-familial </w:t>
            </w:r>
            <w:proofErr w:type="spellStart"/>
            <w:r w:rsidRPr="008A51F9">
              <w:rPr>
                <w:rFonts w:eastAsia="Times New Roman" w:cstheme="minorHAnsi"/>
                <w:sz w:val="20"/>
                <w:szCs w:val="20"/>
              </w:rPr>
              <w:t>hypercholesterolaemia</w:t>
            </w:r>
            <w:proofErr w:type="spellEnd"/>
            <w:r w:rsidRPr="008A51F9">
              <w:rPr>
                <w:rFonts w:eastAsia="Times New Roman" w:cstheme="minorHAnsi"/>
                <w:sz w:val="20"/>
                <w:szCs w:val="20"/>
              </w:rPr>
              <w:t xml:space="preserve"> with atherosclerotic disease. </w:t>
            </w:r>
          </w:p>
          <w:p w14:paraId="015DBFFE" w14:textId="77777777" w:rsidR="001F08B7" w:rsidRPr="008A51F9" w:rsidRDefault="001F08B7" w:rsidP="00E9203F">
            <w:pPr>
              <w:pStyle w:val="Tablewriting"/>
              <w:rPr>
                <w:rFonts w:cstheme="minorHAnsi"/>
              </w:rPr>
            </w:pPr>
          </w:p>
        </w:tc>
        <w:tc>
          <w:tcPr>
            <w:tcW w:w="5103" w:type="dxa"/>
            <w:shd w:val="clear" w:color="auto" w:fill="auto"/>
          </w:tcPr>
          <w:p w14:paraId="049B1CF0" w14:textId="77777777" w:rsidR="001F08B7" w:rsidRPr="008A51F9" w:rsidRDefault="001F08B7" w:rsidP="00E9203F">
            <w:pPr>
              <w:spacing w:before="60" w:after="60"/>
              <w:rPr>
                <w:rFonts w:cstheme="minorHAnsi"/>
                <w:sz w:val="20"/>
                <w:szCs w:val="20"/>
              </w:rPr>
            </w:pPr>
            <w:r w:rsidRPr="008A51F9">
              <w:rPr>
                <w:rFonts w:cstheme="minorHAnsi"/>
                <w:sz w:val="20"/>
                <w:szCs w:val="20"/>
              </w:rPr>
              <w:t xml:space="preserve">The PBAC did not recommend the listing of </w:t>
            </w:r>
            <w:proofErr w:type="spellStart"/>
            <w:r w:rsidRPr="008A51F9">
              <w:rPr>
                <w:rFonts w:cstheme="minorHAnsi"/>
                <w:sz w:val="20"/>
                <w:szCs w:val="20"/>
              </w:rPr>
              <w:t>evolocumab</w:t>
            </w:r>
            <w:proofErr w:type="spellEnd"/>
            <w:r w:rsidRPr="008A51F9">
              <w:rPr>
                <w:rFonts w:cstheme="minorHAnsi"/>
                <w:sz w:val="20"/>
                <w:szCs w:val="20"/>
              </w:rPr>
              <w:t xml:space="preserve"> for patients with non-familial </w:t>
            </w:r>
            <w:proofErr w:type="spellStart"/>
            <w:r w:rsidRPr="008A51F9">
              <w:rPr>
                <w:rFonts w:cstheme="minorHAnsi"/>
                <w:sz w:val="20"/>
                <w:szCs w:val="20"/>
              </w:rPr>
              <w:t>hypercholesterolaemia</w:t>
            </w:r>
            <w:proofErr w:type="spellEnd"/>
            <w:r w:rsidRPr="008A51F9">
              <w:rPr>
                <w:rFonts w:cstheme="minorHAnsi"/>
                <w:sz w:val="20"/>
                <w:szCs w:val="20"/>
              </w:rPr>
              <w:t xml:space="preserve"> with atherosclerotic disease </w:t>
            </w:r>
            <w:proofErr w:type="gramStart"/>
            <w:r w:rsidRPr="008A51F9">
              <w:rPr>
                <w:rFonts w:cstheme="minorHAnsi"/>
                <w:sz w:val="20"/>
                <w:szCs w:val="20"/>
              </w:rPr>
              <w:t>on the basis of</w:t>
            </w:r>
            <w:proofErr w:type="gramEnd"/>
            <w:r w:rsidRPr="008A51F9">
              <w:rPr>
                <w:rFonts w:cstheme="minorHAnsi"/>
                <w:sz w:val="20"/>
                <w:szCs w:val="20"/>
              </w:rPr>
              <w:t xml:space="preserve"> an inadequately defined patient population, an uncertain incremental cost-effectiveness ratio (ICER) and high and uncertain patient population numbers. The PBAC considered that this population required more refined eligibility criteria in the proposed PBS listing given the very high financial estimates.</w:t>
            </w:r>
          </w:p>
        </w:tc>
      </w:tr>
      <w:tr w:rsidR="001F08B7" w:rsidRPr="00A35800" w:rsidDel="00EE2BBB" w14:paraId="49666C44" w14:textId="77777777" w:rsidTr="009A0B74">
        <w:trPr>
          <w:trHeight w:val="546"/>
          <w:tblHeader/>
        </w:trPr>
        <w:tc>
          <w:tcPr>
            <w:tcW w:w="1696" w:type="dxa"/>
            <w:shd w:val="clear" w:color="auto" w:fill="auto"/>
          </w:tcPr>
          <w:p w14:paraId="3A799572" w14:textId="77777777" w:rsidR="001F08B7" w:rsidRPr="0041706F" w:rsidRDefault="001F08B7" w:rsidP="00E9203F">
            <w:pPr>
              <w:spacing w:before="60" w:after="60"/>
              <w:rPr>
                <w:rFonts w:eastAsia="Times New Roman" w:cstheme="minorHAnsi"/>
                <w:sz w:val="20"/>
                <w:szCs w:val="20"/>
              </w:rPr>
            </w:pPr>
            <w:r w:rsidRPr="004449A7">
              <w:rPr>
                <w:rFonts w:eastAsia="Times New Roman" w:cstheme="minorHAnsi"/>
                <w:sz w:val="20"/>
                <w:szCs w:val="20"/>
              </w:rPr>
              <w:t>July 2019</w:t>
            </w:r>
          </w:p>
        </w:tc>
        <w:tc>
          <w:tcPr>
            <w:tcW w:w="2268" w:type="dxa"/>
            <w:shd w:val="clear" w:color="auto" w:fill="auto"/>
          </w:tcPr>
          <w:p w14:paraId="656700F7" w14:textId="77777777" w:rsidR="001F08B7" w:rsidRPr="008A51F9" w:rsidRDefault="0087144E" w:rsidP="00E9203F">
            <w:pPr>
              <w:spacing w:before="60" w:after="60"/>
              <w:rPr>
                <w:rFonts w:eastAsia="Times New Roman" w:cstheme="minorHAnsi"/>
                <w:sz w:val="20"/>
                <w:szCs w:val="20"/>
              </w:rPr>
            </w:pPr>
            <w:proofErr w:type="spellStart"/>
            <w:r w:rsidRPr="0087144E">
              <w:rPr>
                <w:rFonts w:eastAsia="Times New Roman" w:cstheme="minorHAnsi"/>
                <w:sz w:val="20"/>
                <w:szCs w:val="20"/>
              </w:rPr>
              <w:t>Hypercholesterolaemia</w:t>
            </w:r>
            <w:proofErr w:type="spellEnd"/>
          </w:p>
        </w:tc>
        <w:tc>
          <w:tcPr>
            <w:tcW w:w="5103" w:type="dxa"/>
            <w:shd w:val="clear" w:color="auto" w:fill="auto"/>
          </w:tcPr>
          <w:p w14:paraId="3B9CF9AB" w14:textId="77777777" w:rsidR="001F08B7" w:rsidRDefault="0087144E" w:rsidP="00E9203F">
            <w:pPr>
              <w:spacing w:before="60" w:after="60"/>
              <w:rPr>
                <w:rFonts w:eastAsia="Times New Roman" w:cstheme="minorHAnsi"/>
                <w:sz w:val="20"/>
                <w:szCs w:val="20"/>
              </w:rPr>
            </w:pPr>
            <w:r w:rsidRPr="0087144E">
              <w:rPr>
                <w:rFonts w:eastAsia="Times New Roman" w:cstheme="minorHAnsi"/>
                <w:sz w:val="20"/>
                <w:szCs w:val="20"/>
              </w:rPr>
              <w:t xml:space="preserve">The PBAC deferred making a recommendation on the listing of </w:t>
            </w:r>
            <w:proofErr w:type="spellStart"/>
            <w:r w:rsidRPr="0087144E">
              <w:rPr>
                <w:rFonts w:eastAsia="Times New Roman" w:cstheme="minorHAnsi"/>
                <w:sz w:val="20"/>
                <w:szCs w:val="20"/>
              </w:rPr>
              <w:t>evolocumab</w:t>
            </w:r>
            <w:proofErr w:type="spellEnd"/>
            <w:r>
              <w:rPr>
                <w:rFonts w:eastAsia="Times New Roman" w:cstheme="minorHAnsi"/>
                <w:sz w:val="20"/>
                <w:szCs w:val="20"/>
              </w:rPr>
              <w:t xml:space="preserve"> </w:t>
            </w:r>
            <w:r w:rsidRPr="0087144E">
              <w:rPr>
                <w:rFonts w:eastAsia="Times New Roman" w:cstheme="minorHAnsi"/>
                <w:sz w:val="20"/>
                <w:szCs w:val="20"/>
              </w:rPr>
              <w:t xml:space="preserve">for the treatment of non-familial </w:t>
            </w:r>
            <w:proofErr w:type="spellStart"/>
            <w:r w:rsidRPr="0087144E">
              <w:rPr>
                <w:rFonts w:eastAsia="Times New Roman" w:cstheme="minorHAnsi"/>
                <w:sz w:val="20"/>
                <w:szCs w:val="20"/>
              </w:rPr>
              <w:t>hypercholes</w:t>
            </w:r>
            <w:r>
              <w:rPr>
                <w:rFonts w:eastAsia="Times New Roman" w:cstheme="minorHAnsi"/>
                <w:sz w:val="20"/>
                <w:szCs w:val="20"/>
              </w:rPr>
              <w:t>terolaemia</w:t>
            </w:r>
            <w:proofErr w:type="spellEnd"/>
            <w:r>
              <w:rPr>
                <w:rFonts w:eastAsia="Times New Roman" w:cstheme="minorHAnsi"/>
                <w:sz w:val="20"/>
                <w:szCs w:val="20"/>
              </w:rPr>
              <w:t xml:space="preserve"> in patients </w:t>
            </w:r>
            <w:r w:rsidRPr="0087144E">
              <w:rPr>
                <w:rFonts w:eastAsia="Times New Roman" w:cstheme="minorHAnsi"/>
                <w:sz w:val="20"/>
                <w:szCs w:val="20"/>
              </w:rPr>
              <w:t>with ASCVD and additional high-risk factors.</w:t>
            </w:r>
            <w:r>
              <w:rPr>
                <w:rFonts w:eastAsia="Times New Roman" w:cstheme="minorHAnsi"/>
                <w:sz w:val="20"/>
                <w:szCs w:val="20"/>
              </w:rPr>
              <w:t xml:space="preserve"> </w:t>
            </w:r>
          </w:p>
          <w:p w14:paraId="1022EB38" w14:textId="77777777" w:rsidR="0087144E" w:rsidRDefault="0087144E" w:rsidP="00E9203F">
            <w:pPr>
              <w:spacing w:before="60" w:after="60"/>
              <w:rPr>
                <w:rFonts w:eastAsia="Times New Roman" w:cstheme="minorHAnsi"/>
                <w:sz w:val="20"/>
                <w:szCs w:val="20"/>
              </w:rPr>
            </w:pPr>
          </w:p>
          <w:p w14:paraId="26A66B82" w14:textId="77777777" w:rsidR="0087144E" w:rsidRPr="0087144E" w:rsidRDefault="0087144E" w:rsidP="00E9203F">
            <w:pPr>
              <w:spacing w:before="60" w:after="60"/>
              <w:rPr>
                <w:rFonts w:eastAsia="Times New Roman" w:cstheme="minorHAnsi"/>
                <w:sz w:val="20"/>
                <w:szCs w:val="20"/>
              </w:rPr>
            </w:pPr>
            <w:r w:rsidRPr="0087144E">
              <w:rPr>
                <w:rFonts w:eastAsia="Times New Roman" w:cstheme="minorHAnsi"/>
                <w:sz w:val="20"/>
                <w:szCs w:val="20"/>
              </w:rPr>
              <w:t>The PBAC also deferred making a recom</w:t>
            </w:r>
            <w:r>
              <w:rPr>
                <w:rFonts w:eastAsia="Times New Roman" w:cstheme="minorHAnsi"/>
                <w:sz w:val="20"/>
                <w:szCs w:val="20"/>
              </w:rPr>
              <w:t xml:space="preserve">mendation on the resubmission’s </w:t>
            </w:r>
            <w:r w:rsidRPr="0087144E">
              <w:rPr>
                <w:rFonts w:eastAsia="Times New Roman" w:cstheme="minorHAnsi"/>
                <w:sz w:val="20"/>
                <w:szCs w:val="20"/>
              </w:rPr>
              <w:t xml:space="preserve">request to extend the existing familial </w:t>
            </w:r>
            <w:proofErr w:type="spellStart"/>
            <w:r w:rsidRPr="0087144E">
              <w:rPr>
                <w:rFonts w:eastAsia="Times New Roman" w:cstheme="minorHAnsi"/>
                <w:sz w:val="20"/>
                <w:szCs w:val="20"/>
              </w:rPr>
              <w:t>hyperc</w:t>
            </w:r>
            <w:r>
              <w:rPr>
                <w:rFonts w:eastAsia="Times New Roman" w:cstheme="minorHAnsi"/>
                <w:sz w:val="20"/>
                <w:szCs w:val="20"/>
              </w:rPr>
              <w:t>holesterolaemia</w:t>
            </w:r>
            <w:proofErr w:type="spellEnd"/>
            <w:r>
              <w:rPr>
                <w:rFonts w:eastAsia="Times New Roman" w:cstheme="minorHAnsi"/>
                <w:sz w:val="20"/>
                <w:szCs w:val="20"/>
              </w:rPr>
              <w:t xml:space="preserve"> listing in </w:t>
            </w:r>
            <w:r w:rsidRPr="0087144E">
              <w:rPr>
                <w:rFonts w:eastAsia="Times New Roman" w:cstheme="minorHAnsi"/>
                <w:sz w:val="20"/>
                <w:szCs w:val="20"/>
              </w:rPr>
              <w:t>the ASCVD population to include patients with low-density lipoprotein (LDL)</w:t>
            </w:r>
          </w:p>
          <w:p w14:paraId="59771B7D" w14:textId="77777777" w:rsidR="0087144E" w:rsidRPr="0087144E" w:rsidRDefault="0087144E" w:rsidP="00E9203F">
            <w:pPr>
              <w:spacing w:before="60" w:after="60"/>
              <w:rPr>
                <w:rFonts w:eastAsia="Times New Roman" w:cstheme="minorHAnsi"/>
                <w:sz w:val="20"/>
                <w:szCs w:val="20"/>
              </w:rPr>
            </w:pPr>
            <w:r w:rsidRPr="0087144E">
              <w:rPr>
                <w:rFonts w:eastAsia="Times New Roman" w:cstheme="minorHAnsi"/>
                <w:sz w:val="20"/>
                <w:szCs w:val="20"/>
              </w:rPr>
              <w:t xml:space="preserve">levels between 2.6 </w:t>
            </w:r>
            <w:proofErr w:type="spellStart"/>
            <w:r w:rsidRPr="0087144E">
              <w:rPr>
                <w:rFonts w:eastAsia="Times New Roman" w:cstheme="minorHAnsi"/>
                <w:sz w:val="20"/>
                <w:szCs w:val="20"/>
              </w:rPr>
              <w:t>mmol</w:t>
            </w:r>
            <w:proofErr w:type="spellEnd"/>
            <w:r w:rsidRPr="0087144E">
              <w:rPr>
                <w:rFonts w:eastAsia="Times New Roman" w:cstheme="minorHAnsi"/>
                <w:sz w:val="20"/>
                <w:szCs w:val="20"/>
              </w:rPr>
              <w:t xml:space="preserve">/L and 3.3 </w:t>
            </w:r>
            <w:proofErr w:type="spellStart"/>
            <w:r w:rsidRPr="0087144E">
              <w:rPr>
                <w:rFonts w:eastAsia="Times New Roman" w:cstheme="minorHAnsi"/>
                <w:sz w:val="20"/>
                <w:szCs w:val="20"/>
              </w:rPr>
              <w:t>mmol</w:t>
            </w:r>
            <w:proofErr w:type="spellEnd"/>
            <w:r w:rsidRPr="0087144E">
              <w:rPr>
                <w:rFonts w:eastAsia="Times New Roman" w:cstheme="minorHAnsi"/>
                <w:sz w:val="20"/>
                <w:szCs w:val="20"/>
              </w:rPr>
              <w:t>/L.</w:t>
            </w:r>
          </w:p>
        </w:tc>
      </w:tr>
    </w:tbl>
    <w:p w14:paraId="79544F15" w14:textId="77777777" w:rsidR="00EF299C" w:rsidRDefault="00EF299C" w:rsidP="009354D9">
      <w:pPr>
        <w:rPr>
          <w:rFonts w:eastAsia="Times New Roman" w:cstheme="minorHAnsi"/>
        </w:rPr>
      </w:pPr>
    </w:p>
    <w:p w14:paraId="326AC56D" w14:textId="77777777" w:rsidR="00EF299C" w:rsidRDefault="00EF299C">
      <w:pPr>
        <w:spacing w:line="276" w:lineRule="auto"/>
        <w:rPr>
          <w:rFonts w:eastAsia="Times New Roman" w:cstheme="minorHAnsi"/>
        </w:rPr>
      </w:pPr>
      <w:r>
        <w:rPr>
          <w:rFonts w:eastAsia="Times New Roman" w:cstheme="minorHAnsi"/>
        </w:rPr>
        <w:br w:type="page"/>
      </w:r>
    </w:p>
    <w:p w14:paraId="4524B68C" w14:textId="77777777" w:rsidR="00EF299C" w:rsidRDefault="00EF299C" w:rsidP="00727FB0">
      <w:pPr>
        <w:pStyle w:val="Heading1"/>
      </w:pPr>
      <w:r>
        <w:lastRenderedPageBreak/>
        <w:t>Disclaimer</w:t>
      </w:r>
    </w:p>
    <w:p w14:paraId="2C7BEB6F" w14:textId="77777777" w:rsidR="00EF299C" w:rsidRDefault="00EF299C" w:rsidP="00EF299C">
      <w:pPr>
        <w:autoSpaceDE w:val="0"/>
        <w:autoSpaceDN w:val="0"/>
        <w:adjustRightInd w:val="0"/>
        <w:rPr>
          <w:rFonts w:ascii="Calibri" w:hAnsi="Calibri" w:cs="Calibri"/>
        </w:rPr>
      </w:pPr>
      <w:r>
        <w:rPr>
          <w:rFonts w:ascii="Calibri" w:hAnsi="Calibri" w:cs="Calibri"/>
        </w:rPr>
        <w:t xml:space="preserve">The information provided in this report does not constitute medical advice and </w:t>
      </w:r>
      <w:proofErr w:type="gramStart"/>
      <w:r>
        <w:rPr>
          <w:rFonts w:ascii="Calibri" w:hAnsi="Calibri" w:cs="Calibri"/>
        </w:rPr>
        <w:t>is not intended</w:t>
      </w:r>
      <w:proofErr w:type="gramEnd"/>
      <w:r>
        <w:rPr>
          <w:rFonts w:ascii="Calibri" w:hAnsi="Calibri" w:cs="Calibri"/>
        </w:rPr>
        <w:t xml:space="preserve"> to take the place of professional medical advice or care.  It is not intended to define what constitutes reasonable, appropriate or best care for any individual for any given health issue.  The information </w:t>
      </w:r>
      <w:proofErr w:type="gramStart"/>
      <w:r>
        <w:rPr>
          <w:rFonts w:ascii="Calibri" w:hAnsi="Calibri" w:cs="Calibri"/>
        </w:rPr>
        <w:t>should not be used</w:t>
      </w:r>
      <w:proofErr w:type="gramEnd"/>
      <w:r>
        <w:rPr>
          <w:rFonts w:ascii="Calibri" w:hAnsi="Calibri" w:cs="Calibri"/>
        </w:rPr>
        <w:t xml:space="preserve"> as a substitute for the judgement and skill of a medical practitioner.</w:t>
      </w:r>
    </w:p>
    <w:p w14:paraId="2903BB3F" w14:textId="77777777" w:rsidR="00EF299C" w:rsidRDefault="00EF299C" w:rsidP="00EF299C">
      <w:pPr>
        <w:autoSpaceDE w:val="0"/>
        <w:autoSpaceDN w:val="0"/>
        <w:adjustRightInd w:val="0"/>
        <w:rPr>
          <w:rFonts w:ascii="Calibri" w:hAnsi="Calibri" w:cs="Calibri"/>
        </w:rPr>
      </w:pPr>
      <w:r>
        <w:rPr>
          <w:rFonts w:ascii="Calibri" w:hAnsi="Calibri" w:cs="Calibri"/>
        </w:rPr>
        <w:t>The Department of Health (</w:t>
      </w:r>
      <w:proofErr w:type="spellStart"/>
      <w:r>
        <w:rPr>
          <w:rFonts w:ascii="Calibri" w:hAnsi="Calibri" w:cs="Calibri"/>
        </w:rPr>
        <w:t>DoH</w:t>
      </w:r>
      <w:proofErr w:type="spellEnd"/>
      <w:r>
        <w:rPr>
          <w:rFonts w:ascii="Calibri" w:hAnsi="Calibri" w:cs="Calibri"/>
        </w:rPr>
        <w:t xml:space="preserve">) has made all reasonable efforts to ensure that information provided in this report is accurate. The information provided in this report was up-to-date when </w:t>
      </w:r>
      <w:proofErr w:type="gramStart"/>
      <w:r>
        <w:rPr>
          <w:rFonts w:ascii="Calibri" w:hAnsi="Calibri" w:cs="Calibri"/>
        </w:rPr>
        <w:t>it was considered by the Drug Utilisation Sub-committee of the Pharmaceutical Benefits Advisory Committee</w:t>
      </w:r>
      <w:proofErr w:type="gramEnd"/>
      <w:r>
        <w:rPr>
          <w:rFonts w:ascii="Calibri" w:hAnsi="Calibri" w:cs="Calibri"/>
        </w:rPr>
        <w:t>.  The context for that information may have changed since publication.</w:t>
      </w:r>
    </w:p>
    <w:p w14:paraId="0F332307" w14:textId="77777777" w:rsidR="00EF299C" w:rsidRDefault="00EF299C" w:rsidP="00EF299C">
      <w:pPr>
        <w:autoSpaceDE w:val="0"/>
        <w:autoSpaceDN w:val="0"/>
        <w:adjustRightInd w:val="0"/>
        <w:rPr>
          <w:rFonts w:ascii="Calibri" w:hAnsi="Calibri" w:cs="Calibri"/>
        </w:rPr>
      </w:pPr>
      <w:r>
        <w:rPr>
          <w:rFonts w:ascii="Calibri" w:hAnsi="Calibri" w:cs="Calibri"/>
        </w:rPr>
        <w:t xml:space="preserve">To the extent provided by law, </w:t>
      </w:r>
      <w:proofErr w:type="spellStart"/>
      <w:r>
        <w:rPr>
          <w:rFonts w:ascii="Calibri" w:hAnsi="Calibri" w:cs="Calibri"/>
        </w:rPr>
        <w:t>DoH</w:t>
      </w:r>
      <w:proofErr w:type="spellEnd"/>
      <w:r>
        <w:rPr>
          <w:rFonts w:ascii="Calibri" w:hAnsi="Calibri" w:cs="Calibri"/>
        </w:rPr>
        <w:t xml:space="preserve"> makes no warranties or representations as to accuracy or completeness of information contained in this report. </w:t>
      </w:r>
    </w:p>
    <w:p w14:paraId="37D36D6E" w14:textId="77777777" w:rsidR="00EF299C" w:rsidRDefault="00EF299C" w:rsidP="00EF299C">
      <w:pPr>
        <w:autoSpaceDE w:val="0"/>
        <w:autoSpaceDN w:val="0"/>
        <w:adjustRightInd w:val="0"/>
        <w:rPr>
          <w:rFonts w:ascii="Calibri" w:hAnsi="Calibri" w:cs="Calibri"/>
        </w:rPr>
      </w:pPr>
      <w:proofErr w:type="gramStart"/>
      <w:r>
        <w:rPr>
          <w:rFonts w:ascii="Calibri" w:hAnsi="Calibri" w:cs="Calibri"/>
        </w:rPr>
        <w:t xml:space="preserve">To the fullest extent permitted by law, neither the </w:t>
      </w:r>
      <w:proofErr w:type="spellStart"/>
      <w:r>
        <w:rPr>
          <w:rFonts w:ascii="Calibri" w:hAnsi="Calibri" w:cs="Calibri"/>
        </w:rPr>
        <w:t>DoH</w:t>
      </w:r>
      <w:proofErr w:type="spellEnd"/>
      <w:r>
        <w:rPr>
          <w:rFonts w:ascii="Calibri" w:hAnsi="Calibri" w:cs="Calibri"/>
        </w:rPr>
        <w:t xml:space="preserve"> nor any </w:t>
      </w:r>
      <w:proofErr w:type="spellStart"/>
      <w:r>
        <w:rPr>
          <w:rFonts w:ascii="Calibri" w:hAnsi="Calibri" w:cs="Calibri"/>
        </w:rPr>
        <w:t>DoH</w:t>
      </w:r>
      <w:proofErr w:type="spellEnd"/>
      <w:r>
        <w:rPr>
          <w:rFonts w:ascii="Calibri" w:hAnsi="Calibri" w:cs="Calibri"/>
        </w:rPr>
        <w:t xml:space="preserve">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w:t>
      </w:r>
      <w:proofErr w:type="gramEnd"/>
    </w:p>
    <w:p w14:paraId="4519DD0B" w14:textId="77777777" w:rsidR="00615305" w:rsidRPr="00B93CA6" w:rsidRDefault="00615305" w:rsidP="009354D9">
      <w:pPr>
        <w:rPr>
          <w:rFonts w:eastAsia="Times New Roman" w:cstheme="minorHAnsi"/>
        </w:rPr>
      </w:pPr>
    </w:p>
    <w:sectPr w:rsidR="00615305" w:rsidRPr="00B93CA6" w:rsidSect="00DD188C">
      <w:headerReference w:type="even" r:id="rId12"/>
      <w:headerReference w:type="default" r:id="rId13"/>
      <w:footerReference w:type="even" r:id="rId14"/>
      <w:footerReference w:type="default" r:id="rId15"/>
      <w:headerReference w:type="first" r:id="rId16"/>
      <w:footerReference w:type="first" r:id="rId17"/>
      <w:pgSz w:w="11906" w:h="16838"/>
      <w:pgMar w:top="1644" w:right="1361" w:bottom="164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A064B" w14:textId="77777777" w:rsidR="004449A7" w:rsidRDefault="004449A7" w:rsidP="00A35800">
      <w:r>
        <w:separator/>
      </w:r>
    </w:p>
  </w:endnote>
  <w:endnote w:type="continuationSeparator" w:id="0">
    <w:p w14:paraId="1CBB2CCE" w14:textId="77777777" w:rsidR="004449A7" w:rsidRDefault="004449A7" w:rsidP="00A3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BC94B" w14:textId="77777777" w:rsidR="00E0156C" w:rsidRDefault="00E0156C"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09635F0" w14:textId="77777777" w:rsidR="00E0156C" w:rsidRDefault="00E0156C" w:rsidP="00A35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0733839"/>
      <w:docPartObj>
        <w:docPartGallery w:val="Page Numbers (Bottom of Page)"/>
        <w:docPartUnique/>
      </w:docPartObj>
    </w:sdtPr>
    <w:sdtEndPr/>
    <w:sdtContent>
      <w:sdt>
        <w:sdtPr>
          <w:id w:val="-1669238322"/>
          <w:docPartObj>
            <w:docPartGallery w:val="Page Numbers (Top of Page)"/>
            <w:docPartUnique/>
          </w:docPartObj>
        </w:sdtPr>
        <w:sdtEndPr/>
        <w:sdtContent>
          <w:p w14:paraId="3DBB8C6D" w14:textId="77777777" w:rsidR="00E0156C" w:rsidRPr="000E72C6" w:rsidRDefault="002954F2" w:rsidP="002954F2">
            <w:pPr>
              <w:pStyle w:val="Footer"/>
              <w:jc w:val="center"/>
              <w:rPr>
                <w:i/>
                <w:sz w:val="20"/>
              </w:rPr>
            </w:pPr>
            <w:r w:rsidRPr="002954F2">
              <w:rPr>
                <w:i/>
                <w:sz w:val="20"/>
              </w:rPr>
              <w:t>Public Release D</w:t>
            </w:r>
            <w:r>
              <w:rPr>
                <w:i/>
                <w:sz w:val="20"/>
              </w:rPr>
              <w:t>ocument, October</w:t>
            </w:r>
            <w:r w:rsidRPr="002954F2">
              <w:rPr>
                <w:i/>
                <w:sz w:val="20"/>
              </w:rPr>
              <w:t xml:space="preserve"> 2019 DUSC Meeting </w:t>
            </w:r>
          </w:p>
          <w:p w14:paraId="5F070DFC" w14:textId="66DE6E70" w:rsidR="00E0156C" w:rsidRDefault="00E0156C" w:rsidP="000E72C6">
            <w:pPr>
              <w:pStyle w:val="Footer"/>
              <w:jc w:val="center"/>
              <w:rPr>
                <w:rStyle w:val="PageNumber"/>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sidR="00331483">
              <w:rPr>
                <w:bCs/>
                <w:i/>
                <w:noProof/>
                <w:sz w:val="20"/>
              </w:rPr>
              <w:t>19</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sidR="00331483">
              <w:rPr>
                <w:bCs/>
                <w:i/>
                <w:noProof/>
                <w:sz w:val="20"/>
              </w:rPr>
              <w:t>19</w:t>
            </w:r>
            <w:r w:rsidRPr="00DD188C">
              <w:rPr>
                <w:bCs/>
                <w:i/>
                <w:sz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B4FAF" w14:textId="77777777" w:rsidR="00E0156C" w:rsidRDefault="00E0156C" w:rsidP="007A5733">
    <w:pPr>
      <w:pStyle w:val="Footer"/>
      <w:jc w:val="center"/>
      <w:rPr>
        <w:rStyle w:val="PageNumber"/>
      </w:rPr>
    </w:pPr>
    <w:r>
      <w:rPr>
        <w:rStyle w:val="PageNumber"/>
      </w:rPr>
      <w:t>Committee-in-Confidence</w:t>
    </w:r>
  </w:p>
  <w:p w14:paraId="56FCAE83" w14:textId="77777777" w:rsidR="00E0156C" w:rsidRDefault="00E0156C" w:rsidP="007A573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A2322" w14:textId="77777777" w:rsidR="004449A7" w:rsidRDefault="004449A7" w:rsidP="00A35800">
      <w:r>
        <w:separator/>
      </w:r>
    </w:p>
  </w:footnote>
  <w:footnote w:type="continuationSeparator" w:id="0">
    <w:p w14:paraId="1AE002A2" w14:textId="77777777" w:rsidR="004449A7" w:rsidRDefault="004449A7" w:rsidP="00A35800">
      <w:r>
        <w:continuationSeparator/>
      </w:r>
    </w:p>
  </w:footnote>
  <w:footnote w:id="1">
    <w:p w14:paraId="6965FAFC" w14:textId="77777777" w:rsidR="00E0156C" w:rsidRDefault="00E0156C">
      <w:pPr>
        <w:pStyle w:val="FootnoteText"/>
      </w:pPr>
      <w:r>
        <w:rPr>
          <w:rStyle w:val="FootnoteReference"/>
        </w:rPr>
        <w:footnoteRef/>
      </w:r>
      <w:r>
        <w:t xml:space="preserve"> </w:t>
      </w:r>
      <w:r w:rsidRPr="00E6006F">
        <w:t xml:space="preserve">Familial </w:t>
      </w:r>
      <w:proofErr w:type="spellStart"/>
      <w:r w:rsidRPr="00E6006F">
        <w:t>Hypercholesterolaemia</w:t>
      </w:r>
      <w:proofErr w:type="spellEnd"/>
      <w:r w:rsidRPr="00E6006F">
        <w:t xml:space="preserve"> Australasia Network</w:t>
      </w:r>
      <w:r>
        <w:t xml:space="preserve"> 2019 [Internet]. Accessed on 14 August 2018, Available from: </w:t>
      </w:r>
      <w:r w:rsidRPr="00E6006F">
        <w:t>https://www.athero.org.au/fh/</w:t>
      </w:r>
    </w:p>
  </w:footnote>
  <w:footnote w:id="2">
    <w:p w14:paraId="085A929B" w14:textId="77777777" w:rsidR="00E0156C" w:rsidRDefault="00E0156C">
      <w:pPr>
        <w:pStyle w:val="FootnoteText"/>
      </w:pPr>
      <w:r>
        <w:rPr>
          <w:rStyle w:val="FootnoteReference"/>
        </w:rPr>
        <w:footnoteRef/>
      </w:r>
      <w:r>
        <w:t xml:space="preserve"> </w:t>
      </w:r>
      <w:proofErr w:type="spellStart"/>
      <w:r>
        <w:t>Repatha</w:t>
      </w:r>
      <w:proofErr w:type="spellEnd"/>
      <w:r>
        <w:rPr>
          <w:vertAlign w:val="superscript"/>
        </w:rPr>
        <w:t xml:space="preserve">® </w:t>
      </w:r>
      <w:r>
        <w:t>(</w:t>
      </w:r>
      <w:proofErr w:type="spellStart"/>
      <w:r>
        <w:t>evolocumab</w:t>
      </w:r>
      <w:proofErr w:type="spellEnd"/>
      <w:r w:rsidRPr="00E91528">
        <w:t>). Australian Ap</w:t>
      </w:r>
      <w:r>
        <w:t>proved Product Information. NSW: Amgen Australia Pty Ltd</w:t>
      </w:r>
      <w:r w:rsidRPr="00E91528">
        <w:t>.</w:t>
      </w:r>
      <w:r>
        <w:t xml:space="preserve"> Approved 9 December 2015, Revised 24 May 2019</w:t>
      </w:r>
      <w:r w:rsidRPr="00E91528">
        <w:t>. Available from</w:t>
      </w:r>
      <w:r>
        <w:t>:</w:t>
      </w:r>
      <w:r w:rsidRPr="00E91528">
        <w:t xml:space="preserve"> https://www.ebs.tga.gov.au/ebs/picmi/picmirepository.nsf/pdf?OpenAgent&amp;id=CP-2015-PI-02929-1&amp;d=201908141016933</w:t>
      </w:r>
    </w:p>
  </w:footnote>
  <w:footnote w:id="3">
    <w:p w14:paraId="15B6FDDB" w14:textId="77777777" w:rsidR="00E0156C" w:rsidRPr="00277B02" w:rsidRDefault="00E0156C" w:rsidP="00277B02">
      <w:pPr>
        <w:pStyle w:val="FootnoteText"/>
      </w:pPr>
      <w:r>
        <w:rPr>
          <w:rStyle w:val="FootnoteReference"/>
        </w:rPr>
        <w:footnoteRef/>
      </w:r>
      <w:r>
        <w:t xml:space="preserve"> </w:t>
      </w:r>
      <w:proofErr w:type="spellStart"/>
      <w:r w:rsidRPr="00277B02">
        <w:t>Cuchel</w:t>
      </w:r>
      <w:proofErr w:type="spellEnd"/>
      <w:r w:rsidRPr="00277B02">
        <w:t xml:space="preserve"> M</w:t>
      </w:r>
      <w:r>
        <w:t xml:space="preserve">, </w:t>
      </w:r>
      <w:proofErr w:type="spellStart"/>
      <w:r>
        <w:t>Bruckert</w:t>
      </w:r>
      <w:proofErr w:type="spellEnd"/>
      <w:r w:rsidR="007F2D0F">
        <w:t xml:space="preserve"> E</w:t>
      </w:r>
      <w:r>
        <w:t>, Ginsberg HN</w:t>
      </w:r>
      <w:r w:rsidR="007F2D0F">
        <w:t xml:space="preserve">, </w:t>
      </w:r>
      <w:proofErr w:type="spellStart"/>
      <w:r w:rsidR="007F2D0F">
        <w:t>Raal</w:t>
      </w:r>
      <w:proofErr w:type="spellEnd"/>
      <w:r w:rsidR="007F2D0F">
        <w:t xml:space="preserve"> FJ, Santos RD, </w:t>
      </w:r>
      <w:proofErr w:type="spellStart"/>
      <w:r w:rsidR="007F2D0F">
        <w:t>Hegele</w:t>
      </w:r>
      <w:proofErr w:type="spellEnd"/>
      <w:r w:rsidR="007F2D0F">
        <w:t xml:space="preserve"> RA,</w:t>
      </w:r>
      <w:r w:rsidRPr="00277B02">
        <w:t xml:space="preserve"> et al. Homozygous familial </w:t>
      </w:r>
      <w:proofErr w:type="spellStart"/>
      <w:r w:rsidRPr="00277B02">
        <w:t>hypercholesterolaemia</w:t>
      </w:r>
      <w:proofErr w:type="spellEnd"/>
      <w:r w:rsidRPr="00277B02">
        <w:t xml:space="preserve">: new insights and guidance for clinicians to improve detection and clinical management. A position paper from the Consensus Panel on Familial </w:t>
      </w:r>
      <w:proofErr w:type="spellStart"/>
      <w:r w:rsidRPr="00277B02">
        <w:t>Hypercholesterolaemia</w:t>
      </w:r>
      <w:proofErr w:type="spellEnd"/>
      <w:r w:rsidRPr="00277B02">
        <w:t xml:space="preserve"> of the Eu</w:t>
      </w:r>
      <w:r w:rsidR="00E15572">
        <w:t>ropean Atherosclerosis Society.</w:t>
      </w:r>
      <w:r w:rsidRPr="00277B02">
        <w:t xml:space="preserve"> </w:t>
      </w:r>
      <w:proofErr w:type="spellStart"/>
      <w:r w:rsidRPr="00277B02">
        <w:t>Eur</w:t>
      </w:r>
      <w:proofErr w:type="spellEnd"/>
      <w:r w:rsidRPr="00277B02">
        <w:t xml:space="preserve"> Heart J 2014</w:t>
      </w:r>
      <w:proofErr w:type="gramStart"/>
      <w:r w:rsidR="007F2D0F">
        <w:t>;</w:t>
      </w:r>
      <w:proofErr w:type="gramEnd"/>
      <w:r w:rsidR="007F2D0F">
        <w:t xml:space="preserve"> 35 (32):2146-2157</w:t>
      </w:r>
      <w:r w:rsidRPr="00277B02">
        <w:t>. doi:10.1093/</w:t>
      </w:r>
      <w:proofErr w:type="spellStart"/>
      <w:r w:rsidRPr="00277B02">
        <w:t>eurheartj</w:t>
      </w:r>
      <w:proofErr w:type="spellEnd"/>
      <w:r w:rsidRPr="00277B02">
        <w:t>/ehu274.</w:t>
      </w:r>
    </w:p>
  </w:footnote>
  <w:footnote w:id="4">
    <w:p w14:paraId="28358138" w14:textId="1F81EF18" w:rsidR="00E0156C" w:rsidRDefault="00E0156C">
      <w:pPr>
        <w:pStyle w:val="FootnoteText"/>
      </w:pPr>
      <w:r>
        <w:rPr>
          <w:rStyle w:val="FootnoteReference"/>
        </w:rPr>
        <w:footnoteRef/>
      </w:r>
      <w:r>
        <w:t xml:space="preserve"> </w:t>
      </w:r>
      <w:r w:rsidRPr="00960B8D">
        <w:t xml:space="preserve">PBS statistics. Australian Government </w:t>
      </w:r>
      <w:r w:rsidR="00331483">
        <w:t>Services Australia</w:t>
      </w:r>
      <w:r w:rsidRPr="00960B8D">
        <w:t xml:space="preserve">. Canberra. Available from </w:t>
      </w:r>
      <w:hyperlink r:id="rId1" w:history="1">
        <w:r w:rsidRPr="000B04C4">
          <w:rPr>
            <w:rStyle w:val="Hyperlink"/>
          </w:rPr>
          <w:t>http://medicarestatistics.humanservices.gov.au/statistics/pbs_item.jsp</w:t>
        </w:r>
      </w:hyperlink>
      <w:r>
        <w:t xml:space="preserve"> </w:t>
      </w:r>
    </w:p>
  </w:footnote>
  <w:footnote w:id="5">
    <w:p w14:paraId="27AAFFD6" w14:textId="77777777" w:rsidR="00E0156C" w:rsidRDefault="00E0156C">
      <w:pPr>
        <w:pStyle w:val="FootnoteText"/>
      </w:pPr>
      <w:r>
        <w:rPr>
          <w:rStyle w:val="FootnoteReference"/>
        </w:rPr>
        <w:footnoteRef/>
      </w:r>
      <w:r>
        <w:t xml:space="preserve"> Lipid Modification</w:t>
      </w:r>
      <w:r w:rsidRPr="00892D01">
        <w:t xml:space="preserve">. In: </w:t>
      </w:r>
      <w:proofErr w:type="spellStart"/>
      <w:r w:rsidRPr="00892D01">
        <w:t>eTG</w:t>
      </w:r>
      <w:proofErr w:type="spellEnd"/>
      <w:r w:rsidRPr="00892D01">
        <w:t xml:space="preserve"> complete [Internet]. Melbourne: Therapeutic Guidelines Limited;</w:t>
      </w:r>
      <w:r>
        <w:t xml:space="preserve"> Published March 2018 (</w:t>
      </w:r>
      <w:proofErr w:type="spellStart"/>
      <w:r>
        <w:t>eTG</w:t>
      </w:r>
      <w:proofErr w:type="spellEnd"/>
      <w:r>
        <w:t xml:space="preserve"> June 2019 edition)</w:t>
      </w:r>
      <w:r w:rsidRPr="00892D01">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CFE25" w14:textId="77777777" w:rsidR="000967F2" w:rsidRDefault="000967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C7D81" w14:textId="77777777" w:rsidR="000967F2" w:rsidRDefault="000967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84819" w14:textId="77777777" w:rsidR="000967F2" w:rsidRDefault="000967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3226"/>
    <w:multiLevelType w:val="hybridMultilevel"/>
    <w:tmpl w:val="44E22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703838"/>
    <w:multiLevelType w:val="multilevel"/>
    <w:tmpl w:val="162C1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20370A"/>
    <w:multiLevelType w:val="multilevel"/>
    <w:tmpl w:val="90BE2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CC28B6"/>
    <w:multiLevelType w:val="multilevel"/>
    <w:tmpl w:val="0E6CC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1040B0"/>
    <w:multiLevelType w:val="multilevel"/>
    <w:tmpl w:val="DD4AE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972580"/>
    <w:multiLevelType w:val="multilevel"/>
    <w:tmpl w:val="CE1ED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672CE1"/>
    <w:multiLevelType w:val="multilevel"/>
    <w:tmpl w:val="C5CA7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2B4A40"/>
    <w:multiLevelType w:val="multilevel"/>
    <w:tmpl w:val="7A4C4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D45192"/>
    <w:multiLevelType w:val="hybridMultilevel"/>
    <w:tmpl w:val="35B83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006914"/>
    <w:multiLevelType w:val="multilevel"/>
    <w:tmpl w:val="D4D47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CA13B9"/>
    <w:multiLevelType w:val="multilevel"/>
    <w:tmpl w:val="AF0C1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644236"/>
    <w:multiLevelType w:val="hybridMultilevel"/>
    <w:tmpl w:val="829C3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525AFF"/>
    <w:multiLevelType w:val="multilevel"/>
    <w:tmpl w:val="4E5A5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B5244"/>
    <w:multiLevelType w:val="multilevel"/>
    <w:tmpl w:val="94CCD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602D65"/>
    <w:multiLevelType w:val="hybridMultilevel"/>
    <w:tmpl w:val="1A9412A0"/>
    <w:lvl w:ilvl="0" w:tplc="247883F0">
      <w:start w:val="4"/>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72449C"/>
    <w:multiLevelType w:val="multilevel"/>
    <w:tmpl w:val="B7B04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BD4858"/>
    <w:multiLevelType w:val="multilevel"/>
    <w:tmpl w:val="1FA45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D27F67"/>
    <w:multiLevelType w:val="multilevel"/>
    <w:tmpl w:val="F27A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7A2391"/>
    <w:multiLevelType w:val="hybridMultilevel"/>
    <w:tmpl w:val="3028D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907FE9"/>
    <w:multiLevelType w:val="multilevel"/>
    <w:tmpl w:val="ADDC8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EA6E67"/>
    <w:multiLevelType w:val="hybridMultilevel"/>
    <w:tmpl w:val="05FE4E36"/>
    <w:lvl w:ilvl="0" w:tplc="BEB84194">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2D2AF5"/>
    <w:multiLevelType w:val="multilevel"/>
    <w:tmpl w:val="771E3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332A6A"/>
    <w:multiLevelType w:val="multilevel"/>
    <w:tmpl w:val="B80C4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C75C38"/>
    <w:multiLevelType w:val="hybridMultilevel"/>
    <w:tmpl w:val="D8CCCB8C"/>
    <w:lvl w:ilvl="0" w:tplc="831AF9F8">
      <w:start w:val="84"/>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FB00711"/>
    <w:multiLevelType w:val="multilevel"/>
    <w:tmpl w:val="9BACC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1C3D2F"/>
    <w:multiLevelType w:val="multilevel"/>
    <w:tmpl w:val="F4668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1F1696"/>
    <w:multiLevelType w:val="hybridMultilevel"/>
    <w:tmpl w:val="62FCC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15F2E5E"/>
    <w:multiLevelType w:val="hybridMultilevel"/>
    <w:tmpl w:val="0D62A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815E8B"/>
    <w:multiLevelType w:val="multilevel"/>
    <w:tmpl w:val="7C58D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5F4FD6"/>
    <w:multiLevelType w:val="hybridMultilevel"/>
    <w:tmpl w:val="E64C7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0E90BBE"/>
    <w:multiLevelType w:val="hybridMultilevel"/>
    <w:tmpl w:val="5B82ED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441592F"/>
    <w:multiLevelType w:val="multilevel"/>
    <w:tmpl w:val="3D545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A544E7"/>
    <w:multiLevelType w:val="hybridMultilevel"/>
    <w:tmpl w:val="3BD82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C4D0FE4"/>
    <w:multiLevelType w:val="multilevel"/>
    <w:tmpl w:val="7BACD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9D7F8B"/>
    <w:multiLevelType w:val="multilevel"/>
    <w:tmpl w:val="9C6A0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D558AE"/>
    <w:multiLevelType w:val="hybridMultilevel"/>
    <w:tmpl w:val="FA6CC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2880EB7"/>
    <w:multiLevelType w:val="hybridMultilevel"/>
    <w:tmpl w:val="C30C2D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9767C98"/>
    <w:multiLevelType w:val="hybridMultilevel"/>
    <w:tmpl w:val="A4421FA2"/>
    <w:lvl w:ilvl="0" w:tplc="831AF9F8">
      <w:start w:val="84"/>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9E4514"/>
    <w:multiLevelType w:val="multilevel"/>
    <w:tmpl w:val="AA6EC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30"/>
  </w:num>
  <w:num w:numId="3">
    <w:abstractNumId w:val="11"/>
  </w:num>
  <w:num w:numId="4">
    <w:abstractNumId w:val="0"/>
  </w:num>
  <w:num w:numId="5">
    <w:abstractNumId w:val="4"/>
  </w:num>
  <w:num w:numId="6">
    <w:abstractNumId w:val="19"/>
  </w:num>
  <w:num w:numId="7">
    <w:abstractNumId w:val="24"/>
  </w:num>
  <w:num w:numId="8">
    <w:abstractNumId w:val="9"/>
  </w:num>
  <w:num w:numId="9">
    <w:abstractNumId w:val="33"/>
  </w:num>
  <w:num w:numId="10">
    <w:abstractNumId w:val="15"/>
  </w:num>
  <w:num w:numId="11">
    <w:abstractNumId w:val="3"/>
  </w:num>
  <w:num w:numId="12">
    <w:abstractNumId w:val="28"/>
  </w:num>
  <w:num w:numId="13">
    <w:abstractNumId w:val="25"/>
  </w:num>
  <w:num w:numId="14">
    <w:abstractNumId w:val="12"/>
  </w:num>
  <w:num w:numId="15">
    <w:abstractNumId w:val="5"/>
  </w:num>
  <w:num w:numId="16">
    <w:abstractNumId w:val="10"/>
  </w:num>
  <w:num w:numId="17">
    <w:abstractNumId w:val="34"/>
  </w:num>
  <w:num w:numId="18">
    <w:abstractNumId w:val="22"/>
  </w:num>
  <w:num w:numId="19">
    <w:abstractNumId w:val="6"/>
  </w:num>
  <w:num w:numId="20">
    <w:abstractNumId w:val="16"/>
  </w:num>
  <w:num w:numId="21">
    <w:abstractNumId w:val="2"/>
  </w:num>
  <w:num w:numId="22">
    <w:abstractNumId w:val="31"/>
  </w:num>
  <w:num w:numId="23">
    <w:abstractNumId w:val="13"/>
  </w:num>
  <w:num w:numId="24">
    <w:abstractNumId w:val="38"/>
  </w:num>
  <w:num w:numId="25">
    <w:abstractNumId w:val="21"/>
  </w:num>
  <w:num w:numId="26">
    <w:abstractNumId w:val="32"/>
  </w:num>
  <w:num w:numId="27">
    <w:abstractNumId w:val="26"/>
  </w:num>
  <w:num w:numId="28">
    <w:abstractNumId w:val="8"/>
  </w:num>
  <w:num w:numId="29">
    <w:abstractNumId w:val="29"/>
  </w:num>
  <w:num w:numId="30">
    <w:abstractNumId w:val="35"/>
  </w:num>
  <w:num w:numId="31">
    <w:abstractNumId w:val="7"/>
  </w:num>
  <w:num w:numId="32">
    <w:abstractNumId w:val="17"/>
  </w:num>
  <w:num w:numId="33">
    <w:abstractNumId w:val="1"/>
  </w:num>
  <w:num w:numId="34">
    <w:abstractNumId w:val="27"/>
  </w:num>
  <w:num w:numId="35">
    <w:abstractNumId w:val="20"/>
  </w:num>
  <w:num w:numId="36">
    <w:abstractNumId w:val="18"/>
  </w:num>
  <w:num w:numId="37">
    <w:abstractNumId w:val="14"/>
  </w:num>
  <w:num w:numId="38">
    <w:abstractNumId w:val="37"/>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041"/>
    <w:rsid w:val="0000093E"/>
    <w:rsid w:val="00004982"/>
    <w:rsid w:val="00006ACD"/>
    <w:rsid w:val="00007E85"/>
    <w:rsid w:val="000106D9"/>
    <w:rsid w:val="00013465"/>
    <w:rsid w:val="000226B3"/>
    <w:rsid w:val="00024549"/>
    <w:rsid w:val="00026CE0"/>
    <w:rsid w:val="000544B6"/>
    <w:rsid w:val="000558A6"/>
    <w:rsid w:val="00056E0C"/>
    <w:rsid w:val="000604AF"/>
    <w:rsid w:val="00074F7F"/>
    <w:rsid w:val="000756D3"/>
    <w:rsid w:val="00086C11"/>
    <w:rsid w:val="00093FD7"/>
    <w:rsid w:val="000947A9"/>
    <w:rsid w:val="00094DCF"/>
    <w:rsid w:val="000967F2"/>
    <w:rsid w:val="000A6CFD"/>
    <w:rsid w:val="000B0982"/>
    <w:rsid w:val="000B58AB"/>
    <w:rsid w:val="000B5C23"/>
    <w:rsid w:val="000B796C"/>
    <w:rsid w:val="000C0ADD"/>
    <w:rsid w:val="000C46BB"/>
    <w:rsid w:val="000C4D9D"/>
    <w:rsid w:val="000C7C4B"/>
    <w:rsid w:val="000C7D8B"/>
    <w:rsid w:val="000E27B4"/>
    <w:rsid w:val="000E485D"/>
    <w:rsid w:val="000E72C6"/>
    <w:rsid w:val="000F1893"/>
    <w:rsid w:val="000F23CA"/>
    <w:rsid w:val="000F2F51"/>
    <w:rsid w:val="000F60ED"/>
    <w:rsid w:val="000F6910"/>
    <w:rsid w:val="001001AC"/>
    <w:rsid w:val="0010133C"/>
    <w:rsid w:val="00112B78"/>
    <w:rsid w:val="00113CF8"/>
    <w:rsid w:val="00113D74"/>
    <w:rsid w:val="00117C5C"/>
    <w:rsid w:val="00125082"/>
    <w:rsid w:val="001310AE"/>
    <w:rsid w:val="00131F04"/>
    <w:rsid w:val="001420B3"/>
    <w:rsid w:val="001460C4"/>
    <w:rsid w:val="001517E2"/>
    <w:rsid w:val="00156814"/>
    <w:rsid w:val="0015691C"/>
    <w:rsid w:val="001621F7"/>
    <w:rsid w:val="001624D7"/>
    <w:rsid w:val="00172845"/>
    <w:rsid w:val="00177B86"/>
    <w:rsid w:val="00182585"/>
    <w:rsid w:val="001850B9"/>
    <w:rsid w:val="00191182"/>
    <w:rsid w:val="001918B9"/>
    <w:rsid w:val="0019664D"/>
    <w:rsid w:val="001A12E8"/>
    <w:rsid w:val="001A6103"/>
    <w:rsid w:val="001B15DB"/>
    <w:rsid w:val="001B29FB"/>
    <w:rsid w:val="001B3569"/>
    <w:rsid w:val="001B43FB"/>
    <w:rsid w:val="001B5D37"/>
    <w:rsid w:val="001C2940"/>
    <w:rsid w:val="001C4016"/>
    <w:rsid w:val="001C548D"/>
    <w:rsid w:val="001C6A5D"/>
    <w:rsid w:val="001E02E6"/>
    <w:rsid w:val="001E07CE"/>
    <w:rsid w:val="001E31A6"/>
    <w:rsid w:val="001E42C7"/>
    <w:rsid w:val="001E4CAB"/>
    <w:rsid w:val="001F08B7"/>
    <w:rsid w:val="001F0A4E"/>
    <w:rsid w:val="001F247D"/>
    <w:rsid w:val="001F2F3E"/>
    <w:rsid w:val="001F4906"/>
    <w:rsid w:val="001F61D2"/>
    <w:rsid w:val="001F7C4A"/>
    <w:rsid w:val="002008ED"/>
    <w:rsid w:val="00202BC7"/>
    <w:rsid w:val="0020578A"/>
    <w:rsid w:val="002063EC"/>
    <w:rsid w:val="00206732"/>
    <w:rsid w:val="00207631"/>
    <w:rsid w:val="0021111D"/>
    <w:rsid w:val="00214013"/>
    <w:rsid w:val="00220FC1"/>
    <w:rsid w:val="00222E9A"/>
    <w:rsid w:val="0023179D"/>
    <w:rsid w:val="002420B2"/>
    <w:rsid w:val="002473DE"/>
    <w:rsid w:val="00247C05"/>
    <w:rsid w:val="00247FCB"/>
    <w:rsid w:val="0025389D"/>
    <w:rsid w:val="00254E02"/>
    <w:rsid w:val="0026265F"/>
    <w:rsid w:val="002639C8"/>
    <w:rsid w:val="00263A7F"/>
    <w:rsid w:val="002671BA"/>
    <w:rsid w:val="002719B3"/>
    <w:rsid w:val="00277B02"/>
    <w:rsid w:val="00281E9A"/>
    <w:rsid w:val="00286C3A"/>
    <w:rsid w:val="002908D9"/>
    <w:rsid w:val="002930F5"/>
    <w:rsid w:val="002954F2"/>
    <w:rsid w:val="002A06B7"/>
    <w:rsid w:val="002A0B54"/>
    <w:rsid w:val="002B1901"/>
    <w:rsid w:val="002C3007"/>
    <w:rsid w:val="002C6E0C"/>
    <w:rsid w:val="002C7D4D"/>
    <w:rsid w:val="002D144A"/>
    <w:rsid w:val="002E19A3"/>
    <w:rsid w:val="002E212B"/>
    <w:rsid w:val="002E3337"/>
    <w:rsid w:val="002E6D03"/>
    <w:rsid w:val="002F0B75"/>
    <w:rsid w:val="002F2754"/>
    <w:rsid w:val="002F49A8"/>
    <w:rsid w:val="002F5E66"/>
    <w:rsid w:val="002F61CA"/>
    <w:rsid w:val="002F7082"/>
    <w:rsid w:val="0030010D"/>
    <w:rsid w:val="0030672D"/>
    <w:rsid w:val="00311073"/>
    <w:rsid w:val="00317A0B"/>
    <w:rsid w:val="0032021A"/>
    <w:rsid w:val="0032098E"/>
    <w:rsid w:val="00320D63"/>
    <w:rsid w:val="00323C3D"/>
    <w:rsid w:val="00330111"/>
    <w:rsid w:val="00331483"/>
    <w:rsid w:val="0033504C"/>
    <w:rsid w:val="00336816"/>
    <w:rsid w:val="003370D0"/>
    <w:rsid w:val="00337355"/>
    <w:rsid w:val="003402E4"/>
    <w:rsid w:val="003408A5"/>
    <w:rsid w:val="00340F95"/>
    <w:rsid w:val="003531ED"/>
    <w:rsid w:val="003600B9"/>
    <w:rsid w:val="00360B9A"/>
    <w:rsid w:val="00362DB0"/>
    <w:rsid w:val="00371B84"/>
    <w:rsid w:val="0038266B"/>
    <w:rsid w:val="00384C75"/>
    <w:rsid w:val="0039017F"/>
    <w:rsid w:val="0039369A"/>
    <w:rsid w:val="00394AEE"/>
    <w:rsid w:val="00397DA8"/>
    <w:rsid w:val="003A58CB"/>
    <w:rsid w:val="003C2AC0"/>
    <w:rsid w:val="003C2D98"/>
    <w:rsid w:val="003C2F06"/>
    <w:rsid w:val="003C59FC"/>
    <w:rsid w:val="003D1375"/>
    <w:rsid w:val="003D3A96"/>
    <w:rsid w:val="003D3B9C"/>
    <w:rsid w:val="003E2430"/>
    <w:rsid w:val="003E2437"/>
    <w:rsid w:val="003E4124"/>
    <w:rsid w:val="003E5B9D"/>
    <w:rsid w:val="003F1143"/>
    <w:rsid w:val="003F59AF"/>
    <w:rsid w:val="003F5C57"/>
    <w:rsid w:val="00404F03"/>
    <w:rsid w:val="00412051"/>
    <w:rsid w:val="0041706F"/>
    <w:rsid w:val="00423B94"/>
    <w:rsid w:val="0042716B"/>
    <w:rsid w:val="004303D4"/>
    <w:rsid w:val="00435402"/>
    <w:rsid w:val="004449A7"/>
    <w:rsid w:val="0044741E"/>
    <w:rsid w:val="00450C03"/>
    <w:rsid w:val="00463731"/>
    <w:rsid w:val="0046400A"/>
    <w:rsid w:val="00467B25"/>
    <w:rsid w:val="004738EA"/>
    <w:rsid w:val="00480F8E"/>
    <w:rsid w:val="00481108"/>
    <w:rsid w:val="004821E1"/>
    <w:rsid w:val="0048520C"/>
    <w:rsid w:val="004858C3"/>
    <w:rsid w:val="0049042B"/>
    <w:rsid w:val="00495473"/>
    <w:rsid w:val="00497E7A"/>
    <w:rsid w:val="004A458E"/>
    <w:rsid w:val="004B23E7"/>
    <w:rsid w:val="004B306F"/>
    <w:rsid w:val="004B7B33"/>
    <w:rsid w:val="004B7ED5"/>
    <w:rsid w:val="004C2E52"/>
    <w:rsid w:val="004C3186"/>
    <w:rsid w:val="004C5042"/>
    <w:rsid w:val="004C68B4"/>
    <w:rsid w:val="004D331D"/>
    <w:rsid w:val="004D655D"/>
    <w:rsid w:val="004E1F3D"/>
    <w:rsid w:val="004E36F4"/>
    <w:rsid w:val="004E4422"/>
    <w:rsid w:val="004E4891"/>
    <w:rsid w:val="00500EA5"/>
    <w:rsid w:val="00500F6C"/>
    <w:rsid w:val="00502BB4"/>
    <w:rsid w:val="00503998"/>
    <w:rsid w:val="00504F5C"/>
    <w:rsid w:val="00505B2C"/>
    <w:rsid w:val="0050623B"/>
    <w:rsid w:val="00506B36"/>
    <w:rsid w:val="00523181"/>
    <w:rsid w:val="00524D13"/>
    <w:rsid w:val="005310AB"/>
    <w:rsid w:val="00532459"/>
    <w:rsid w:val="00533817"/>
    <w:rsid w:val="005339F6"/>
    <w:rsid w:val="0054143B"/>
    <w:rsid w:val="00541DFA"/>
    <w:rsid w:val="0055547F"/>
    <w:rsid w:val="00561F56"/>
    <w:rsid w:val="00564AB6"/>
    <w:rsid w:val="00567923"/>
    <w:rsid w:val="00576B18"/>
    <w:rsid w:val="00584D82"/>
    <w:rsid w:val="00587724"/>
    <w:rsid w:val="00591512"/>
    <w:rsid w:val="005B2109"/>
    <w:rsid w:val="005B2D91"/>
    <w:rsid w:val="005B48B4"/>
    <w:rsid w:val="005C40F6"/>
    <w:rsid w:val="005C613F"/>
    <w:rsid w:val="005C6661"/>
    <w:rsid w:val="005C6E3B"/>
    <w:rsid w:val="005D474B"/>
    <w:rsid w:val="005D58E5"/>
    <w:rsid w:val="005E085C"/>
    <w:rsid w:val="005E147D"/>
    <w:rsid w:val="005E22C2"/>
    <w:rsid w:val="005E2CB3"/>
    <w:rsid w:val="005E57BB"/>
    <w:rsid w:val="005F0017"/>
    <w:rsid w:val="005F2568"/>
    <w:rsid w:val="005F5D4D"/>
    <w:rsid w:val="006014F1"/>
    <w:rsid w:val="00606299"/>
    <w:rsid w:val="0061161A"/>
    <w:rsid w:val="0061357B"/>
    <w:rsid w:val="0061406C"/>
    <w:rsid w:val="00614A7D"/>
    <w:rsid w:val="00615305"/>
    <w:rsid w:val="0062157C"/>
    <w:rsid w:val="00625C4F"/>
    <w:rsid w:val="006264BD"/>
    <w:rsid w:val="0063631C"/>
    <w:rsid w:val="0063757B"/>
    <w:rsid w:val="006377CE"/>
    <w:rsid w:val="00637C55"/>
    <w:rsid w:val="00650876"/>
    <w:rsid w:val="00650FF8"/>
    <w:rsid w:val="00652A71"/>
    <w:rsid w:val="006537D9"/>
    <w:rsid w:val="00664A48"/>
    <w:rsid w:val="00665DEF"/>
    <w:rsid w:val="0067252B"/>
    <w:rsid w:val="00675BB1"/>
    <w:rsid w:val="006775F1"/>
    <w:rsid w:val="00692AA7"/>
    <w:rsid w:val="00697FEC"/>
    <w:rsid w:val="006A175F"/>
    <w:rsid w:val="006A3EB9"/>
    <w:rsid w:val="006A44F5"/>
    <w:rsid w:val="006A7518"/>
    <w:rsid w:val="006B4537"/>
    <w:rsid w:val="006B5301"/>
    <w:rsid w:val="006B5F85"/>
    <w:rsid w:val="006B6929"/>
    <w:rsid w:val="006B709B"/>
    <w:rsid w:val="006C27B5"/>
    <w:rsid w:val="006C54AF"/>
    <w:rsid w:val="006D2CC9"/>
    <w:rsid w:val="006E0181"/>
    <w:rsid w:val="006F1BA3"/>
    <w:rsid w:val="006F5305"/>
    <w:rsid w:val="00700C0E"/>
    <w:rsid w:val="007040B2"/>
    <w:rsid w:val="00705DAD"/>
    <w:rsid w:val="00711190"/>
    <w:rsid w:val="007247B9"/>
    <w:rsid w:val="00727D85"/>
    <w:rsid w:val="00727FB0"/>
    <w:rsid w:val="00731920"/>
    <w:rsid w:val="007346C7"/>
    <w:rsid w:val="00736041"/>
    <w:rsid w:val="007365CB"/>
    <w:rsid w:val="00737BBF"/>
    <w:rsid w:val="007408C7"/>
    <w:rsid w:val="007465DA"/>
    <w:rsid w:val="00751B01"/>
    <w:rsid w:val="00752C7F"/>
    <w:rsid w:val="00753118"/>
    <w:rsid w:val="00756C5B"/>
    <w:rsid w:val="007576E3"/>
    <w:rsid w:val="007608D7"/>
    <w:rsid w:val="0076394B"/>
    <w:rsid w:val="007640E2"/>
    <w:rsid w:val="007702E9"/>
    <w:rsid w:val="00776598"/>
    <w:rsid w:val="00780195"/>
    <w:rsid w:val="00783B66"/>
    <w:rsid w:val="00792948"/>
    <w:rsid w:val="00792D7D"/>
    <w:rsid w:val="00793820"/>
    <w:rsid w:val="00796E84"/>
    <w:rsid w:val="007A3ADE"/>
    <w:rsid w:val="007A5733"/>
    <w:rsid w:val="007A5774"/>
    <w:rsid w:val="007A6C76"/>
    <w:rsid w:val="007B3713"/>
    <w:rsid w:val="007D3748"/>
    <w:rsid w:val="007E60D7"/>
    <w:rsid w:val="007F2D0F"/>
    <w:rsid w:val="007F33D6"/>
    <w:rsid w:val="007F5A71"/>
    <w:rsid w:val="00801E74"/>
    <w:rsid w:val="0080485E"/>
    <w:rsid w:val="008142B4"/>
    <w:rsid w:val="008272B4"/>
    <w:rsid w:val="00830D94"/>
    <w:rsid w:val="00832324"/>
    <w:rsid w:val="00835337"/>
    <w:rsid w:val="008367F7"/>
    <w:rsid w:val="00846DCD"/>
    <w:rsid w:val="00851D85"/>
    <w:rsid w:val="00860CCB"/>
    <w:rsid w:val="00861E08"/>
    <w:rsid w:val="0087144E"/>
    <w:rsid w:val="008740A3"/>
    <w:rsid w:val="008768B9"/>
    <w:rsid w:val="00876CCB"/>
    <w:rsid w:val="0087754A"/>
    <w:rsid w:val="00884412"/>
    <w:rsid w:val="0089297B"/>
    <w:rsid w:val="00892D01"/>
    <w:rsid w:val="00894012"/>
    <w:rsid w:val="00895574"/>
    <w:rsid w:val="008A51F9"/>
    <w:rsid w:val="008A74C1"/>
    <w:rsid w:val="008B77D8"/>
    <w:rsid w:val="008C36CA"/>
    <w:rsid w:val="008D4845"/>
    <w:rsid w:val="008E3F8C"/>
    <w:rsid w:val="008E5444"/>
    <w:rsid w:val="008F02B0"/>
    <w:rsid w:val="008F2AD7"/>
    <w:rsid w:val="00902FD0"/>
    <w:rsid w:val="009053D3"/>
    <w:rsid w:val="0090691F"/>
    <w:rsid w:val="00906DAF"/>
    <w:rsid w:val="00911295"/>
    <w:rsid w:val="009251E1"/>
    <w:rsid w:val="0093111F"/>
    <w:rsid w:val="00935061"/>
    <w:rsid w:val="009354D9"/>
    <w:rsid w:val="00935689"/>
    <w:rsid w:val="0094114A"/>
    <w:rsid w:val="009507DF"/>
    <w:rsid w:val="0095303B"/>
    <w:rsid w:val="00956E33"/>
    <w:rsid w:val="00960B8D"/>
    <w:rsid w:val="009625D7"/>
    <w:rsid w:val="0096511A"/>
    <w:rsid w:val="009663B6"/>
    <w:rsid w:val="00966469"/>
    <w:rsid w:val="009707ED"/>
    <w:rsid w:val="0097378E"/>
    <w:rsid w:val="00974A47"/>
    <w:rsid w:val="0097582A"/>
    <w:rsid w:val="009761E8"/>
    <w:rsid w:val="00980286"/>
    <w:rsid w:val="009831BC"/>
    <w:rsid w:val="00987B95"/>
    <w:rsid w:val="00990DCF"/>
    <w:rsid w:val="00996D4C"/>
    <w:rsid w:val="009A0B74"/>
    <w:rsid w:val="009A4CD6"/>
    <w:rsid w:val="009A537C"/>
    <w:rsid w:val="009B56EB"/>
    <w:rsid w:val="009C0886"/>
    <w:rsid w:val="009C19EE"/>
    <w:rsid w:val="009C28D0"/>
    <w:rsid w:val="009C35F2"/>
    <w:rsid w:val="009C41C5"/>
    <w:rsid w:val="009C7782"/>
    <w:rsid w:val="009D1643"/>
    <w:rsid w:val="009D1ED5"/>
    <w:rsid w:val="009D4C13"/>
    <w:rsid w:val="009E21A7"/>
    <w:rsid w:val="009E56CA"/>
    <w:rsid w:val="009E5F2C"/>
    <w:rsid w:val="009F131C"/>
    <w:rsid w:val="009F731F"/>
    <w:rsid w:val="00A062BA"/>
    <w:rsid w:val="00A103ED"/>
    <w:rsid w:val="00A11F03"/>
    <w:rsid w:val="00A1307A"/>
    <w:rsid w:val="00A13C60"/>
    <w:rsid w:val="00A15134"/>
    <w:rsid w:val="00A1581B"/>
    <w:rsid w:val="00A15D32"/>
    <w:rsid w:val="00A23606"/>
    <w:rsid w:val="00A341A3"/>
    <w:rsid w:val="00A35800"/>
    <w:rsid w:val="00A455C2"/>
    <w:rsid w:val="00A52918"/>
    <w:rsid w:val="00A547B3"/>
    <w:rsid w:val="00A56728"/>
    <w:rsid w:val="00A56F01"/>
    <w:rsid w:val="00A57953"/>
    <w:rsid w:val="00A62EFE"/>
    <w:rsid w:val="00A70A37"/>
    <w:rsid w:val="00A70E82"/>
    <w:rsid w:val="00A81117"/>
    <w:rsid w:val="00A81826"/>
    <w:rsid w:val="00A827B8"/>
    <w:rsid w:val="00A836FB"/>
    <w:rsid w:val="00A83FDF"/>
    <w:rsid w:val="00A84CAD"/>
    <w:rsid w:val="00A84F42"/>
    <w:rsid w:val="00A90E50"/>
    <w:rsid w:val="00A93B2E"/>
    <w:rsid w:val="00A95FA5"/>
    <w:rsid w:val="00A96D92"/>
    <w:rsid w:val="00AA6D1E"/>
    <w:rsid w:val="00AA7770"/>
    <w:rsid w:val="00AB199C"/>
    <w:rsid w:val="00AB3733"/>
    <w:rsid w:val="00AB588C"/>
    <w:rsid w:val="00AB7897"/>
    <w:rsid w:val="00AC29A7"/>
    <w:rsid w:val="00AC5054"/>
    <w:rsid w:val="00AE349D"/>
    <w:rsid w:val="00AE3A83"/>
    <w:rsid w:val="00AE4BAC"/>
    <w:rsid w:val="00AF6250"/>
    <w:rsid w:val="00B034FC"/>
    <w:rsid w:val="00B05310"/>
    <w:rsid w:val="00B05858"/>
    <w:rsid w:val="00B05F6E"/>
    <w:rsid w:val="00B0633E"/>
    <w:rsid w:val="00B104A6"/>
    <w:rsid w:val="00B10A0B"/>
    <w:rsid w:val="00B1372B"/>
    <w:rsid w:val="00B17251"/>
    <w:rsid w:val="00B21F88"/>
    <w:rsid w:val="00B30D85"/>
    <w:rsid w:val="00B30E14"/>
    <w:rsid w:val="00B35A4A"/>
    <w:rsid w:val="00B37502"/>
    <w:rsid w:val="00B37991"/>
    <w:rsid w:val="00B4148B"/>
    <w:rsid w:val="00B42F2F"/>
    <w:rsid w:val="00B4452A"/>
    <w:rsid w:val="00B453CF"/>
    <w:rsid w:val="00B46BD9"/>
    <w:rsid w:val="00B553E0"/>
    <w:rsid w:val="00B57EF2"/>
    <w:rsid w:val="00B63FD7"/>
    <w:rsid w:val="00B64B35"/>
    <w:rsid w:val="00B662F6"/>
    <w:rsid w:val="00B677E5"/>
    <w:rsid w:val="00B719F2"/>
    <w:rsid w:val="00B778FC"/>
    <w:rsid w:val="00B8027C"/>
    <w:rsid w:val="00B816D9"/>
    <w:rsid w:val="00B857BF"/>
    <w:rsid w:val="00B862BA"/>
    <w:rsid w:val="00B9120F"/>
    <w:rsid w:val="00B9216C"/>
    <w:rsid w:val="00B924A4"/>
    <w:rsid w:val="00B93CA6"/>
    <w:rsid w:val="00BA0B66"/>
    <w:rsid w:val="00BA15AE"/>
    <w:rsid w:val="00BA6AB8"/>
    <w:rsid w:val="00BA6DA2"/>
    <w:rsid w:val="00BB0D1A"/>
    <w:rsid w:val="00BB1D3B"/>
    <w:rsid w:val="00BB4F53"/>
    <w:rsid w:val="00BC35ED"/>
    <w:rsid w:val="00BE205A"/>
    <w:rsid w:val="00BE3802"/>
    <w:rsid w:val="00BE563B"/>
    <w:rsid w:val="00BE6953"/>
    <w:rsid w:val="00BF238E"/>
    <w:rsid w:val="00BF2560"/>
    <w:rsid w:val="00BF2F4A"/>
    <w:rsid w:val="00BF544D"/>
    <w:rsid w:val="00BF7548"/>
    <w:rsid w:val="00C0076F"/>
    <w:rsid w:val="00C0301C"/>
    <w:rsid w:val="00C050B6"/>
    <w:rsid w:val="00C0535B"/>
    <w:rsid w:val="00C07AEA"/>
    <w:rsid w:val="00C10F12"/>
    <w:rsid w:val="00C122F2"/>
    <w:rsid w:val="00C245EA"/>
    <w:rsid w:val="00C256F6"/>
    <w:rsid w:val="00C3097E"/>
    <w:rsid w:val="00C35ECC"/>
    <w:rsid w:val="00C361A8"/>
    <w:rsid w:val="00C41246"/>
    <w:rsid w:val="00C45E5F"/>
    <w:rsid w:val="00C46291"/>
    <w:rsid w:val="00C55FE0"/>
    <w:rsid w:val="00C600F0"/>
    <w:rsid w:val="00C63412"/>
    <w:rsid w:val="00C7083C"/>
    <w:rsid w:val="00C714D0"/>
    <w:rsid w:val="00C904B3"/>
    <w:rsid w:val="00C90EF4"/>
    <w:rsid w:val="00C94DD8"/>
    <w:rsid w:val="00CA015A"/>
    <w:rsid w:val="00CA304D"/>
    <w:rsid w:val="00CA32D5"/>
    <w:rsid w:val="00CB3F31"/>
    <w:rsid w:val="00CB5CD7"/>
    <w:rsid w:val="00CC1AA3"/>
    <w:rsid w:val="00CC3F3B"/>
    <w:rsid w:val="00CC41F4"/>
    <w:rsid w:val="00CD0AD5"/>
    <w:rsid w:val="00CD0F64"/>
    <w:rsid w:val="00CD4486"/>
    <w:rsid w:val="00CF5E22"/>
    <w:rsid w:val="00CF747A"/>
    <w:rsid w:val="00CF7FC0"/>
    <w:rsid w:val="00D04E9F"/>
    <w:rsid w:val="00D06A44"/>
    <w:rsid w:val="00D109C5"/>
    <w:rsid w:val="00D1254B"/>
    <w:rsid w:val="00D151EB"/>
    <w:rsid w:val="00D300E0"/>
    <w:rsid w:val="00D3096C"/>
    <w:rsid w:val="00D374CD"/>
    <w:rsid w:val="00D610D2"/>
    <w:rsid w:val="00D650CE"/>
    <w:rsid w:val="00D66FFA"/>
    <w:rsid w:val="00D71719"/>
    <w:rsid w:val="00D77529"/>
    <w:rsid w:val="00D776DA"/>
    <w:rsid w:val="00D8115B"/>
    <w:rsid w:val="00D8758B"/>
    <w:rsid w:val="00D942B3"/>
    <w:rsid w:val="00D94863"/>
    <w:rsid w:val="00D96AC2"/>
    <w:rsid w:val="00DA08FA"/>
    <w:rsid w:val="00DA47D5"/>
    <w:rsid w:val="00DA7D09"/>
    <w:rsid w:val="00DB3878"/>
    <w:rsid w:val="00DC2630"/>
    <w:rsid w:val="00DC49E9"/>
    <w:rsid w:val="00DC4F3F"/>
    <w:rsid w:val="00DC55E4"/>
    <w:rsid w:val="00DC7D71"/>
    <w:rsid w:val="00DD188C"/>
    <w:rsid w:val="00DD29A3"/>
    <w:rsid w:val="00DD48EE"/>
    <w:rsid w:val="00DE042F"/>
    <w:rsid w:val="00DE0B96"/>
    <w:rsid w:val="00DE10B9"/>
    <w:rsid w:val="00DE3E1B"/>
    <w:rsid w:val="00DE49BE"/>
    <w:rsid w:val="00DF0B13"/>
    <w:rsid w:val="00DF2EB8"/>
    <w:rsid w:val="00DF3D17"/>
    <w:rsid w:val="00DF4A94"/>
    <w:rsid w:val="00DF6003"/>
    <w:rsid w:val="00DF69B2"/>
    <w:rsid w:val="00E00095"/>
    <w:rsid w:val="00E0156C"/>
    <w:rsid w:val="00E066C3"/>
    <w:rsid w:val="00E10D8C"/>
    <w:rsid w:val="00E1353A"/>
    <w:rsid w:val="00E15572"/>
    <w:rsid w:val="00E1564B"/>
    <w:rsid w:val="00E160CF"/>
    <w:rsid w:val="00E208A0"/>
    <w:rsid w:val="00E25B49"/>
    <w:rsid w:val="00E32BA0"/>
    <w:rsid w:val="00E371EA"/>
    <w:rsid w:val="00E46F7C"/>
    <w:rsid w:val="00E51766"/>
    <w:rsid w:val="00E55471"/>
    <w:rsid w:val="00E6006F"/>
    <w:rsid w:val="00E64429"/>
    <w:rsid w:val="00E6468D"/>
    <w:rsid w:val="00E677DD"/>
    <w:rsid w:val="00E72F47"/>
    <w:rsid w:val="00E7594B"/>
    <w:rsid w:val="00E87178"/>
    <w:rsid w:val="00E91528"/>
    <w:rsid w:val="00E9203F"/>
    <w:rsid w:val="00EA3304"/>
    <w:rsid w:val="00EB4688"/>
    <w:rsid w:val="00EB513E"/>
    <w:rsid w:val="00EB6C07"/>
    <w:rsid w:val="00EC028D"/>
    <w:rsid w:val="00EC7F10"/>
    <w:rsid w:val="00ED2383"/>
    <w:rsid w:val="00ED5684"/>
    <w:rsid w:val="00ED633B"/>
    <w:rsid w:val="00EE2BBB"/>
    <w:rsid w:val="00EE478C"/>
    <w:rsid w:val="00EE55B4"/>
    <w:rsid w:val="00EF0F33"/>
    <w:rsid w:val="00EF299C"/>
    <w:rsid w:val="00EF5A22"/>
    <w:rsid w:val="00F04020"/>
    <w:rsid w:val="00F10D3C"/>
    <w:rsid w:val="00F1132C"/>
    <w:rsid w:val="00F15DD5"/>
    <w:rsid w:val="00F17A3F"/>
    <w:rsid w:val="00F17D4B"/>
    <w:rsid w:val="00F23139"/>
    <w:rsid w:val="00F269BA"/>
    <w:rsid w:val="00F3492C"/>
    <w:rsid w:val="00F47E90"/>
    <w:rsid w:val="00F52E69"/>
    <w:rsid w:val="00F54034"/>
    <w:rsid w:val="00F66CD5"/>
    <w:rsid w:val="00F67A9A"/>
    <w:rsid w:val="00F70F4E"/>
    <w:rsid w:val="00F72DEF"/>
    <w:rsid w:val="00F73113"/>
    <w:rsid w:val="00F75FC4"/>
    <w:rsid w:val="00F7631B"/>
    <w:rsid w:val="00F82BA5"/>
    <w:rsid w:val="00F85981"/>
    <w:rsid w:val="00F87263"/>
    <w:rsid w:val="00F87FA2"/>
    <w:rsid w:val="00F93725"/>
    <w:rsid w:val="00FA33ED"/>
    <w:rsid w:val="00FA4890"/>
    <w:rsid w:val="00FB6280"/>
    <w:rsid w:val="00FB75C6"/>
    <w:rsid w:val="00FB77FA"/>
    <w:rsid w:val="00FC3C70"/>
    <w:rsid w:val="00FC4A73"/>
    <w:rsid w:val="00FC559C"/>
    <w:rsid w:val="00FC7F0D"/>
    <w:rsid w:val="00FD06C1"/>
    <w:rsid w:val="00FD7A74"/>
    <w:rsid w:val="00FE5DDA"/>
    <w:rsid w:val="00FE645A"/>
    <w:rsid w:val="00FF0123"/>
    <w:rsid w:val="00FF610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85F6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7B8"/>
    <w:pPr>
      <w:spacing w:line="240" w:lineRule="auto"/>
    </w:pPr>
    <w:rPr>
      <w:sz w:val="24"/>
      <w:szCs w:val="24"/>
    </w:rPr>
  </w:style>
  <w:style w:type="paragraph" w:styleId="Heading1">
    <w:name w:val="heading 1"/>
    <w:basedOn w:val="Normal"/>
    <w:next w:val="Normal"/>
    <w:link w:val="Heading1Char"/>
    <w:uiPriority w:val="9"/>
    <w:qFormat/>
    <w:rsid w:val="00CF5E22"/>
    <w:pPr>
      <w:keepNext/>
      <w:keepLines/>
      <w:spacing w:before="480" w:after="240"/>
      <w:outlineLvl w:val="0"/>
    </w:pPr>
    <w:rPr>
      <w:rFonts w:eastAsiaTheme="majorEastAsia" w:cstheme="majorBidi"/>
      <w:b/>
      <w:bCs/>
      <w:sz w:val="32"/>
      <w:szCs w:val="32"/>
    </w:rPr>
  </w:style>
  <w:style w:type="paragraph" w:styleId="Heading2">
    <w:name w:val="heading 2"/>
    <w:basedOn w:val="Heading4"/>
    <w:next w:val="Normal"/>
    <w:link w:val="Heading2Char"/>
    <w:uiPriority w:val="9"/>
    <w:unhideWhenUsed/>
    <w:qFormat/>
    <w:rsid w:val="00CF5E22"/>
    <w:pPr>
      <w:outlineLvl w:val="1"/>
    </w:pPr>
    <w:rPr>
      <w:i w:val="0"/>
      <w:sz w:val="28"/>
      <w:szCs w:val="24"/>
    </w:rPr>
  </w:style>
  <w:style w:type="paragraph" w:styleId="Heading3">
    <w:name w:val="heading 3"/>
    <w:basedOn w:val="Normal"/>
    <w:next w:val="Normal"/>
    <w:link w:val="Heading3Char"/>
    <w:uiPriority w:val="9"/>
    <w:unhideWhenUsed/>
    <w:qFormat/>
    <w:rsid w:val="00CF5E22"/>
    <w:pPr>
      <w:spacing w:before="240"/>
      <w:outlineLvl w:val="2"/>
    </w:pPr>
    <w:rPr>
      <w:b/>
      <w:i/>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E22"/>
    <w:rPr>
      <w:rFonts w:eastAsiaTheme="majorEastAsia" w:cstheme="majorBidi"/>
      <w:b/>
      <w:bCs/>
      <w:sz w:val="32"/>
      <w:szCs w:val="32"/>
    </w:rPr>
  </w:style>
  <w:style w:type="character" w:customStyle="1" w:styleId="Heading2Char">
    <w:name w:val="Heading 2 Char"/>
    <w:basedOn w:val="DefaultParagraphFont"/>
    <w:link w:val="Heading2"/>
    <w:uiPriority w:val="9"/>
    <w:rsid w:val="00CF5E22"/>
    <w:rPr>
      <w:b/>
      <w:sz w:val="28"/>
      <w:szCs w:val="24"/>
    </w:rPr>
  </w:style>
  <w:style w:type="character" w:customStyle="1" w:styleId="Heading3Char">
    <w:name w:val="Heading 3 Char"/>
    <w:basedOn w:val="DefaultParagraphFont"/>
    <w:link w:val="Heading3"/>
    <w:uiPriority w:val="9"/>
    <w:rsid w:val="00CF5E22"/>
    <w:rPr>
      <w:b/>
      <w:i/>
      <w:sz w:val="24"/>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semiHidden/>
    <w:unhideWhenUsed/>
    <w:rsid w:val="00E677DD"/>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aliases w:val="Page Header,Header title,he=header,cntr/bld"/>
    <w:basedOn w:val="Normal"/>
    <w:link w:val="HeaderChar"/>
    <w:unhideWhenUsed/>
    <w:rsid w:val="00705DAD"/>
    <w:pPr>
      <w:tabs>
        <w:tab w:val="center" w:pos="4320"/>
        <w:tab w:val="right" w:pos="8640"/>
      </w:tabs>
      <w:spacing w:after="0"/>
    </w:pPr>
  </w:style>
  <w:style w:type="character" w:customStyle="1" w:styleId="HeaderChar">
    <w:name w:val="Header Char"/>
    <w:aliases w:val="Page Header Char,Header title Char,he=header Char,cntr/bld Char"/>
    <w:basedOn w:val="DefaultParagraphFont"/>
    <w:link w:val="Header"/>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F5E22"/>
    <w:pPr>
      <w:spacing w:after="20"/>
    </w:pPr>
    <w:rPr>
      <w:i w:val="0"/>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semiHidden/>
    <w:unhideWhenUsed/>
    <w:rsid w:val="008142B4"/>
    <w:pPr>
      <w:spacing w:after="0"/>
    </w:pPr>
    <w:rPr>
      <w:sz w:val="18"/>
      <w:szCs w:val="20"/>
    </w:rPr>
  </w:style>
  <w:style w:type="character" w:customStyle="1" w:styleId="FootnoteTextChar">
    <w:name w:val="Footnote Text Char"/>
    <w:basedOn w:val="DefaultParagraphFont"/>
    <w:link w:val="FootnoteText"/>
    <w:uiPriority w:val="99"/>
    <w:semiHidden/>
    <w:rsid w:val="008142B4"/>
    <w:rPr>
      <w:sz w:val="18"/>
      <w:szCs w:val="20"/>
    </w:rPr>
  </w:style>
  <w:style w:type="character" w:styleId="FootnoteReference">
    <w:name w:val="footnote reference"/>
    <w:basedOn w:val="DefaultParagraphFont"/>
    <w:uiPriority w:val="99"/>
    <w:unhideWhenUsed/>
    <w:rsid w:val="008142B4"/>
    <w:rPr>
      <w:vertAlign w:val="superscript"/>
    </w:rPr>
  </w:style>
  <w:style w:type="character" w:customStyle="1" w:styleId="TabletitleChar">
    <w:name w:val="Table title Char"/>
    <w:basedOn w:val="Heading4Char"/>
    <w:link w:val="Tabletitle"/>
    <w:rsid w:val="00CF5E22"/>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basedOn w:val="Normal"/>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paragraph" w:customStyle="1" w:styleId="Title2">
    <w:name w:val="Title 2"/>
    <w:basedOn w:val="Heading1"/>
    <w:link w:val="Title2Char"/>
    <w:qFormat/>
    <w:rsid w:val="00F73113"/>
    <w:rPr>
      <w:sz w:val="40"/>
    </w:rPr>
  </w:style>
  <w:style w:type="paragraph" w:customStyle="1" w:styleId="Meetingdate">
    <w:name w:val="Meeting date"/>
    <w:basedOn w:val="Heading4"/>
    <w:link w:val="MeetingdateChar"/>
    <w:qFormat/>
    <w:rsid w:val="00F73113"/>
    <w:rPr>
      <w:sz w:val="24"/>
    </w:rPr>
  </w:style>
  <w:style w:type="character" w:customStyle="1" w:styleId="Title2Char">
    <w:name w:val="Title 2 Char"/>
    <w:basedOn w:val="Heading1Char"/>
    <w:link w:val="Title2"/>
    <w:rsid w:val="00F73113"/>
    <w:rPr>
      <w:rFonts w:eastAsiaTheme="majorEastAsia" w:cstheme="majorBidi"/>
      <w:b/>
      <w:bCs/>
      <w:sz w:val="40"/>
      <w:szCs w:val="32"/>
    </w:rPr>
  </w:style>
  <w:style w:type="character" w:customStyle="1" w:styleId="MeetingdateChar">
    <w:name w:val="Meeting date Char"/>
    <w:basedOn w:val="Heading4Char"/>
    <w:link w:val="Meetingdate"/>
    <w:rsid w:val="00F73113"/>
    <w:rPr>
      <w:b/>
      <w:i/>
      <w:sz w:val="24"/>
      <w:szCs w:val="32"/>
    </w:rPr>
  </w:style>
  <w:style w:type="paragraph" w:customStyle="1" w:styleId="Default">
    <w:name w:val="Default"/>
    <w:basedOn w:val="Normal"/>
    <w:rsid w:val="001460C4"/>
    <w:pPr>
      <w:autoSpaceDE w:val="0"/>
      <w:autoSpaceDN w:val="0"/>
      <w:spacing w:after="0"/>
    </w:pPr>
    <w:rPr>
      <w:rFonts w:ascii="Calibri" w:eastAsiaTheme="minorHAnsi" w:hAnsi="Calibri" w:cs="Times New Roman"/>
      <w:color w:val="000000"/>
      <w:lang w:eastAsia="en-US"/>
    </w:rPr>
  </w:style>
  <w:style w:type="character" w:styleId="FollowedHyperlink">
    <w:name w:val="FollowedHyperlink"/>
    <w:basedOn w:val="DefaultParagraphFont"/>
    <w:uiPriority w:val="99"/>
    <w:semiHidden/>
    <w:unhideWhenUsed/>
    <w:rsid w:val="00BB4F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39895">
      <w:bodyDiv w:val="1"/>
      <w:marLeft w:val="0"/>
      <w:marRight w:val="0"/>
      <w:marTop w:val="0"/>
      <w:marBottom w:val="0"/>
      <w:divBdr>
        <w:top w:val="none" w:sz="0" w:space="0" w:color="auto"/>
        <w:left w:val="none" w:sz="0" w:space="0" w:color="auto"/>
        <w:bottom w:val="none" w:sz="0" w:space="0" w:color="auto"/>
        <w:right w:val="none" w:sz="0" w:space="0" w:color="auto"/>
      </w:divBdr>
      <w:divsChild>
        <w:div w:id="392168572">
          <w:marLeft w:val="0"/>
          <w:marRight w:val="0"/>
          <w:marTop w:val="0"/>
          <w:marBottom w:val="0"/>
          <w:divBdr>
            <w:top w:val="none" w:sz="0" w:space="0" w:color="C4DEEE"/>
            <w:left w:val="none" w:sz="0" w:space="0" w:color="C4DEEE"/>
            <w:bottom w:val="none" w:sz="0" w:space="0" w:color="C4DEEE"/>
            <w:right w:val="none" w:sz="0" w:space="0" w:color="C4DEEE"/>
          </w:divBdr>
        </w:div>
        <w:div w:id="1077633676">
          <w:marLeft w:val="0"/>
          <w:marRight w:val="0"/>
          <w:marTop w:val="0"/>
          <w:marBottom w:val="0"/>
          <w:divBdr>
            <w:top w:val="none" w:sz="0" w:space="2" w:color="C4DEEE"/>
            <w:left w:val="none" w:sz="0" w:space="15" w:color="C4DEEE"/>
            <w:bottom w:val="none" w:sz="0" w:space="2" w:color="C4DEEE"/>
            <w:right w:val="none" w:sz="0" w:space="2" w:color="C4DEEE"/>
          </w:divBdr>
        </w:div>
        <w:div w:id="1355577675">
          <w:marLeft w:val="0"/>
          <w:marRight w:val="0"/>
          <w:marTop w:val="0"/>
          <w:marBottom w:val="0"/>
          <w:divBdr>
            <w:top w:val="none" w:sz="0" w:space="0" w:color="C4DEEE"/>
            <w:left w:val="none" w:sz="0" w:space="0" w:color="C4DEEE"/>
            <w:bottom w:val="none" w:sz="0" w:space="0" w:color="C4DEEE"/>
            <w:right w:val="none" w:sz="0" w:space="0" w:color="C4DEEE"/>
          </w:divBdr>
          <w:divsChild>
            <w:div w:id="1978602446">
              <w:marLeft w:val="0"/>
              <w:marRight w:val="0"/>
              <w:marTop w:val="0"/>
              <w:marBottom w:val="0"/>
              <w:divBdr>
                <w:top w:val="none" w:sz="0" w:space="0" w:color="C4DEEE"/>
                <w:left w:val="none" w:sz="0" w:space="0" w:color="C4DEEE"/>
                <w:bottom w:val="none" w:sz="0" w:space="0" w:color="C4DEEE"/>
                <w:right w:val="none" w:sz="0" w:space="0" w:color="C4DEEE"/>
              </w:divBdr>
            </w:div>
          </w:divsChild>
        </w:div>
        <w:div w:id="1478373334">
          <w:marLeft w:val="0"/>
          <w:marRight w:val="0"/>
          <w:marTop w:val="0"/>
          <w:marBottom w:val="0"/>
          <w:divBdr>
            <w:top w:val="none" w:sz="0" w:space="0" w:color="C4DEEE"/>
            <w:left w:val="none" w:sz="0" w:space="0" w:color="C4DEEE"/>
            <w:bottom w:val="none" w:sz="0" w:space="0" w:color="C4DEEE"/>
            <w:right w:val="none" w:sz="0" w:space="0" w:color="C4DEEE"/>
          </w:divBdr>
        </w:div>
        <w:div w:id="2019038470">
          <w:marLeft w:val="0"/>
          <w:marRight w:val="0"/>
          <w:marTop w:val="0"/>
          <w:marBottom w:val="0"/>
          <w:divBdr>
            <w:top w:val="none" w:sz="0" w:space="0" w:color="C4DEEE"/>
            <w:left w:val="none" w:sz="0" w:space="0" w:color="C4DEEE"/>
            <w:bottom w:val="none" w:sz="0" w:space="0" w:color="C4DEEE"/>
            <w:right w:val="none" w:sz="0" w:space="0" w:color="C4DEEE"/>
          </w:divBdr>
          <w:divsChild>
            <w:div w:id="479469163">
              <w:marLeft w:val="0"/>
              <w:marRight w:val="0"/>
              <w:marTop w:val="0"/>
              <w:marBottom w:val="0"/>
              <w:divBdr>
                <w:top w:val="none" w:sz="0" w:space="0" w:color="C4DEEE"/>
                <w:left w:val="none" w:sz="0" w:space="0" w:color="C4DEEE"/>
                <w:bottom w:val="none" w:sz="0" w:space="0" w:color="C4DEEE"/>
                <w:right w:val="none" w:sz="0" w:space="0" w:color="C4DEEE"/>
              </w:divBdr>
            </w:div>
          </w:divsChild>
        </w:div>
      </w:divsChild>
    </w:div>
    <w:div w:id="249238340">
      <w:bodyDiv w:val="1"/>
      <w:marLeft w:val="0"/>
      <w:marRight w:val="0"/>
      <w:marTop w:val="0"/>
      <w:marBottom w:val="0"/>
      <w:divBdr>
        <w:top w:val="none" w:sz="0" w:space="0" w:color="auto"/>
        <w:left w:val="none" w:sz="0" w:space="0" w:color="auto"/>
        <w:bottom w:val="none" w:sz="0" w:space="0" w:color="auto"/>
        <w:right w:val="none" w:sz="0" w:space="0" w:color="auto"/>
      </w:divBdr>
    </w:div>
    <w:div w:id="252856443">
      <w:bodyDiv w:val="1"/>
      <w:marLeft w:val="0"/>
      <w:marRight w:val="0"/>
      <w:marTop w:val="0"/>
      <w:marBottom w:val="0"/>
      <w:divBdr>
        <w:top w:val="none" w:sz="0" w:space="0" w:color="auto"/>
        <w:left w:val="none" w:sz="0" w:space="0" w:color="auto"/>
        <w:bottom w:val="none" w:sz="0" w:space="0" w:color="auto"/>
        <w:right w:val="none" w:sz="0" w:space="0" w:color="auto"/>
      </w:divBdr>
      <w:divsChild>
        <w:div w:id="762920649">
          <w:marLeft w:val="0"/>
          <w:marRight w:val="0"/>
          <w:marTop w:val="0"/>
          <w:marBottom w:val="0"/>
          <w:divBdr>
            <w:top w:val="none" w:sz="0" w:space="0" w:color="C4DEEE"/>
            <w:left w:val="none" w:sz="0" w:space="0" w:color="C4DEEE"/>
            <w:bottom w:val="none" w:sz="0" w:space="0" w:color="C4DEEE"/>
            <w:right w:val="none" w:sz="0" w:space="0" w:color="C4DEEE"/>
          </w:divBdr>
          <w:divsChild>
            <w:div w:id="1040471354">
              <w:marLeft w:val="0"/>
              <w:marRight w:val="0"/>
              <w:marTop w:val="0"/>
              <w:marBottom w:val="0"/>
              <w:divBdr>
                <w:top w:val="none" w:sz="0" w:space="0" w:color="C4DEEE"/>
                <w:left w:val="none" w:sz="0" w:space="0" w:color="C4DEEE"/>
                <w:bottom w:val="none" w:sz="0" w:space="0" w:color="C4DEEE"/>
                <w:right w:val="none" w:sz="0" w:space="0" w:color="C4DEEE"/>
              </w:divBdr>
            </w:div>
          </w:divsChild>
        </w:div>
        <w:div w:id="1115901233">
          <w:marLeft w:val="0"/>
          <w:marRight w:val="0"/>
          <w:marTop w:val="0"/>
          <w:marBottom w:val="0"/>
          <w:divBdr>
            <w:top w:val="none" w:sz="0" w:space="0" w:color="C4DEEE"/>
            <w:left w:val="none" w:sz="0" w:space="0" w:color="C4DEEE"/>
            <w:bottom w:val="none" w:sz="0" w:space="0" w:color="C4DEEE"/>
            <w:right w:val="none" w:sz="0" w:space="0" w:color="C4DEEE"/>
          </w:divBdr>
        </w:div>
        <w:div w:id="1209956749">
          <w:marLeft w:val="0"/>
          <w:marRight w:val="0"/>
          <w:marTop w:val="0"/>
          <w:marBottom w:val="0"/>
          <w:divBdr>
            <w:top w:val="none" w:sz="0" w:space="2" w:color="C4DEEE"/>
            <w:left w:val="none" w:sz="0" w:space="15" w:color="C4DEEE"/>
            <w:bottom w:val="none" w:sz="0" w:space="2" w:color="C4DEEE"/>
            <w:right w:val="none" w:sz="0" w:space="2" w:color="C4DEEE"/>
          </w:divBdr>
        </w:div>
        <w:div w:id="1310524725">
          <w:marLeft w:val="0"/>
          <w:marRight w:val="0"/>
          <w:marTop w:val="0"/>
          <w:marBottom w:val="0"/>
          <w:divBdr>
            <w:top w:val="none" w:sz="0" w:space="0" w:color="C4DEEE"/>
            <w:left w:val="none" w:sz="0" w:space="0" w:color="C4DEEE"/>
            <w:bottom w:val="none" w:sz="0" w:space="0" w:color="C4DEEE"/>
            <w:right w:val="none" w:sz="0" w:space="0" w:color="C4DEEE"/>
          </w:divBdr>
        </w:div>
        <w:div w:id="1475444443">
          <w:marLeft w:val="0"/>
          <w:marRight w:val="0"/>
          <w:marTop w:val="0"/>
          <w:marBottom w:val="0"/>
          <w:divBdr>
            <w:top w:val="none" w:sz="0" w:space="0" w:color="C4DEEE"/>
            <w:left w:val="none" w:sz="0" w:space="0" w:color="C4DEEE"/>
            <w:bottom w:val="none" w:sz="0" w:space="0" w:color="C4DEEE"/>
            <w:right w:val="none" w:sz="0" w:space="0" w:color="C4DEEE"/>
          </w:divBdr>
          <w:divsChild>
            <w:div w:id="35857753">
              <w:marLeft w:val="0"/>
              <w:marRight w:val="0"/>
              <w:marTop w:val="0"/>
              <w:marBottom w:val="0"/>
              <w:divBdr>
                <w:top w:val="none" w:sz="0" w:space="0" w:color="C4DEEE"/>
                <w:left w:val="none" w:sz="0" w:space="0" w:color="C4DEEE"/>
                <w:bottom w:val="none" w:sz="0" w:space="0" w:color="C4DEEE"/>
                <w:right w:val="none" w:sz="0" w:space="0" w:color="C4DEEE"/>
              </w:divBdr>
            </w:div>
          </w:divsChild>
        </w:div>
        <w:div w:id="1871605715">
          <w:marLeft w:val="0"/>
          <w:marRight w:val="0"/>
          <w:marTop w:val="0"/>
          <w:marBottom w:val="0"/>
          <w:divBdr>
            <w:top w:val="none" w:sz="0" w:space="0" w:color="C4DEEE"/>
            <w:left w:val="none" w:sz="0" w:space="0" w:color="C4DEEE"/>
            <w:bottom w:val="none" w:sz="0" w:space="0" w:color="C4DEEE"/>
            <w:right w:val="none" w:sz="0" w:space="0" w:color="C4DEEE"/>
          </w:divBdr>
          <w:divsChild>
            <w:div w:id="404306517">
              <w:marLeft w:val="0"/>
              <w:marRight w:val="0"/>
              <w:marTop w:val="0"/>
              <w:marBottom w:val="0"/>
              <w:divBdr>
                <w:top w:val="none" w:sz="0" w:space="0" w:color="C4DEEE"/>
                <w:left w:val="none" w:sz="0" w:space="0" w:color="C4DEEE"/>
                <w:bottom w:val="none" w:sz="0" w:space="0" w:color="C4DEEE"/>
                <w:right w:val="none" w:sz="0" w:space="0" w:color="C4DEEE"/>
              </w:divBdr>
            </w:div>
          </w:divsChild>
        </w:div>
        <w:div w:id="1954942785">
          <w:marLeft w:val="0"/>
          <w:marRight w:val="0"/>
          <w:marTop w:val="0"/>
          <w:marBottom w:val="0"/>
          <w:divBdr>
            <w:top w:val="none" w:sz="0" w:space="2" w:color="C4DEEE"/>
            <w:left w:val="none" w:sz="0" w:space="15" w:color="C4DEEE"/>
            <w:bottom w:val="none" w:sz="0" w:space="2" w:color="C4DEEE"/>
            <w:right w:val="none" w:sz="0" w:space="2" w:color="C4DEEE"/>
          </w:divBdr>
        </w:div>
      </w:divsChild>
    </w:div>
    <w:div w:id="395667520">
      <w:bodyDiv w:val="1"/>
      <w:marLeft w:val="0"/>
      <w:marRight w:val="0"/>
      <w:marTop w:val="0"/>
      <w:marBottom w:val="0"/>
      <w:divBdr>
        <w:top w:val="none" w:sz="0" w:space="0" w:color="auto"/>
        <w:left w:val="none" w:sz="0" w:space="0" w:color="auto"/>
        <w:bottom w:val="none" w:sz="0" w:space="0" w:color="auto"/>
        <w:right w:val="none" w:sz="0" w:space="0" w:color="auto"/>
      </w:divBdr>
    </w:div>
    <w:div w:id="400060796">
      <w:bodyDiv w:val="1"/>
      <w:marLeft w:val="0"/>
      <w:marRight w:val="0"/>
      <w:marTop w:val="0"/>
      <w:marBottom w:val="0"/>
      <w:divBdr>
        <w:top w:val="none" w:sz="0" w:space="0" w:color="auto"/>
        <w:left w:val="none" w:sz="0" w:space="0" w:color="auto"/>
        <w:bottom w:val="none" w:sz="0" w:space="0" w:color="auto"/>
        <w:right w:val="none" w:sz="0" w:space="0" w:color="auto"/>
      </w:divBdr>
    </w:div>
    <w:div w:id="651324768">
      <w:bodyDiv w:val="1"/>
      <w:marLeft w:val="0"/>
      <w:marRight w:val="0"/>
      <w:marTop w:val="0"/>
      <w:marBottom w:val="0"/>
      <w:divBdr>
        <w:top w:val="none" w:sz="0" w:space="0" w:color="auto"/>
        <w:left w:val="none" w:sz="0" w:space="0" w:color="auto"/>
        <w:bottom w:val="none" w:sz="0" w:space="0" w:color="auto"/>
        <w:right w:val="none" w:sz="0" w:space="0" w:color="auto"/>
      </w:divBdr>
    </w:div>
    <w:div w:id="756176505">
      <w:bodyDiv w:val="1"/>
      <w:marLeft w:val="0"/>
      <w:marRight w:val="0"/>
      <w:marTop w:val="0"/>
      <w:marBottom w:val="0"/>
      <w:divBdr>
        <w:top w:val="none" w:sz="0" w:space="0" w:color="auto"/>
        <w:left w:val="none" w:sz="0" w:space="0" w:color="auto"/>
        <w:bottom w:val="none" w:sz="0" w:space="0" w:color="auto"/>
        <w:right w:val="none" w:sz="0" w:space="0" w:color="auto"/>
      </w:divBdr>
    </w:div>
    <w:div w:id="1111436557">
      <w:bodyDiv w:val="1"/>
      <w:marLeft w:val="0"/>
      <w:marRight w:val="0"/>
      <w:marTop w:val="0"/>
      <w:marBottom w:val="0"/>
      <w:divBdr>
        <w:top w:val="none" w:sz="0" w:space="0" w:color="auto"/>
        <w:left w:val="none" w:sz="0" w:space="0" w:color="auto"/>
        <w:bottom w:val="none" w:sz="0" w:space="0" w:color="auto"/>
        <w:right w:val="none" w:sz="0" w:space="0" w:color="auto"/>
      </w:divBdr>
    </w:div>
    <w:div w:id="1348096522">
      <w:bodyDiv w:val="1"/>
      <w:marLeft w:val="0"/>
      <w:marRight w:val="0"/>
      <w:marTop w:val="0"/>
      <w:marBottom w:val="0"/>
      <w:divBdr>
        <w:top w:val="none" w:sz="0" w:space="0" w:color="auto"/>
        <w:left w:val="none" w:sz="0" w:space="0" w:color="auto"/>
        <w:bottom w:val="none" w:sz="0" w:space="0" w:color="auto"/>
        <w:right w:val="none" w:sz="0" w:space="0" w:color="auto"/>
      </w:divBdr>
    </w:div>
    <w:div w:id="1763065897">
      <w:bodyDiv w:val="1"/>
      <w:marLeft w:val="0"/>
      <w:marRight w:val="0"/>
      <w:marTop w:val="0"/>
      <w:marBottom w:val="0"/>
      <w:divBdr>
        <w:top w:val="none" w:sz="0" w:space="0" w:color="auto"/>
        <w:left w:val="none" w:sz="0" w:space="0" w:color="auto"/>
        <w:bottom w:val="none" w:sz="0" w:space="0" w:color="auto"/>
        <w:right w:val="none" w:sz="0" w:space="0" w:color="auto"/>
      </w:divBdr>
    </w:div>
    <w:div w:id="1850295626">
      <w:bodyDiv w:val="1"/>
      <w:marLeft w:val="0"/>
      <w:marRight w:val="0"/>
      <w:marTop w:val="0"/>
      <w:marBottom w:val="0"/>
      <w:divBdr>
        <w:top w:val="none" w:sz="0" w:space="0" w:color="auto"/>
        <w:left w:val="none" w:sz="0" w:space="0" w:color="auto"/>
        <w:bottom w:val="none" w:sz="0" w:space="0" w:color="auto"/>
        <w:right w:val="none" w:sz="0" w:space="0" w:color="auto"/>
      </w:divBdr>
    </w:div>
    <w:div w:id="1947301092">
      <w:bodyDiv w:val="1"/>
      <w:marLeft w:val="0"/>
      <w:marRight w:val="0"/>
      <w:marTop w:val="0"/>
      <w:marBottom w:val="0"/>
      <w:divBdr>
        <w:top w:val="none" w:sz="0" w:space="0" w:color="auto"/>
        <w:left w:val="none" w:sz="0" w:space="0" w:color="auto"/>
        <w:bottom w:val="none" w:sz="0" w:space="0" w:color="auto"/>
        <w:right w:val="none" w:sz="0" w:space="0" w:color="auto"/>
      </w:divBdr>
    </w:div>
    <w:div w:id="213988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medicarestatistics.humanservices.gov.au/statistics/pbs_item.jsp"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NULL"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NULL"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[PATCNTBY_INDICA_SUPP_Qtr + previous indication v2 updated to DOS201906.xlsx]Sheet1!PivotTable1</c:name>
    <c:fmtId val="-1"/>
  </c:pivotSource>
  <c:chart>
    <c:autoTitleDeleted val="1"/>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4"/>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2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6"/>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27"/>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28"/>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2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0"/>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31"/>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32"/>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s>
    <c:plotArea>
      <c:layout>
        <c:manualLayout>
          <c:layoutTarget val="inner"/>
          <c:xMode val="edge"/>
          <c:yMode val="edge"/>
          <c:x val="0.1212329423430757"/>
          <c:y val="3.7690594483467538E-2"/>
          <c:w val="0.81338064013629419"/>
          <c:h val="0.72799585592318339"/>
        </c:manualLayout>
      </c:layout>
      <c:lineChart>
        <c:grouping val="standard"/>
        <c:varyColors val="0"/>
        <c:ser>
          <c:idx val="0"/>
          <c:order val="0"/>
          <c:tx>
            <c:strRef>
              <c:f>Sheet1!$B$1:$B$3</c:f>
              <c:strCache>
                <c:ptCount val="1"/>
                <c:pt idx="0">
                  <c:v>homozygous - prevalent patients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Sheet1!$A$4:$A$15</c:f>
              <c:strCache>
                <c:ptCount val="11"/>
                <c:pt idx="0">
                  <c:v>2016Q4</c:v>
                </c:pt>
                <c:pt idx="1">
                  <c:v>2017Q1</c:v>
                </c:pt>
                <c:pt idx="2">
                  <c:v>2017Q2</c:v>
                </c:pt>
                <c:pt idx="3">
                  <c:v>2017Q3</c:v>
                </c:pt>
                <c:pt idx="4">
                  <c:v>2017Q4</c:v>
                </c:pt>
                <c:pt idx="5">
                  <c:v>2018Q1</c:v>
                </c:pt>
                <c:pt idx="6">
                  <c:v>2018Q2</c:v>
                </c:pt>
                <c:pt idx="7">
                  <c:v>2018Q3</c:v>
                </c:pt>
                <c:pt idx="8">
                  <c:v>2018Q4</c:v>
                </c:pt>
                <c:pt idx="9">
                  <c:v>2019Q1</c:v>
                </c:pt>
                <c:pt idx="10">
                  <c:v>2019Q2</c:v>
                </c:pt>
              </c:strCache>
            </c:strRef>
          </c:cat>
          <c:val>
            <c:numRef>
              <c:f>Sheet1!$B$4:$B$15</c:f>
              <c:numCache>
                <c:formatCode>General</c:formatCode>
                <c:ptCount val="11"/>
                <c:pt idx="0">
                  <c:v>5</c:v>
                </c:pt>
                <c:pt idx="1">
                  <c:v>78</c:v>
                </c:pt>
                <c:pt idx="2">
                  <c:v>239</c:v>
                </c:pt>
                <c:pt idx="3">
                  <c:v>385</c:v>
                </c:pt>
                <c:pt idx="4">
                  <c:v>519</c:v>
                </c:pt>
                <c:pt idx="5">
                  <c:v>685</c:v>
                </c:pt>
                <c:pt idx="6">
                  <c:v>820</c:v>
                </c:pt>
                <c:pt idx="7">
                  <c:v>908</c:v>
                </c:pt>
                <c:pt idx="8">
                  <c:v>986</c:v>
                </c:pt>
                <c:pt idx="9">
                  <c:v>1029</c:v>
                </c:pt>
                <c:pt idx="10">
                  <c:v>1064</c:v>
                </c:pt>
              </c:numCache>
            </c:numRef>
          </c:val>
          <c:smooth val="0"/>
          <c:extLst>
            <c:ext xmlns:c16="http://schemas.microsoft.com/office/drawing/2014/chart" uri="{C3380CC4-5D6E-409C-BE32-E72D297353CC}">
              <c16:uniqueId val="{00000000-662F-46F7-81FF-63EFDC6F4A29}"/>
            </c:ext>
          </c:extLst>
        </c:ser>
        <c:ser>
          <c:idx val="1"/>
          <c:order val="1"/>
          <c:tx>
            <c:strRef>
              <c:f>Sheet1!$C$1:$C$3</c:f>
              <c:strCache>
                <c:ptCount val="1"/>
                <c:pt idx="0">
                  <c:v>homozygous - initiating patients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Sheet1!$A$4:$A$15</c:f>
              <c:strCache>
                <c:ptCount val="11"/>
                <c:pt idx="0">
                  <c:v>2016Q4</c:v>
                </c:pt>
                <c:pt idx="1">
                  <c:v>2017Q1</c:v>
                </c:pt>
                <c:pt idx="2">
                  <c:v>2017Q2</c:v>
                </c:pt>
                <c:pt idx="3">
                  <c:v>2017Q3</c:v>
                </c:pt>
                <c:pt idx="4">
                  <c:v>2017Q4</c:v>
                </c:pt>
                <c:pt idx="5">
                  <c:v>2018Q1</c:v>
                </c:pt>
                <c:pt idx="6">
                  <c:v>2018Q2</c:v>
                </c:pt>
                <c:pt idx="7">
                  <c:v>2018Q3</c:v>
                </c:pt>
                <c:pt idx="8">
                  <c:v>2018Q4</c:v>
                </c:pt>
                <c:pt idx="9">
                  <c:v>2019Q1</c:v>
                </c:pt>
                <c:pt idx="10">
                  <c:v>2019Q2</c:v>
                </c:pt>
              </c:strCache>
            </c:strRef>
          </c:cat>
          <c:val>
            <c:numRef>
              <c:f>Sheet1!$C$4:$C$15</c:f>
              <c:numCache>
                <c:formatCode>General</c:formatCode>
                <c:ptCount val="11"/>
                <c:pt idx="0">
                  <c:v>5</c:v>
                </c:pt>
                <c:pt idx="1">
                  <c:v>75</c:v>
                </c:pt>
                <c:pt idx="2">
                  <c:v>167</c:v>
                </c:pt>
                <c:pt idx="3">
                  <c:v>162</c:v>
                </c:pt>
                <c:pt idx="4">
                  <c:v>148</c:v>
                </c:pt>
                <c:pt idx="5">
                  <c:v>193</c:v>
                </c:pt>
                <c:pt idx="6">
                  <c:v>155</c:v>
                </c:pt>
                <c:pt idx="7">
                  <c:v>116</c:v>
                </c:pt>
                <c:pt idx="8">
                  <c:v>110</c:v>
                </c:pt>
                <c:pt idx="9">
                  <c:v>84</c:v>
                </c:pt>
                <c:pt idx="10">
                  <c:v>64</c:v>
                </c:pt>
              </c:numCache>
            </c:numRef>
          </c:val>
          <c:smooth val="0"/>
          <c:extLst>
            <c:ext xmlns:c16="http://schemas.microsoft.com/office/drawing/2014/chart" uri="{C3380CC4-5D6E-409C-BE32-E72D297353CC}">
              <c16:uniqueId val="{00000001-662F-46F7-81FF-63EFDC6F4A29}"/>
            </c:ext>
          </c:extLst>
        </c:ser>
        <c:ser>
          <c:idx val="2"/>
          <c:order val="2"/>
          <c:tx>
            <c:strRef>
              <c:f>Sheet1!$E$1:$E$3</c:f>
              <c:strCache>
                <c:ptCount val="1"/>
                <c:pt idx="0">
                  <c:v>heterozygous - prevalent patients </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Sheet1!$A$4:$A$15</c:f>
              <c:strCache>
                <c:ptCount val="11"/>
                <c:pt idx="0">
                  <c:v>2016Q4</c:v>
                </c:pt>
                <c:pt idx="1">
                  <c:v>2017Q1</c:v>
                </c:pt>
                <c:pt idx="2">
                  <c:v>2017Q2</c:v>
                </c:pt>
                <c:pt idx="3">
                  <c:v>2017Q3</c:v>
                </c:pt>
                <c:pt idx="4">
                  <c:v>2017Q4</c:v>
                </c:pt>
                <c:pt idx="5">
                  <c:v>2018Q1</c:v>
                </c:pt>
                <c:pt idx="6">
                  <c:v>2018Q2</c:v>
                </c:pt>
                <c:pt idx="7">
                  <c:v>2018Q3</c:v>
                </c:pt>
                <c:pt idx="8">
                  <c:v>2018Q4</c:v>
                </c:pt>
                <c:pt idx="9">
                  <c:v>2019Q1</c:v>
                </c:pt>
                <c:pt idx="10">
                  <c:v>2019Q2</c:v>
                </c:pt>
              </c:strCache>
            </c:strRef>
          </c:cat>
          <c:val>
            <c:numRef>
              <c:f>Sheet1!$E$4:$E$15</c:f>
              <c:numCache>
                <c:formatCode>General</c:formatCode>
                <c:ptCount val="11"/>
                <c:pt idx="8">
                  <c:v>56</c:v>
                </c:pt>
                <c:pt idx="9">
                  <c:v>171</c:v>
                </c:pt>
                <c:pt idx="10">
                  <c:v>281</c:v>
                </c:pt>
              </c:numCache>
            </c:numRef>
          </c:val>
          <c:smooth val="0"/>
          <c:extLst>
            <c:ext xmlns:c16="http://schemas.microsoft.com/office/drawing/2014/chart" uri="{C3380CC4-5D6E-409C-BE32-E72D297353CC}">
              <c16:uniqueId val="{00000002-662F-46F7-81FF-63EFDC6F4A29}"/>
            </c:ext>
          </c:extLst>
        </c:ser>
        <c:ser>
          <c:idx val="3"/>
          <c:order val="3"/>
          <c:tx>
            <c:strRef>
              <c:f>Sheet1!$F$1:$F$3</c:f>
              <c:strCache>
                <c:ptCount val="1"/>
                <c:pt idx="0">
                  <c:v>heterozygous - initiating patients</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Sheet1!$A$4:$A$15</c:f>
              <c:strCache>
                <c:ptCount val="11"/>
                <c:pt idx="0">
                  <c:v>2016Q4</c:v>
                </c:pt>
                <c:pt idx="1">
                  <c:v>2017Q1</c:v>
                </c:pt>
                <c:pt idx="2">
                  <c:v>2017Q2</c:v>
                </c:pt>
                <c:pt idx="3">
                  <c:v>2017Q3</c:v>
                </c:pt>
                <c:pt idx="4">
                  <c:v>2017Q4</c:v>
                </c:pt>
                <c:pt idx="5">
                  <c:v>2018Q1</c:v>
                </c:pt>
                <c:pt idx="6">
                  <c:v>2018Q2</c:v>
                </c:pt>
                <c:pt idx="7">
                  <c:v>2018Q3</c:v>
                </c:pt>
                <c:pt idx="8">
                  <c:v>2018Q4</c:v>
                </c:pt>
                <c:pt idx="9">
                  <c:v>2019Q1</c:v>
                </c:pt>
                <c:pt idx="10">
                  <c:v>2019Q2</c:v>
                </c:pt>
              </c:strCache>
            </c:strRef>
          </c:cat>
          <c:val>
            <c:numRef>
              <c:f>Sheet1!$F$4:$F$15</c:f>
              <c:numCache>
                <c:formatCode>General</c:formatCode>
                <c:ptCount val="11"/>
                <c:pt idx="8">
                  <c:v>56</c:v>
                </c:pt>
                <c:pt idx="9">
                  <c:v>118</c:v>
                </c:pt>
                <c:pt idx="10">
                  <c:v>127</c:v>
                </c:pt>
              </c:numCache>
            </c:numRef>
          </c:val>
          <c:smooth val="0"/>
          <c:extLst>
            <c:ext xmlns:c16="http://schemas.microsoft.com/office/drawing/2014/chart" uri="{C3380CC4-5D6E-409C-BE32-E72D297353CC}">
              <c16:uniqueId val="{00000003-662F-46F7-81FF-63EFDC6F4A29}"/>
            </c:ext>
          </c:extLst>
        </c:ser>
        <c:dLbls>
          <c:showLegendKey val="0"/>
          <c:showVal val="0"/>
          <c:showCatName val="0"/>
          <c:showSerName val="0"/>
          <c:showPercent val="0"/>
          <c:showBubbleSize val="0"/>
        </c:dLbls>
        <c:marker val="1"/>
        <c:smooth val="0"/>
        <c:axId val="1267148480"/>
        <c:axId val="1267155040"/>
      </c:lineChart>
      <c:catAx>
        <c:axId val="12671484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b="1"/>
                  <a:t>Quarter</a:t>
                </a:r>
                <a:r>
                  <a:rPr lang="en-AU" b="1" baseline="0"/>
                  <a:t> of supply</a:t>
                </a:r>
                <a:endParaRPr lang="en-AU" b="1"/>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7155040"/>
        <c:crosses val="autoZero"/>
        <c:auto val="1"/>
        <c:lblAlgn val="ctr"/>
        <c:lblOffset val="100"/>
        <c:noMultiLvlLbl val="0"/>
      </c:catAx>
      <c:valAx>
        <c:axId val="12671550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b="1"/>
                  <a:t>Number</a:t>
                </a:r>
                <a:r>
                  <a:rPr lang="en-AU" b="1" baseline="0"/>
                  <a:t> of patients </a:t>
                </a:r>
                <a:endParaRPr lang="en-AU" b="1"/>
              </a:p>
            </c:rich>
          </c:tx>
          <c:layout>
            <c:manualLayout>
              <c:xMode val="edge"/>
              <c:yMode val="edge"/>
              <c:x val="2.4561795243943283E-2"/>
              <c:y val="0.2553118242436587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7148480"/>
        <c:crosses val="autoZero"/>
        <c:crossBetween val="between"/>
      </c:valAx>
      <c:spPr>
        <a:noFill/>
        <a:ln>
          <a:noFill/>
        </a:ln>
        <a:effectLst/>
      </c:spPr>
    </c:plotArea>
    <c:legend>
      <c:legendPos val="r"/>
      <c:layout>
        <c:manualLayout>
          <c:xMode val="edge"/>
          <c:yMode val="edge"/>
          <c:x val="9.2813872755131893E-2"/>
          <c:y val="0.92230503481051507"/>
          <c:w val="0.8424323034199267"/>
          <c:h val="7.366959890678390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[SCRPT_SUM v2 - updated to DOS201906 on 29.7.2019.xlsx]Sheet1!PivotTable1</c:name>
    <c:fmtId val="-1"/>
  </c:pivotSource>
  <c:chart>
    <c:autoTitleDeleted val="1"/>
    <c:pivotFmts>
      <c:pivotFmt>
        <c:idx val="0"/>
        <c:spPr>
          <a:solidFill>
            <a:schemeClr val="accent1"/>
          </a:solidFill>
          <a:ln>
            <a:noFill/>
          </a:ln>
          <a:effectLst/>
        </c:spPr>
        <c:marker>
          <c:symbol val="none"/>
        </c:marker>
      </c:pivotFmt>
      <c:pivotFmt>
        <c:idx val="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7"/>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s>
    <c:plotArea>
      <c:layout>
        <c:manualLayout>
          <c:layoutTarget val="inner"/>
          <c:xMode val="edge"/>
          <c:yMode val="edge"/>
          <c:x val="0.12524089283971801"/>
          <c:y val="0.13757768457801781"/>
          <c:w val="0.83919408477423629"/>
          <c:h val="0.65038587668403702"/>
        </c:manualLayout>
      </c:layout>
      <c:lineChart>
        <c:grouping val="standard"/>
        <c:varyColors val="0"/>
        <c:ser>
          <c:idx val="0"/>
          <c:order val="0"/>
          <c:tx>
            <c:strRef>
              <c:f>Sheet1!$B$1:$B$2</c:f>
              <c:strCache>
                <c:ptCount val="1"/>
                <c:pt idx="0">
                  <c:v>heterozygous</c:v>
                </c:pt>
              </c:strCache>
            </c:strRef>
          </c:tx>
          <c:spPr>
            <a:ln w="28575" cap="rnd">
              <a:solidFill>
                <a:srgbClr val="F79646"/>
              </a:solidFill>
              <a:round/>
            </a:ln>
            <a:effectLst/>
          </c:spPr>
          <c:marker>
            <c:symbol val="circle"/>
            <c:size val="5"/>
            <c:spPr>
              <a:solidFill>
                <a:srgbClr val="F79646"/>
              </a:solidFill>
              <a:ln w="9525">
                <a:solidFill>
                  <a:srgbClr val="F79646"/>
                </a:solidFill>
              </a:ln>
              <a:effectLst/>
            </c:spPr>
          </c:marker>
          <c:cat>
            <c:strRef>
              <c:f>Sheet1!$A$3:$A$14</c:f>
              <c:strCache>
                <c:ptCount val="11"/>
                <c:pt idx="0">
                  <c:v>2016Q4</c:v>
                </c:pt>
                <c:pt idx="1">
                  <c:v>2017Q1</c:v>
                </c:pt>
                <c:pt idx="2">
                  <c:v>2017Q2</c:v>
                </c:pt>
                <c:pt idx="3">
                  <c:v>2017Q3</c:v>
                </c:pt>
                <c:pt idx="4">
                  <c:v>2017Q4</c:v>
                </c:pt>
                <c:pt idx="5">
                  <c:v>2018Q1</c:v>
                </c:pt>
                <c:pt idx="6">
                  <c:v>2018Q2</c:v>
                </c:pt>
                <c:pt idx="7">
                  <c:v>2018Q3</c:v>
                </c:pt>
                <c:pt idx="8">
                  <c:v>2018Q4</c:v>
                </c:pt>
                <c:pt idx="9">
                  <c:v>2019Q1</c:v>
                </c:pt>
                <c:pt idx="10">
                  <c:v>2019Q2</c:v>
                </c:pt>
              </c:strCache>
            </c:strRef>
          </c:cat>
          <c:val>
            <c:numRef>
              <c:f>Sheet1!$B$3:$B$14</c:f>
              <c:numCache>
                <c:formatCode>General</c:formatCode>
                <c:ptCount val="11"/>
                <c:pt idx="8">
                  <c:v>75</c:v>
                </c:pt>
                <c:pt idx="9">
                  <c:v>396</c:v>
                </c:pt>
                <c:pt idx="10">
                  <c:v>718</c:v>
                </c:pt>
              </c:numCache>
            </c:numRef>
          </c:val>
          <c:smooth val="0"/>
          <c:extLst>
            <c:ext xmlns:c16="http://schemas.microsoft.com/office/drawing/2014/chart" uri="{C3380CC4-5D6E-409C-BE32-E72D297353CC}">
              <c16:uniqueId val="{00000000-913A-4E40-A5C0-8AE336BD8450}"/>
            </c:ext>
          </c:extLst>
        </c:ser>
        <c:ser>
          <c:idx val="1"/>
          <c:order val="1"/>
          <c:tx>
            <c:strRef>
              <c:f>Sheet1!$C$1:$C$2</c:f>
              <c:strCache>
                <c:ptCount val="1"/>
                <c:pt idx="0">
                  <c:v>homozygous</c:v>
                </c:pt>
              </c:strCache>
            </c:strRef>
          </c:tx>
          <c:spPr>
            <a:ln w="28575" cap="rnd">
              <a:solidFill>
                <a:srgbClr val="4F81BD"/>
              </a:solidFill>
              <a:round/>
            </a:ln>
            <a:effectLst/>
          </c:spPr>
          <c:marker>
            <c:symbol val="circle"/>
            <c:size val="5"/>
            <c:spPr>
              <a:solidFill>
                <a:srgbClr val="4F81BD"/>
              </a:solidFill>
              <a:ln w="9525">
                <a:solidFill>
                  <a:srgbClr val="4F81BD"/>
                </a:solidFill>
              </a:ln>
              <a:effectLst/>
            </c:spPr>
          </c:marker>
          <c:cat>
            <c:strRef>
              <c:f>Sheet1!$A$3:$A$14</c:f>
              <c:strCache>
                <c:ptCount val="11"/>
                <c:pt idx="0">
                  <c:v>2016Q4</c:v>
                </c:pt>
                <c:pt idx="1">
                  <c:v>2017Q1</c:v>
                </c:pt>
                <c:pt idx="2">
                  <c:v>2017Q2</c:v>
                </c:pt>
                <c:pt idx="3">
                  <c:v>2017Q3</c:v>
                </c:pt>
                <c:pt idx="4">
                  <c:v>2017Q4</c:v>
                </c:pt>
                <c:pt idx="5">
                  <c:v>2018Q1</c:v>
                </c:pt>
                <c:pt idx="6">
                  <c:v>2018Q2</c:v>
                </c:pt>
                <c:pt idx="7">
                  <c:v>2018Q3</c:v>
                </c:pt>
                <c:pt idx="8">
                  <c:v>2018Q4</c:v>
                </c:pt>
                <c:pt idx="9">
                  <c:v>2019Q1</c:v>
                </c:pt>
                <c:pt idx="10">
                  <c:v>2019Q2</c:v>
                </c:pt>
              </c:strCache>
            </c:strRef>
          </c:cat>
          <c:val>
            <c:numRef>
              <c:f>Sheet1!$C$3:$C$14</c:f>
              <c:numCache>
                <c:formatCode>General</c:formatCode>
                <c:ptCount val="11"/>
                <c:pt idx="0">
                  <c:v>11</c:v>
                </c:pt>
                <c:pt idx="1">
                  <c:v>120</c:v>
                </c:pt>
                <c:pt idx="2">
                  <c:v>434</c:v>
                </c:pt>
                <c:pt idx="3">
                  <c:v>782</c:v>
                </c:pt>
                <c:pt idx="4">
                  <c:v>1075</c:v>
                </c:pt>
                <c:pt idx="5">
                  <c:v>1362</c:v>
                </c:pt>
                <c:pt idx="6">
                  <c:v>1780</c:v>
                </c:pt>
                <c:pt idx="7">
                  <c:v>1969</c:v>
                </c:pt>
                <c:pt idx="8">
                  <c:v>2161</c:v>
                </c:pt>
                <c:pt idx="9">
                  <c:v>2108</c:v>
                </c:pt>
                <c:pt idx="10">
                  <c:v>2275</c:v>
                </c:pt>
              </c:numCache>
            </c:numRef>
          </c:val>
          <c:smooth val="0"/>
          <c:extLst>
            <c:ext xmlns:c16="http://schemas.microsoft.com/office/drawing/2014/chart" uri="{C3380CC4-5D6E-409C-BE32-E72D297353CC}">
              <c16:uniqueId val="{00000001-913A-4E40-A5C0-8AE336BD8450}"/>
            </c:ext>
          </c:extLst>
        </c:ser>
        <c:dLbls>
          <c:showLegendKey val="0"/>
          <c:showVal val="0"/>
          <c:showCatName val="0"/>
          <c:showSerName val="0"/>
          <c:showPercent val="0"/>
          <c:showBubbleSize val="0"/>
        </c:dLbls>
        <c:marker val="1"/>
        <c:smooth val="0"/>
        <c:axId val="708448096"/>
        <c:axId val="708446456"/>
      </c:lineChart>
      <c:catAx>
        <c:axId val="70844809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b="1"/>
                  <a:t>Quarter</a:t>
                </a:r>
                <a:r>
                  <a:rPr lang="en-AU" b="1" baseline="0"/>
                  <a:t> of supply</a:t>
                </a:r>
                <a:endParaRPr lang="en-AU" b="1"/>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8446456"/>
        <c:crosses val="autoZero"/>
        <c:auto val="1"/>
        <c:lblAlgn val="ctr"/>
        <c:lblOffset val="100"/>
        <c:noMultiLvlLbl val="0"/>
      </c:catAx>
      <c:valAx>
        <c:axId val="7084464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b="1"/>
                  <a:t>Number</a:t>
                </a:r>
                <a:r>
                  <a:rPr lang="en-AU" b="1" baseline="0"/>
                  <a:t> of prescriptions</a:t>
                </a:r>
                <a:endParaRPr lang="en-AU" b="1"/>
              </a:p>
            </c:rich>
          </c:tx>
          <c:layout>
            <c:manualLayout>
              <c:xMode val="edge"/>
              <c:yMode val="edge"/>
              <c:x val="1.0706621926808664E-2"/>
              <c:y val="0.2310503588970173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8448096"/>
        <c:crosses val="autoZero"/>
        <c:crossBetween val="between"/>
      </c:valAx>
      <c:spPr>
        <a:noFill/>
        <a:ln>
          <a:noFill/>
        </a:ln>
        <a:effectLst/>
      </c:spPr>
    </c:plotArea>
    <c:legend>
      <c:legendPos val="r"/>
      <c:layout>
        <c:manualLayout>
          <c:xMode val="edge"/>
          <c:yMode val="edge"/>
          <c:x val="8.7975357328408055E-2"/>
          <c:y val="0.8841865428120097"/>
          <c:w val="0.78921566645187546"/>
          <c:h val="0.1156424061006422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[SCRPT_SUM v2 - updated to DOS201906 on 29.7.2019.xlsx]Sheet1 (2)!PivotTable1</c:name>
    <c:fmtId val="-1"/>
  </c:pivotSource>
  <c:chart>
    <c:autoTitleDeleted val="1"/>
    <c:pivotFmts>
      <c:pivotFmt>
        <c:idx val="0"/>
        <c:spPr>
          <a:solidFill>
            <a:schemeClr val="accent1"/>
          </a:solidFill>
          <a:ln>
            <a:noFill/>
          </a:ln>
          <a:effectLst/>
        </c:spPr>
        <c:marker>
          <c:symbol val="none"/>
        </c:marker>
      </c:pivotFmt>
      <c:pivotFmt>
        <c:idx val="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6"/>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7"/>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9"/>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10"/>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11"/>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1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3"/>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14"/>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15"/>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s>
    <c:plotArea>
      <c:layout>
        <c:manualLayout>
          <c:layoutTarget val="inner"/>
          <c:xMode val="edge"/>
          <c:yMode val="edge"/>
          <c:x val="0.12077511188627379"/>
          <c:y val="5.5131060476272066E-2"/>
          <c:w val="0.85179760869737209"/>
          <c:h val="0.59405718879966096"/>
        </c:manualLayout>
      </c:layout>
      <c:lineChart>
        <c:grouping val="standard"/>
        <c:varyColors val="0"/>
        <c:ser>
          <c:idx val="0"/>
          <c:order val="0"/>
          <c:tx>
            <c:strRef>
              <c:f>'Sheet1 (2)'!$B$1:$B$4</c:f>
              <c:strCache>
                <c:ptCount val="1"/>
                <c:pt idx="0">
                  <c:v>heterozygous - 11484K - Injection 140 mg in 1 mL single use pre-filled pen</c:v>
                </c:pt>
              </c:strCache>
            </c:strRef>
          </c:tx>
          <c:spPr>
            <a:ln w="28575" cap="rnd">
              <a:solidFill>
                <a:srgbClr val="F79646"/>
              </a:solidFill>
              <a:round/>
            </a:ln>
            <a:effectLst/>
          </c:spPr>
          <c:marker>
            <c:symbol val="circle"/>
            <c:size val="5"/>
            <c:spPr>
              <a:solidFill>
                <a:srgbClr val="F79646"/>
              </a:solidFill>
              <a:ln w="9525">
                <a:solidFill>
                  <a:srgbClr val="F79646"/>
                </a:solidFill>
              </a:ln>
              <a:effectLst/>
            </c:spPr>
          </c:marker>
          <c:cat>
            <c:strRef>
              <c:f>'Sheet1 (2)'!$A$5:$A$16</c:f>
              <c:strCache>
                <c:ptCount val="11"/>
                <c:pt idx="0">
                  <c:v>2016Q4</c:v>
                </c:pt>
                <c:pt idx="1">
                  <c:v>2017Q1</c:v>
                </c:pt>
                <c:pt idx="2">
                  <c:v>2017Q2</c:v>
                </c:pt>
                <c:pt idx="3">
                  <c:v>2017Q3</c:v>
                </c:pt>
                <c:pt idx="4">
                  <c:v>2017Q4</c:v>
                </c:pt>
                <c:pt idx="5">
                  <c:v>2018Q1</c:v>
                </c:pt>
                <c:pt idx="6">
                  <c:v>2018Q2</c:v>
                </c:pt>
                <c:pt idx="7">
                  <c:v>2018Q3</c:v>
                </c:pt>
                <c:pt idx="8">
                  <c:v>2018Q4</c:v>
                </c:pt>
                <c:pt idx="9">
                  <c:v>2019Q1</c:v>
                </c:pt>
                <c:pt idx="10">
                  <c:v>2019Q2</c:v>
                </c:pt>
              </c:strCache>
            </c:strRef>
          </c:cat>
          <c:val>
            <c:numRef>
              <c:f>'Sheet1 (2)'!$B$5:$B$16</c:f>
              <c:numCache>
                <c:formatCode>General</c:formatCode>
                <c:ptCount val="11"/>
                <c:pt idx="8">
                  <c:v>74</c:v>
                </c:pt>
                <c:pt idx="9">
                  <c:v>390</c:v>
                </c:pt>
                <c:pt idx="10">
                  <c:v>695</c:v>
                </c:pt>
              </c:numCache>
            </c:numRef>
          </c:val>
          <c:smooth val="0"/>
          <c:extLst>
            <c:ext xmlns:c16="http://schemas.microsoft.com/office/drawing/2014/chart" uri="{C3380CC4-5D6E-409C-BE32-E72D297353CC}">
              <c16:uniqueId val="{00000000-57EC-42D8-B589-AFEFD06EA7AD}"/>
            </c:ext>
          </c:extLst>
        </c:ser>
        <c:ser>
          <c:idx val="1"/>
          <c:order val="1"/>
          <c:tx>
            <c:strRef>
              <c:f>'Sheet1 (2)'!$D$1:$D$4</c:f>
              <c:strCache>
                <c:ptCount val="1"/>
                <c:pt idx="0">
                  <c:v>heterozygous - 11485L - Injection 420 mg in 3.5 mL single use pre-filled cartridge</c:v>
                </c:pt>
              </c:strCache>
            </c:strRef>
          </c:tx>
          <c:spPr>
            <a:ln w="28575" cap="rnd">
              <a:solidFill>
                <a:srgbClr val="C00000"/>
              </a:solidFill>
              <a:round/>
            </a:ln>
            <a:effectLst/>
          </c:spPr>
          <c:marker>
            <c:symbol val="circle"/>
            <c:size val="5"/>
            <c:spPr>
              <a:solidFill>
                <a:srgbClr val="C00000"/>
              </a:solidFill>
              <a:ln w="9525">
                <a:solidFill>
                  <a:srgbClr val="C00000"/>
                </a:solidFill>
              </a:ln>
              <a:effectLst/>
            </c:spPr>
          </c:marker>
          <c:cat>
            <c:strRef>
              <c:f>'Sheet1 (2)'!$A$5:$A$16</c:f>
              <c:strCache>
                <c:ptCount val="11"/>
                <c:pt idx="0">
                  <c:v>2016Q4</c:v>
                </c:pt>
                <c:pt idx="1">
                  <c:v>2017Q1</c:v>
                </c:pt>
                <c:pt idx="2">
                  <c:v>2017Q2</c:v>
                </c:pt>
                <c:pt idx="3">
                  <c:v>2017Q3</c:v>
                </c:pt>
                <c:pt idx="4">
                  <c:v>2017Q4</c:v>
                </c:pt>
                <c:pt idx="5">
                  <c:v>2018Q1</c:v>
                </c:pt>
                <c:pt idx="6">
                  <c:v>2018Q2</c:v>
                </c:pt>
                <c:pt idx="7">
                  <c:v>2018Q3</c:v>
                </c:pt>
                <c:pt idx="8">
                  <c:v>2018Q4</c:v>
                </c:pt>
                <c:pt idx="9">
                  <c:v>2019Q1</c:v>
                </c:pt>
                <c:pt idx="10">
                  <c:v>2019Q2</c:v>
                </c:pt>
              </c:strCache>
            </c:strRef>
          </c:cat>
          <c:val>
            <c:numRef>
              <c:f>'Sheet1 (2)'!$D$5:$D$16</c:f>
              <c:numCache>
                <c:formatCode>General</c:formatCode>
                <c:ptCount val="11"/>
                <c:pt idx="8">
                  <c:v>1</c:v>
                </c:pt>
                <c:pt idx="9">
                  <c:v>6</c:v>
                </c:pt>
                <c:pt idx="10">
                  <c:v>23</c:v>
                </c:pt>
              </c:numCache>
            </c:numRef>
          </c:val>
          <c:smooth val="0"/>
          <c:extLst>
            <c:ext xmlns:c16="http://schemas.microsoft.com/office/drawing/2014/chart" uri="{C3380CC4-5D6E-409C-BE32-E72D297353CC}">
              <c16:uniqueId val="{00000001-57EC-42D8-B589-AFEFD06EA7AD}"/>
            </c:ext>
          </c:extLst>
        </c:ser>
        <c:ser>
          <c:idx val="2"/>
          <c:order val="2"/>
          <c:tx>
            <c:strRef>
              <c:f>'Sheet1 (2)'!$G$1:$G$4</c:f>
              <c:strCache>
                <c:ptCount val="1"/>
                <c:pt idx="0">
                  <c:v>homozygous - 10958R - Injection 140 mg in 1 mL single use pre-filled pen</c:v>
                </c:pt>
              </c:strCache>
            </c:strRef>
          </c:tx>
          <c:spPr>
            <a:ln w="28575" cap="rnd">
              <a:solidFill>
                <a:srgbClr val="0070C0"/>
              </a:solidFill>
              <a:round/>
            </a:ln>
            <a:effectLst/>
          </c:spPr>
          <c:marker>
            <c:symbol val="circle"/>
            <c:size val="5"/>
            <c:spPr>
              <a:solidFill>
                <a:srgbClr val="0070C0"/>
              </a:solidFill>
              <a:ln w="9525">
                <a:solidFill>
                  <a:srgbClr val="0070C0"/>
                </a:solidFill>
              </a:ln>
              <a:effectLst/>
            </c:spPr>
          </c:marker>
          <c:cat>
            <c:strRef>
              <c:f>'Sheet1 (2)'!$A$5:$A$16</c:f>
              <c:strCache>
                <c:ptCount val="11"/>
                <c:pt idx="0">
                  <c:v>2016Q4</c:v>
                </c:pt>
                <c:pt idx="1">
                  <c:v>2017Q1</c:v>
                </c:pt>
                <c:pt idx="2">
                  <c:v>2017Q2</c:v>
                </c:pt>
                <c:pt idx="3">
                  <c:v>2017Q3</c:v>
                </c:pt>
                <c:pt idx="4">
                  <c:v>2017Q4</c:v>
                </c:pt>
                <c:pt idx="5">
                  <c:v>2018Q1</c:v>
                </c:pt>
                <c:pt idx="6">
                  <c:v>2018Q2</c:v>
                </c:pt>
                <c:pt idx="7">
                  <c:v>2018Q3</c:v>
                </c:pt>
                <c:pt idx="8">
                  <c:v>2018Q4</c:v>
                </c:pt>
                <c:pt idx="9">
                  <c:v>2019Q1</c:v>
                </c:pt>
                <c:pt idx="10">
                  <c:v>2019Q2</c:v>
                </c:pt>
              </c:strCache>
            </c:strRef>
          </c:cat>
          <c:val>
            <c:numRef>
              <c:f>'Sheet1 (2)'!$G$5:$G$16</c:f>
              <c:numCache>
                <c:formatCode>General</c:formatCode>
                <c:ptCount val="11"/>
                <c:pt idx="0">
                  <c:v>11</c:v>
                </c:pt>
                <c:pt idx="1">
                  <c:v>120</c:v>
                </c:pt>
                <c:pt idx="2">
                  <c:v>434</c:v>
                </c:pt>
                <c:pt idx="3">
                  <c:v>782</c:v>
                </c:pt>
                <c:pt idx="4">
                  <c:v>1073</c:v>
                </c:pt>
                <c:pt idx="5">
                  <c:v>1338</c:v>
                </c:pt>
                <c:pt idx="6">
                  <c:v>1735</c:v>
                </c:pt>
                <c:pt idx="7">
                  <c:v>1882</c:v>
                </c:pt>
                <c:pt idx="8">
                  <c:v>2041</c:v>
                </c:pt>
                <c:pt idx="9">
                  <c:v>1986</c:v>
                </c:pt>
                <c:pt idx="10">
                  <c:v>2108</c:v>
                </c:pt>
              </c:numCache>
            </c:numRef>
          </c:val>
          <c:smooth val="0"/>
          <c:extLst>
            <c:ext xmlns:c16="http://schemas.microsoft.com/office/drawing/2014/chart" uri="{C3380CC4-5D6E-409C-BE32-E72D297353CC}">
              <c16:uniqueId val="{00000002-57EC-42D8-B589-AFEFD06EA7AD}"/>
            </c:ext>
          </c:extLst>
        </c:ser>
        <c:ser>
          <c:idx val="3"/>
          <c:order val="3"/>
          <c:tx>
            <c:strRef>
              <c:f>'Sheet1 (2)'!$I$1:$I$4</c:f>
              <c:strCache>
                <c:ptCount val="1"/>
                <c:pt idx="0">
                  <c:v>homozygous - 11193D - Injection 420 mg in 3.5 mL single use pre-filled cartridge</c:v>
                </c:pt>
              </c:strCache>
            </c:strRef>
          </c:tx>
          <c:spPr>
            <a:ln w="28575" cap="rnd">
              <a:solidFill>
                <a:srgbClr val="9BBB59"/>
              </a:solidFill>
              <a:round/>
            </a:ln>
            <a:effectLst/>
          </c:spPr>
          <c:marker>
            <c:symbol val="circle"/>
            <c:size val="5"/>
            <c:spPr>
              <a:solidFill>
                <a:srgbClr val="9BBB59"/>
              </a:solidFill>
              <a:ln w="9525">
                <a:solidFill>
                  <a:srgbClr val="9BBB59"/>
                </a:solidFill>
              </a:ln>
              <a:effectLst/>
            </c:spPr>
          </c:marker>
          <c:cat>
            <c:strRef>
              <c:f>'Sheet1 (2)'!$A$5:$A$16</c:f>
              <c:strCache>
                <c:ptCount val="11"/>
                <c:pt idx="0">
                  <c:v>2016Q4</c:v>
                </c:pt>
                <c:pt idx="1">
                  <c:v>2017Q1</c:v>
                </c:pt>
                <c:pt idx="2">
                  <c:v>2017Q2</c:v>
                </c:pt>
                <c:pt idx="3">
                  <c:v>2017Q3</c:v>
                </c:pt>
                <c:pt idx="4">
                  <c:v>2017Q4</c:v>
                </c:pt>
                <c:pt idx="5">
                  <c:v>2018Q1</c:v>
                </c:pt>
                <c:pt idx="6">
                  <c:v>2018Q2</c:v>
                </c:pt>
                <c:pt idx="7">
                  <c:v>2018Q3</c:v>
                </c:pt>
                <c:pt idx="8">
                  <c:v>2018Q4</c:v>
                </c:pt>
                <c:pt idx="9">
                  <c:v>2019Q1</c:v>
                </c:pt>
                <c:pt idx="10">
                  <c:v>2019Q2</c:v>
                </c:pt>
              </c:strCache>
            </c:strRef>
          </c:cat>
          <c:val>
            <c:numRef>
              <c:f>'Sheet1 (2)'!$I$5:$I$16</c:f>
              <c:numCache>
                <c:formatCode>General</c:formatCode>
                <c:ptCount val="11"/>
                <c:pt idx="4">
                  <c:v>2</c:v>
                </c:pt>
                <c:pt idx="5">
                  <c:v>24</c:v>
                </c:pt>
                <c:pt idx="6">
                  <c:v>45</c:v>
                </c:pt>
                <c:pt idx="7">
                  <c:v>87</c:v>
                </c:pt>
                <c:pt idx="8">
                  <c:v>120</c:v>
                </c:pt>
                <c:pt idx="9">
                  <c:v>122</c:v>
                </c:pt>
                <c:pt idx="10">
                  <c:v>167</c:v>
                </c:pt>
              </c:numCache>
            </c:numRef>
          </c:val>
          <c:smooth val="0"/>
          <c:extLst>
            <c:ext xmlns:c16="http://schemas.microsoft.com/office/drawing/2014/chart" uri="{C3380CC4-5D6E-409C-BE32-E72D297353CC}">
              <c16:uniqueId val="{00000003-57EC-42D8-B589-AFEFD06EA7AD}"/>
            </c:ext>
          </c:extLst>
        </c:ser>
        <c:dLbls>
          <c:showLegendKey val="0"/>
          <c:showVal val="0"/>
          <c:showCatName val="0"/>
          <c:showSerName val="0"/>
          <c:showPercent val="0"/>
          <c:showBubbleSize val="0"/>
        </c:dLbls>
        <c:marker val="1"/>
        <c:smooth val="0"/>
        <c:axId val="708448096"/>
        <c:axId val="708446456"/>
      </c:lineChart>
      <c:catAx>
        <c:axId val="70844809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b="1"/>
                  <a:t>Quarter</a:t>
                </a:r>
                <a:r>
                  <a:rPr lang="en-AU" b="1" baseline="0"/>
                  <a:t> of Supply</a:t>
                </a:r>
                <a:endParaRPr lang="en-AU" b="1"/>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8446456"/>
        <c:crosses val="autoZero"/>
        <c:auto val="1"/>
        <c:lblAlgn val="ctr"/>
        <c:lblOffset val="100"/>
        <c:noMultiLvlLbl val="0"/>
      </c:catAx>
      <c:valAx>
        <c:axId val="7084464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b="1"/>
                  <a:t>Number</a:t>
                </a:r>
                <a:r>
                  <a:rPr lang="en-AU" b="1" baseline="0"/>
                  <a:t> of prescriptions</a:t>
                </a:r>
                <a:endParaRPr lang="en-AU" b="1"/>
              </a:p>
            </c:rich>
          </c:tx>
          <c:layout>
            <c:manualLayout>
              <c:xMode val="edge"/>
              <c:yMode val="edge"/>
              <c:x val="1.5172402880252896E-2"/>
              <c:y val="0.1923941621397034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8448096"/>
        <c:crosses val="autoZero"/>
        <c:crossBetween val="between"/>
      </c:valAx>
      <c:spPr>
        <a:noFill/>
        <a:ln>
          <a:noFill/>
        </a:ln>
        <a:effectLst/>
      </c:spPr>
    </c:plotArea>
    <c:legend>
      <c:legendPos val="r"/>
      <c:layout>
        <c:manualLayout>
          <c:xMode val="edge"/>
          <c:yMode val="edge"/>
          <c:x val="3.0292939406912644E-2"/>
          <c:y val="0.80424632975358123"/>
          <c:w val="0.92281636058192296"/>
          <c:h val="0.1858322397200349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presc_type!$A$26</c:f>
              <c:strCache>
                <c:ptCount val="1"/>
                <c:pt idx="0">
                  <c:v>Cardiology</c:v>
                </c:pt>
              </c:strCache>
            </c:strRef>
          </c:tx>
          <c:spPr>
            <a:solidFill>
              <a:schemeClr val="accent1"/>
            </a:solidFill>
            <a:ln>
              <a:noFill/>
            </a:ln>
            <a:effectLst/>
          </c:spPr>
          <c:invertIfNegative val="0"/>
          <c:cat>
            <c:strRef>
              <c:f>presc_type!$B$25</c:f>
              <c:strCache>
                <c:ptCount val="1"/>
                <c:pt idx="0">
                  <c:v>Evolocumab</c:v>
                </c:pt>
              </c:strCache>
            </c:strRef>
          </c:cat>
          <c:val>
            <c:numRef>
              <c:f>presc_type!$B$26</c:f>
              <c:numCache>
                <c:formatCode>General</c:formatCode>
                <c:ptCount val="1"/>
                <c:pt idx="0">
                  <c:v>414</c:v>
                </c:pt>
              </c:numCache>
            </c:numRef>
          </c:val>
          <c:extLst>
            <c:ext xmlns:c16="http://schemas.microsoft.com/office/drawing/2014/chart" uri="{C3380CC4-5D6E-409C-BE32-E72D297353CC}">
              <c16:uniqueId val="{00000000-640A-45BC-8F93-351F9A30DD54}"/>
            </c:ext>
          </c:extLst>
        </c:ser>
        <c:ser>
          <c:idx val="1"/>
          <c:order val="1"/>
          <c:tx>
            <c:strRef>
              <c:f>presc_type!$A$27</c:f>
              <c:strCache>
                <c:ptCount val="1"/>
                <c:pt idx="0">
                  <c:v>Endocrinology</c:v>
                </c:pt>
              </c:strCache>
            </c:strRef>
          </c:tx>
          <c:spPr>
            <a:solidFill>
              <a:schemeClr val="accent2"/>
            </a:solidFill>
            <a:ln>
              <a:noFill/>
            </a:ln>
            <a:effectLst/>
          </c:spPr>
          <c:invertIfNegative val="0"/>
          <c:cat>
            <c:strRef>
              <c:f>presc_type!$B$25</c:f>
              <c:strCache>
                <c:ptCount val="1"/>
                <c:pt idx="0">
                  <c:v>Evolocumab</c:v>
                </c:pt>
              </c:strCache>
            </c:strRef>
          </c:cat>
          <c:val>
            <c:numRef>
              <c:f>presc_type!$B$27</c:f>
              <c:numCache>
                <c:formatCode>General</c:formatCode>
                <c:ptCount val="1"/>
                <c:pt idx="0">
                  <c:v>35</c:v>
                </c:pt>
              </c:numCache>
            </c:numRef>
          </c:val>
          <c:extLst>
            <c:ext xmlns:c16="http://schemas.microsoft.com/office/drawing/2014/chart" uri="{C3380CC4-5D6E-409C-BE32-E72D297353CC}">
              <c16:uniqueId val="{00000001-640A-45BC-8F93-351F9A30DD54}"/>
            </c:ext>
          </c:extLst>
        </c:ser>
        <c:ser>
          <c:idx val="2"/>
          <c:order val="2"/>
          <c:tx>
            <c:strRef>
              <c:f>presc_type!$A$28</c:f>
              <c:strCache>
                <c:ptCount val="1"/>
                <c:pt idx="0">
                  <c:v>GP</c:v>
                </c:pt>
              </c:strCache>
            </c:strRef>
          </c:tx>
          <c:spPr>
            <a:solidFill>
              <a:schemeClr val="accent3"/>
            </a:solidFill>
            <a:ln>
              <a:noFill/>
            </a:ln>
            <a:effectLst/>
          </c:spPr>
          <c:invertIfNegative val="0"/>
          <c:cat>
            <c:strRef>
              <c:f>presc_type!$B$25</c:f>
              <c:strCache>
                <c:ptCount val="1"/>
                <c:pt idx="0">
                  <c:v>Evolocumab</c:v>
                </c:pt>
              </c:strCache>
            </c:strRef>
          </c:cat>
          <c:val>
            <c:numRef>
              <c:f>presc_type!$B$28</c:f>
              <c:numCache>
                <c:formatCode>General</c:formatCode>
                <c:ptCount val="1"/>
                <c:pt idx="0">
                  <c:v>44</c:v>
                </c:pt>
              </c:numCache>
            </c:numRef>
          </c:val>
          <c:extLst>
            <c:ext xmlns:c16="http://schemas.microsoft.com/office/drawing/2014/chart" uri="{C3380CC4-5D6E-409C-BE32-E72D297353CC}">
              <c16:uniqueId val="{00000002-640A-45BC-8F93-351F9A30DD54}"/>
            </c:ext>
          </c:extLst>
        </c:ser>
        <c:ser>
          <c:idx val="3"/>
          <c:order val="3"/>
          <c:tx>
            <c:strRef>
              <c:f>presc_type!$A$29</c:f>
              <c:strCache>
                <c:ptCount val="1"/>
                <c:pt idx="0">
                  <c:v>Internal Medicine</c:v>
                </c:pt>
              </c:strCache>
            </c:strRef>
          </c:tx>
          <c:spPr>
            <a:solidFill>
              <a:schemeClr val="accent4"/>
            </a:solidFill>
            <a:ln>
              <a:noFill/>
            </a:ln>
            <a:effectLst/>
          </c:spPr>
          <c:invertIfNegative val="0"/>
          <c:cat>
            <c:strRef>
              <c:f>presc_type!$B$25</c:f>
              <c:strCache>
                <c:ptCount val="1"/>
                <c:pt idx="0">
                  <c:v>Evolocumab</c:v>
                </c:pt>
              </c:strCache>
            </c:strRef>
          </c:cat>
          <c:val>
            <c:numRef>
              <c:f>presc_type!$B$29</c:f>
              <c:numCache>
                <c:formatCode>General</c:formatCode>
                <c:ptCount val="1"/>
                <c:pt idx="0">
                  <c:v>66</c:v>
                </c:pt>
              </c:numCache>
            </c:numRef>
          </c:val>
          <c:extLst>
            <c:ext xmlns:c16="http://schemas.microsoft.com/office/drawing/2014/chart" uri="{C3380CC4-5D6E-409C-BE32-E72D297353CC}">
              <c16:uniqueId val="{00000003-640A-45BC-8F93-351F9A30DD54}"/>
            </c:ext>
          </c:extLst>
        </c:ser>
        <c:ser>
          <c:idx val="4"/>
          <c:order val="4"/>
          <c:tx>
            <c:strRef>
              <c:f>presc_type!$A$30</c:f>
              <c:strCache>
                <c:ptCount val="1"/>
                <c:pt idx="0">
                  <c:v>Pathology</c:v>
                </c:pt>
              </c:strCache>
            </c:strRef>
          </c:tx>
          <c:spPr>
            <a:solidFill>
              <a:schemeClr val="accent5"/>
            </a:solidFill>
            <a:ln>
              <a:noFill/>
            </a:ln>
            <a:effectLst/>
          </c:spPr>
          <c:invertIfNegative val="0"/>
          <c:cat>
            <c:strRef>
              <c:f>presc_type!$B$25</c:f>
              <c:strCache>
                <c:ptCount val="1"/>
                <c:pt idx="0">
                  <c:v>Evolocumab</c:v>
                </c:pt>
              </c:strCache>
            </c:strRef>
          </c:cat>
          <c:val>
            <c:numRef>
              <c:f>presc_type!$B$30</c:f>
              <c:numCache>
                <c:formatCode>General</c:formatCode>
                <c:ptCount val="1"/>
                <c:pt idx="0">
                  <c:v>7</c:v>
                </c:pt>
              </c:numCache>
            </c:numRef>
          </c:val>
          <c:extLst>
            <c:ext xmlns:c16="http://schemas.microsoft.com/office/drawing/2014/chart" uri="{C3380CC4-5D6E-409C-BE32-E72D297353CC}">
              <c16:uniqueId val="{00000004-640A-45BC-8F93-351F9A30DD54}"/>
            </c:ext>
          </c:extLst>
        </c:ser>
        <c:ser>
          <c:idx val="5"/>
          <c:order val="5"/>
          <c:tx>
            <c:strRef>
              <c:f>presc_type!$A$31</c:f>
              <c:strCache>
                <c:ptCount val="1"/>
                <c:pt idx="0">
                  <c:v>Other</c:v>
                </c:pt>
              </c:strCache>
            </c:strRef>
          </c:tx>
          <c:spPr>
            <a:solidFill>
              <a:schemeClr val="accent6"/>
            </a:solidFill>
            <a:ln>
              <a:noFill/>
            </a:ln>
            <a:effectLst/>
          </c:spPr>
          <c:invertIfNegative val="0"/>
          <c:cat>
            <c:strRef>
              <c:f>presc_type!$B$25</c:f>
              <c:strCache>
                <c:ptCount val="1"/>
                <c:pt idx="0">
                  <c:v>Evolocumab</c:v>
                </c:pt>
              </c:strCache>
            </c:strRef>
          </c:cat>
          <c:val>
            <c:numRef>
              <c:f>presc_type!$B$31</c:f>
              <c:numCache>
                <c:formatCode>General</c:formatCode>
                <c:ptCount val="1"/>
                <c:pt idx="0">
                  <c:v>8</c:v>
                </c:pt>
              </c:numCache>
            </c:numRef>
          </c:val>
          <c:extLst>
            <c:ext xmlns:c16="http://schemas.microsoft.com/office/drawing/2014/chart" uri="{C3380CC4-5D6E-409C-BE32-E72D297353CC}">
              <c16:uniqueId val="{00000005-640A-45BC-8F93-351F9A30DD54}"/>
            </c:ext>
          </c:extLst>
        </c:ser>
        <c:dLbls>
          <c:showLegendKey val="0"/>
          <c:showVal val="0"/>
          <c:showCatName val="0"/>
          <c:showSerName val="0"/>
          <c:showPercent val="0"/>
          <c:showBubbleSize val="0"/>
        </c:dLbls>
        <c:gapWidth val="150"/>
        <c:overlap val="100"/>
        <c:axId val="740855696"/>
        <c:axId val="740855368"/>
      </c:barChart>
      <c:catAx>
        <c:axId val="740855696"/>
        <c:scaling>
          <c:orientation val="minMax"/>
        </c:scaling>
        <c:delete val="1"/>
        <c:axPos val="l"/>
        <c:numFmt formatCode="General" sourceLinked="1"/>
        <c:majorTickMark val="none"/>
        <c:minorTickMark val="none"/>
        <c:tickLblPos val="nextTo"/>
        <c:crossAx val="740855368"/>
        <c:crosses val="autoZero"/>
        <c:auto val="1"/>
        <c:lblAlgn val="ctr"/>
        <c:lblOffset val="100"/>
        <c:noMultiLvlLbl val="0"/>
      </c:catAx>
      <c:valAx>
        <c:axId val="74085536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b="1"/>
                  <a:t>%</a:t>
                </a:r>
                <a:r>
                  <a:rPr lang="en-AU" b="1" baseline="0"/>
                  <a:t> patients</a:t>
                </a:r>
                <a:endParaRPr lang="en-AU" b="1"/>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085569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BB7C1-D90D-4140-95DA-5D0A36014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5152</Words>
  <Characters>29368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2020-02-27T01:13:00Z</dcterms:created>
  <dcterms:modified xsi:type="dcterms:W3CDTF">2020-03-04T00:31:00Z</dcterms:modified>
</cp:coreProperties>
</file>